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A1786">
      <w:pPr>
        <w:divId w:val="1610316919"/>
        <w:rPr>
          <w:rFonts w:eastAsia="Times New Roman"/>
          <w:vanish/>
        </w:rPr>
      </w:pPr>
      <w:r>
        <w:rPr>
          <w:rFonts w:eastAsia="Times New Roman"/>
          <w:vanish/>
        </w:rPr>
        <w:t>0001544227FALSE2020FYP3YP5Y8.3300015442272020-01-012020-12-31iso4217:USD00015442272020-06-30xbrli:shares00015442272021-03-1500015442272020-12-3100015442272019-12-31iso4217:USDxbrli:shares00015442272019-01-012019-12-310001544227</w:t>
      </w:r>
      <w:r>
        <w:rPr>
          <w:rFonts w:eastAsia="Times New Roman"/>
          <w:vanish/>
        </w:rPr>
        <w:t>us-gaap:CommonStockMember2018-12-310001544227us-gaap:AdditionalPaidInCapitalMember2018-12-310001544227us-gaap:RetainedEarningsMember2018-12-310001544227us-gaap:AccumulatedOtherComprehensiveIncomeMember2018-12-310001544227us-gaap:ParentMember2018-12-3100015</w:t>
      </w:r>
      <w:r>
        <w:rPr>
          <w:rFonts w:eastAsia="Times New Roman"/>
          <w:vanish/>
        </w:rPr>
        <w:t>44227us-gaap:NoncontrollingInterestMember2018-12-3100015442272018-12-310001544227us-gaap:CommonStockMember2019-01-012019-12-310001544227us-gaap:AdditionalPaidInCapitalMember2019-01-012019-12-310001544227us-gaap:ParentMember2019-01-012019-12-310001544227us-</w:t>
      </w:r>
      <w:r>
        <w:rPr>
          <w:rFonts w:eastAsia="Times New Roman"/>
          <w:vanish/>
        </w:rPr>
        <w:t>gaap:NoncontrollingInterestMember2019-01-012019-12-310001544227us-gaap:AccumulatedOtherComprehensiveIncomeMember2019-01-012019-12-310001544227us-gaap:RetainedEarningsMember2019-01-012019-12-310001544227us-gaap:CommonStockMember2019-12-310001544227us-gaap:A</w:t>
      </w:r>
      <w:r>
        <w:rPr>
          <w:rFonts w:eastAsia="Times New Roman"/>
          <w:vanish/>
        </w:rPr>
        <w:t>dditionalPaidInCapitalMember2019-12-310001544227us-gaap:RetainedEarningsMember2019-12-310001544227us-gaap:AccumulatedOtherComprehensiveIncomeMember2019-12-310001544227us-gaap:ParentMember2019-12-310001544227us-gaap:NoncontrollingInterestMember2019-12-31000</w:t>
      </w:r>
      <w:r>
        <w:rPr>
          <w:rFonts w:eastAsia="Times New Roman"/>
          <w:vanish/>
        </w:rPr>
        <w:t>1544227us-gaap:CommonStockMember2020-01-012020-12-310001544227us-gaap:AdditionalPaidInCapitalMember2020-01-012020-12-310001544227us-gaap:ParentMember2020-01-012020-12-310001544227us-gaap:NoncontrollingInterestMember2020-01-012020-12-310001544227us-gaap:Acc</w:t>
      </w:r>
      <w:r>
        <w:rPr>
          <w:rFonts w:eastAsia="Times New Roman"/>
          <w:vanish/>
        </w:rPr>
        <w:t>umulatedOtherComprehensiveIncomeMember2020-01-012020-12-310001544227us-gaap:RetainedEarningsMember2020-01-012020-12-310001544227us-gaap:CommonStockMember2020-12-310001544227us-gaap:AdditionalPaidInCapitalMember2020-12-310001544227us-gaap:RetainedEarningsMe</w:t>
      </w:r>
      <w:r>
        <w:rPr>
          <w:rFonts w:eastAsia="Times New Roman"/>
          <w:vanish/>
        </w:rPr>
        <w:t>mber2020-12-310001544227us-gaap:AccumulatedOtherComprehensiveIncomeMember2020-12-310001544227us-gaap:ParentMember2020-12-310001544227us-gaap:NoncontrollingInterestMember2020-12-310001544227mlnd:LivoletideProgramMember2020-04-012020-06-30xbrli:pure000154422</w:t>
      </w:r>
      <w:r>
        <w:rPr>
          <w:rFonts w:eastAsia="Times New Roman"/>
          <w:vanish/>
        </w:rPr>
        <w:t>7us-gaap:EmployeeSeveranceMembermlnd:PraderWilliSyndromeClinicalDevelopmentProgramDiscontinuationMember2020-04-012020-06-300001544227mlnd:CorporateRestructuringPlanMemberus-gaap:SubsequentEventMember2021-01-012021-01-310001544227mlnd:EmployeeRetentionArran</w:t>
      </w:r>
      <w:r>
        <w:rPr>
          <w:rFonts w:eastAsia="Times New Roman"/>
          <w:vanish/>
        </w:rPr>
        <w:t>gementsMembermlnd:CorporateRestructuringPlanMemberus-gaap:SubsequentEventMember2021-01-310001544227mlnd:UnderwritingAgreementMember2019-12-012019-12-310001544227mlnd:PublicOfferingMember2019-12-310001544227mlnd:PublicOfferingMember2019-12-012019-12-3100015</w:t>
      </w:r>
      <w:r>
        <w:rPr>
          <w:rFonts w:eastAsia="Times New Roman"/>
          <w:vanish/>
        </w:rPr>
        <w:t>44227us-gaap:OverAllotmentOptionMember2019-12-012019-12-310001544227us-gaap:OverAllotmentOptionMember2019-12-310001544227mlnd:AtTheMarketOfferingMember2019-04-012019-04-300001544227mlnd:AtTheMarketOfferingMember2020-03-012020-03-110001544227srt:MinimumMemb</w:t>
      </w:r>
      <w:r>
        <w:rPr>
          <w:rFonts w:eastAsia="Times New Roman"/>
          <w:vanish/>
        </w:rPr>
        <w:t>er2020-01-012020-12-310001544227srt:MaximumMember2020-01-012020-12-310001544227us-gaap:EmployeeStockOptionMember2020-01-012020-12-310001544227us-gaap:EmployeeStockOptionMember2019-01-012019-12-310001544227mlnd:CommonStockWarrantMember2020-01-012020-12-3100</w:t>
      </w:r>
      <w:r>
        <w:rPr>
          <w:rFonts w:eastAsia="Times New Roman"/>
          <w:vanish/>
        </w:rPr>
        <w:t>01544227mlnd:CommonStockWarrantMember2019-01-012019-12-310001544227us-gaap:WarrantMember2020-01-012020-12-310001544227us-gaap:WarrantMember2019-01-012019-12-31mlnd:segment0001544227us-gaap:FairValueInputsLevel1Memberus-gaap:MoneyMarketFundsMemberus-gaap:Fa</w:t>
      </w:r>
      <w:r>
        <w:rPr>
          <w:rFonts w:eastAsia="Times New Roman"/>
          <w:vanish/>
        </w:rPr>
        <w:t>irValueMeasurementsRecurringMember2020-12-310001544227us-gaap:FairValueInputsLevel2Memberus-gaap:MoneyMarketFundsMemberus-gaap:FairValueMeasurementsRecurringMember2020-12-310001544227us-gaap:FairValueInputsLevel3Memberus-gaap:MoneyMarketFundsMemberus-gaap:</w:t>
      </w:r>
      <w:r>
        <w:rPr>
          <w:rFonts w:eastAsia="Times New Roman"/>
          <w:vanish/>
        </w:rPr>
        <w:t>FairValueMeasurementsRecurringMember2020-12-310001544227us-gaap:FairValueInputsLevel1Memberus-gaap:MoneyMarketFundsMemberus-gaap:FairValueMeasurementsRecurringMember2019-12-310001544227us-gaap:FairValueInputsLevel2Memberus-gaap:MoneyMarketFundsMemberus-gaa</w:t>
      </w:r>
      <w:r>
        <w:rPr>
          <w:rFonts w:eastAsia="Times New Roman"/>
          <w:vanish/>
        </w:rPr>
        <w:t>p:FairValueMeasurementsRecurringMember2019-12-310001544227us-gaap:FairValueInputsLevel3Memberus-gaap:MoneyMarketFundsMemberus-gaap:FairValueMeasurementsRecurringMember2019-12-31iso4217:EUR0001544227mlnd:AlizPharmaSasMembermlnd:BpifranceFinancingMember2017-</w:t>
      </w:r>
      <w:r>
        <w:rPr>
          <w:rFonts w:eastAsia="Times New Roman"/>
          <w:vanish/>
        </w:rPr>
        <w:t>12-310001544227mlnd:AlizPharmaSasMembermlnd:BpifranceFinancingMember2017-12-012017-12-310001544227mlnd:AlizPharmaSasMembermlnd:BpifranceFinancingMember2020-01-012020-12-310001544227mlnd:AlizPharmaSasMembermlnd:BpifranceFinancingMember2020-12-310001544227ml</w:t>
      </w:r>
      <w:r>
        <w:rPr>
          <w:rFonts w:eastAsia="Times New Roman"/>
          <w:vanish/>
        </w:rPr>
        <w:t>nd:BpifranceFinancingMember2020-04-012020-04-300001544227mlnd:AlizPharmaSasMembermlnd:BpifranceFinancingMember2019-01-012019-12-310001544227mlnd:UmLicenseAgreementMember2013-06-130001544227mlnd:UmLicenseAgreementMember2018-01-012018-12-310001544227mlnd:UmL</w:t>
      </w:r>
      <w:r>
        <w:rPr>
          <w:rFonts w:eastAsia="Times New Roman"/>
          <w:vanish/>
        </w:rPr>
        <w:t>icenseAgreementMember2019-01-012019-12-310001544227mlnd:UmLicenseAgreementMember2020-12-31iso4217:CAD0001544227mlnd:ErasmusUniversityMedicalCenterAndUniversityOfTurinMember2020-12-310001544227mlnd:WalthamMassachusettsMember2019-01-15mlnd:agreement000154422</w:t>
      </w:r>
      <w:r>
        <w:rPr>
          <w:rFonts w:eastAsia="Times New Roman"/>
          <w:vanish/>
        </w:rPr>
        <w:t>72018-10-012019-02-280001544227srt:MinimumMember2020-12-310001544227srt:MaximumMember2020-12-31mlnd:vote0001544227mlnd:EquityIncentivePlan2019Member2020-12-310001544227mlnd:EquityIncentivePlan2019Member2020-01-012020-12-310001544227mlnd:EmployeeStockPurcha</w:t>
      </w:r>
      <w:r>
        <w:rPr>
          <w:rFonts w:eastAsia="Times New Roman"/>
          <w:vanish/>
        </w:rPr>
        <w:t>sePlanMember2020-01-012020-12-310001544227mlnd:EmployeeStockPurchasePlanMember2020-12-310001544227us-gaap:ResearchAndDevelopmentExpenseMember2020-01-012020-12-310001544227us-gaap:ResearchAndDevelopmentExpenseMember2019-01-012019-12-310001544227us-gaap:Gene</w:t>
      </w:r>
      <w:r>
        <w:rPr>
          <w:rFonts w:eastAsia="Times New Roman"/>
          <w:vanish/>
        </w:rPr>
        <w:t>ralAndAdministrativeExpenseMember2020-01-012020-12-310001544227us-gaap:GeneralAndAdministrativeExpenseMember2019-01-012019-12-3100015442272020-05-012020-05-310001544227us-gaap:ShareBasedCompensationAwardTrancheOneMember2020-05-012020-05-3100015442272018-01</w:t>
      </w:r>
      <w:r>
        <w:rPr>
          <w:rFonts w:eastAsia="Times New Roman"/>
          <w:vanish/>
        </w:rPr>
        <w:t>-012018-12-310001544227mlnd:AlizPharmaSasMembermlnd:BsaWarrantsMemberus-gaap:WarrantMember2017-12-190001544227mlnd:AlizPharmaSasMembermlnd:BspceWarrantsMemberus-gaap:WarrantMember2017-12-19iso4217:EURxbrli:shares0001544227mlnd:BspceWarrantsMember2020-01-01</w:t>
      </w:r>
      <w:r>
        <w:rPr>
          <w:rFonts w:eastAsia="Times New Roman"/>
          <w:vanish/>
        </w:rPr>
        <w:t>2020-12-310001544227mlnd:AlizPharmaSasMembermlnd:BspceWarrantsMemberus-gaap:CommonStockMember2020-01-012020-12-310001544227mlnd:AlizPharmaSasMembermlnd:BsaAndBscpceWarrantsMemberus-gaap:WarrantMember2020-01-012020-12-310001544227mlnd:AlizPharmaSasMember202</w:t>
      </w:r>
      <w:r>
        <w:rPr>
          <w:rFonts w:eastAsia="Times New Roman"/>
          <w:vanish/>
        </w:rPr>
        <w:t>0-12-310001544227us-gaap:ShareBasedCompensationAwardTrancheTwoMember2020-05-012020-05-310001544227us-gaap:DomesticCountryMember2020-12-310001544227us-gaap:StateAndLocalJurisdictionMember2020-12-310001544227us-gaap:DomesticCountryMembermlnd:OrphanDrugTaxCre</w:t>
      </w:r>
      <w:r>
        <w:rPr>
          <w:rFonts w:eastAsia="Times New Roman"/>
          <w:vanish/>
        </w:rPr>
        <w:t>ditCarryforwardMember2020-12-310001544227us-gaap:ForeignCountryMember2020-12-310001544227mlnd:MillendoTherapeuticsIncMembermlnd:TempestMemberus-gaap:SubsequentEventMember2021-03-29</w:t>
      </w:r>
    </w:p>
    <w:p w:rsidR="00000000" w:rsidRDefault="00DA1786">
      <w:pPr>
        <w:divId w:val="128867805"/>
        <w:rPr>
          <w:rFonts w:eastAsia="Times New Roman"/>
        </w:rPr>
      </w:pPr>
    </w:p>
    <w:p w:rsidR="00000000" w:rsidRDefault="00DA1786">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154183369"/>
          <w:jc w:val="center"/>
        </w:trPr>
        <w:tc>
          <w:tcPr>
            <w:tcW w:w="50" w:type="pct"/>
            <w:vAlign w:val="center"/>
            <w:hideMark/>
          </w:tcPr>
          <w:p w:rsidR="00000000" w:rsidRDefault="00DA1786">
            <w:pPr>
              <w:jc w:val="center"/>
              <w:rPr>
                <w:rFonts w:eastAsia="Times New Roman"/>
              </w:rPr>
            </w:pPr>
          </w:p>
        </w:tc>
        <w:tc>
          <w:tcPr>
            <w:tcW w:w="494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154183369"/>
          <w:trHeight w:val="60"/>
          <w:jc w:val="center"/>
        </w:trPr>
        <w:tc>
          <w:tcPr>
            <w:tcW w:w="0" w:type="auto"/>
            <w:gridSpan w:val="3"/>
            <w:tcBorders>
              <w:top w:val="double" w:sz="6" w:space="0" w:color="000000"/>
            </w:tcBorders>
            <w:tcMar>
              <w:top w:w="0" w:type="dxa"/>
              <w:left w:w="20" w:type="dxa"/>
              <w:bottom w:w="0" w:type="dxa"/>
              <w:right w:w="20" w:type="dxa"/>
            </w:tcMar>
            <w:vAlign w:val="center"/>
            <w:hideMark/>
          </w:tcPr>
          <w:p w:rsidR="00000000" w:rsidRDefault="00DA1786">
            <w:pPr>
              <w:rPr>
                <w:rFonts w:eastAsia="Times New Roman"/>
                <w:sz w:val="20"/>
                <w:szCs w:val="20"/>
              </w:rPr>
            </w:pPr>
          </w:p>
        </w:tc>
      </w:tr>
    </w:tbl>
    <w:p w:rsidR="00000000" w:rsidRDefault="00DA1786">
      <w:pPr>
        <w:jc w:val="center"/>
        <w:divId w:val="1943032667"/>
        <w:rPr>
          <w:rFonts w:eastAsia="Times New Roman"/>
        </w:rPr>
      </w:pPr>
      <w:r>
        <w:rPr>
          <w:rFonts w:eastAsia="Times New Roman"/>
          <w:b/>
          <w:bCs/>
          <w:color w:val="000000"/>
        </w:rPr>
        <w:t>UNITED STATES</w:t>
      </w:r>
    </w:p>
    <w:p w:rsidR="00000000" w:rsidRDefault="00DA1786">
      <w:pPr>
        <w:jc w:val="center"/>
        <w:rPr>
          <w:rFonts w:eastAsia="Times New Roman"/>
        </w:rPr>
      </w:pPr>
      <w:r>
        <w:rPr>
          <w:rFonts w:eastAsia="Times New Roman"/>
          <w:b/>
          <w:bCs/>
          <w:color w:val="000000"/>
        </w:rPr>
        <w:t>SECURITIES AND EXCHANGE COMMISSION</w:t>
      </w:r>
    </w:p>
    <w:p w:rsidR="00000000" w:rsidRDefault="00DA1786">
      <w:pPr>
        <w:jc w:val="center"/>
        <w:rPr>
          <w:rFonts w:eastAsia="Times New Roman"/>
        </w:rPr>
      </w:pPr>
      <w:r>
        <w:rPr>
          <w:rFonts w:eastAsia="Times New Roman"/>
          <w:b/>
          <w:bCs/>
          <w:color w:val="000000"/>
          <w:sz w:val="20"/>
          <w:szCs w:val="20"/>
        </w:rPr>
        <w:t>WASHINGTON, DC 20549</w:t>
      </w:r>
    </w:p>
    <w:p w:rsidR="00000000" w:rsidRDefault="00DA1786">
      <w:pPr>
        <w:jc w:val="center"/>
        <w:divId w:val="2077900512"/>
        <w:rPr>
          <w:rFonts w:eastAsia="Times New Roman"/>
        </w:rPr>
      </w:pPr>
      <w:r>
        <w:rPr>
          <w:rFonts w:eastAsia="Times New Roman"/>
          <w:b/>
          <w:bCs/>
          <w:color w:val="000000"/>
          <w:sz w:val="12"/>
          <w:szCs w:val="12"/>
        </w:rPr>
        <w:t>_______________________________________________________________________________________________________________________________</w:t>
      </w:r>
    </w:p>
    <w:p w:rsidR="00000000" w:rsidRDefault="00DA1786">
      <w:pPr>
        <w:jc w:val="center"/>
        <w:divId w:val="1042559796"/>
        <w:rPr>
          <w:rFonts w:eastAsia="Times New Roman"/>
        </w:rPr>
      </w:pPr>
      <w:r>
        <w:rPr>
          <w:rFonts w:eastAsia="Times New Roman"/>
          <w:b/>
          <w:bCs/>
          <w:color w:val="000000"/>
        </w:rPr>
        <w:t>FORM 10-K</w:t>
      </w:r>
    </w:p>
    <w:p w:rsidR="00000000" w:rsidRDefault="00DA1786">
      <w:pPr>
        <w:jc w:val="center"/>
        <w:divId w:val="1715042314"/>
        <w:rPr>
          <w:rFonts w:eastAsia="Times New Roman"/>
        </w:rPr>
      </w:pPr>
      <w:r>
        <w:rPr>
          <w:rFonts w:eastAsia="Times New Roman"/>
          <w:b/>
          <w:bCs/>
          <w:color w:val="000000"/>
          <w:sz w:val="12"/>
          <w:szCs w:val="12"/>
        </w:rPr>
        <w:t>______________________________________________________________</w:t>
      </w:r>
      <w:r>
        <w:rPr>
          <w:rFonts w:eastAsia="Times New Roman"/>
          <w:b/>
          <w:bCs/>
          <w:color w:val="000000"/>
          <w:sz w:val="12"/>
          <w:szCs w:val="12"/>
        </w:rPr>
        <w:t>_________________________________________________________________</w:t>
      </w:r>
    </w:p>
    <w:p w:rsidR="00000000" w:rsidRDefault="00DA1786">
      <w:pPr>
        <w:divId w:val="1173839530"/>
        <w:rPr>
          <w:rFonts w:eastAsia="Times New Roman"/>
        </w:rPr>
      </w:pPr>
      <w:r>
        <w:rPr>
          <w:rFonts w:eastAsia="Times New Roman"/>
          <w:b/>
          <w:bCs/>
          <w:color w:val="000000"/>
          <w:sz w:val="16"/>
          <w:szCs w:val="16"/>
        </w:rPr>
        <w:t>(Mark One)</w:t>
      </w:r>
    </w:p>
    <w:tbl>
      <w:tblPr>
        <w:tblW w:w="4992" w:type="pct"/>
        <w:tblCellMar>
          <w:top w:w="15" w:type="dxa"/>
          <w:left w:w="15" w:type="dxa"/>
          <w:bottom w:w="15" w:type="dxa"/>
          <w:right w:w="15" w:type="dxa"/>
        </w:tblCellMar>
        <w:tblLook w:val="04A0" w:firstRow="1" w:lastRow="0" w:firstColumn="1" w:lastColumn="0" w:noHBand="0" w:noVBand="1"/>
      </w:tblPr>
      <w:tblGrid>
        <w:gridCol w:w="37"/>
        <w:gridCol w:w="197"/>
        <w:gridCol w:w="36"/>
        <w:gridCol w:w="55"/>
        <w:gridCol w:w="7932"/>
        <w:gridCol w:w="36"/>
      </w:tblGrid>
      <w:tr w:rsidR="00000000">
        <w:trPr>
          <w:divId w:val="142545465"/>
        </w:trPr>
        <w:tc>
          <w:tcPr>
            <w:tcW w:w="5" w:type="pct"/>
            <w:vAlign w:val="center"/>
            <w:hideMark/>
          </w:tcPr>
          <w:p w:rsidR="00000000" w:rsidRDefault="00DA1786">
            <w:pPr>
              <w:rPr>
                <w:rFonts w:eastAsia="Times New Roman"/>
              </w:rPr>
            </w:pPr>
          </w:p>
        </w:tc>
        <w:tc>
          <w:tcPr>
            <w:tcW w:w="13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79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42545465"/>
        </w:trPr>
        <w:tc>
          <w:tcPr>
            <w:tcW w:w="0" w:type="auto"/>
            <w:gridSpan w:val="3"/>
            <w:tcMar>
              <w:top w:w="30" w:type="dxa"/>
              <w:left w:w="20" w:type="dxa"/>
              <w:bottom w:w="30" w:type="dxa"/>
              <w:right w:w="20" w:type="dxa"/>
            </w:tcMar>
            <w:hideMark/>
          </w:tcPr>
          <w:p w:rsidR="00000000" w:rsidRDefault="00DA1786">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16"/>
                <w:szCs w:val="16"/>
              </w:rPr>
              <w:t>ANNUAL REPORT PURSUANT TO SECTION 13 OR 15(d) OF THE SECURITIES EXCHANGE ACT OF 1934</w:t>
            </w:r>
          </w:p>
        </w:tc>
      </w:tr>
    </w:tbl>
    <w:p w:rsidR="00000000" w:rsidRDefault="00DA1786">
      <w:pPr>
        <w:jc w:val="center"/>
        <w:rPr>
          <w:rFonts w:eastAsia="Times New Roman"/>
        </w:rPr>
      </w:pPr>
      <w:r>
        <w:rPr>
          <w:rFonts w:eastAsia="Times New Roman"/>
          <w:b/>
          <w:bCs/>
          <w:color w:val="000000"/>
          <w:sz w:val="18"/>
          <w:szCs w:val="18"/>
        </w:rPr>
        <w:t>For the fiscal year ended December 31, 2020</w:t>
      </w:r>
    </w:p>
    <w:p w:rsidR="00000000" w:rsidRDefault="00DA1786">
      <w:pPr>
        <w:jc w:val="center"/>
        <w:divId w:val="252007751"/>
        <w:rPr>
          <w:rFonts w:eastAsia="Times New Roman"/>
        </w:rPr>
      </w:pPr>
      <w:r>
        <w:rPr>
          <w:rFonts w:eastAsia="Times New Roman"/>
          <w:b/>
          <w:bCs/>
          <w:color w:val="000000"/>
          <w:sz w:val="18"/>
          <w:szCs w:val="18"/>
        </w:rPr>
        <w:t>OR</w:t>
      </w:r>
    </w:p>
    <w:tbl>
      <w:tblPr>
        <w:tblW w:w="4992" w:type="pct"/>
        <w:tblCellMar>
          <w:top w:w="15" w:type="dxa"/>
          <w:left w:w="15" w:type="dxa"/>
          <w:bottom w:w="15" w:type="dxa"/>
          <w:right w:w="15" w:type="dxa"/>
        </w:tblCellMar>
        <w:tblLook w:val="04A0" w:firstRow="1" w:lastRow="0" w:firstColumn="1" w:lastColumn="0" w:noHBand="0" w:noVBand="1"/>
      </w:tblPr>
      <w:tblGrid>
        <w:gridCol w:w="37"/>
        <w:gridCol w:w="197"/>
        <w:gridCol w:w="36"/>
        <w:gridCol w:w="55"/>
        <w:gridCol w:w="7932"/>
        <w:gridCol w:w="36"/>
      </w:tblGrid>
      <w:tr w:rsidR="00000000">
        <w:trPr>
          <w:divId w:val="265816428"/>
        </w:trPr>
        <w:tc>
          <w:tcPr>
            <w:tcW w:w="5" w:type="pct"/>
            <w:vAlign w:val="center"/>
            <w:hideMark/>
          </w:tcPr>
          <w:p w:rsidR="00000000" w:rsidRDefault="00DA1786">
            <w:pPr>
              <w:jc w:val="center"/>
              <w:rPr>
                <w:rFonts w:eastAsia="Times New Roman"/>
              </w:rPr>
            </w:pPr>
          </w:p>
        </w:tc>
        <w:tc>
          <w:tcPr>
            <w:tcW w:w="13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79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265816428"/>
        </w:trPr>
        <w:tc>
          <w:tcPr>
            <w:tcW w:w="0" w:type="auto"/>
            <w:gridSpan w:val="3"/>
            <w:tcMar>
              <w:top w:w="30" w:type="dxa"/>
              <w:left w:w="20" w:type="dxa"/>
              <w:bottom w:w="30" w:type="dxa"/>
              <w:right w:w="20" w:type="dxa"/>
            </w:tcMar>
            <w:hideMark/>
          </w:tcPr>
          <w:p w:rsidR="00000000" w:rsidRDefault="00DA1786">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DA1786">
            <w:pPr>
              <w:divId w:val="917904328"/>
              <w:rPr>
                <w:rFonts w:eastAsia="Times New Roman"/>
              </w:rPr>
            </w:pPr>
            <w:r>
              <w:rPr>
                <w:rFonts w:eastAsia="Times New Roman"/>
                <w:b/>
                <w:bCs/>
                <w:color w:val="000000"/>
                <w:sz w:val="16"/>
                <w:szCs w:val="16"/>
              </w:rPr>
              <w:t>TRANSITION REPORT PURSUANT TO SECTION 13 OR 15(d) OF THE SECURITIES EXCHANGE ACT OF 1934</w:t>
            </w:r>
          </w:p>
        </w:tc>
      </w:tr>
    </w:tbl>
    <w:p w:rsidR="00000000" w:rsidRDefault="00DA1786">
      <w:pPr>
        <w:jc w:val="center"/>
        <w:rPr>
          <w:rFonts w:eastAsia="Times New Roman"/>
        </w:rPr>
      </w:pPr>
      <w:r>
        <w:rPr>
          <w:rFonts w:eastAsia="Times New Roman"/>
          <w:b/>
          <w:bCs/>
          <w:color w:val="000000"/>
          <w:sz w:val="18"/>
          <w:szCs w:val="18"/>
        </w:rPr>
        <w:t>Commission File Number: 001-35890</w:t>
      </w:r>
    </w:p>
    <w:p w:rsidR="00000000" w:rsidRDefault="00DA1786">
      <w:pPr>
        <w:jc w:val="center"/>
        <w:rPr>
          <w:rFonts w:eastAsia="Times New Roman"/>
        </w:rPr>
      </w:pPr>
      <w:r>
        <w:rPr>
          <w:rFonts w:eastAsia="Times New Roman"/>
          <w:b/>
          <w:bCs/>
          <w:color w:val="000000"/>
          <w:sz w:val="12"/>
          <w:szCs w:val="12"/>
        </w:rPr>
        <w:t>________________________________________________________________________________________________________________</w:t>
      </w:r>
    </w:p>
    <w:p w:rsidR="00000000" w:rsidRDefault="00DA1786">
      <w:pPr>
        <w:jc w:val="center"/>
        <w:rPr>
          <w:rFonts w:eastAsia="Times New Roman"/>
        </w:rPr>
      </w:pPr>
      <w:r>
        <w:rPr>
          <w:rFonts w:eastAsia="Times New Roman"/>
          <w:b/>
          <w:bCs/>
          <w:color w:val="000000"/>
          <w:sz w:val="32"/>
          <w:szCs w:val="32"/>
        </w:rPr>
        <w:t>Millendo Therape</w:t>
      </w:r>
      <w:r>
        <w:rPr>
          <w:rFonts w:eastAsia="Times New Roman"/>
          <w:b/>
          <w:bCs/>
          <w:color w:val="000000"/>
          <w:sz w:val="32"/>
          <w:szCs w:val="32"/>
        </w:rPr>
        <w:t>utics, Inc.</w:t>
      </w:r>
    </w:p>
    <w:p w:rsidR="00000000" w:rsidRDefault="00DA1786">
      <w:pPr>
        <w:jc w:val="center"/>
        <w:rPr>
          <w:rFonts w:eastAsia="Times New Roman"/>
        </w:rPr>
      </w:pPr>
      <w:r>
        <w:rPr>
          <w:rFonts w:eastAsia="Times New Roman"/>
          <w:b/>
          <w:bCs/>
          <w:color w:val="000000"/>
          <w:sz w:val="18"/>
          <w:szCs w:val="18"/>
        </w:rPr>
        <w:t>(Exact Name of Registrant as Specified in its Charter)</w:t>
      </w:r>
    </w:p>
    <w:p w:rsidR="00000000" w:rsidRDefault="00DA1786">
      <w:pPr>
        <w:jc w:val="center"/>
        <w:rPr>
          <w:rFonts w:eastAsia="Times New Roman"/>
        </w:rPr>
      </w:pPr>
      <w:r>
        <w:rPr>
          <w:rFonts w:eastAsia="Times New Roman"/>
          <w:b/>
          <w:bCs/>
          <w:color w:val="000000"/>
          <w:sz w:val="12"/>
          <w:szCs w:val="12"/>
        </w:rPr>
        <w:t>___________________________________________________________________________________________________________________</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trPr>
          <w:divId w:val="650402035"/>
        </w:trPr>
        <w:tc>
          <w:tcPr>
            <w:tcW w:w="50" w:type="pct"/>
            <w:vAlign w:val="center"/>
            <w:hideMark/>
          </w:tcPr>
          <w:p w:rsidR="00000000" w:rsidRDefault="00DA1786">
            <w:pPr>
              <w:jc w:val="center"/>
              <w:rPr>
                <w:rFonts w:eastAsia="Times New Roman"/>
              </w:rPr>
            </w:pPr>
          </w:p>
        </w:tc>
        <w:tc>
          <w:tcPr>
            <w:tcW w:w="244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244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650402035"/>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45-1472564</w:t>
            </w:r>
          </w:p>
        </w:tc>
      </w:tr>
      <w:tr w:rsidR="00000000">
        <w:trPr>
          <w:divId w:val="650402035"/>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r w:rsidR="00000000">
        <w:trPr>
          <w:divId w:val="650402035"/>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110 Miller Avenue, Suite 100</w:t>
            </w:r>
          </w:p>
          <w:p w:rsidR="00000000" w:rsidRDefault="00DA1786">
            <w:pPr>
              <w:jc w:val="center"/>
              <w:rPr>
                <w:rFonts w:eastAsia="Times New Roman"/>
              </w:rPr>
            </w:pPr>
            <w:r>
              <w:rPr>
                <w:rFonts w:eastAsia="Times New Roman"/>
                <w:b/>
                <w:bCs/>
                <w:color w:val="000000"/>
                <w:sz w:val="16"/>
                <w:szCs w:val="16"/>
              </w:rPr>
              <w:t>Ann Arbor, Michigan</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48104</w:t>
            </w:r>
          </w:p>
        </w:tc>
      </w:tr>
      <w:tr w:rsidR="00000000">
        <w:trPr>
          <w:divId w:val="650402035"/>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(Zip Code)</w:t>
            </w:r>
          </w:p>
        </w:tc>
      </w:tr>
    </w:tbl>
    <w:p w:rsidR="00000000" w:rsidRDefault="00DA1786">
      <w:pPr>
        <w:jc w:val="center"/>
        <w:divId w:val="300038820"/>
        <w:rPr>
          <w:rFonts w:eastAsia="Times New Roman"/>
        </w:rPr>
      </w:pPr>
      <w:r>
        <w:rPr>
          <w:rFonts w:eastAsia="Times New Roman"/>
          <w:b/>
          <w:bCs/>
          <w:color w:val="000000"/>
          <w:sz w:val="16"/>
          <w:szCs w:val="16"/>
        </w:rPr>
        <w:t>Registrant’</w:t>
      </w:r>
      <w:r>
        <w:rPr>
          <w:rFonts w:eastAsia="Times New Roman"/>
          <w:b/>
          <w:bCs/>
          <w:color w:val="000000"/>
          <w:sz w:val="16"/>
          <w:szCs w:val="16"/>
        </w:rPr>
        <w:t>s telephone number, including area code: (734) 845-9000</w:t>
      </w:r>
    </w:p>
    <w:p w:rsidR="00000000" w:rsidRDefault="00DA1786">
      <w:pPr>
        <w:jc w:val="center"/>
        <w:divId w:val="1006244649"/>
        <w:rPr>
          <w:rFonts w:eastAsia="Times New Roman"/>
        </w:rPr>
      </w:pPr>
      <w:r>
        <w:rPr>
          <w:rFonts w:eastAsia="Times New Roman"/>
          <w:b/>
          <w:bCs/>
          <w:color w:val="000000"/>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trPr>
          <w:divId w:val="611136402"/>
        </w:trPr>
        <w:tc>
          <w:tcPr>
            <w:tcW w:w="50" w:type="pct"/>
            <w:vAlign w:val="center"/>
            <w:hideMark/>
          </w:tcPr>
          <w:p w:rsidR="00000000" w:rsidRDefault="00DA1786">
            <w:pPr>
              <w:jc w:val="center"/>
              <w:rPr>
                <w:rFonts w:eastAsia="Times New Roman"/>
              </w:rPr>
            </w:pPr>
          </w:p>
        </w:tc>
        <w:tc>
          <w:tcPr>
            <w:tcW w:w="161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61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61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611136402"/>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Name of Each Exchange on which Registered</w:t>
            </w:r>
          </w:p>
        </w:tc>
      </w:tr>
      <w:tr w:rsidR="00000000">
        <w:trPr>
          <w:divId w:val="611136402"/>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6"/>
                <w:szCs w:val="16"/>
              </w:rPr>
              <w:t>Common Stock, $0.001 par value</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6"/>
                <w:szCs w:val="16"/>
              </w:rPr>
              <w:t>MLND</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6"/>
                <w:szCs w:val="16"/>
              </w:rPr>
              <w:t>The Nasdaq Stock Market, LLC</w:t>
            </w:r>
          </w:p>
        </w:tc>
      </w:tr>
    </w:tbl>
    <w:p w:rsidR="00000000" w:rsidRDefault="00DA1786">
      <w:pPr>
        <w:jc w:val="center"/>
        <w:divId w:val="2009403155"/>
        <w:rPr>
          <w:rFonts w:eastAsia="Times New Roman"/>
        </w:rPr>
      </w:pPr>
      <w:r>
        <w:rPr>
          <w:rFonts w:eastAsia="Times New Roman"/>
          <w:b/>
          <w:bCs/>
          <w:color w:val="000000"/>
          <w:sz w:val="16"/>
          <w:szCs w:val="16"/>
        </w:rPr>
        <w:t>Securities registered pursuant to Section 12(g) of the Act: None</w:t>
      </w:r>
    </w:p>
    <w:p w:rsidR="00000000" w:rsidRDefault="00DA1786">
      <w:pPr>
        <w:jc w:val="center"/>
        <w:rPr>
          <w:rFonts w:eastAsia="Times New Roman"/>
        </w:rPr>
      </w:pPr>
      <w:r>
        <w:rPr>
          <w:rFonts w:eastAsia="Times New Roman"/>
          <w:b/>
          <w:bCs/>
          <w:color w:val="000000"/>
          <w:sz w:val="12"/>
          <w:szCs w:val="12"/>
        </w:rPr>
        <w:t>_________________________________________________________________________________________________________________</w:t>
      </w:r>
    </w:p>
    <w:p w:rsidR="00000000" w:rsidRDefault="00DA1786">
      <w:pPr>
        <w:divId w:val="1233155572"/>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DA1786">
      <w:pPr>
        <w:divId w:val="971638912"/>
        <w:rPr>
          <w:rFonts w:eastAsia="Times New Roman"/>
        </w:rPr>
      </w:pPr>
      <w:r>
        <w:rPr>
          <w:rFonts w:eastAsia="Times New Roman"/>
          <w:color w:val="000000"/>
          <w:sz w:val="16"/>
          <w:szCs w:val="16"/>
        </w:rPr>
        <w:t>Indica</w:t>
      </w:r>
      <w:r>
        <w:rPr>
          <w:rFonts w:eastAsia="Times New Roman"/>
          <w:color w:val="000000"/>
          <w:sz w:val="16"/>
          <w:szCs w:val="16"/>
        </w:rPr>
        <w:t>te by check mark if the registrant is not required to file reports pursuant to Section 13 or 15(d) of the Act.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DA1786">
      <w:pPr>
        <w:jc w:val="both"/>
        <w:divId w:val="570386707"/>
        <w:rPr>
          <w:rFonts w:eastAsia="Times New Roman"/>
        </w:rPr>
      </w:pPr>
      <w:r>
        <w:rPr>
          <w:rFonts w:eastAsia="Times New Roman"/>
          <w:color w:val="000000"/>
          <w:sz w:val="16"/>
          <w:szCs w:val="16"/>
        </w:rPr>
        <w:t>Indicate by check mark whether the registrant (1) has filed all reports required to be filed by Section 13 or 15(d) of the Secur</w:t>
      </w:r>
      <w:r>
        <w:rPr>
          <w:rFonts w:eastAsia="Times New Roman"/>
          <w:color w:val="000000"/>
          <w:sz w:val="16"/>
          <w:szCs w:val="16"/>
        </w:rPr>
        <w:t>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16"/>
          <w:szCs w:val="16"/>
        </w:rPr>
        <w:t>x</w:t>
      </w:r>
      <w:r>
        <w:rPr>
          <w:rFonts w:eastAsia="Times New Roman"/>
          <w:color w:val="000000"/>
          <w:sz w:val="16"/>
          <w:szCs w:val="16"/>
        </w:rPr>
        <w:t>   No  </w:t>
      </w:r>
      <w:r>
        <w:rPr>
          <w:rFonts w:ascii="Wingdings" w:eastAsia="Times New Roman" w:hAnsi="Wingdings"/>
          <w:color w:val="000000"/>
          <w:sz w:val="16"/>
          <w:szCs w:val="16"/>
        </w:rPr>
        <w:t>¨</w:t>
      </w:r>
    </w:p>
    <w:p w:rsidR="00000000" w:rsidRDefault="00DA1786">
      <w:pPr>
        <w:jc w:val="both"/>
        <w:divId w:val="878126763"/>
        <w:rPr>
          <w:rFonts w:eastAsia="Times New Roman"/>
        </w:rPr>
      </w:pPr>
      <w:r>
        <w:rPr>
          <w:rFonts w:eastAsia="Times New Roman"/>
          <w:color w:val="000000"/>
          <w:sz w:val="16"/>
          <w:szCs w:val="16"/>
        </w:rPr>
        <w:t>Indicate by check ma</w:t>
      </w:r>
      <w:r>
        <w:rPr>
          <w:rFonts w:eastAsia="Times New Roman"/>
          <w:color w:val="000000"/>
          <w:sz w:val="16"/>
          <w:szCs w:val="16"/>
        </w:rPr>
        <w:t>rk whether the registrant has submitted electronically every Interactive Data File required to be submitted pursuant to Rule 405 of Regulation S-T (§ 232.405 of this chapter) during the preceding 12 months (or for such shorter period that the registrant wa</w:t>
      </w:r>
      <w:r>
        <w:rPr>
          <w:rFonts w:eastAsia="Times New Roman"/>
          <w:color w:val="000000"/>
          <w:sz w:val="16"/>
          <w:szCs w:val="16"/>
        </w:rPr>
        <w:t>s required to submit).    Yes  </w:t>
      </w:r>
      <w:r>
        <w:rPr>
          <w:rFonts w:ascii="Wingdings" w:eastAsia="Times New Roman" w:hAnsi="Wingdings"/>
          <w:color w:val="000000"/>
          <w:sz w:val="16"/>
          <w:szCs w:val="16"/>
        </w:rPr>
        <w:t>x</w:t>
      </w:r>
      <w:r>
        <w:rPr>
          <w:rFonts w:eastAsia="Times New Roman"/>
          <w:color w:val="000000"/>
          <w:sz w:val="16"/>
          <w:szCs w:val="16"/>
        </w:rPr>
        <w:t>    No  </w:t>
      </w:r>
      <w:r>
        <w:rPr>
          <w:rFonts w:ascii="Wingdings" w:eastAsia="Times New Roman" w:hAnsi="Wingdings"/>
          <w:color w:val="000000"/>
          <w:sz w:val="16"/>
          <w:szCs w:val="16"/>
        </w:rPr>
        <w:t>¨</w:t>
      </w:r>
    </w:p>
    <w:p w:rsidR="00000000" w:rsidRDefault="00DA1786">
      <w:pPr>
        <w:jc w:val="both"/>
        <w:divId w:val="1937396065"/>
        <w:rPr>
          <w:rFonts w:eastAsia="Times New Roman"/>
        </w:rPr>
      </w:pPr>
      <w:r>
        <w:rPr>
          <w:rFonts w:eastAsia="Times New Roman"/>
          <w:color w:val="000000"/>
          <w:sz w:val="16"/>
          <w:szCs w:val="16"/>
        </w:rPr>
        <w:t>Indicate by check mark whether the registrant is a large accelerated filer, an accelerated filer, a non-accelerated filer, smaller reporting company, or an emerging growth company. See the definitions of “large acc</w:t>
      </w:r>
      <w:r>
        <w:rPr>
          <w:rFonts w:eastAsia="Times New Roman"/>
          <w:color w:val="000000"/>
          <w:sz w:val="16"/>
          <w:szCs w:val="16"/>
        </w:rPr>
        <w:t>elerated filer,” “accelerated filer,” “smaller reporting company,” and “emerging growth company” in Rule 12b-2 of the Exchange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1898"/>
        <w:gridCol w:w="36"/>
        <w:gridCol w:w="69"/>
        <w:gridCol w:w="222"/>
        <w:gridCol w:w="36"/>
        <w:gridCol w:w="69"/>
        <w:gridCol w:w="3527"/>
        <w:gridCol w:w="36"/>
        <w:gridCol w:w="69"/>
        <w:gridCol w:w="1898"/>
        <w:gridCol w:w="36"/>
        <w:gridCol w:w="69"/>
        <w:gridCol w:w="223"/>
        <w:gridCol w:w="36"/>
      </w:tblGrid>
      <w:tr w:rsidR="00000000">
        <w:trPr>
          <w:divId w:val="693191429"/>
        </w:trPr>
        <w:tc>
          <w:tcPr>
            <w:tcW w:w="50" w:type="pct"/>
            <w:vAlign w:val="center"/>
            <w:hideMark/>
          </w:tcPr>
          <w:p w:rsidR="00000000" w:rsidRDefault="00DA1786">
            <w:pPr>
              <w:jc w:val="both"/>
              <w:rPr>
                <w:rFonts w:eastAsia="Times New Roman"/>
              </w:rPr>
            </w:pPr>
          </w:p>
        </w:tc>
        <w:tc>
          <w:tcPr>
            <w:tcW w:w="115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4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2133"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15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4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693191429"/>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hideMark/>
          </w:tcPr>
          <w:p w:rsidR="00000000" w:rsidRDefault="00DA1786">
            <w:pP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DA1786">
            <w:pPr>
              <w:rPr>
                <w:rFonts w:eastAsia="Times New Roman"/>
              </w:rPr>
            </w:pPr>
          </w:p>
        </w:tc>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hideMark/>
          </w:tcPr>
          <w:p w:rsidR="00000000" w:rsidRDefault="00DA1786">
            <w:pPr>
              <w:rPr>
                <w:rFonts w:eastAsia="Times New Roman"/>
              </w:rPr>
            </w:pPr>
            <w:r>
              <w:rPr>
                <w:rFonts w:ascii="Wingdings" w:eastAsia="Times New Roman" w:hAnsi="Wingdings"/>
                <w:color w:val="000000"/>
                <w:sz w:val="16"/>
                <w:szCs w:val="16"/>
              </w:rPr>
              <w:t>☐</w:t>
            </w:r>
          </w:p>
        </w:tc>
      </w:tr>
      <w:tr w:rsidR="00000000">
        <w:trPr>
          <w:divId w:val="693191429"/>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hideMark/>
          </w:tcPr>
          <w:p w:rsidR="00000000" w:rsidRDefault="00DA1786">
            <w:pPr>
              <w:jc w:val="both"/>
              <w:divId w:val="232668725"/>
              <w:rPr>
                <w:rFonts w:eastAsia="Times New Roman"/>
              </w:rPr>
            </w:pPr>
            <w:r>
              <w:rPr>
                <w:rFonts w:ascii="Wingdings" w:eastAsia="Times New Roman" w:hAnsi="Wingdings"/>
                <w:color w:val="000000"/>
                <w:sz w:val="16"/>
                <w:szCs w:val="16"/>
              </w:rPr>
              <w:t>x</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hideMark/>
          </w:tcPr>
          <w:p w:rsidR="00000000" w:rsidRDefault="00DA1786">
            <w:pPr>
              <w:jc w:val="both"/>
              <w:divId w:val="562720328"/>
              <w:rPr>
                <w:rFonts w:eastAsia="Times New Roman"/>
              </w:rPr>
            </w:pPr>
            <w:r>
              <w:rPr>
                <w:rFonts w:ascii="Wingdings" w:eastAsia="Times New Roman" w:hAnsi="Wingdings"/>
                <w:color w:val="000000"/>
                <w:sz w:val="16"/>
                <w:szCs w:val="16"/>
              </w:rPr>
              <w:t>☒</w:t>
            </w:r>
          </w:p>
        </w:tc>
      </w:tr>
      <w:tr w:rsidR="00000000">
        <w:trPr>
          <w:divId w:val="693191429"/>
        </w:trPr>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c>
          <w:tcPr>
            <w:tcW w:w="0" w:type="auto"/>
            <w:gridSpan w:val="3"/>
            <w:tcMar>
              <w:top w:w="30" w:type="dxa"/>
              <w:left w:w="20" w:type="dxa"/>
              <w:bottom w:w="30" w:type="dxa"/>
              <w:right w:w="20" w:type="dxa"/>
            </w:tcMar>
            <w:hideMark/>
          </w:tcPr>
          <w:p w:rsidR="00000000" w:rsidRDefault="00DA1786">
            <w:pP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DA1786">
            <w:pPr>
              <w:rPr>
                <w:rFonts w:eastAsia="Times New Roman"/>
              </w:rPr>
            </w:pPr>
          </w:p>
        </w:tc>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hideMark/>
          </w:tcPr>
          <w:p w:rsidR="00000000" w:rsidRDefault="00DA1786">
            <w:pPr>
              <w:rPr>
                <w:rFonts w:eastAsia="Times New Roman"/>
              </w:rPr>
            </w:pPr>
            <w:r>
              <w:rPr>
                <w:rFonts w:ascii="Wingdings" w:eastAsia="Times New Roman" w:hAnsi="Wingdings"/>
                <w:color w:val="000000"/>
                <w:sz w:val="16"/>
                <w:szCs w:val="16"/>
              </w:rPr>
              <w:t>☐</w:t>
            </w:r>
          </w:p>
        </w:tc>
      </w:tr>
    </w:tbl>
    <w:p w:rsidR="00000000" w:rsidRDefault="00DA1786">
      <w:pPr>
        <w:jc w:val="both"/>
        <w:divId w:val="1128741128"/>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DA1786">
      <w:pPr>
        <w:jc w:val="both"/>
        <w:divId w:val="302927402"/>
        <w:rPr>
          <w:rFonts w:eastAsia="Times New Roman"/>
        </w:rPr>
      </w:pPr>
    </w:p>
    <w:p w:rsidR="00000000" w:rsidRDefault="00DA1786">
      <w:pPr>
        <w:jc w:val="both"/>
        <w:divId w:val="879785493"/>
        <w:rPr>
          <w:rFonts w:eastAsia="Times New Roman"/>
        </w:rPr>
      </w:pPr>
      <w:r>
        <w:rPr>
          <w:rFonts w:eastAsia="Times New Roman"/>
          <w:color w:val="000000"/>
          <w:sz w:val="16"/>
          <w:szCs w:val="16"/>
        </w:rPr>
        <w:t>I</w:t>
      </w:r>
      <w:r>
        <w:rPr>
          <w:rFonts w:eastAsia="Times New Roman"/>
          <w:color w:val="000000"/>
          <w:sz w:val="16"/>
          <w:szCs w:val="16"/>
        </w:rPr>
        <w:t>ndicated by check mark whether the registrant has filed a report on and attestation to its management's assessment of the effectiveness of its internal control over financial reporting under Section 404(b) of the Sarbanes-Oxley Act (15 U.S.C 7262(b)) by th</w:t>
      </w:r>
      <w:r>
        <w:rPr>
          <w:rFonts w:eastAsia="Times New Roman"/>
          <w:color w:val="000000"/>
          <w:sz w:val="16"/>
          <w:szCs w:val="16"/>
        </w:rPr>
        <w:t>e registered public accounting firm that prepared or issued its audit report.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DA1786">
      <w:pPr>
        <w:jc w:val="both"/>
        <w:divId w:val="536166178"/>
        <w:rPr>
          <w:rFonts w:eastAsia="Times New Roman"/>
        </w:rPr>
      </w:pPr>
    </w:p>
    <w:p w:rsidR="00000000" w:rsidRDefault="00DA1786">
      <w:pPr>
        <w:jc w:val="both"/>
        <w:divId w:val="179122764"/>
        <w:rPr>
          <w:rFonts w:eastAsia="Times New Roman"/>
        </w:rPr>
      </w:pPr>
      <w:r>
        <w:rPr>
          <w:rFonts w:eastAsia="Times New Roman"/>
          <w:color w:val="000000"/>
          <w:sz w:val="16"/>
          <w:szCs w:val="16"/>
        </w:rPr>
        <w:lastRenderedPageBreak/>
        <w:t>Indicate by check mark whether the registrant is a shell company (as defined in Rule 12b-2 of the Exchange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DA1786">
      <w:pPr>
        <w:jc w:val="both"/>
        <w:divId w:val="552153608"/>
        <w:rPr>
          <w:rFonts w:eastAsia="Times New Roman"/>
        </w:rPr>
      </w:pPr>
    </w:p>
    <w:p w:rsidR="00000000" w:rsidRDefault="00DA1786">
      <w:pPr>
        <w:jc w:val="both"/>
        <w:divId w:val="62991637"/>
        <w:rPr>
          <w:rFonts w:eastAsia="Times New Roman"/>
        </w:rPr>
      </w:pPr>
      <w:r>
        <w:rPr>
          <w:rFonts w:eastAsia="Times New Roman"/>
          <w:color w:val="000000"/>
          <w:sz w:val="16"/>
          <w:szCs w:val="16"/>
        </w:rPr>
        <w:t xml:space="preserve">The aggregate market value of the voting and non-voting common equity of the registrant held by non-affiliates as of June 30, 2020 (the last business day of the registrant’s most recently completed second fiscal quarter), based on a closing price of $1.76 </w:t>
      </w:r>
      <w:r>
        <w:rPr>
          <w:rFonts w:eastAsia="Times New Roman"/>
          <w:color w:val="000000"/>
          <w:sz w:val="16"/>
          <w:szCs w:val="16"/>
        </w:rPr>
        <w:t>per share of the registrant’s common stock as reported on The Nasdaq Capital Market on June 30, 2020, was approximatel</w:t>
      </w:r>
      <w:r>
        <w:rPr>
          <w:rFonts w:eastAsia="Times New Roman"/>
          <w:color w:val="000000"/>
          <w:sz w:val="16"/>
          <w:szCs w:val="16"/>
          <w:shd w:val="clear" w:color="auto" w:fill="FFFFFF"/>
        </w:rPr>
        <w:t>y $33.3 million</w:t>
      </w:r>
      <w:r>
        <w:rPr>
          <w:rFonts w:eastAsia="Times New Roman"/>
          <w:color w:val="000000"/>
          <w:sz w:val="16"/>
          <w:szCs w:val="16"/>
        </w:rPr>
        <w:t>. For purposes of this computation, all officers, directors, and 10% beneficial owners of the registrant are deemed to be a</w:t>
      </w:r>
      <w:r>
        <w:rPr>
          <w:rFonts w:eastAsia="Times New Roman"/>
          <w:color w:val="000000"/>
          <w:sz w:val="16"/>
          <w:szCs w:val="16"/>
        </w:rPr>
        <w:t>ffiliates. Such determination should not be deemed to be an admission that such officers, directors or 10% beneficial owners are, in fact, affiliates of the registrant.</w:t>
      </w:r>
    </w:p>
    <w:p w:rsidR="00000000" w:rsidRDefault="00DA1786">
      <w:pPr>
        <w:jc w:val="both"/>
        <w:divId w:val="469980235"/>
        <w:rPr>
          <w:rFonts w:eastAsia="Times New Roman"/>
        </w:rPr>
      </w:pPr>
    </w:p>
    <w:p w:rsidR="00000000" w:rsidRDefault="00DA1786">
      <w:pPr>
        <w:jc w:val="both"/>
        <w:divId w:val="1800755550"/>
        <w:rPr>
          <w:rFonts w:eastAsia="Times New Roman"/>
        </w:rPr>
      </w:pPr>
      <w:r>
        <w:rPr>
          <w:rFonts w:eastAsia="Times New Roman"/>
          <w:color w:val="000000"/>
          <w:sz w:val="16"/>
          <w:szCs w:val="16"/>
        </w:rPr>
        <w:t>As of March 15, 2021, the registrant</w:t>
      </w:r>
      <w:r>
        <w:rPr>
          <w:rFonts w:eastAsia="Times New Roman"/>
          <w:color w:val="000000"/>
          <w:sz w:val="16"/>
          <w:szCs w:val="16"/>
          <w:shd w:val="clear" w:color="auto" w:fill="FFFFFF"/>
        </w:rPr>
        <w:t xml:space="preserve"> had 19,043,034 s</w:t>
      </w:r>
      <w:r>
        <w:rPr>
          <w:rFonts w:eastAsia="Times New Roman"/>
          <w:color w:val="000000"/>
          <w:sz w:val="16"/>
          <w:szCs w:val="16"/>
        </w:rPr>
        <w:t>hares of common stock, $0.001 pa</w:t>
      </w:r>
      <w:r>
        <w:rPr>
          <w:rFonts w:eastAsia="Times New Roman"/>
          <w:color w:val="000000"/>
          <w:sz w:val="16"/>
          <w:szCs w:val="16"/>
        </w:rPr>
        <w:t>r value per share, outstanding.</w:t>
      </w:r>
    </w:p>
    <w:p w:rsidR="00000000" w:rsidRDefault="00DA1786">
      <w:pPr>
        <w:ind w:firstLine="360"/>
        <w:divId w:val="2143619023"/>
        <w:rPr>
          <w:rFonts w:eastAsia="Times New Roman"/>
        </w:rPr>
      </w:pPr>
    </w:p>
    <w:p w:rsidR="00000000" w:rsidRDefault="00DA1786">
      <w:pPr>
        <w:ind w:firstLine="360"/>
        <w:jc w:val="center"/>
        <w:rPr>
          <w:rFonts w:eastAsia="Times New Roman"/>
        </w:rPr>
      </w:pPr>
      <w:r>
        <w:rPr>
          <w:rFonts w:eastAsia="Times New Roman"/>
          <w:b/>
          <w:bCs/>
          <w:color w:val="000000"/>
          <w:sz w:val="16"/>
          <w:szCs w:val="16"/>
        </w:rPr>
        <w:t>DOCUMENTS INCORPORATED BY REFERENCE</w:t>
      </w:r>
    </w:p>
    <w:p w:rsidR="00000000" w:rsidRDefault="00DA1786">
      <w:pPr>
        <w:ind w:firstLine="360"/>
        <w:jc w:val="center"/>
        <w:rPr>
          <w:rFonts w:eastAsia="Times New Roman"/>
        </w:rPr>
      </w:pPr>
    </w:p>
    <w:p w:rsidR="00000000" w:rsidRDefault="00DA1786">
      <w:pPr>
        <w:jc w:val="both"/>
        <w:rPr>
          <w:rFonts w:eastAsia="Times New Roman"/>
        </w:rPr>
      </w:pPr>
      <w:r>
        <w:rPr>
          <w:rFonts w:eastAsia="Times New Roman"/>
          <w:color w:val="000000"/>
          <w:sz w:val="16"/>
          <w:szCs w:val="16"/>
        </w:rPr>
        <w:t>Portions of the registrant’s definitive Proxy Statement for its 2021 Annual Meeting of Stockholders to be filed with the Securities and Exchange Commission pursuant to Regulation 14A n</w:t>
      </w:r>
      <w:r>
        <w:rPr>
          <w:rFonts w:eastAsia="Times New Roman"/>
          <w:color w:val="000000"/>
          <w:sz w:val="16"/>
          <w:szCs w:val="16"/>
        </w:rPr>
        <w:t>ot later than 120 days after the end of the fiscal year covered by this Annual Report on Form 10-K are incorporated by reference in Part III, Items 10-14 of this Annual Report on Form 10-K.</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49043854"/>
        </w:trPr>
        <w:tc>
          <w:tcPr>
            <w:tcW w:w="50" w:type="pct"/>
            <w:vAlign w:val="center"/>
            <w:hideMark/>
          </w:tcPr>
          <w:p w:rsidR="00000000" w:rsidRDefault="00DA1786">
            <w:pPr>
              <w:jc w:val="both"/>
              <w:rPr>
                <w:rFonts w:eastAsia="Times New Roman"/>
              </w:rPr>
            </w:pPr>
          </w:p>
        </w:tc>
        <w:tc>
          <w:tcPr>
            <w:tcW w:w="494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49043854"/>
          <w:trHeight w:val="60"/>
        </w:trPr>
        <w:tc>
          <w:tcPr>
            <w:tcW w:w="0" w:type="auto"/>
            <w:gridSpan w:val="3"/>
            <w:tcBorders>
              <w:top w:val="double" w:sz="6" w:space="0" w:color="000000"/>
            </w:tcBorders>
            <w:tcMar>
              <w:top w:w="0" w:type="dxa"/>
              <w:left w:w="20" w:type="dxa"/>
              <w:bottom w:w="0" w:type="dxa"/>
              <w:right w:w="20" w:type="dxa"/>
            </w:tcMar>
            <w:vAlign w:val="center"/>
            <w:hideMark/>
          </w:tcPr>
          <w:p w:rsidR="00000000" w:rsidRDefault="00DA1786">
            <w:pPr>
              <w:rPr>
                <w:rFonts w:eastAsia="Times New Roman"/>
                <w:sz w:val="20"/>
                <w:szCs w:val="20"/>
              </w:rPr>
            </w:pPr>
          </w:p>
        </w:tc>
      </w:tr>
    </w:tbl>
    <w:p w:rsidR="00000000" w:rsidRDefault="00DA1786">
      <w:pPr>
        <w:divId w:val="1191844868"/>
        <w:rPr>
          <w:rFonts w:eastAsia="Times New Roman"/>
        </w:rPr>
      </w:pPr>
    </w:p>
    <w:p w:rsidR="00000000" w:rsidRDefault="00DA1786">
      <w:pPr>
        <w:jc w:val="center"/>
        <w:divId w:val="1158114451"/>
        <w:rPr>
          <w:rFonts w:eastAsia="Times New Roman"/>
        </w:rPr>
      </w:pPr>
      <w:r>
        <w:rPr>
          <w:rFonts w:eastAsia="Times New Roman"/>
          <w:b/>
          <w:bCs/>
          <w:color w:val="000000"/>
          <w:sz w:val="20"/>
          <w:szCs w:val="20"/>
        </w:rPr>
        <w:t>EXPLANATORY NOTE</w:t>
      </w:r>
    </w:p>
    <w:p w:rsidR="00000000" w:rsidRDefault="00DA1786">
      <w:pPr>
        <w:jc w:val="both"/>
        <w:divId w:val="1858303826"/>
        <w:rPr>
          <w:rFonts w:eastAsia="Times New Roman"/>
        </w:rPr>
      </w:pPr>
      <w:r>
        <w:rPr>
          <w:rFonts w:eastAsia="Times New Roman"/>
          <w:color w:val="000000"/>
          <w:sz w:val="20"/>
          <w:szCs w:val="20"/>
        </w:rPr>
        <w:t>On December </w:t>
      </w:r>
      <w:r>
        <w:rPr>
          <w:rFonts w:eastAsia="Times New Roman"/>
          <w:color w:val="000000"/>
          <w:sz w:val="20"/>
          <w:szCs w:val="20"/>
        </w:rPr>
        <w:t xml:space="preserve">7, 2018, OvaScience, Inc., or the Company, completed a reverse merger with what was then known as “Millendo Therapeutics, Inc.”, or Private Millendo, in accordance with the terms of the Agreement and Plan of Merger and Reorganization dated as of August 8, </w:t>
      </w:r>
      <w:r>
        <w:rPr>
          <w:rFonts w:eastAsia="Times New Roman"/>
          <w:color w:val="000000"/>
          <w:sz w:val="20"/>
          <w:szCs w:val="20"/>
        </w:rPr>
        <w:t>2018, as amended on September 25, 2018 and November 1, 2018, or the OvaScience Merger Agreement, by and among the Company, Private Millendo and Orion Merger Sub, Inc., a Delaware corporation and a wholly owned subsidiary of the Company, or Orion Merger Sub</w:t>
      </w:r>
      <w:r>
        <w:rPr>
          <w:rFonts w:eastAsia="Times New Roman"/>
          <w:color w:val="000000"/>
          <w:sz w:val="20"/>
          <w:szCs w:val="20"/>
        </w:rPr>
        <w:t>, pursuant to which, among other matters, Orion Merger Sub merged with and into Private Millendo, with Private Millendo continuing as a wholly owned subsidiary of the Company. We refer to the foregoing transactions in this Annual Report on Form 10-K as “th</w:t>
      </w:r>
      <w:r>
        <w:rPr>
          <w:rFonts w:eastAsia="Times New Roman"/>
          <w:color w:val="000000"/>
          <w:sz w:val="20"/>
          <w:szCs w:val="20"/>
        </w:rPr>
        <w:t>e OvaScience Merger”. On December 6, 2018, in connection with, and prior to the completion of, the OvaScience Merger, the Company effected a 1-for-15 reverse stock split of its common stock, or the Reverse Stock Split, and immediately following the OvaScie</w:t>
      </w:r>
      <w:r>
        <w:rPr>
          <w:rFonts w:eastAsia="Times New Roman"/>
          <w:color w:val="000000"/>
          <w:sz w:val="20"/>
          <w:szCs w:val="20"/>
        </w:rPr>
        <w:t>nce Merger, the Company changed its name to “Millendo Therapeutics, Inc.” Following the completion of the OvaScience Merger, the business conducted by the Company became the business conducted by Private Millendo, which was a late-stage biopharmaceutical c</w:t>
      </w:r>
      <w:r>
        <w:rPr>
          <w:rFonts w:eastAsia="Times New Roman"/>
          <w:color w:val="000000"/>
          <w:sz w:val="20"/>
          <w:szCs w:val="20"/>
        </w:rPr>
        <w:t xml:space="preserve">ompany primarily focused on developing novel treatments for orphan endocrine diseases. All references to common stock share and per share amounts in this Annual Report have been retroactively adjusted to reflect, where applicable, the Reverse Stock Split, </w:t>
      </w:r>
      <w:r>
        <w:rPr>
          <w:rFonts w:eastAsia="Times New Roman"/>
          <w:color w:val="000000"/>
          <w:sz w:val="20"/>
          <w:szCs w:val="20"/>
        </w:rPr>
        <w:t xml:space="preserve">as indicated. As used herein, the words “Millendo,” “we,” “us,” and “our” refer to Millendo Therapeutics, Inc. and its direct and indirect subsidiaries, as applicable. In addition, the word “OvaScience” refers to the Company prior to the completion of the </w:t>
      </w:r>
      <w:r>
        <w:rPr>
          <w:rFonts w:eastAsia="Times New Roman"/>
          <w:color w:val="000000"/>
          <w:sz w:val="20"/>
          <w:szCs w:val="20"/>
        </w:rPr>
        <w:t>OvaScience Merger.</w:t>
      </w:r>
    </w:p>
    <w:p w:rsidR="00000000" w:rsidRDefault="00DA1786">
      <w:pPr>
        <w:ind w:firstLine="720"/>
        <w:divId w:val="1041781688"/>
        <w:rPr>
          <w:rFonts w:eastAsia="Times New Roman"/>
        </w:rPr>
      </w:pPr>
    </w:p>
    <w:p w:rsidR="00000000" w:rsidRDefault="00DA1786">
      <w:pPr>
        <w:rPr>
          <w:rFonts w:eastAsia="Times New Roman"/>
        </w:rPr>
      </w:pPr>
      <w:r>
        <w:rPr>
          <w:rFonts w:eastAsia="Times New Roman"/>
        </w:rPr>
        <w:pict>
          <v:rect id="_x0000_i1025" style="width:0;height:1.5pt" o:hralign="center" o:hrstd="t" o:hr="t" fillcolor="#a0a0a0" stroked="f"/>
        </w:pict>
      </w:r>
    </w:p>
    <w:p w:rsidR="00000000" w:rsidRDefault="00DA1786">
      <w:pPr>
        <w:divId w:val="1763792917"/>
        <w:rPr>
          <w:rFonts w:eastAsia="Times New Roman"/>
        </w:rPr>
      </w:pPr>
    </w:p>
    <w:p w:rsidR="00000000" w:rsidRDefault="00DA1786">
      <w:pPr>
        <w:jc w:val="center"/>
        <w:divId w:val="1673022383"/>
        <w:rPr>
          <w:rFonts w:eastAsia="Times New Roman"/>
        </w:rPr>
      </w:pPr>
      <w:r>
        <w:rPr>
          <w:rFonts w:eastAsia="Times New Roman"/>
          <w:b/>
          <w:bCs/>
          <w:color w:val="000000"/>
          <w:sz w:val="20"/>
          <w:szCs w:val="20"/>
        </w:rPr>
        <w:t>SPECIAL NOTE REGARDING FORWARD-LOOKING STATEMENTS</w:t>
      </w:r>
    </w:p>
    <w:p w:rsidR="00000000" w:rsidRDefault="00DA1786">
      <w:pPr>
        <w:jc w:val="both"/>
        <w:divId w:val="443232196"/>
        <w:rPr>
          <w:rFonts w:eastAsia="Times New Roman"/>
        </w:rPr>
      </w:pPr>
      <w:r>
        <w:rPr>
          <w:rFonts w:eastAsia="Times New Roman"/>
          <w:color w:val="000000"/>
          <w:sz w:val="20"/>
          <w:szCs w:val="20"/>
        </w:rPr>
        <w:t>This Annual Report on Form 10-K, or this Annual Report, contains forward-looking statements within the meaning of Section 27A of the Securities Ac</w:t>
      </w:r>
      <w:r>
        <w:rPr>
          <w:rFonts w:eastAsia="Times New Roman"/>
          <w:color w:val="000000"/>
          <w:sz w:val="20"/>
          <w:szCs w:val="20"/>
        </w:rPr>
        <w:t>t of 1933, as amended, and Section 21E of the Securities Exchange Act of 1934, as amended, or the Exchange Act, that involve substantial risks and uncertainties. The forward-looking statements are contained principally in Part I, Item 1. “Business,” Part I</w:t>
      </w:r>
      <w:r>
        <w:rPr>
          <w:rFonts w:eastAsia="Times New Roman"/>
          <w:color w:val="000000"/>
          <w:sz w:val="20"/>
          <w:szCs w:val="20"/>
        </w:rPr>
        <w:t>, Item 1A. “Risk Factors,” and Part II, Item 7. “Management’s Discussion and Analysis of Financial Condition and Results of Operations,” but are also contained elsewhere in this Annual Report. In some cases, you can identify forward-looking statements by t</w:t>
      </w:r>
      <w:r>
        <w:rPr>
          <w:rFonts w:eastAsia="Times New Roman"/>
          <w:color w:val="000000"/>
          <w:sz w:val="20"/>
          <w:szCs w:val="20"/>
        </w:rPr>
        <w:t>he words “may,” “might,” “will,” “could,” “would,” “should,” “expect,” “intend,” “plan,” “objective,” “anticipate,” “believe,” “estimate,” “predict,” “project,” “potential,” “continue” and “ongoing,” or the negative of these terms, or other comparable term</w:t>
      </w:r>
      <w:r>
        <w:rPr>
          <w:rFonts w:eastAsia="Times New Roman"/>
          <w:color w:val="000000"/>
          <w:sz w:val="20"/>
          <w:szCs w:val="20"/>
        </w:rPr>
        <w:t>inology intended to identify statements about the future. These statements involve known and unknown risks, uncertainties and other factors that may cause our actual results, performance or achievements to be materially different from the information expre</w:t>
      </w:r>
      <w:r>
        <w:rPr>
          <w:rFonts w:eastAsia="Times New Roman"/>
          <w:color w:val="000000"/>
          <w:sz w:val="20"/>
          <w:szCs w:val="20"/>
        </w:rPr>
        <w:t xml:space="preserve">ssed or implied by these forward-looking statements. </w:t>
      </w:r>
      <w:r>
        <w:rPr>
          <w:rFonts w:eastAsia="Times New Roman"/>
          <w:color w:val="000000"/>
          <w:sz w:val="20"/>
          <w:szCs w:val="20"/>
        </w:rPr>
        <w:lastRenderedPageBreak/>
        <w:t>Although we believe that we have a reasonable basis for each forward-looking statement contained in this Annual Report, we caution you that these statements are based on a combination of facts and factor</w:t>
      </w:r>
      <w:r>
        <w:rPr>
          <w:rFonts w:eastAsia="Times New Roman"/>
          <w:color w:val="000000"/>
          <w:sz w:val="20"/>
          <w:szCs w:val="20"/>
        </w:rPr>
        <w:t>s currently known by us and our expectations of the future, about which we cannot be certain. Forward-looking statements include statements about:</w:t>
      </w:r>
    </w:p>
    <w:p w:rsidR="00000000" w:rsidRDefault="00DA1786">
      <w:pPr>
        <w:ind w:hanging="360"/>
        <w:jc w:val="both"/>
        <w:divId w:val="266931741"/>
        <w:rPr>
          <w:rFonts w:eastAsia="Times New Roman"/>
        </w:rPr>
      </w:pPr>
      <w:r>
        <w:rPr>
          <w:rFonts w:eastAsia="Times New Roman"/>
          <w:b/>
          <w:bCs/>
          <w:color w:val="000000"/>
          <w:sz w:val="20"/>
          <w:szCs w:val="20"/>
          <w:shd w:val="clear" w:color="auto" w:fill="FFFFFF"/>
        </w:rPr>
        <w:t>•</w:t>
      </w:r>
      <w:r>
        <w:rPr>
          <w:rFonts w:eastAsia="Times New Roman"/>
          <w:color w:val="000000"/>
          <w:sz w:val="20"/>
          <w:szCs w:val="20"/>
        </w:rPr>
        <w:t>the impact of our discontinuation of the development of livoletide as a potential treatment of patients with Prader-Willi syndrome (“PWS”);</w:t>
      </w:r>
    </w:p>
    <w:p w:rsidR="00000000" w:rsidRDefault="00DA1786">
      <w:pPr>
        <w:ind w:hanging="360"/>
        <w:jc w:val="both"/>
        <w:divId w:val="62678963"/>
        <w:rPr>
          <w:rFonts w:eastAsia="Times New Roman"/>
        </w:rPr>
      </w:pPr>
      <w:r>
        <w:rPr>
          <w:rFonts w:eastAsia="Times New Roman"/>
          <w:b/>
          <w:bCs/>
          <w:color w:val="000000"/>
          <w:sz w:val="20"/>
          <w:szCs w:val="20"/>
          <w:shd w:val="clear" w:color="auto" w:fill="FFFFFF"/>
        </w:rPr>
        <w:t>•</w:t>
      </w:r>
      <w:r>
        <w:rPr>
          <w:rFonts w:eastAsia="Times New Roman"/>
          <w:color w:val="000000"/>
          <w:sz w:val="20"/>
          <w:szCs w:val="20"/>
        </w:rPr>
        <w:t xml:space="preserve">the impact of our discontinuation of the development of nevanimibe as a potential treatment for classic congenital </w:t>
      </w:r>
      <w:r>
        <w:rPr>
          <w:rFonts w:eastAsia="Times New Roman"/>
          <w:color w:val="000000"/>
          <w:sz w:val="20"/>
          <w:szCs w:val="20"/>
        </w:rPr>
        <w:t>adrenal hyperplasia (“CAH”);</w:t>
      </w:r>
    </w:p>
    <w:p w:rsidR="00000000" w:rsidRDefault="00DA1786">
      <w:pPr>
        <w:ind w:hanging="360"/>
        <w:jc w:val="both"/>
        <w:divId w:val="1724870638"/>
        <w:rPr>
          <w:rFonts w:eastAsia="Times New Roman"/>
        </w:rPr>
      </w:pPr>
      <w:r>
        <w:rPr>
          <w:rFonts w:eastAsia="Times New Roman"/>
          <w:color w:val="000000"/>
          <w:sz w:val="20"/>
          <w:szCs w:val="20"/>
        </w:rPr>
        <w:t>•the impact of our discontinuation of the development of MLE-301 as a potential treatment of vasomotor symptoms (“VMS”);</w:t>
      </w:r>
    </w:p>
    <w:p w:rsidR="00000000" w:rsidRDefault="00DA1786">
      <w:pPr>
        <w:ind w:hanging="360"/>
        <w:jc w:val="both"/>
        <w:divId w:val="513767771"/>
        <w:rPr>
          <w:rFonts w:eastAsia="Times New Roman"/>
        </w:rPr>
      </w:pPr>
      <w:r>
        <w:rPr>
          <w:rFonts w:eastAsia="Times New Roman"/>
          <w:color w:val="000000"/>
          <w:sz w:val="20"/>
          <w:szCs w:val="20"/>
        </w:rPr>
        <w:t>•our consideration of strategic alternatives, including our proposed merger with Tempest Therapeutics, Inc</w:t>
      </w:r>
      <w:r>
        <w:rPr>
          <w:rFonts w:eastAsia="Times New Roman"/>
          <w:color w:val="000000"/>
          <w:sz w:val="20"/>
          <w:szCs w:val="20"/>
        </w:rPr>
        <w:t>.;</w:t>
      </w:r>
    </w:p>
    <w:p w:rsidR="00000000" w:rsidRDefault="00DA1786">
      <w:pPr>
        <w:ind w:hanging="360"/>
        <w:jc w:val="both"/>
        <w:divId w:val="1267807340"/>
        <w:rPr>
          <w:rFonts w:eastAsia="Times New Roman"/>
        </w:rPr>
      </w:pPr>
      <w:r>
        <w:rPr>
          <w:rFonts w:eastAsia="Times New Roman"/>
          <w:color w:val="000000"/>
          <w:sz w:val="20"/>
          <w:szCs w:val="20"/>
        </w:rPr>
        <w:t>•our competitive position and the development of and projections relating to our competitors or our industry;</w:t>
      </w:r>
    </w:p>
    <w:p w:rsidR="00000000" w:rsidRDefault="00DA1786">
      <w:pPr>
        <w:ind w:hanging="360"/>
        <w:jc w:val="both"/>
        <w:divId w:val="1005474345"/>
        <w:rPr>
          <w:rFonts w:eastAsia="Times New Roman"/>
        </w:rPr>
      </w:pPr>
      <w:r>
        <w:rPr>
          <w:rFonts w:eastAsia="Times New Roman"/>
          <w:color w:val="000000"/>
          <w:sz w:val="20"/>
          <w:szCs w:val="20"/>
        </w:rPr>
        <w:t>•our ability to identify, recruit and retain key personnel;</w:t>
      </w:r>
    </w:p>
    <w:p w:rsidR="00000000" w:rsidRDefault="00DA1786">
      <w:pPr>
        <w:ind w:hanging="360"/>
        <w:jc w:val="both"/>
        <w:divId w:val="490100275"/>
        <w:rPr>
          <w:rFonts w:eastAsia="Times New Roman"/>
        </w:rPr>
      </w:pPr>
      <w:r>
        <w:rPr>
          <w:rFonts w:eastAsia="Times New Roman"/>
          <w:color w:val="000000"/>
          <w:sz w:val="20"/>
          <w:szCs w:val="20"/>
        </w:rPr>
        <w:t>•the impact of laws and regulations;</w:t>
      </w:r>
    </w:p>
    <w:p w:rsidR="00000000" w:rsidRDefault="00DA1786">
      <w:pPr>
        <w:ind w:hanging="360"/>
        <w:jc w:val="both"/>
        <w:divId w:val="1904290505"/>
        <w:rPr>
          <w:rFonts w:eastAsia="Times New Roman"/>
        </w:rPr>
      </w:pPr>
      <w:r>
        <w:rPr>
          <w:rFonts w:eastAsia="Times New Roman"/>
          <w:color w:val="000000"/>
          <w:sz w:val="20"/>
          <w:szCs w:val="20"/>
        </w:rPr>
        <w:t>•the impact of the COVID-19 pandemic on our bu</w:t>
      </w:r>
      <w:r>
        <w:rPr>
          <w:rFonts w:eastAsia="Times New Roman"/>
          <w:color w:val="000000"/>
          <w:sz w:val="20"/>
          <w:szCs w:val="20"/>
        </w:rPr>
        <w:t>siness, our financial condition and results of operations, future expenses, the funding of our operations as well as our future capital requirements and needs for additional financing.</w:t>
      </w:r>
    </w:p>
    <w:p w:rsidR="00000000" w:rsidRDefault="00DA1786">
      <w:pPr>
        <w:jc w:val="both"/>
        <w:divId w:val="79257520"/>
        <w:rPr>
          <w:rFonts w:eastAsia="Times New Roman"/>
        </w:rPr>
      </w:pPr>
      <w:r>
        <w:rPr>
          <w:rFonts w:eastAsia="Times New Roman"/>
          <w:color w:val="000000"/>
          <w:sz w:val="20"/>
          <w:szCs w:val="20"/>
        </w:rPr>
        <w:t>You should refer to Item 1A. “Risk Factors” in this Annual Report for a</w:t>
      </w:r>
      <w:r>
        <w:rPr>
          <w:rFonts w:eastAsia="Times New Roman"/>
          <w:color w:val="000000"/>
          <w:sz w:val="20"/>
          <w:szCs w:val="20"/>
        </w:rPr>
        <w:t xml:space="preserve"> discussion of important factors that may cause our actual results to differ materially from those expressed or implied by our forward-looking statements. As a result of these factors, we cannot assure you that the forward-looking statements in this Annual</w:t>
      </w:r>
      <w:r>
        <w:rPr>
          <w:rFonts w:eastAsia="Times New Roman"/>
          <w:color w:val="000000"/>
          <w:sz w:val="20"/>
          <w:szCs w:val="20"/>
        </w:rPr>
        <w:t xml:space="preserve"> Report will prove to be accurate. Furthermore, if our forward-looking statements prove to be inaccurate, the inaccuracy may be material. In light of the significant uncertainties in these forward-looking statements, you should not regard these statements </w:t>
      </w:r>
      <w:r>
        <w:rPr>
          <w:rFonts w:eastAsia="Times New Roman"/>
          <w:color w:val="000000"/>
          <w:sz w:val="20"/>
          <w:szCs w:val="20"/>
        </w:rPr>
        <w:t>as a representation or warranty by us or any other person that we will achieve our objectives and plans in any specified time frame, or at all. The forward-looking statements in this Annual Report represent our views as of the date of this Annual Report. W</w:t>
      </w:r>
      <w:r>
        <w:rPr>
          <w:rFonts w:eastAsia="Times New Roman"/>
          <w:color w:val="000000"/>
          <w:sz w:val="20"/>
          <w:szCs w:val="20"/>
        </w:rPr>
        <w:t>e anticipate that subsequent events and developments may cause our views to change. However, while we may elect to update these forward-looking statements at some point in the future, we undertake no obligation to publicly update any forward-looking statem</w:t>
      </w:r>
      <w:r>
        <w:rPr>
          <w:rFonts w:eastAsia="Times New Roman"/>
          <w:color w:val="000000"/>
          <w:sz w:val="20"/>
          <w:szCs w:val="20"/>
        </w:rPr>
        <w:t>ents, whether as a result of new information, future events or otherwise, except as required by law. You should, therefore, not rely on these forward-looking statements as representing our views as of any date subsequent to the date of this Annual Report.</w:t>
      </w:r>
    </w:p>
    <w:p w:rsidR="00000000" w:rsidRDefault="00DA1786">
      <w:pPr>
        <w:jc w:val="both"/>
        <w:divId w:val="435444715"/>
        <w:rPr>
          <w:rFonts w:eastAsia="Times New Roman"/>
        </w:rPr>
      </w:pPr>
    </w:p>
    <w:p w:rsidR="00000000" w:rsidRDefault="00DA1786">
      <w:pPr>
        <w:jc w:val="center"/>
        <w:divId w:val="1626348383"/>
        <w:rPr>
          <w:rFonts w:eastAsia="Times New Roman"/>
        </w:rPr>
      </w:pPr>
    </w:p>
    <w:p w:rsidR="00000000" w:rsidRDefault="00DA1786">
      <w:pPr>
        <w:ind w:firstLine="720"/>
        <w:jc w:val="center"/>
        <w:divId w:val="348147048"/>
        <w:rPr>
          <w:rFonts w:eastAsia="Times New Roman"/>
        </w:rPr>
      </w:pPr>
      <w:r>
        <w:rPr>
          <w:rFonts w:eastAsia="Times New Roman"/>
          <w:color w:val="000000"/>
          <w:sz w:val="20"/>
          <w:szCs w:val="20"/>
        </w:rPr>
        <w:t>1</w:t>
      </w:r>
    </w:p>
    <w:p w:rsidR="00000000" w:rsidRDefault="00DA1786">
      <w:pPr>
        <w:rPr>
          <w:rFonts w:eastAsia="Times New Roman"/>
        </w:rPr>
      </w:pPr>
      <w:r>
        <w:rPr>
          <w:rFonts w:eastAsia="Times New Roman"/>
        </w:rPr>
        <w:pict>
          <v:rect id="_x0000_i1026" style="width:0;height:1.5pt" o:hralign="center" o:hrstd="t" o:hr="t" fillcolor="#a0a0a0" stroked="f"/>
        </w:pict>
      </w:r>
    </w:p>
    <w:p w:rsidR="00000000" w:rsidRDefault="00DA1786">
      <w:pPr>
        <w:divId w:val="129787297"/>
        <w:rPr>
          <w:rFonts w:eastAsia="Times New Roman"/>
        </w:rPr>
      </w:pPr>
    </w:p>
    <w:p w:rsidR="00000000" w:rsidRDefault="00DA1786">
      <w:pPr>
        <w:jc w:val="center"/>
        <w:divId w:val="847214422"/>
        <w:rPr>
          <w:rFonts w:eastAsia="Times New Roman"/>
        </w:rPr>
      </w:pPr>
      <w:r>
        <w:rPr>
          <w:rFonts w:eastAsia="Times New Roman"/>
          <w:b/>
          <w:bCs/>
          <w:color w:val="000000"/>
          <w:sz w:val="20"/>
          <w:szCs w:val="20"/>
          <w:u w:val="single"/>
        </w:rPr>
        <w:t>SUMMARY OF SELECTED RISKS ASSOCIATED WITH OUR BUSINESS</w:t>
      </w:r>
    </w:p>
    <w:p w:rsidR="00000000" w:rsidRDefault="00DA1786">
      <w:pPr>
        <w:ind w:firstLine="720"/>
        <w:jc w:val="both"/>
        <w:divId w:val="950817413"/>
        <w:rPr>
          <w:rFonts w:eastAsia="Times New Roman"/>
        </w:rPr>
      </w:pPr>
      <w:r>
        <w:rPr>
          <w:rFonts w:eastAsia="Times New Roman"/>
          <w:color w:val="000000"/>
          <w:sz w:val="20"/>
          <w:szCs w:val="20"/>
        </w:rPr>
        <w:t>Our business is subject to numerous risks and uncertainties, including those discussed at length in the section titled "Risk Factors." These risks include, among o</w:t>
      </w:r>
      <w:r>
        <w:rPr>
          <w:rFonts w:eastAsia="Times New Roman"/>
          <w:color w:val="000000"/>
          <w:sz w:val="20"/>
          <w:szCs w:val="20"/>
        </w:rPr>
        <w:t>thers, the following:</w:t>
      </w:r>
    </w:p>
    <w:p w:rsidR="00000000" w:rsidRDefault="00DA1786">
      <w:pPr>
        <w:ind w:firstLine="720"/>
        <w:jc w:val="both"/>
        <w:rPr>
          <w:rFonts w:eastAsia="Times New Roman"/>
        </w:rPr>
      </w:pPr>
    </w:p>
    <w:p w:rsidR="00000000" w:rsidRDefault="00DA1786">
      <w:pPr>
        <w:ind w:hanging="360"/>
        <w:jc w:val="both"/>
        <w:rPr>
          <w:rFonts w:eastAsia="Times New Roman"/>
        </w:rPr>
      </w:pPr>
      <w:r>
        <w:rPr>
          <w:rFonts w:eastAsia="Times New Roman"/>
          <w:color w:val="000000"/>
          <w:sz w:val="20"/>
          <w:szCs w:val="20"/>
          <w:shd w:val="clear" w:color="auto" w:fill="FFFFFF"/>
        </w:rPr>
        <w:t>•</w:t>
      </w:r>
      <w:r>
        <w:rPr>
          <w:rFonts w:eastAsia="Times New Roman"/>
          <w:color w:val="000000"/>
          <w:sz w:val="20"/>
          <w:szCs w:val="20"/>
        </w:rPr>
        <w:t>Our merger with Tempest may not be consummated or may not deliver the anticipated benefits we expect.</w:t>
      </w:r>
    </w:p>
    <w:p w:rsidR="00000000" w:rsidRDefault="00DA1786">
      <w:pPr>
        <w:ind w:hanging="360"/>
        <w:jc w:val="both"/>
        <w:rPr>
          <w:rFonts w:eastAsia="Times New Roman"/>
        </w:rPr>
      </w:pPr>
      <w:r>
        <w:rPr>
          <w:rFonts w:eastAsia="Times New Roman"/>
          <w:color w:val="000000"/>
          <w:sz w:val="20"/>
          <w:szCs w:val="20"/>
        </w:rPr>
        <w:t>•Certain provisions of the Merger Agreement may discourage third-parties from submitting alternative acquisition proposals, inclu</w:t>
      </w:r>
      <w:r>
        <w:rPr>
          <w:rFonts w:eastAsia="Times New Roman"/>
          <w:color w:val="000000"/>
          <w:sz w:val="20"/>
          <w:szCs w:val="20"/>
        </w:rPr>
        <w:t xml:space="preserve">ding proposals that may be superior to the arrangements contemplated by the Merger Agreement. </w:t>
      </w:r>
    </w:p>
    <w:p w:rsidR="00000000" w:rsidRDefault="00DA1786">
      <w:pPr>
        <w:ind w:hanging="360"/>
        <w:jc w:val="both"/>
        <w:rPr>
          <w:rFonts w:eastAsia="Times New Roman"/>
        </w:rPr>
      </w:pPr>
      <w:r>
        <w:rPr>
          <w:rFonts w:eastAsia="Times New Roman"/>
          <w:color w:val="000000"/>
          <w:sz w:val="20"/>
          <w:szCs w:val="20"/>
        </w:rPr>
        <w:t>•The announcement and pendency of the Merger, whether or not consummated, may adversely affect the trading price of our common stock and our business prospects.</w:t>
      </w:r>
    </w:p>
    <w:p w:rsidR="00000000" w:rsidRDefault="00DA1786">
      <w:pPr>
        <w:ind w:hanging="360"/>
        <w:jc w:val="both"/>
        <w:rPr>
          <w:rFonts w:eastAsia="Times New Roman"/>
        </w:rPr>
      </w:pPr>
      <w:r>
        <w:rPr>
          <w:rFonts w:eastAsia="Times New Roman"/>
          <w:color w:val="000000"/>
          <w:sz w:val="20"/>
          <w:szCs w:val="20"/>
        </w:rPr>
        <w:t>•Failure to consummate the Merger may result in us paying a termination fee to Tempest and could harm our common stock price and our future business and operations.</w:t>
      </w:r>
    </w:p>
    <w:p w:rsidR="00000000" w:rsidRDefault="00DA1786">
      <w:pPr>
        <w:ind w:hanging="360"/>
        <w:jc w:val="both"/>
        <w:rPr>
          <w:rFonts w:eastAsia="Times New Roman"/>
        </w:rPr>
      </w:pPr>
      <w:r>
        <w:rPr>
          <w:rFonts w:eastAsia="Times New Roman"/>
          <w:color w:val="000000"/>
          <w:sz w:val="20"/>
          <w:szCs w:val="20"/>
        </w:rPr>
        <w:lastRenderedPageBreak/>
        <w:t xml:space="preserve">•If we do not successfully consummate the transaction with Tempest, our board of directors </w:t>
      </w:r>
      <w:r>
        <w:rPr>
          <w:rFonts w:eastAsia="Times New Roman"/>
          <w:color w:val="000000"/>
          <w:sz w:val="20"/>
          <w:szCs w:val="20"/>
        </w:rPr>
        <w:t>may dissolve or liquidate our assets to pursue a dissolution and liquidation. In such an event, the amount of cash available for distribution to our stockholders will depend heavily on the timing of such transaction or liquidation.</w:t>
      </w:r>
    </w:p>
    <w:p w:rsidR="00000000" w:rsidRDefault="00DA1786">
      <w:pPr>
        <w:ind w:hanging="360"/>
        <w:jc w:val="both"/>
        <w:rPr>
          <w:rFonts w:eastAsia="Times New Roman"/>
        </w:rPr>
      </w:pPr>
      <w:r>
        <w:rPr>
          <w:rFonts w:eastAsia="Times New Roman"/>
          <w:color w:val="000000"/>
          <w:sz w:val="20"/>
          <w:szCs w:val="20"/>
        </w:rPr>
        <w:t>•We have incurred signif</w:t>
      </w:r>
      <w:r>
        <w:rPr>
          <w:rFonts w:eastAsia="Times New Roman"/>
          <w:color w:val="000000"/>
          <w:sz w:val="20"/>
          <w:szCs w:val="20"/>
        </w:rPr>
        <w:t>icant operating losses since inception and anticipate that we will continue to incur operating losses for the foreseeable future and may never achieve or maintain profitability.</w:t>
      </w:r>
    </w:p>
    <w:p w:rsidR="00000000" w:rsidRDefault="00DA1786">
      <w:pPr>
        <w:ind w:hanging="360"/>
        <w:jc w:val="both"/>
        <w:rPr>
          <w:rFonts w:eastAsia="Times New Roman"/>
        </w:rPr>
      </w:pPr>
      <w:r>
        <w:rPr>
          <w:rFonts w:eastAsia="Times New Roman"/>
          <w:color w:val="000000"/>
          <w:sz w:val="20"/>
          <w:szCs w:val="20"/>
        </w:rPr>
        <w:t>•We have a limited operating history and have never generated any revenue from</w:t>
      </w:r>
      <w:r>
        <w:rPr>
          <w:rFonts w:eastAsia="Times New Roman"/>
          <w:color w:val="000000"/>
          <w:sz w:val="20"/>
          <w:szCs w:val="20"/>
        </w:rPr>
        <w:t xml:space="preserve"> product sales, which may make it difficult to assess our future viability.</w:t>
      </w:r>
    </w:p>
    <w:p w:rsidR="00000000" w:rsidRDefault="00DA1786">
      <w:pPr>
        <w:ind w:hanging="360"/>
        <w:jc w:val="both"/>
        <w:rPr>
          <w:rFonts w:eastAsia="Times New Roman"/>
        </w:rPr>
      </w:pPr>
      <w:r>
        <w:rPr>
          <w:rFonts w:eastAsia="Times New Roman"/>
          <w:color w:val="000000"/>
          <w:sz w:val="20"/>
          <w:szCs w:val="20"/>
        </w:rPr>
        <w:t>•We will require additional capital to finance our operations, which may not be available on acceptable terms, if at all.</w:t>
      </w:r>
    </w:p>
    <w:p w:rsidR="00000000" w:rsidRDefault="00DA1786">
      <w:pPr>
        <w:ind w:hanging="360"/>
        <w:jc w:val="both"/>
        <w:rPr>
          <w:rFonts w:eastAsia="Times New Roman"/>
        </w:rPr>
      </w:pPr>
      <w:r>
        <w:rPr>
          <w:rFonts w:eastAsia="Times New Roman"/>
          <w:color w:val="000000"/>
          <w:sz w:val="20"/>
          <w:szCs w:val="20"/>
        </w:rPr>
        <w:t>•Raising additional capital by issuing equity or debt secu</w:t>
      </w:r>
      <w:r>
        <w:rPr>
          <w:rFonts w:eastAsia="Times New Roman"/>
          <w:color w:val="000000"/>
          <w:sz w:val="20"/>
          <w:szCs w:val="20"/>
        </w:rPr>
        <w:t>rities may cause dilution to our existing stockholders, and raising funds through lending and licensing arrangements may restrict our operations or require us to relinquish proprietary rights.</w:t>
      </w:r>
    </w:p>
    <w:p w:rsidR="00000000" w:rsidRDefault="00DA1786">
      <w:pPr>
        <w:ind w:hanging="360"/>
        <w:jc w:val="both"/>
        <w:rPr>
          <w:rFonts w:eastAsia="Times New Roman"/>
        </w:rPr>
      </w:pPr>
      <w:r>
        <w:rPr>
          <w:rFonts w:eastAsia="Times New Roman"/>
          <w:color w:val="000000"/>
          <w:sz w:val="20"/>
          <w:szCs w:val="20"/>
        </w:rPr>
        <w:t>•Our business could be materially and adversely affected by the</w:t>
      </w:r>
      <w:r>
        <w:rPr>
          <w:rFonts w:eastAsia="Times New Roman"/>
          <w:color w:val="000000"/>
          <w:sz w:val="20"/>
          <w:szCs w:val="20"/>
        </w:rPr>
        <w:t xml:space="preserve"> current COVID-19 pandemic.</w:t>
      </w:r>
    </w:p>
    <w:p w:rsidR="00000000" w:rsidRDefault="00DA1786">
      <w:pPr>
        <w:ind w:hanging="360"/>
        <w:jc w:val="both"/>
        <w:rPr>
          <w:rFonts w:eastAsia="Times New Roman"/>
        </w:rPr>
      </w:pPr>
      <w:r>
        <w:rPr>
          <w:rFonts w:eastAsia="Times New Roman"/>
          <w:color w:val="000000"/>
          <w:sz w:val="20"/>
          <w:szCs w:val="20"/>
        </w:rPr>
        <w:t>•We are highly dependent on the services of our key executives and personnel, including Louis Arcudi III, our chief executive officer and Jennifer Minai-Azary, our chief financial officer and if we are not able to retain these m</w:t>
      </w:r>
      <w:r>
        <w:rPr>
          <w:rFonts w:eastAsia="Times New Roman"/>
          <w:color w:val="000000"/>
          <w:sz w:val="20"/>
          <w:szCs w:val="20"/>
        </w:rPr>
        <w:t>embers of our management team or recruit and retain additional management or personnel, our business will be harmed.</w:t>
      </w:r>
    </w:p>
    <w:p w:rsidR="00000000" w:rsidRDefault="00DA1786">
      <w:pPr>
        <w:ind w:firstLine="720"/>
        <w:jc w:val="center"/>
        <w:divId w:val="1429306545"/>
        <w:rPr>
          <w:rFonts w:eastAsia="Times New Roman"/>
        </w:rPr>
      </w:pPr>
      <w:r>
        <w:rPr>
          <w:rFonts w:eastAsia="Times New Roman"/>
          <w:color w:val="000000"/>
          <w:sz w:val="20"/>
          <w:szCs w:val="20"/>
        </w:rPr>
        <w:t>2</w:t>
      </w:r>
    </w:p>
    <w:p w:rsidR="00000000" w:rsidRDefault="00DA1786">
      <w:pPr>
        <w:rPr>
          <w:rFonts w:eastAsia="Times New Roman"/>
        </w:rPr>
      </w:pPr>
      <w:r>
        <w:rPr>
          <w:rFonts w:eastAsia="Times New Roman"/>
        </w:rPr>
        <w:pict>
          <v:rect id="_x0000_i1027" style="width:0;height:1.5pt" o:hralign="center" o:hrstd="t" o:hr="t" fillcolor="#a0a0a0" stroked="f"/>
        </w:pict>
      </w:r>
    </w:p>
    <w:p w:rsidR="00000000" w:rsidRDefault="00DA1786">
      <w:pPr>
        <w:divId w:val="1972204463"/>
        <w:rPr>
          <w:rFonts w:eastAsia="Times New Roman"/>
        </w:rPr>
      </w:pPr>
    </w:p>
    <w:p w:rsidR="00000000" w:rsidRDefault="00DA1786">
      <w:pPr>
        <w:divId w:val="511337966"/>
        <w:rPr>
          <w:rFonts w:eastAsia="Times New Roman"/>
        </w:rPr>
      </w:pPr>
      <w:r>
        <w:rPr>
          <w:rFonts w:eastAsia="Times New Roman"/>
          <w:b/>
          <w:bCs/>
          <w:color w:val="000000"/>
          <w:sz w:val="20"/>
          <w:szCs w:val="20"/>
          <w:u w:val="single"/>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104"/>
        <w:gridCol w:w="771"/>
        <w:gridCol w:w="36"/>
        <w:gridCol w:w="40"/>
        <w:gridCol w:w="6002"/>
        <w:gridCol w:w="38"/>
        <w:gridCol w:w="83"/>
        <w:gridCol w:w="278"/>
        <w:gridCol w:w="36"/>
        <w:gridCol w:w="36"/>
        <w:gridCol w:w="846"/>
        <w:gridCol w:w="36"/>
      </w:tblGrid>
      <w:tr w:rsidR="00000000">
        <w:trPr>
          <w:divId w:val="1582372992"/>
        </w:trPr>
        <w:tc>
          <w:tcPr>
            <w:tcW w:w="50" w:type="pct"/>
            <w:vAlign w:val="center"/>
            <w:hideMark/>
          </w:tcPr>
          <w:p w:rsidR="00000000" w:rsidRDefault="00DA1786">
            <w:pPr>
              <w:rPr>
                <w:rFonts w:eastAsia="Times New Roman"/>
              </w:rPr>
            </w:pPr>
          </w:p>
        </w:tc>
        <w:tc>
          <w:tcPr>
            <w:tcW w:w="37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365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6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83"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582372992"/>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b/>
                <w:bCs/>
                <w:color w:val="000000"/>
                <w:sz w:val="16"/>
                <w:szCs w:val="16"/>
              </w:rPr>
              <w:t>Page</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r>
      <w:tr w:rsidR="00000000">
        <w:trPr>
          <w:divId w:val="1582372992"/>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hideMark/>
          </w:tcPr>
          <w:p w:rsidR="00000000" w:rsidRDefault="00DA1786">
            <w:pPr>
              <w:jc w:val="center"/>
              <w:rPr>
                <w:rFonts w:eastAsia="Times New Roman"/>
              </w:rPr>
            </w:pPr>
            <w:hyperlink w:anchor="i1e5d551bc54544d38669f82744b9ba4b_16" w:history="1">
              <w:r>
                <w:rPr>
                  <w:rStyle w:val="a3"/>
                  <w:rFonts w:eastAsia="Times New Roman"/>
                  <w:b/>
                  <w:bCs/>
                  <w:color w:val="0E32E1"/>
                  <w:sz w:val="20"/>
                  <w:szCs w:val="20"/>
                </w:rPr>
                <w:t>PART I</w:t>
              </w:r>
            </w:hyperlink>
          </w:p>
        </w:tc>
        <w:tc>
          <w:tcPr>
            <w:tcW w:w="0" w:type="auto"/>
            <w:gridSpan w:val="3"/>
            <w:tcBorders>
              <w:top w:val="single" w:sz="8" w:space="0" w:color="000000"/>
            </w:tcBorders>
            <w:tcMar>
              <w:top w:w="30" w:type="dxa"/>
              <w:left w:w="20" w:type="dxa"/>
              <w:bottom w:w="30" w:type="dxa"/>
              <w:right w:w="20" w:type="dxa"/>
            </w:tcMar>
            <w:hideMark/>
          </w:tcPr>
          <w:p w:rsidR="00000000" w:rsidRDefault="00DA1786">
            <w:pPr>
              <w:jc w:val="right"/>
              <w:rPr>
                <w:rFonts w:eastAsia="Times New Roman"/>
              </w:rPr>
            </w:pPr>
            <w:hyperlink w:anchor="i1e5d551bc54544d38669f82744b9ba4b_16" w:history="1">
              <w:r>
                <w:rPr>
                  <w:rStyle w:val="a3"/>
                  <w:rFonts w:eastAsia="Times New Roman"/>
                  <w:color w:val="0E32E1"/>
                  <w:sz w:val="20"/>
                  <w:szCs w:val="20"/>
                </w:rPr>
                <w:t>4</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241569455"/>
              <w:rPr>
                <w:rFonts w:eastAsia="Times New Roman"/>
              </w:rPr>
            </w:pPr>
            <w:hyperlink w:anchor="i1e5d551bc54544d38669f82744b9ba4b_19" w:history="1">
              <w:r>
                <w:rPr>
                  <w:rStyle w:val="a3"/>
                  <w:rFonts w:eastAsia="Times New Roman"/>
                  <w:color w:val="0E32E1"/>
                  <w:sz w:val="20"/>
                  <w:szCs w:val="20"/>
                </w:rPr>
                <w:t>Item 1.</w:t>
              </w:r>
            </w:hyperlink>
          </w:p>
        </w:tc>
        <w:tc>
          <w:tcPr>
            <w:tcW w:w="0" w:type="auto"/>
            <w:gridSpan w:val="3"/>
            <w:tcMar>
              <w:top w:w="30" w:type="dxa"/>
              <w:left w:w="20" w:type="dxa"/>
              <w:bottom w:w="30" w:type="dxa"/>
              <w:right w:w="20" w:type="dxa"/>
            </w:tcMar>
            <w:hideMark/>
          </w:tcPr>
          <w:p w:rsidR="00000000" w:rsidRDefault="00DA1786">
            <w:pPr>
              <w:divId w:val="1531841196"/>
              <w:rPr>
                <w:rFonts w:eastAsia="Times New Roman"/>
              </w:rPr>
            </w:pPr>
            <w:hyperlink w:anchor="i1e5d551bc54544d38669f82744b9ba4b_19" w:history="1">
              <w:r>
                <w:rPr>
                  <w:rStyle w:val="a3"/>
                  <w:rFonts w:eastAsia="Times New Roman"/>
                  <w:sz w:val="20"/>
                  <w:szCs w:val="20"/>
                </w:rPr>
                <w:t>Business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9" w:history="1">
              <w:r>
                <w:rPr>
                  <w:rStyle w:val="a3"/>
                  <w:rFonts w:eastAsia="Times New Roman"/>
                  <w:sz w:val="20"/>
                  <w:szCs w:val="20"/>
                </w:rPr>
                <w:t>4</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7224420"/>
              <w:rPr>
                <w:rFonts w:eastAsia="Times New Roman"/>
              </w:rPr>
            </w:pPr>
            <w:hyperlink w:anchor="i1e5d551bc54544d38669f82744b9ba4b_22" w:history="1">
              <w:r>
                <w:rPr>
                  <w:rStyle w:val="a3"/>
                  <w:rFonts w:eastAsia="Times New Roman"/>
                  <w:color w:val="0E32E1"/>
                  <w:sz w:val="20"/>
                  <w:szCs w:val="20"/>
                </w:rPr>
                <w:t>Item 1A.</w:t>
              </w:r>
            </w:hyperlink>
          </w:p>
        </w:tc>
        <w:tc>
          <w:tcPr>
            <w:tcW w:w="0" w:type="auto"/>
            <w:gridSpan w:val="3"/>
            <w:tcMar>
              <w:top w:w="30" w:type="dxa"/>
              <w:left w:w="20" w:type="dxa"/>
              <w:bottom w:w="30" w:type="dxa"/>
              <w:right w:w="20" w:type="dxa"/>
            </w:tcMar>
            <w:hideMark/>
          </w:tcPr>
          <w:p w:rsidR="00000000" w:rsidRDefault="00DA1786">
            <w:pPr>
              <w:divId w:val="1649481290"/>
              <w:rPr>
                <w:rFonts w:eastAsia="Times New Roman"/>
              </w:rPr>
            </w:pPr>
            <w:hyperlink w:anchor="i1e5d551bc54544d38669f82744b9ba4b_22" w:history="1">
              <w:r>
                <w:rPr>
                  <w:rStyle w:val="a3"/>
                  <w:rFonts w:eastAsia="Times New Roman"/>
                  <w:color w:val="0E32E1"/>
                  <w:sz w:val="20"/>
                  <w:szCs w:val="20"/>
                </w:rPr>
                <w:t>Risk Factors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22" w:history="1">
              <w:r>
                <w:rPr>
                  <w:rStyle w:val="a3"/>
                  <w:rFonts w:eastAsia="Times New Roman"/>
                  <w:color w:val="0E32E1"/>
                  <w:sz w:val="20"/>
                  <w:szCs w:val="20"/>
                </w:rPr>
                <w:t>20</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786392993"/>
              <w:rPr>
                <w:rFonts w:eastAsia="Times New Roman"/>
              </w:rPr>
            </w:pPr>
            <w:hyperlink w:anchor="i1e5d551bc54544d38669f82744b9ba4b_25" w:history="1">
              <w:r>
                <w:rPr>
                  <w:rStyle w:val="a3"/>
                  <w:rFonts w:eastAsia="Times New Roman"/>
                  <w:color w:val="0E32E1"/>
                  <w:sz w:val="20"/>
                  <w:szCs w:val="20"/>
                </w:rPr>
                <w:t>Item 1B.</w:t>
              </w:r>
            </w:hyperlink>
          </w:p>
        </w:tc>
        <w:tc>
          <w:tcPr>
            <w:tcW w:w="0" w:type="auto"/>
            <w:gridSpan w:val="3"/>
            <w:tcMar>
              <w:top w:w="30" w:type="dxa"/>
              <w:left w:w="20" w:type="dxa"/>
              <w:bottom w:w="30" w:type="dxa"/>
              <w:right w:w="20" w:type="dxa"/>
            </w:tcMar>
            <w:hideMark/>
          </w:tcPr>
          <w:p w:rsidR="00000000" w:rsidRDefault="00DA1786">
            <w:pPr>
              <w:divId w:val="565149416"/>
              <w:rPr>
                <w:rFonts w:eastAsia="Times New Roman"/>
              </w:rPr>
            </w:pPr>
            <w:hyperlink w:anchor="i1e5d551bc54544d38669f82744b9ba4b_25" w:history="1">
              <w:r>
                <w:rPr>
                  <w:rStyle w:val="a3"/>
                  <w:rFonts w:eastAsia="Times New Roman"/>
                  <w:color w:val="0E32E1"/>
                  <w:sz w:val="20"/>
                  <w:szCs w:val="20"/>
                </w:rPr>
                <w:t>Unresolved Staff Comments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25" w:history="1">
              <w:r>
                <w:rPr>
                  <w:rStyle w:val="a3"/>
                  <w:rFonts w:eastAsia="Times New Roman"/>
                  <w:color w:val="0E32E1"/>
                  <w:sz w:val="20"/>
                  <w:szCs w:val="20"/>
                </w:rPr>
                <w:t>38</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940187423"/>
              <w:rPr>
                <w:rFonts w:eastAsia="Times New Roman"/>
              </w:rPr>
            </w:pPr>
            <w:hyperlink w:anchor="i1e5d551bc54544d38669f82744b9ba4b_28" w:history="1">
              <w:r>
                <w:rPr>
                  <w:rStyle w:val="a3"/>
                  <w:rFonts w:eastAsia="Times New Roman"/>
                  <w:color w:val="0E32E1"/>
                  <w:sz w:val="20"/>
                  <w:szCs w:val="20"/>
                </w:rPr>
                <w:t>Item 2.</w:t>
              </w:r>
            </w:hyperlink>
          </w:p>
        </w:tc>
        <w:tc>
          <w:tcPr>
            <w:tcW w:w="0" w:type="auto"/>
            <w:gridSpan w:val="3"/>
            <w:tcMar>
              <w:top w:w="30" w:type="dxa"/>
              <w:left w:w="20" w:type="dxa"/>
              <w:bottom w:w="30" w:type="dxa"/>
              <w:right w:w="20" w:type="dxa"/>
            </w:tcMar>
            <w:hideMark/>
          </w:tcPr>
          <w:p w:rsidR="00000000" w:rsidRDefault="00DA1786">
            <w:pPr>
              <w:divId w:val="102113572"/>
              <w:rPr>
                <w:rFonts w:eastAsia="Times New Roman"/>
              </w:rPr>
            </w:pPr>
            <w:hyperlink w:anchor="i1e5d551bc54544d38669f82744b9ba4b_28" w:history="1">
              <w:r>
                <w:rPr>
                  <w:rStyle w:val="a3"/>
                  <w:rFonts w:eastAsia="Times New Roman"/>
                  <w:color w:val="0E32E1"/>
                  <w:sz w:val="20"/>
                  <w:szCs w:val="20"/>
                </w:rPr>
                <w:t>Properties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28" w:history="1">
              <w:r>
                <w:rPr>
                  <w:rStyle w:val="a3"/>
                  <w:rFonts w:eastAsia="Times New Roman"/>
                  <w:color w:val="0E32E1"/>
                  <w:sz w:val="20"/>
                  <w:szCs w:val="20"/>
                </w:rPr>
                <w:t>38</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2090810650"/>
              <w:rPr>
                <w:rFonts w:eastAsia="Times New Roman"/>
              </w:rPr>
            </w:pPr>
            <w:hyperlink w:anchor="i1e5d551bc54544d38669f82744b9ba4b_31" w:history="1">
              <w:r>
                <w:rPr>
                  <w:rStyle w:val="a3"/>
                  <w:rFonts w:eastAsia="Times New Roman"/>
                  <w:color w:val="0E32E1"/>
                  <w:sz w:val="20"/>
                  <w:szCs w:val="20"/>
                </w:rPr>
                <w:t>Item 3.</w:t>
              </w:r>
            </w:hyperlink>
          </w:p>
        </w:tc>
        <w:tc>
          <w:tcPr>
            <w:tcW w:w="0" w:type="auto"/>
            <w:gridSpan w:val="3"/>
            <w:tcMar>
              <w:top w:w="30" w:type="dxa"/>
              <w:left w:w="20" w:type="dxa"/>
              <w:bottom w:w="30" w:type="dxa"/>
              <w:right w:w="20" w:type="dxa"/>
            </w:tcMar>
            <w:hideMark/>
          </w:tcPr>
          <w:p w:rsidR="00000000" w:rsidRDefault="00DA1786">
            <w:pPr>
              <w:divId w:val="782959608"/>
              <w:rPr>
                <w:rFonts w:eastAsia="Times New Roman"/>
              </w:rPr>
            </w:pPr>
            <w:hyperlink w:anchor="i1e5d551bc54544d38669f82744b9ba4b_31" w:history="1">
              <w:r>
                <w:rPr>
                  <w:rStyle w:val="a3"/>
                  <w:rFonts w:eastAsia="Times New Roman"/>
                  <w:color w:val="0E32E1"/>
                  <w:sz w:val="20"/>
                  <w:szCs w:val="20"/>
                </w:rPr>
                <w:t>Legal Proceedings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31" w:history="1">
              <w:r>
                <w:rPr>
                  <w:rStyle w:val="a3"/>
                  <w:rFonts w:eastAsia="Times New Roman"/>
                  <w:color w:val="0E32E1"/>
                  <w:sz w:val="20"/>
                  <w:szCs w:val="20"/>
                </w:rPr>
                <w:t>38</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095051842"/>
              <w:rPr>
                <w:rFonts w:eastAsia="Times New Roman"/>
              </w:rPr>
            </w:pPr>
            <w:hyperlink w:anchor="i1e5d551bc54544d38669f82744b9ba4b_34" w:history="1">
              <w:r>
                <w:rPr>
                  <w:rStyle w:val="a3"/>
                  <w:rFonts w:eastAsia="Times New Roman"/>
                  <w:color w:val="0E32E1"/>
                  <w:sz w:val="20"/>
                  <w:szCs w:val="20"/>
                </w:rPr>
                <w:t>Item 4.</w:t>
              </w:r>
            </w:hyperlink>
          </w:p>
        </w:tc>
        <w:tc>
          <w:tcPr>
            <w:tcW w:w="0" w:type="auto"/>
            <w:gridSpan w:val="3"/>
            <w:tcMar>
              <w:top w:w="30" w:type="dxa"/>
              <w:left w:w="20" w:type="dxa"/>
              <w:bottom w:w="30" w:type="dxa"/>
              <w:right w:w="20" w:type="dxa"/>
            </w:tcMar>
            <w:hideMark/>
          </w:tcPr>
          <w:p w:rsidR="00000000" w:rsidRDefault="00DA1786">
            <w:pPr>
              <w:divId w:val="923341979"/>
              <w:rPr>
                <w:rFonts w:eastAsia="Times New Roman"/>
              </w:rPr>
            </w:pPr>
            <w:hyperlink w:anchor="i1e5d551bc54544d38669f82744b9ba4b_34" w:history="1">
              <w:r>
                <w:rPr>
                  <w:rStyle w:val="a3"/>
                  <w:rFonts w:eastAsia="Times New Roman"/>
                  <w:color w:val="0E32E1"/>
                  <w:sz w:val="20"/>
                  <w:szCs w:val="20"/>
                </w:rPr>
                <w:t>Mine Safety Disclosures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34" w:history="1">
              <w:r>
                <w:rPr>
                  <w:rStyle w:val="a3"/>
                  <w:rFonts w:eastAsia="Times New Roman"/>
                  <w:color w:val="0E32E1"/>
                  <w:sz w:val="20"/>
                  <w:szCs w:val="20"/>
                </w:rPr>
                <w:t>39</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Height w:val="28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582372992"/>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hideMark/>
          </w:tcPr>
          <w:p w:rsidR="00000000" w:rsidRDefault="00DA1786">
            <w:pPr>
              <w:jc w:val="center"/>
              <w:rPr>
                <w:rFonts w:eastAsia="Times New Roman"/>
              </w:rPr>
            </w:pPr>
            <w:hyperlink w:anchor="i1e5d551bc54544d38669f82744b9ba4b_37" w:history="1">
              <w:r>
                <w:rPr>
                  <w:rStyle w:val="a3"/>
                  <w:rFonts w:eastAsia="Times New Roman"/>
                  <w:b/>
                  <w:bCs/>
                  <w:color w:val="0E32E1"/>
                  <w:sz w:val="20"/>
                  <w:szCs w:val="20"/>
                </w:rPr>
                <w:t>PART II</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37" w:history="1">
              <w:r>
                <w:rPr>
                  <w:rStyle w:val="a3"/>
                  <w:rFonts w:eastAsia="Times New Roman"/>
                  <w:color w:val="0E32E1"/>
                  <w:sz w:val="20"/>
                  <w:szCs w:val="20"/>
                </w:rPr>
                <w:t>40</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2110462489"/>
              <w:rPr>
                <w:rFonts w:eastAsia="Times New Roman"/>
              </w:rPr>
            </w:pPr>
            <w:hyperlink w:anchor="i1e5d551bc54544d38669f82744b9ba4b_40" w:history="1">
              <w:r>
                <w:rPr>
                  <w:rStyle w:val="a3"/>
                  <w:rFonts w:eastAsia="Times New Roman"/>
                  <w:color w:val="0E32E1"/>
                  <w:sz w:val="20"/>
                  <w:szCs w:val="20"/>
                </w:rPr>
                <w:t>Item 5.</w:t>
              </w:r>
            </w:hyperlink>
          </w:p>
        </w:tc>
        <w:tc>
          <w:tcPr>
            <w:tcW w:w="0" w:type="auto"/>
            <w:gridSpan w:val="3"/>
            <w:tcMar>
              <w:top w:w="30" w:type="dxa"/>
              <w:left w:w="20" w:type="dxa"/>
              <w:bottom w:w="30" w:type="dxa"/>
              <w:right w:w="20" w:type="dxa"/>
            </w:tcMar>
            <w:hideMark/>
          </w:tcPr>
          <w:p w:rsidR="00000000" w:rsidRDefault="00DA1786">
            <w:pPr>
              <w:divId w:val="1314991479"/>
              <w:rPr>
                <w:rFonts w:eastAsia="Times New Roman"/>
              </w:rPr>
            </w:pPr>
            <w:hyperlink w:anchor="i1e5d551bc54544d38669f82744b9ba4b_40" w:history="1">
              <w:r>
                <w:rPr>
                  <w:rStyle w:val="a3"/>
                  <w:rFonts w:eastAsia="Times New Roman"/>
                  <w:color w:val="0E32E1"/>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40" w:history="1">
              <w:r>
                <w:rPr>
                  <w:rStyle w:val="a3"/>
                  <w:rFonts w:eastAsia="Times New Roman"/>
                  <w:color w:val="0E32E1"/>
                  <w:sz w:val="20"/>
                  <w:szCs w:val="20"/>
                </w:rPr>
                <w:t>40</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819612723"/>
              <w:rPr>
                <w:rFonts w:eastAsia="Times New Roman"/>
              </w:rPr>
            </w:pPr>
            <w:hyperlink w:anchor="i1e5d551bc54544d38669f82744b9ba4b_43" w:history="1">
              <w:r>
                <w:rPr>
                  <w:rStyle w:val="a3"/>
                  <w:rFonts w:eastAsia="Times New Roman"/>
                  <w:color w:val="0E32E1"/>
                  <w:sz w:val="20"/>
                  <w:szCs w:val="20"/>
                </w:rPr>
                <w:t>Item 6.</w:t>
              </w:r>
            </w:hyperlink>
          </w:p>
        </w:tc>
        <w:tc>
          <w:tcPr>
            <w:tcW w:w="0" w:type="auto"/>
            <w:gridSpan w:val="3"/>
            <w:tcMar>
              <w:top w:w="30" w:type="dxa"/>
              <w:left w:w="20" w:type="dxa"/>
              <w:bottom w:w="30" w:type="dxa"/>
              <w:right w:w="20" w:type="dxa"/>
            </w:tcMar>
            <w:hideMark/>
          </w:tcPr>
          <w:p w:rsidR="00000000" w:rsidRDefault="00DA1786">
            <w:pPr>
              <w:divId w:val="1697191395"/>
              <w:rPr>
                <w:rFonts w:eastAsia="Times New Roman"/>
              </w:rPr>
            </w:pPr>
            <w:hyperlink w:anchor="i1e5d551bc54544d38669f82744b9ba4b_43" w:history="1">
              <w:r>
                <w:rPr>
                  <w:rStyle w:val="a3"/>
                  <w:rFonts w:eastAsia="Times New Roman"/>
                  <w:color w:val="0E32E1"/>
                  <w:sz w:val="20"/>
                  <w:szCs w:val="20"/>
                </w:rPr>
                <w:t>Selected Financial Data</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43" w:history="1">
              <w:r>
                <w:rPr>
                  <w:rStyle w:val="a3"/>
                  <w:rFonts w:eastAsia="Times New Roman"/>
                  <w:color w:val="0E32E1"/>
                  <w:sz w:val="20"/>
                  <w:szCs w:val="20"/>
                </w:rPr>
                <w:t>40</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136608616"/>
              <w:rPr>
                <w:rFonts w:eastAsia="Times New Roman"/>
              </w:rPr>
            </w:pPr>
            <w:hyperlink w:anchor="i1e5d551bc54544d38669f82744b9ba4b_46" w:history="1">
              <w:r>
                <w:rPr>
                  <w:rStyle w:val="a3"/>
                  <w:rFonts w:eastAsia="Times New Roman"/>
                  <w:color w:val="0E32E1"/>
                  <w:sz w:val="20"/>
                  <w:szCs w:val="20"/>
                </w:rPr>
                <w:t>Item 7.</w:t>
              </w:r>
            </w:hyperlink>
          </w:p>
        </w:tc>
        <w:tc>
          <w:tcPr>
            <w:tcW w:w="0" w:type="auto"/>
            <w:gridSpan w:val="3"/>
            <w:tcMar>
              <w:top w:w="30" w:type="dxa"/>
              <w:left w:w="20" w:type="dxa"/>
              <w:bottom w:w="30" w:type="dxa"/>
              <w:right w:w="20" w:type="dxa"/>
            </w:tcMar>
            <w:hideMark/>
          </w:tcPr>
          <w:p w:rsidR="00000000" w:rsidRDefault="00DA1786">
            <w:pPr>
              <w:divId w:val="864174919"/>
              <w:rPr>
                <w:rFonts w:eastAsia="Times New Roman"/>
              </w:rPr>
            </w:pPr>
            <w:hyperlink w:anchor="i1e5d551bc54544d38669f82744b9ba4b_46" w:history="1">
              <w:r>
                <w:rPr>
                  <w:rStyle w:val="a3"/>
                  <w:rFonts w:eastAsia="Times New Roman"/>
                  <w:color w:val="0E32E1"/>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46" w:history="1">
              <w:r>
                <w:rPr>
                  <w:rStyle w:val="a3"/>
                  <w:rFonts w:eastAsia="Times New Roman"/>
                  <w:color w:val="0E32E1"/>
                  <w:sz w:val="20"/>
                  <w:szCs w:val="20"/>
                </w:rPr>
                <w:t>40</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27094752"/>
              <w:rPr>
                <w:rFonts w:eastAsia="Times New Roman"/>
              </w:rPr>
            </w:pPr>
            <w:hyperlink w:anchor="i1e5d551bc54544d38669f82744b9ba4b_73" w:history="1">
              <w:r>
                <w:rPr>
                  <w:rStyle w:val="a3"/>
                  <w:rFonts w:eastAsia="Times New Roman"/>
                  <w:color w:val="0E32E1"/>
                  <w:sz w:val="20"/>
                  <w:szCs w:val="20"/>
                </w:rPr>
                <w:t>Item 7A.</w:t>
              </w:r>
            </w:hyperlink>
          </w:p>
        </w:tc>
        <w:tc>
          <w:tcPr>
            <w:tcW w:w="0" w:type="auto"/>
            <w:gridSpan w:val="3"/>
            <w:tcMar>
              <w:top w:w="30" w:type="dxa"/>
              <w:left w:w="20" w:type="dxa"/>
              <w:bottom w:w="30" w:type="dxa"/>
              <w:right w:w="20" w:type="dxa"/>
            </w:tcMar>
            <w:hideMark/>
          </w:tcPr>
          <w:p w:rsidR="00000000" w:rsidRDefault="00DA1786">
            <w:pPr>
              <w:divId w:val="1842310605"/>
              <w:rPr>
                <w:rFonts w:eastAsia="Times New Roman"/>
              </w:rPr>
            </w:pPr>
            <w:hyperlink w:anchor="i1e5d551bc54544d38669f82744b9ba4b_73" w:history="1">
              <w:r>
                <w:rPr>
                  <w:rStyle w:val="a3"/>
                  <w:rFonts w:eastAsia="Times New Roman"/>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r>
              <w:rPr>
                <w:rFonts w:eastAsia="Times New Roman"/>
                <w:color w:val="0E32E1"/>
                <w:sz w:val="20"/>
                <w:szCs w:val="20"/>
                <w:u w:val="single"/>
              </w:rPr>
              <w:t>83</w:t>
            </w: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906793592"/>
              <w:rPr>
                <w:rFonts w:eastAsia="Times New Roman"/>
              </w:rPr>
            </w:pPr>
            <w:hyperlink w:anchor="i1e5d551bc54544d38669f82744b9ba4b_76" w:history="1">
              <w:r>
                <w:rPr>
                  <w:rStyle w:val="a3"/>
                  <w:rFonts w:eastAsia="Times New Roman"/>
                  <w:color w:val="0E32E1"/>
                  <w:sz w:val="20"/>
                  <w:szCs w:val="20"/>
                </w:rPr>
                <w:t>Item 8.</w:t>
              </w:r>
            </w:hyperlink>
          </w:p>
        </w:tc>
        <w:tc>
          <w:tcPr>
            <w:tcW w:w="0" w:type="auto"/>
            <w:gridSpan w:val="3"/>
            <w:tcMar>
              <w:top w:w="30" w:type="dxa"/>
              <w:left w:w="20" w:type="dxa"/>
              <w:bottom w:w="30" w:type="dxa"/>
              <w:right w:w="20" w:type="dxa"/>
            </w:tcMar>
            <w:hideMark/>
          </w:tcPr>
          <w:p w:rsidR="00000000" w:rsidRDefault="00DA1786">
            <w:pPr>
              <w:divId w:val="2077892088"/>
              <w:rPr>
                <w:rFonts w:eastAsia="Times New Roman"/>
              </w:rPr>
            </w:pPr>
            <w:hyperlink w:anchor="i1e5d551bc54544d38669f82744b9ba4b_76" w:history="1">
              <w:r>
                <w:rPr>
                  <w:rStyle w:val="a3"/>
                  <w:rFonts w:eastAsia="Times New Roman"/>
                  <w:color w:val="0E32E1"/>
                  <w:sz w:val="20"/>
                  <w:szCs w:val="20"/>
                </w:rPr>
                <w:t>Financial Statements and Supplementary Data</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76" w:history="1">
              <w:r>
                <w:rPr>
                  <w:rStyle w:val="a3"/>
                  <w:rFonts w:eastAsia="Times New Roman"/>
                  <w:color w:val="0E32E1"/>
                  <w:sz w:val="20"/>
                  <w:szCs w:val="20"/>
                </w:rPr>
                <w:t>52</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173715529"/>
              <w:rPr>
                <w:rFonts w:eastAsia="Times New Roman"/>
              </w:rPr>
            </w:pPr>
            <w:hyperlink w:anchor="i1e5d551bc54544d38669f82744b9ba4b_139" w:history="1">
              <w:r>
                <w:rPr>
                  <w:rStyle w:val="a3"/>
                  <w:rFonts w:eastAsia="Times New Roman"/>
                  <w:color w:val="0E32E1"/>
                  <w:sz w:val="20"/>
                  <w:szCs w:val="20"/>
                </w:rPr>
                <w:t>Item 9.</w:t>
              </w:r>
            </w:hyperlink>
          </w:p>
        </w:tc>
        <w:tc>
          <w:tcPr>
            <w:tcW w:w="0" w:type="auto"/>
            <w:gridSpan w:val="3"/>
            <w:tcMar>
              <w:top w:w="30" w:type="dxa"/>
              <w:left w:w="20" w:type="dxa"/>
              <w:bottom w:w="30" w:type="dxa"/>
              <w:right w:w="20" w:type="dxa"/>
            </w:tcMar>
            <w:hideMark/>
          </w:tcPr>
          <w:p w:rsidR="00000000" w:rsidRDefault="00DA1786">
            <w:pPr>
              <w:divId w:val="1733191801"/>
              <w:rPr>
                <w:rFonts w:eastAsia="Times New Roman"/>
              </w:rPr>
            </w:pPr>
            <w:hyperlink w:anchor="i1e5d551bc54544d38669f82744b9ba4b_139" w:history="1">
              <w:r>
                <w:rPr>
                  <w:rStyle w:val="a3"/>
                  <w:rFonts w:eastAsia="Times New Roman"/>
                  <w:color w:val="0E32E1"/>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39" w:history="1">
              <w:r>
                <w:rPr>
                  <w:rStyle w:val="a3"/>
                  <w:rFonts w:eastAsia="Times New Roman"/>
                  <w:color w:val="0E32E1"/>
                  <w:sz w:val="20"/>
                  <w:szCs w:val="20"/>
                </w:rPr>
                <w:t>73</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38627708"/>
              <w:rPr>
                <w:rFonts w:eastAsia="Times New Roman"/>
              </w:rPr>
            </w:pPr>
            <w:hyperlink w:anchor="i1e5d551bc54544d38669f82744b9ba4b_142" w:history="1">
              <w:r>
                <w:rPr>
                  <w:rStyle w:val="a3"/>
                  <w:rFonts w:eastAsia="Times New Roman"/>
                  <w:color w:val="0E32E1"/>
                  <w:sz w:val="20"/>
                  <w:szCs w:val="20"/>
                </w:rPr>
                <w:t>Item 9A.</w:t>
              </w:r>
            </w:hyperlink>
          </w:p>
        </w:tc>
        <w:tc>
          <w:tcPr>
            <w:tcW w:w="0" w:type="auto"/>
            <w:gridSpan w:val="3"/>
            <w:tcMar>
              <w:top w:w="30" w:type="dxa"/>
              <w:left w:w="20" w:type="dxa"/>
              <w:bottom w:w="30" w:type="dxa"/>
              <w:right w:w="20" w:type="dxa"/>
            </w:tcMar>
            <w:hideMark/>
          </w:tcPr>
          <w:p w:rsidR="00000000" w:rsidRDefault="00DA1786">
            <w:pPr>
              <w:divId w:val="1512601716"/>
              <w:rPr>
                <w:rFonts w:eastAsia="Times New Roman"/>
              </w:rPr>
            </w:pPr>
            <w:hyperlink w:anchor="i1e5d551bc54544d38669f82744b9ba4b_142" w:history="1">
              <w:r>
                <w:rPr>
                  <w:rStyle w:val="a3"/>
                  <w:rFonts w:eastAsia="Times New Roman"/>
                  <w:color w:val="0E32E1"/>
                  <w:sz w:val="20"/>
                  <w:szCs w:val="20"/>
                </w:rPr>
                <w:t>Controls and Procedures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42" w:history="1">
              <w:r>
                <w:rPr>
                  <w:rStyle w:val="a3"/>
                  <w:rFonts w:eastAsia="Times New Roman"/>
                  <w:color w:val="0E32E1"/>
                  <w:sz w:val="20"/>
                  <w:szCs w:val="20"/>
                </w:rPr>
                <w:t>73</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448856567"/>
              <w:rPr>
                <w:rFonts w:eastAsia="Times New Roman"/>
              </w:rPr>
            </w:pPr>
            <w:hyperlink w:anchor="i1e5d551bc54544d38669f82744b9ba4b_145" w:history="1">
              <w:r>
                <w:rPr>
                  <w:rStyle w:val="a3"/>
                  <w:rFonts w:eastAsia="Times New Roman"/>
                  <w:color w:val="0E32E1"/>
                  <w:sz w:val="20"/>
                  <w:szCs w:val="20"/>
                </w:rPr>
                <w:t>Item 9B.</w:t>
              </w:r>
            </w:hyperlink>
          </w:p>
        </w:tc>
        <w:tc>
          <w:tcPr>
            <w:tcW w:w="0" w:type="auto"/>
            <w:gridSpan w:val="3"/>
            <w:tcMar>
              <w:top w:w="30" w:type="dxa"/>
              <w:left w:w="20" w:type="dxa"/>
              <w:bottom w:w="30" w:type="dxa"/>
              <w:right w:w="20" w:type="dxa"/>
            </w:tcMar>
            <w:hideMark/>
          </w:tcPr>
          <w:p w:rsidR="00000000" w:rsidRDefault="00DA1786">
            <w:pPr>
              <w:divId w:val="2012248098"/>
              <w:rPr>
                <w:rFonts w:eastAsia="Times New Roman"/>
              </w:rPr>
            </w:pPr>
            <w:hyperlink w:anchor="i1e5d551bc54544d38669f82744b9ba4b_145" w:history="1">
              <w:r>
                <w:rPr>
                  <w:rStyle w:val="a3"/>
                  <w:rFonts w:eastAsia="Times New Roman"/>
                  <w:color w:val="0E32E1"/>
                  <w:sz w:val="20"/>
                  <w:szCs w:val="20"/>
                </w:rPr>
                <w:t>Other Information</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45" w:history="1">
              <w:r>
                <w:rPr>
                  <w:rStyle w:val="a3"/>
                  <w:rFonts w:eastAsia="Times New Roman"/>
                  <w:color w:val="0E32E1"/>
                  <w:sz w:val="20"/>
                  <w:szCs w:val="20"/>
                </w:rPr>
                <w:t>75</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Height w:val="28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582372992"/>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hideMark/>
          </w:tcPr>
          <w:p w:rsidR="00000000" w:rsidRDefault="00DA1786">
            <w:pPr>
              <w:jc w:val="center"/>
              <w:rPr>
                <w:rFonts w:eastAsia="Times New Roman"/>
              </w:rPr>
            </w:pPr>
            <w:hyperlink w:anchor="i1e5d551bc54544d38669f82744b9ba4b_148" w:history="1">
              <w:r>
                <w:rPr>
                  <w:rStyle w:val="a3"/>
                  <w:rFonts w:eastAsia="Times New Roman"/>
                  <w:b/>
                  <w:bCs/>
                  <w:color w:val="0E32E1"/>
                  <w:sz w:val="20"/>
                  <w:szCs w:val="20"/>
                </w:rPr>
                <w:t>PART III</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48" w:history="1">
              <w:r>
                <w:rPr>
                  <w:rStyle w:val="a3"/>
                  <w:rFonts w:eastAsia="Times New Roman"/>
                  <w:color w:val="0E32E1"/>
                  <w:sz w:val="20"/>
                  <w:szCs w:val="20"/>
                </w:rPr>
                <w:t>75</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707365865"/>
              <w:rPr>
                <w:rFonts w:eastAsia="Times New Roman"/>
              </w:rPr>
            </w:pPr>
            <w:hyperlink w:anchor="i1e5d551bc54544d38669f82744b9ba4b_154" w:history="1">
              <w:r>
                <w:rPr>
                  <w:rStyle w:val="a3"/>
                  <w:rFonts w:eastAsia="Times New Roman"/>
                  <w:color w:val="0E32E1"/>
                  <w:sz w:val="20"/>
                  <w:szCs w:val="20"/>
                </w:rPr>
                <w:t>Item 10.</w:t>
              </w:r>
            </w:hyperlink>
          </w:p>
        </w:tc>
        <w:tc>
          <w:tcPr>
            <w:tcW w:w="0" w:type="auto"/>
            <w:gridSpan w:val="3"/>
            <w:tcMar>
              <w:top w:w="30" w:type="dxa"/>
              <w:left w:w="20" w:type="dxa"/>
              <w:bottom w:w="30" w:type="dxa"/>
              <w:right w:w="20" w:type="dxa"/>
            </w:tcMar>
            <w:hideMark/>
          </w:tcPr>
          <w:p w:rsidR="00000000" w:rsidRDefault="00DA1786">
            <w:pPr>
              <w:divId w:val="1691759544"/>
              <w:rPr>
                <w:rFonts w:eastAsia="Times New Roman"/>
              </w:rPr>
            </w:pPr>
            <w:hyperlink w:anchor="i1e5d551bc54544d38669f82744b9ba4b_151" w:history="1">
              <w:r>
                <w:rPr>
                  <w:rStyle w:val="a3"/>
                  <w:rFonts w:eastAsia="Times New Roman"/>
                  <w:color w:val="0E32E1"/>
                  <w:sz w:val="20"/>
                  <w:szCs w:val="20"/>
                </w:rPr>
                <w:t>Directors, Executive Officers and Corporate Governance</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51" w:history="1">
              <w:r>
                <w:rPr>
                  <w:rStyle w:val="a3"/>
                  <w:rFonts w:eastAsia="Times New Roman"/>
                  <w:color w:val="0E32E1"/>
                  <w:sz w:val="20"/>
                  <w:szCs w:val="20"/>
                </w:rPr>
                <w:t>75</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900558920"/>
              <w:rPr>
                <w:rFonts w:eastAsia="Times New Roman"/>
              </w:rPr>
            </w:pPr>
            <w:hyperlink w:anchor="i1e5d551bc54544d38669f82744b9ba4b_160" w:history="1">
              <w:r>
                <w:rPr>
                  <w:rStyle w:val="a3"/>
                  <w:rFonts w:eastAsia="Times New Roman"/>
                  <w:color w:val="0E32E1"/>
                  <w:sz w:val="20"/>
                  <w:szCs w:val="20"/>
                </w:rPr>
                <w:t>Item 11.</w:t>
              </w:r>
            </w:hyperlink>
          </w:p>
        </w:tc>
        <w:tc>
          <w:tcPr>
            <w:tcW w:w="0" w:type="auto"/>
            <w:gridSpan w:val="3"/>
            <w:tcMar>
              <w:top w:w="30" w:type="dxa"/>
              <w:left w:w="20" w:type="dxa"/>
              <w:bottom w:w="30" w:type="dxa"/>
              <w:right w:w="20" w:type="dxa"/>
            </w:tcMar>
            <w:hideMark/>
          </w:tcPr>
          <w:p w:rsidR="00000000" w:rsidRDefault="00DA1786">
            <w:pPr>
              <w:divId w:val="688415327"/>
              <w:rPr>
                <w:rFonts w:eastAsia="Times New Roman"/>
              </w:rPr>
            </w:pPr>
            <w:hyperlink w:anchor="i1e5d551bc54544d38669f82744b9ba4b_157" w:history="1">
              <w:r>
                <w:rPr>
                  <w:rStyle w:val="a3"/>
                  <w:rFonts w:eastAsia="Times New Roman"/>
                  <w:color w:val="0E32E1"/>
                  <w:sz w:val="20"/>
                  <w:szCs w:val="20"/>
                </w:rPr>
                <w:t>Executive Compensation</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57" w:history="1">
              <w:r>
                <w:rPr>
                  <w:rStyle w:val="a3"/>
                  <w:rFonts w:eastAsia="Times New Roman"/>
                  <w:color w:val="0E32E1"/>
                  <w:sz w:val="20"/>
                  <w:szCs w:val="20"/>
                </w:rPr>
                <w:t>75</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94737006"/>
              <w:rPr>
                <w:rFonts w:eastAsia="Times New Roman"/>
              </w:rPr>
            </w:pPr>
            <w:hyperlink w:anchor="i1e5d551bc54544d38669f82744b9ba4b_166" w:history="1">
              <w:r>
                <w:rPr>
                  <w:rStyle w:val="a3"/>
                  <w:rFonts w:eastAsia="Times New Roman"/>
                  <w:color w:val="0E32E1"/>
                  <w:sz w:val="20"/>
                  <w:szCs w:val="20"/>
                </w:rPr>
                <w:t>Item 12.</w:t>
              </w:r>
            </w:hyperlink>
          </w:p>
        </w:tc>
        <w:tc>
          <w:tcPr>
            <w:tcW w:w="0" w:type="auto"/>
            <w:gridSpan w:val="3"/>
            <w:tcMar>
              <w:top w:w="30" w:type="dxa"/>
              <w:left w:w="20" w:type="dxa"/>
              <w:bottom w:w="30" w:type="dxa"/>
              <w:right w:w="20" w:type="dxa"/>
            </w:tcMar>
            <w:hideMark/>
          </w:tcPr>
          <w:p w:rsidR="00000000" w:rsidRDefault="00DA1786">
            <w:pPr>
              <w:divId w:val="1660379635"/>
              <w:rPr>
                <w:rFonts w:eastAsia="Times New Roman"/>
              </w:rPr>
            </w:pPr>
            <w:hyperlink w:anchor="i1e5d551bc54544d38669f82744b9ba4b_163" w:history="1">
              <w:r>
                <w:rPr>
                  <w:rStyle w:val="a3"/>
                  <w:rFonts w:eastAsia="Times New Roman"/>
                  <w:color w:val="0E32E1"/>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63" w:history="1">
              <w:r>
                <w:rPr>
                  <w:rStyle w:val="a3"/>
                  <w:rFonts w:eastAsia="Times New Roman"/>
                  <w:color w:val="0E32E1"/>
                  <w:sz w:val="20"/>
                  <w:szCs w:val="20"/>
                </w:rPr>
                <w:t>75</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160121524"/>
              <w:rPr>
                <w:rFonts w:eastAsia="Times New Roman"/>
              </w:rPr>
            </w:pPr>
            <w:hyperlink w:anchor="i1e5d551bc54544d38669f82744b9ba4b_172" w:history="1">
              <w:r>
                <w:rPr>
                  <w:rStyle w:val="a3"/>
                  <w:rFonts w:eastAsia="Times New Roman"/>
                  <w:color w:val="0E32E1"/>
                  <w:sz w:val="20"/>
                  <w:szCs w:val="20"/>
                </w:rPr>
                <w:t>Item 13.</w:t>
              </w:r>
            </w:hyperlink>
          </w:p>
        </w:tc>
        <w:tc>
          <w:tcPr>
            <w:tcW w:w="0" w:type="auto"/>
            <w:gridSpan w:val="3"/>
            <w:tcMar>
              <w:top w:w="30" w:type="dxa"/>
              <w:left w:w="20" w:type="dxa"/>
              <w:bottom w:w="30" w:type="dxa"/>
              <w:right w:w="20" w:type="dxa"/>
            </w:tcMar>
            <w:hideMark/>
          </w:tcPr>
          <w:p w:rsidR="00000000" w:rsidRDefault="00DA1786">
            <w:pPr>
              <w:divId w:val="1861626509"/>
              <w:rPr>
                <w:rFonts w:eastAsia="Times New Roman"/>
              </w:rPr>
            </w:pPr>
            <w:hyperlink w:anchor="i1e5d551bc54544d38669f82744b9ba4b_169" w:history="1">
              <w:r>
                <w:rPr>
                  <w:rStyle w:val="a3"/>
                  <w:rFonts w:eastAsia="Times New Roman"/>
                  <w:color w:val="0E32E1"/>
                  <w:sz w:val="20"/>
                  <w:szCs w:val="20"/>
                </w:rPr>
                <w:t>Certain Relationships and Related Transactions, and Director Independence</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69" w:history="1">
              <w:r>
                <w:rPr>
                  <w:rStyle w:val="a3"/>
                  <w:rFonts w:eastAsia="Times New Roman"/>
                  <w:color w:val="0E32E1"/>
                  <w:sz w:val="20"/>
                  <w:szCs w:val="20"/>
                </w:rPr>
                <w:t>75</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754663012"/>
              <w:rPr>
                <w:rFonts w:eastAsia="Times New Roman"/>
              </w:rPr>
            </w:pPr>
            <w:hyperlink w:anchor="i1e5d551bc54544d38669f82744b9ba4b_178" w:history="1">
              <w:r>
                <w:rPr>
                  <w:rStyle w:val="a3"/>
                  <w:rFonts w:eastAsia="Times New Roman"/>
                  <w:color w:val="0E32E1"/>
                  <w:sz w:val="20"/>
                  <w:szCs w:val="20"/>
                </w:rPr>
                <w:t>Item 14.</w:t>
              </w:r>
            </w:hyperlink>
          </w:p>
        </w:tc>
        <w:tc>
          <w:tcPr>
            <w:tcW w:w="0" w:type="auto"/>
            <w:gridSpan w:val="3"/>
            <w:tcMar>
              <w:top w:w="30" w:type="dxa"/>
              <w:left w:w="20" w:type="dxa"/>
              <w:bottom w:w="30" w:type="dxa"/>
              <w:right w:w="20" w:type="dxa"/>
            </w:tcMar>
            <w:hideMark/>
          </w:tcPr>
          <w:p w:rsidR="00000000" w:rsidRDefault="00DA1786">
            <w:pPr>
              <w:divId w:val="1758021520"/>
              <w:rPr>
                <w:rFonts w:eastAsia="Times New Roman"/>
              </w:rPr>
            </w:pPr>
            <w:hyperlink w:anchor="i1e5d551bc54544d38669f82744b9ba4b_175" w:history="1">
              <w:r>
                <w:rPr>
                  <w:rStyle w:val="a3"/>
                  <w:rFonts w:eastAsia="Times New Roman"/>
                  <w:color w:val="0E32E1"/>
                  <w:sz w:val="20"/>
                  <w:szCs w:val="20"/>
                </w:rPr>
                <w:t>Principal Accountant Fees and Services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75" w:history="1">
              <w:r>
                <w:rPr>
                  <w:rStyle w:val="a3"/>
                  <w:rFonts w:eastAsia="Times New Roman"/>
                  <w:color w:val="0E32E1"/>
                  <w:sz w:val="20"/>
                  <w:szCs w:val="20"/>
                </w:rPr>
                <w:t>75</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Height w:val="28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582372992"/>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hideMark/>
          </w:tcPr>
          <w:p w:rsidR="00000000" w:rsidRDefault="00DA1786">
            <w:pPr>
              <w:jc w:val="center"/>
              <w:rPr>
                <w:rFonts w:eastAsia="Times New Roman"/>
              </w:rPr>
            </w:pPr>
            <w:hyperlink w:anchor="i1e5d551bc54544d38669f82744b9ba4b_181" w:history="1">
              <w:r>
                <w:rPr>
                  <w:rStyle w:val="a3"/>
                  <w:rFonts w:eastAsia="Times New Roman"/>
                  <w:b/>
                  <w:bCs/>
                  <w:color w:val="0E32E1"/>
                  <w:sz w:val="20"/>
                  <w:szCs w:val="20"/>
                </w:rPr>
                <w:t>PART IV</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81" w:history="1">
              <w:r>
                <w:rPr>
                  <w:rStyle w:val="a3"/>
                  <w:rFonts w:eastAsia="Times New Roman"/>
                  <w:color w:val="0E32E1"/>
                  <w:sz w:val="20"/>
                  <w:szCs w:val="20"/>
                </w:rPr>
                <w:t>76</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58471724"/>
              <w:rPr>
                <w:rFonts w:eastAsia="Times New Roman"/>
              </w:rPr>
            </w:pPr>
            <w:hyperlink w:anchor="i1e5d551bc54544d38669f82744b9ba4b_184" w:history="1">
              <w:r>
                <w:rPr>
                  <w:rStyle w:val="a3"/>
                  <w:rFonts w:eastAsia="Times New Roman"/>
                  <w:color w:val="0E32E1"/>
                  <w:sz w:val="20"/>
                  <w:szCs w:val="20"/>
                </w:rPr>
                <w:t>Item 15.</w:t>
              </w:r>
            </w:hyperlink>
          </w:p>
        </w:tc>
        <w:tc>
          <w:tcPr>
            <w:tcW w:w="0" w:type="auto"/>
            <w:gridSpan w:val="3"/>
            <w:tcMar>
              <w:top w:w="30" w:type="dxa"/>
              <w:left w:w="20" w:type="dxa"/>
              <w:bottom w:w="30" w:type="dxa"/>
              <w:right w:w="20" w:type="dxa"/>
            </w:tcMar>
            <w:hideMark/>
          </w:tcPr>
          <w:p w:rsidR="00000000" w:rsidRDefault="00DA1786">
            <w:pPr>
              <w:divId w:val="548150521"/>
              <w:rPr>
                <w:rFonts w:eastAsia="Times New Roman"/>
              </w:rPr>
            </w:pPr>
            <w:hyperlink w:anchor="i1e5d551bc54544d38669f82744b9ba4b_184" w:history="1">
              <w:r>
                <w:rPr>
                  <w:rStyle w:val="a3"/>
                  <w:rFonts w:eastAsia="Times New Roman"/>
                  <w:color w:val="0E32E1"/>
                  <w:sz w:val="20"/>
                  <w:szCs w:val="20"/>
                </w:rPr>
                <w:t>Exhibits and Financial Statement Schedules</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84" w:history="1">
              <w:r>
                <w:rPr>
                  <w:rStyle w:val="a3"/>
                  <w:rFonts w:eastAsia="Times New Roman"/>
                  <w:color w:val="0E32E1"/>
                  <w:sz w:val="20"/>
                  <w:szCs w:val="20"/>
                </w:rPr>
                <w:t>76</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280379548"/>
              <w:rPr>
                <w:rFonts w:eastAsia="Times New Roman"/>
              </w:rPr>
            </w:pPr>
            <w:hyperlink w:anchor="i1e5d551bc54544d38669f82744b9ba4b_187" w:history="1">
              <w:r>
                <w:rPr>
                  <w:rStyle w:val="a3"/>
                  <w:rFonts w:eastAsia="Times New Roman"/>
                  <w:color w:val="0E32E1"/>
                  <w:sz w:val="20"/>
                  <w:szCs w:val="20"/>
                </w:rPr>
                <w:t>Item 16</w:t>
              </w:r>
            </w:hyperlink>
          </w:p>
        </w:tc>
        <w:tc>
          <w:tcPr>
            <w:tcW w:w="0" w:type="auto"/>
            <w:gridSpan w:val="3"/>
            <w:tcMar>
              <w:top w:w="30" w:type="dxa"/>
              <w:left w:w="20" w:type="dxa"/>
              <w:bottom w:w="30" w:type="dxa"/>
              <w:right w:w="20" w:type="dxa"/>
            </w:tcMar>
            <w:hideMark/>
          </w:tcPr>
          <w:p w:rsidR="00000000" w:rsidRDefault="00DA1786">
            <w:pPr>
              <w:divId w:val="1098450165"/>
              <w:rPr>
                <w:rFonts w:eastAsia="Times New Roman"/>
              </w:rPr>
            </w:pPr>
            <w:hyperlink w:anchor="i1e5d551bc54544d38669f82744b9ba4b_187" w:history="1">
              <w:r>
                <w:rPr>
                  <w:rStyle w:val="a3"/>
                  <w:rFonts w:eastAsia="Times New Roman"/>
                  <w:color w:val="0E32E1"/>
                  <w:sz w:val="20"/>
                  <w:szCs w:val="20"/>
                </w:rPr>
                <w:t>Form 10-K Summary</w:t>
              </w:r>
            </w:hyperlink>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87" w:history="1">
              <w:r>
                <w:rPr>
                  <w:rStyle w:val="a3"/>
                  <w:rFonts w:eastAsia="Times New Roman"/>
                  <w:color w:val="0E32E1"/>
                  <w:sz w:val="20"/>
                  <w:szCs w:val="20"/>
                </w:rPr>
                <w:t>79</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r w:rsidR="00000000">
        <w:trPr>
          <w:divId w:val="1582372992"/>
        </w:trPr>
        <w:tc>
          <w:tcPr>
            <w:tcW w:w="0" w:type="auto"/>
            <w:gridSpan w:val="3"/>
            <w:tcMar>
              <w:top w:w="30" w:type="dxa"/>
              <w:left w:w="20" w:type="dxa"/>
              <w:bottom w:w="30" w:type="dxa"/>
              <w:right w:w="20" w:type="dxa"/>
            </w:tcMar>
            <w:hideMark/>
          </w:tcPr>
          <w:p w:rsidR="00000000" w:rsidRDefault="00DA1786">
            <w:pPr>
              <w:divId w:val="1024329304"/>
              <w:rPr>
                <w:rFonts w:eastAsia="Times New Roman"/>
              </w:rPr>
            </w:pPr>
            <w:hyperlink w:anchor="i1e5d551bc54544d38669f82744b9ba4b_190" w:history="1">
              <w:r>
                <w:rPr>
                  <w:rStyle w:val="a3"/>
                  <w:rFonts w:eastAsia="Times New Roman"/>
                  <w:color w:val="0E32E1"/>
                  <w:sz w:val="20"/>
                  <w:szCs w:val="20"/>
                </w:rPr>
                <w:t>Signatures</w:t>
              </w:r>
            </w:hyperlink>
          </w:p>
        </w:tc>
        <w:tc>
          <w:tcPr>
            <w:tcW w:w="0" w:type="auto"/>
            <w:gridSpan w:val="3"/>
            <w:tcMar>
              <w:top w:w="0" w:type="dxa"/>
              <w:left w:w="20" w:type="dxa"/>
              <w:bottom w:w="0" w:type="dxa"/>
              <w:right w:w="20" w:type="dxa"/>
            </w:tcMar>
            <w:vAlign w:val="center"/>
            <w:hideMark/>
          </w:tcPr>
          <w:p w:rsidR="00000000" w:rsidRDefault="00DA1786">
            <w:pPr>
              <w:rPr>
                <w:rFonts w:eastAsia="Times New Roman"/>
              </w:rPr>
            </w:pPr>
          </w:p>
        </w:tc>
        <w:tc>
          <w:tcPr>
            <w:tcW w:w="0" w:type="auto"/>
            <w:gridSpan w:val="3"/>
            <w:tcMar>
              <w:top w:w="30" w:type="dxa"/>
              <w:left w:w="20" w:type="dxa"/>
              <w:bottom w:w="30" w:type="dxa"/>
              <w:right w:w="20" w:type="dxa"/>
            </w:tcMar>
            <w:hideMark/>
          </w:tcPr>
          <w:p w:rsidR="00000000" w:rsidRDefault="00DA1786">
            <w:pPr>
              <w:jc w:val="right"/>
              <w:rPr>
                <w:rFonts w:eastAsia="Times New Roman"/>
              </w:rPr>
            </w:pPr>
            <w:hyperlink w:anchor="i1e5d551bc54544d38669f82744b9ba4b_190" w:history="1">
              <w:r>
                <w:rPr>
                  <w:rStyle w:val="a3"/>
                  <w:rFonts w:eastAsia="Times New Roman"/>
                  <w:color w:val="0E32E1"/>
                  <w:sz w:val="20"/>
                  <w:szCs w:val="20"/>
                </w:rPr>
                <w:t>80</w:t>
              </w:r>
            </w:hyperlink>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r>
    </w:tbl>
    <w:p w:rsidR="00000000" w:rsidRDefault="00DA1786">
      <w:pPr>
        <w:divId w:val="1874339497"/>
        <w:rPr>
          <w:rFonts w:eastAsia="Times New Roman"/>
        </w:rPr>
      </w:pPr>
    </w:p>
    <w:p w:rsidR="00000000" w:rsidRDefault="00DA1786">
      <w:pPr>
        <w:ind w:firstLine="720"/>
        <w:jc w:val="center"/>
        <w:divId w:val="745341242"/>
        <w:rPr>
          <w:rFonts w:eastAsia="Times New Roman"/>
        </w:rPr>
      </w:pPr>
      <w:r>
        <w:rPr>
          <w:rFonts w:eastAsia="Times New Roman"/>
          <w:color w:val="000000"/>
          <w:sz w:val="20"/>
          <w:szCs w:val="20"/>
        </w:rPr>
        <w:t>3</w:t>
      </w:r>
    </w:p>
    <w:p w:rsidR="00000000" w:rsidRDefault="00DA1786">
      <w:pPr>
        <w:rPr>
          <w:rFonts w:eastAsia="Times New Roman"/>
        </w:rPr>
      </w:pPr>
      <w:r>
        <w:rPr>
          <w:rFonts w:eastAsia="Times New Roman"/>
        </w:rPr>
        <w:pict>
          <v:rect id="_x0000_i1028" style="width:0;height:1.5pt" o:hralign="center" o:hrstd="t" o:hr="t" fillcolor="#a0a0a0" stroked="f"/>
        </w:pict>
      </w:r>
    </w:p>
    <w:p w:rsidR="00000000" w:rsidRDefault="00DA1786">
      <w:pPr>
        <w:divId w:val="1890722299"/>
        <w:rPr>
          <w:rFonts w:eastAsia="Times New Roman"/>
        </w:rPr>
      </w:pPr>
    </w:p>
    <w:p w:rsidR="00000000" w:rsidRDefault="00DA1786">
      <w:pPr>
        <w:jc w:val="center"/>
        <w:divId w:val="1026714190"/>
        <w:rPr>
          <w:rFonts w:eastAsia="Times New Roman"/>
        </w:rPr>
      </w:pPr>
      <w:r>
        <w:rPr>
          <w:rFonts w:eastAsia="Times New Roman"/>
          <w:b/>
          <w:bCs/>
          <w:color w:val="000000"/>
          <w:sz w:val="20"/>
          <w:szCs w:val="20"/>
        </w:rPr>
        <w:t>PART I</w:t>
      </w:r>
    </w:p>
    <w:p w:rsidR="00000000" w:rsidRDefault="00DA1786">
      <w:pPr>
        <w:divId w:val="1598949767"/>
        <w:rPr>
          <w:rFonts w:eastAsia="Times New Roman"/>
        </w:rPr>
      </w:pPr>
      <w:r>
        <w:rPr>
          <w:rFonts w:eastAsia="Times New Roman"/>
          <w:b/>
          <w:bCs/>
          <w:color w:val="000000"/>
          <w:sz w:val="20"/>
          <w:szCs w:val="20"/>
        </w:rPr>
        <w:t>ITEM 1. BUSINESS</w:t>
      </w:r>
    </w:p>
    <w:p w:rsidR="00000000" w:rsidRDefault="00DA1786">
      <w:pPr>
        <w:divId w:val="172451730"/>
        <w:rPr>
          <w:rFonts w:eastAsia="Times New Roman"/>
        </w:rPr>
      </w:pPr>
      <w:r>
        <w:rPr>
          <w:rFonts w:eastAsia="Times New Roman"/>
          <w:b/>
          <w:bCs/>
          <w:color w:val="000000"/>
          <w:sz w:val="20"/>
          <w:szCs w:val="20"/>
        </w:rPr>
        <w:t>Overview</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are a biopharmaceutical company that was previously primarily focused on developing novel treatments for endocrine diseases where current therapies do not exist or are insufficient. The endocrine system is a collection of glands that secrete hormones in</w:t>
      </w:r>
      <w:r>
        <w:rPr>
          <w:rFonts w:eastAsia="Times New Roman"/>
          <w:color w:val="000000"/>
          <w:sz w:val="20"/>
          <w:szCs w:val="20"/>
        </w:rPr>
        <w:t>to the blood stream to regulate a number of functions, including appetite, metabolism, growth, development and reproduction. Diseases of the endocrine system can cause multiple and varied symptoms, including appetite dysregulation, metabolic dysfunction, o</w:t>
      </w:r>
      <w:r>
        <w:rPr>
          <w:rFonts w:eastAsia="Times New Roman"/>
          <w:color w:val="000000"/>
          <w:sz w:val="20"/>
          <w:szCs w:val="20"/>
        </w:rPr>
        <w:t>besity, cardiovascular disease, menstrual irregularity, hirsutism, and infertility. In April 2020, our Board of Directors (“Board”) decided to discontinue the development of livoletide, an unacylated ghrelin analogue, as a potential treatment for Prader-Wi</w:t>
      </w:r>
      <w:r>
        <w:rPr>
          <w:rFonts w:eastAsia="Times New Roman"/>
          <w:color w:val="000000"/>
          <w:sz w:val="20"/>
          <w:szCs w:val="20"/>
        </w:rPr>
        <w:t>lli syndrome (“PWS”) based upon results from its Phase 2b trial. In addition, in June 2020, our Board decided to cease investing in the development of nevanimibe as a potential treatment for classic congenital adrenal hyperplasia, (“CAH”) based on an inter</w:t>
      </w:r>
      <w:r>
        <w:rPr>
          <w:rFonts w:eastAsia="Times New Roman"/>
          <w:color w:val="000000"/>
          <w:sz w:val="20"/>
          <w:szCs w:val="20"/>
        </w:rPr>
        <w:t>im review of data from its Phase 2b trial. Finally, in January 2021, our Board also decided to discontinue our investment in MLE-301, a neurokinin 3 receptor (“NK3R”) antagonist we were developing for the treatment of menopausal vasomotor symptoms (“VMS”),</w:t>
      </w:r>
      <w:r>
        <w:rPr>
          <w:rFonts w:eastAsia="Times New Roman"/>
          <w:color w:val="000000"/>
          <w:sz w:val="20"/>
          <w:szCs w:val="20"/>
        </w:rPr>
        <w:t xml:space="preserve"> based on an analysis of the pharmacokinetic and pharmacodynamic data from the ongoing single ascending dose portion of the Phase 1 study conducted in healthy male volunteers. Given our limited expected financing options, we began exploring an expanded ran</w:t>
      </w:r>
      <w:r>
        <w:rPr>
          <w:rFonts w:eastAsia="Times New Roman"/>
          <w:color w:val="000000"/>
          <w:sz w:val="20"/>
          <w:szCs w:val="20"/>
        </w:rPr>
        <w:t xml:space="preserve">ge of strategic alternatives that included, but was not limited to, the potential sale or merger of the Company or our assets.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 xml:space="preserve">In an effort to streamline costs after discontinuing the PWS program, we </w:t>
      </w:r>
      <w:r>
        <w:rPr>
          <w:rFonts w:eastAsia="Times New Roman"/>
          <w:color w:val="000000"/>
          <w:sz w:val="20"/>
          <w:szCs w:val="20"/>
          <w:shd w:val="clear" w:color="auto" w:fill="FFFFFF"/>
        </w:rPr>
        <w:t>eliminated employee positions representing approximat</w:t>
      </w:r>
      <w:r>
        <w:rPr>
          <w:rFonts w:eastAsia="Times New Roman"/>
          <w:color w:val="000000"/>
          <w:sz w:val="20"/>
          <w:szCs w:val="20"/>
          <w:shd w:val="clear" w:color="auto" w:fill="FFFFFF"/>
        </w:rPr>
        <w:t>ely 30% of our prior headcount,</w:t>
      </w:r>
      <w:r>
        <w:rPr>
          <w:rFonts w:eastAsia="Times New Roman"/>
          <w:color w:val="000000"/>
          <w:sz w:val="20"/>
          <w:szCs w:val="20"/>
        </w:rPr>
        <w:t xml:space="preserve"> which was completed in the second quarter of 2020. We also began evaluating corporate strategic plans to prioritize and allocate resources to our remaining product candidates at the time and any future pipeline assets.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w:t>
      </w:r>
      <w:r>
        <w:rPr>
          <w:rFonts w:eastAsia="Times New Roman"/>
          <w:color w:val="000000"/>
          <w:sz w:val="20"/>
          <w:szCs w:val="20"/>
        </w:rPr>
        <w:t xml:space="preserve"> January 2021, as a result of our decision to discontinue our investment in MLE-301, our Board also approved a corporate restructuring plan (the “Plan”) furthering our ongoing efforts to align our resources with our current strategy and operations. In conn</w:t>
      </w:r>
      <w:r>
        <w:rPr>
          <w:rFonts w:eastAsia="Times New Roman"/>
          <w:color w:val="000000"/>
          <w:sz w:val="20"/>
          <w:szCs w:val="20"/>
        </w:rPr>
        <w:t>ection with the Plan, the Board determined to reduce our workforce by up to 85%, with the majority of the reduction in personnel expected to be completed by April 15, 2021. We initiated this reduction in force in January 2021 and expect to provide severanc</w:t>
      </w:r>
      <w:r>
        <w:rPr>
          <w:rFonts w:eastAsia="Times New Roman"/>
          <w:color w:val="000000"/>
          <w:sz w:val="20"/>
          <w:szCs w:val="20"/>
        </w:rPr>
        <w:t>e payments and continuation of group health insurance coverage for a specified period to the affected employees. We have also entered into retention arrangements with employees who are expected to remain with the Company. We estimate that we will incur cos</w:t>
      </w:r>
      <w:r>
        <w:rPr>
          <w:rFonts w:eastAsia="Times New Roman"/>
          <w:color w:val="000000"/>
          <w:sz w:val="20"/>
          <w:szCs w:val="20"/>
        </w:rPr>
        <w:t>ts of approximately $5.5 million for termination benefits and retention arrangements related to the Plan, substantially all of which will be cash expenditures.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2020, we undertook a strategic review process, which was intended to result in an actionabl</w:t>
      </w:r>
      <w:r>
        <w:rPr>
          <w:rFonts w:eastAsia="Times New Roman"/>
          <w:color w:val="000000"/>
          <w:sz w:val="20"/>
          <w:szCs w:val="20"/>
        </w:rPr>
        <w:t>e plan that leverages our assets, capital and capabilities to maximize stockholder value. Following an extensive process of evaluating strategic alternatives and identifying and reviewing potential candidates for a strategic acquisition or other transactio</w:t>
      </w:r>
      <w:r>
        <w:rPr>
          <w:rFonts w:eastAsia="Times New Roman"/>
          <w:color w:val="000000"/>
          <w:sz w:val="20"/>
          <w:szCs w:val="20"/>
        </w:rPr>
        <w:t xml:space="preserve">n, on March 29, 2021, we entered into a merger agreement with Tempest Therapeutics, Inc. (“Tempest”), under which the privately held Tempest will merge with a </w:t>
      </w:r>
      <w:r>
        <w:rPr>
          <w:rFonts w:eastAsia="Times New Roman"/>
          <w:color w:val="000000"/>
          <w:sz w:val="20"/>
          <w:szCs w:val="20"/>
        </w:rPr>
        <w:lastRenderedPageBreak/>
        <w:t>wholly owned subsidiary of Millendo (the “Merger”). If the Merger is completed, the business of T</w:t>
      </w:r>
      <w:r>
        <w:rPr>
          <w:rFonts w:eastAsia="Times New Roman"/>
          <w:color w:val="000000"/>
          <w:sz w:val="20"/>
          <w:szCs w:val="20"/>
        </w:rPr>
        <w:t>empest will continue as the business of the combined organization.</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expect to devote significant time and resources to completion of this Merger. However, there can be no assurance that such activities will result in the completion of the Merger. Further, the completion of the Merger may ultimately not deliver the antic</w:t>
      </w:r>
      <w:r>
        <w:rPr>
          <w:rFonts w:eastAsia="Times New Roman"/>
          <w:color w:val="000000"/>
          <w:sz w:val="20"/>
          <w:szCs w:val="20"/>
        </w:rPr>
        <w:t>ipated benefits or enhance shareholder value.</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If the Merger is not completed, we will reconsider our strategic alternatives. In this case, we consider one of the following courses of action to be the most likely alternatives:</w:t>
      </w:r>
    </w:p>
    <w:p w:rsidR="00000000" w:rsidRDefault="00DA1786">
      <w:pPr>
        <w:jc w:val="both"/>
        <w:rPr>
          <w:rFonts w:eastAsia="Times New Roman"/>
        </w:rPr>
      </w:pPr>
    </w:p>
    <w:p w:rsidR="00000000" w:rsidRDefault="00DA1786">
      <w:pPr>
        <w:ind w:hanging="360"/>
        <w:jc w:val="both"/>
        <w:rPr>
          <w:rFonts w:eastAsia="Times New Roman"/>
        </w:rPr>
      </w:pPr>
      <w:r>
        <w:rPr>
          <w:rFonts w:eastAsia="Times New Roman"/>
          <w:color w:val="000000"/>
          <w:sz w:val="20"/>
          <w:szCs w:val="20"/>
        </w:rPr>
        <w:t>•</w:t>
      </w:r>
      <w:r>
        <w:rPr>
          <w:rFonts w:eastAsia="Times New Roman"/>
          <w:i/>
          <w:iCs/>
          <w:color w:val="000000"/>
          <w:sz w:val="20"/>
          <w:szCs w:val="20"/>
        </w:rPr>
        <w:t>Dissolve and liquidate ou</w:t>
      </w:r>
      <w:r>
        <w:rPr>
          <w:rFonts w:eastAsia="Times New Roman"/>
          <w:i/>
          <w:iCs/>
          <w:color w:val="000000"/>
          <w:sz w:val="20"/>
          <w:szCs w:val="20"/>
        </w:rPr>
        <w:t>r assets.</w:t>
      </w:r>
      <w:r>
        <w:rPr>
          <w:rFonts w:eastAsia="Times New Roman"/>
          <w:color w:val="000000"/>
          <w:sz w:val="20"/>
          <w:szCs w:val="20"/>
        </w:rPr>
        <w:t xml:space="preserve"> If, for any reason, the Merger does not close, our Board may conclude that it is in the best interest of stockholders to dissolve the Company and liquidate our assets, which may include seeking protection from creditors in a bankruptcy proceeding</w:t>
      </w:r>
      <w:r>
        <w:rPr>
          <w:rFonts w:eastAsia="Times New Roman"/>
          <w:color w:val="000000"/>
          <w:sz w:val="20"/>
          <w:szCs w:val="20"/>
        </w:rPr>
        <w:t>. In that event, we would be required to pay all of our debts and contractual obligations, and to set aside certain reserves for potential future claims. There would be no assurances as to the amount or timing of available cash remaining to distribute to s</w:t>
      </w:r>
      <w:r>
        <w:rPr>
          <w:rFonts w:eastAsia="Times New Roman"/>
          <w:color w:val="000000"/>
          <w:sz w:val="20"/>
          <w:szCs w:val="20"/>
        </w:rPr>
        <w:t>tockholders after paying our obligations and setting aside funds for reserves.</w:t>
      </w:r>
    </w:p>
    <w:p w:rsidR="00000000" w:rsidRDefault="00DA1786">
      <w:pPr>
        <w:jc w:val="both"/>
        <w:rPr>
          <w:rFonts w:eastAsia="Times New Roman"/>
        </w:rPr>
      </w:pPr>
    </w:p>
    <w:p w:rsidR="00000000" w:rsidRDefault="00DA1786">
      <w:pPr>
        <w:ind w:hanging="360"/>
        <w:jc w:val="both"/>
        <w:rPr>
          <w:rFonts w:eastAsia="Times New Roman"/>
        </w:rPr>
      </w:pPr>
      <w:r>
        <w:rPr>
          <w:rFonts w:eastAsia="Times New Roman"/>
          <w:color w:val="000000"/>
          <w:sz w:val="20"/>
          <w:szCs w:val="20"/>
        </w:rPr>
        <w:t>•</w:t>
      </w:r>
      <w:r>
        <w:rPr>
          <w:rFonts w:eastAsia="Times New Roman"/>
          <w:i/>
          <w:iCs/>
          <w:color w:val="000000"/>
          <w:sz w:val="20"/>
          <w:szCs w:val="20"/>
        </w:rPr>
        <w:t>Pursue another strategic transaction.</w:t>
      </w:r>
      <w:r>
        <w:rPr>
          <w:rFonts w:eastAsia="Times New Roman"/>
          <w:color w:val="000000"/>
          <w:sz w:val="20"/>
          <w:szCs w:val="20"/>
        </w:rPr>
        <w:t xml:space="preserve"> We may resume the process of evaluating a potential strategic transaction in order to attempt another strategic transaction like the Mer</w:t>
      </w:r>
      <w:r>
        <w:rPr>
          <w:rFonts w:eastAsia="Times New Roman"/>
          <w:color w:val="000000"/>
          <w:sz w:val="20"/>
          <w:szCs w:val="20"/>
        </w:rPr>
        <w:t>ger.</w:t>
      </w:r>
    </w:p>
    <w:p w:rsidR="00000000" w:rsidRDefault="00DA1786">
      <w:pPr>
        <w:jc w:val="both"/>
        <w:rPr>
          <w:rFonts w:eastAsia="Times New Roman"/>
        </w:rPr>
      </w:pPr>
    </w:p>
    <w:p w:rsidR="00000000" w:rsidRDefault="00DA1786">
      <w:pPr>
        <w:ind w:firstLine="720"/>
        <w:jc w:val="center"/>
        <w:divId w:val="1871140583"/>
        <w:rPr>
          <w:rFonts w:eastAsia="Times New Roman"/>
        </w:rPr>
      </w:pPr>
      <w:r>
        <w:rPr>
          <w:rFonts w:eastAsia="Times New Roman"/>
          <w:color w:val="000000"/>
          <w:sz w:val="20"/>
          <w:szCs w:val="20"/>
        </w:rPr>
        <w:t>4</w:t>
      </w:r>
    </w:p>
    <w:p w:rsidR="00000000" w:rsidRDefault="00DA1786">
      <w:pPr>
        <w:rPr>
          <w:rFonts w:eastAsia="Times New Roman"/>
        </w:rPr>
      </w:pPr>
      <w:r>
        <w:rPr>
          <w:rFonts w:eastAsia="Times New Roman"/>
        </w:rPr>
        <w:pict>
          <v:rect id="_x0000_i1029" style="width:0;height:1.5pt" o:hralign="center" o:hrstd="t" o:hr="t" fillcolor="#a0a0a0" stroked="f"/>
        </w:pict>
      </w:r>
    </w:p>
    <w:p w:rsidR="00000000" w:rsidRDefault="00DA1786">
      <w:pPr>
        <w:divId w:val="2048681855"/>
        <w:rPr>
          <w:rFonts w:eastAsia="Times New Roman"/>
        </w:rPr>
      </w:pPr>
    </w:p>
    <w:p w:rsidR="00000000" w:rsidRDefault="00DA1786">
      <w:pPr>
        <w:ind w:hanging="360"/>
        <w:jc w:val="both"/>
        <w:rPr>
          <w:rFonts w:eastAsia="Times New Roman"/>
        </w:rPr>
      </w:pPr>
      <w:r>
        <w:rPr>
          <w:rFonts w:eastAsia="Times New Roman"/>
          <w:color w:val="000000"/>
          <w:sz w:val="20"/>
          <w:szCs w:val="20"/>
        </w:rPr>
        <w:t>•</w:t>
      </w:r>
      <w:r>
        <w:rPr>
          <w:rFonts w:eastAsia="Times New Roman"/>
          <w:i/>
          <w:iCs/>
          <w:color w:val="000000"/>
          <w:sz w:val="20"/>
          <w:szCs w:val="20"/>
        </w:rPr>
        <w:t>Operate our business.</w:t>
      </w:r>
      <w:r>
        <w:rPr>
          <w:rFonts w:eastAsia="Times New Roman"/>
          <w:color w:val="000000"/>
        </w:rPr>
        <w:t xml:space="preserve"> </w:t>
      </w:r>
      <w:r>
        <w:rPr>
          <w:rFonts w:eastAsia="Times New Roman"/>
          <w:color w:val="000000"/>
          <w:sz w:val="20"/>
          <w:szCs w:val="20"/>
        </w:rPr>
        <w:t>Although less likely than the alternatives above, our Board may elect to seek new product candidates for development.</w:t>
      </w:r>
    </w:p>
    <w:p w:rsidR="00000000" w:rsidRDefault="00DA1786">
      <w:pPr>
        <w:jc w:val="both"/>
        <w:rPr>
          <w:rFonts w:eastAsia="Times New Roman"/>
        </w:rPr>
      </w:pPr>
    </w:p>
    <w:p w:rsidR="00000000" w:rsidRDefault="00DA1786">
      <w:pPr>
        <w:jc w:val="both"/>
        <w:rPr>
          <w:rFonts w:eastAsia="Times New Roman"/>
        </w:rPr>
      </w:pPr>
      <w:r>
        <w:rPr>
          <w:rFonts w:eastAsia="Times New Roman"/>
          <w:b/>
          <w:bCs/>
          <w:color w:val="000000"/>
          <w:sz w:val="20"/>
          <w:szCs w:val="20"/>
        </w:rPr>
        <w:t>Historical Business and Programs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2020, we advanced three pro</w:t>
      </w:r>
      <w:r>
        <w:rPr>
          <w:rFonts w:eastAsia="Times New Roman"/>
          <w:color w:val="000000"/>
          <w:sz w:val="20"/>
          <w:szCs w:val="20"/>
        </w:rPr>
        <w:t>duct candidates. Livoletide (AZP-531), was a potential treatment for PWS, a rare and complex genetic endocrine disease usually characterized by hyperphagia, or insatiable hunger, that contributes to serious complications, a significant burden on patients a</w:t>
      </w:r>
      <w:r>
        <w:rPr>
          <w:rFonts w:eastAsia="Times New Roman"/>
          <w:color w:val="000000"/>
          <w:sz w:val="20"/>
          <w:szCs w:val="20"/>
        </w:rPr>
        <w:t>nd caregivers, and early mortality. In a randomized, double-blind, placebo-controlled Phase 2a clinical trial in 47 patients with PWS, we observed that administration of livoletide once daily was associated with a clinically meaningful improvement in hyper</w:t>
      </w:r>
      <w:r>
        <w:rPr>
          <w:rFonts w:eastAsia="Times New Roman"/>
          <w:color w:val="000000"/>
          <w:sz w:val="20"/>
          <w:szCs w:val="20"/>
        </w:rPr>
        <w:t>phagia, as well as a reduction in appetite. In a pre-specified analysis of 38 home-resident patients with PWS from the Phase 2a trial, we observed a larger and statistically significant decrease in hyperphagia following administratio</w:t>
      </w:r>
      <w:r>
        <w:rPr>
          <w:rFonts w:eastAsia="Times New Roman"/>
          <w:color w:val="000000"/>
          <w:sz w:val="20"/>
          <w:szCs w:val="20"/>
          <w:shd w:val="clear" w:color="auto" w:fill="FFFFFF"/>
        </w:rPr>
        <w:t>n of livoletide as comp</w:t>
      </w:r>
      <w:r>
        <w:rPr>
          <w:rFonts w:eastAsia="Times New Roman"/>
          <w:color w:val="000000"/>
          <w:sz w:val="20"/>
          <w:szCs w:val="20"/>
          <w:shd w:val="clear" w:color="auto" w:fill="FFFFFF"/>
        </w:rPr>
        <w:t xml:space="preserve">ared to placebo. In March 2019, we initiated a Phase 2b/3 clinical trial of livoletide in </w:t>
      </w:r>
      <w:r>
        <w:rPr>
          <w:rFonts w:eastAsia="Times New Roman"/>
          <w:color w:val="000000"/>
          <w:sz w:val="20"/>
          <w:szCs w:val="20"/>
        </w:rPr>
        <w:t>patients with PWS</w:t>
      </w:r>
      <w:r>
        <w:rPr>
          <w:rFonts w:eastAsia="Times New Roman"/>
          <w:color w:val="000000"/>
          <w:sz w:val="20"/>
          <w:szCs w:val="20"/>
          <w:shd w:val="clear" w:color="auto" w:fill="FFFFFF"/>
        </w:rPr>
        <w:t xml:space="preserve">. </w:t>
      </w:r>
      <w:r>
        <w:rPr>
          <w:rFonts w:eastAsia="Times New Roman"/>
          <w:color w:val="000000"/>
          <w:sz w:val="20"/>
          <w:szCs w:val="20"/>
        </w:rPr>
        <w:t>In April 2020, we discontinued the PWS program based on topline data from the Phase 2b ZEPHYR study which showed that treatment with livoletide did</w:t>
      </w:r>
      <w:r>
        <w:rPr>
          <w:rFonts w:eastAsia="Times New Roman"/>
          <w:color w:val="000000"/>
          <w:sz w:val="20"/>
          <w:szCs w:val="20"/>
        </w:rPr>
        <w:t xml:space="preserve"> not result in a statistically significant improvement in hyperphagia and food-related behaviors as measured by the Hyperphagia Questionnaire for Clinical Trials (HQ-CT) compared to placebo.</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were developing nevanimibe (ATR-101) as a potential treatmen</w:t>
      </w:r>
      <w:r>
        <w:rPr>
          <w:rFonts w:eastAsia="Times New Roman"/>
          <w:color w:val="000000"/>
          <w:sz w:val="20"/>
          <w:szCs w:val="20"/>
        </w:rPr>
        <w:t>t for patients with CAH, a rare, monogenic adrenal disease that requires lifelong treatment with exogenous cortisol, often at high doses. These chronic high doses of cortisol can result in side effects that include diabetes, obesity, hypertension and psych</w:t>
      </w:r>
      <w:r>
        <w:rPr>
          <w:rFonts w:eastAsia="Times New Roman"/>
          <w:color w:val="000000"/>
          <w:sz w:val="20"/>
          <w:szCs w:val="20"/>
        </w:rPr>
        <w:t>ological problems. When on suboptimal doses of cortisol, female patients with CAH can experience hirsutism, infertility and menstrual irregularity, and male patients with CAH can experience testicular atrophy, infertility and testicular tumors. It is often</w:t>
      </w:r>
      <w:r>
        <w:rPr>
          <w:rFonts w:eastAsia="Times New Roman"/>
          <w:color w:val="000000"/>
          <w:sz w:val="20"/>
          <w:szCs w:val="20"/>
        </w:rPr>
        <w:t xml:space="preserve"> difficult for physicians to appropriately treat CAH without causing adverse consequences. We reported results from our Phase 2a clinical trial of nevanimibe in patients with CAH in March 2018 and initiated a Phase 2b trial in the third quarter of 2018. In</w:t>
      </w:r>
      <w:r>
        <w:rPr>
          <w:rFonts w:eastAsia="Times New Roman"/>
          <w:color w:val="000000"/>
          <w:sz w:val="20"/>
          <w:szCs w:val="20"/>
        </w:rPr>
        <w:t xml:space="preserve"> June 2020, we elected to cease investing in the development of nevanimibe as a potential treatment for CAH. The decision to cease investment in the CAH program was based on the interim review of results from the Phase 2b clinical study and the changing co</w:t>
      </w:r>
      <w:r>
        <w:rPr>
          <w:rFonts w:eastAsia="Times New Roman"/>
          <w:color w:val="000000"/>
          <w:sz w:val="20"/>
          <w:szCs w:val="20"/>
        </w:rPr>
        <w:t>mpetitive environment. Results from 10 subjects, nine from cohort 1 and one from cohort 2, with at least 12 weeks of treatment with nevanimibe in this open-label, continuous dose escalation study showed that one patient (10%) met the primary endpoint of ac</w:t>
      </w:r>
      <w:r>
        <w:rPr>
          <w:rFonts w:eastAsia="Times New Roman"/>
          <w:color w:val="000000"/>
          <w:sz w:val="20"/>
          <w:szCs w:val="20"/>
        </w:rPr>
        <w:t>hieving 17-hydroxyprogesterone (17-OHP) levels less than or equal to 2-times the upper limit of normal. Treatment under the amended protocol with dose titration starting at 500 mg BID improved tolerability of nevanimibe. We are no longer developing nevanim</w:t>
      </w:r>
      <w:r>
        <w:rPr>
          <w:rFonts w:eastAsia="Times New Roman"/>
          <w:color w:val="000000"/>
          <w:sz w:val="20"/>
          <w:szCs w:val="20"/>
        </w:rPr>
        <w:t>ibe for the treatment of CAH.</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were also developing a NK3R antagonist (MLE-301) as a potential treatment of vasomotor symptoms (“VMS”), commonly known as hot flashes and night sweats, in menopausal women. The sensations of heat and/or perspiration asso</w:t>
      </w:r>
      <w:r>
        <w:rPr>
          <w:rFonts w:eastAsia="Times New Roman"/>
          <w:color w:val="000000"/>
          <w:sz w:val="20"/>
          <w:szCs w:val="20"/>
        </w:rPr>
        <w:t>ciated with VMS can occur frequently, generally lasting several minutes, and are often preceded or followed by sensations of cold and/or shivering. VMS interfere with the lives of affected women in a number of ways, including disrupting patients' ability t</w:t>
      </w:r>
      <w:r>
        <w:rPr>
          <w:rFonts w:eastAsia="Times New Roman"/>
          <w:color w:val="000000"/>
          <w:sz w:val="20"/>
          <w:szCs w:val="20"/>
        </w:rPr>
        <w:t xml:space="preserve">o sleep and concentrate and causing anxiety and depression. VMS is experienced by up to 70% of women as they advance through menopause. We believe that over 20 million women in the United States experience VMS at any given time and that these patients are </w:t>
      </w:r>
      <w:r>
        <w:rPr>
          <w:rFonts w:eastAsia="Times New Roman"/>
          <w:color w:val="000000"/>
          <w:sz w:val="20"/>
          <w:szCs w:val="20"/>
        </w:rPr>
        <w:t xml:space="preserve">motivated to seek medical treatment for relief. In September 2020, we initiated our Phase 1 clinical trial of MLE-301. The Phase 1 clinical trial was supported by preclinical studies in which we observed potency and selectivity for the NK3R, the potential </w:t>
      </w:r>
      <w:r>
        <w:rPr>
          <w:rFonts w:eastAsia="Times New Roman"/>
          <w:color w:val="000000"/>
          <w:sz w:val="20"/>
          <w:szCs w:val="20"/>
        </w:rPr>
        <w:t>for once-daily dosing, and testosterone lowering consistent with the expected activity of an NK3R antagonist. In January 2021, we discontinued further investment in the development of MLE-301 for the treatment of VMS based on an analysis of the pharmacokin</w:t>
      </w:r>
      <w:r>
        <w:rPr>
          <w:rFonts w:eastAsia="Times New Roman"/>
          <w:color w:val="000000"/>
          <w:sz w:val="20"/>
          <w:szCs w:val="20"/>
        </w:rPr>
        <w:t>etic and pharmacodynamic data from the single ascending dose portion of the Phase 1 study and the competitive NK3R antagonist market.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had also been investigating nevanimibe (ATR-101) as a potential treatment for patients with endogenous Cushing’s synd</w:t>
      </w:r>
      <w:r>
        <w:rPr>
          <w:rFonts w:eastAsia="Times New Roman"/>
          <w:color w:val="000000"/>
          <w:sz w:val="20"/>
          <w:szCs w:val="20"/>
        </w:rPr>
        <w:t xml:space="preserve">rome (“CS”), a rare endocrine disease characterized by excessive cortisol production from the adrenal glands. As a result of slower than anticipated enrollment in our CS Phase 2 clinical trial, we elected to discontinue the trial in August 2019 and are no </w:t>
      </w:r>
      <w:r>
        <w:rPr>
          <w:rFonts w:eastAsia="Times New Roman"/>
          <w:color w:val="000000"/>
          <w:sz w:val="20"/>
          <w:szCs w:val="20"/>
        </w:rPr>
        <w:t>longer developing nevanimibe for the treatment of CS.</w:t>
      </w:r>
    </w:p>
    <w:p w:rsidR="00000000" w:rsidRDefault="00DA1786">
      <w:pPr>
        <w:divId w:val="706369078"/>
        <w:rPr>
          <w:rFonts w:eastAsia="Times New Roman"/>
        </w:rPr>
      </w:pPr>
    </w:p>
    <w:p w:rsidR="00000000" w:rsidRDefault="00DA1786">
      <w:pPr>
        <w:divId w:val="119811283"/>
        <w:rPr>
          <w:rFonts w:eastAsia="Times New Roman"/>
        </w:rPr>
      </w:pPr>
      <w:r>
        <w:rPr>
          <w:rFonts w:eastAsia="Times New Roman"/>
          <w:b/>
          <w:bCs/>
          <w:color w:val="000000"/>
          <w:sz w:val="20"/>
          <w:szCs w:val="20"/>
        </w:rPr>
        <w:t>Sales and Marketing</w:t>
      </w:r>
    </w:p>
    <w:p w:rsidR="00000000" w:rsidRDefault="00DA1786">
      <w:pPr>
        <w:jc w:val="both"/>
        <w:divId w:val="866069340"/>
        <w:rPr>
          <w:rFonts w:eastAsia="Times New Roman"/>
        </w:rPr>
      </w:pPr>
      <w:r>
        <w:rPr>
          <w:rFonts w:eastAsia="Times New Roman"/>
          <w:color w:val="000000"/>
          <w:sz w:val="20"/>
          <w:szCs w:val="20"/>
        </w:rPr>
        <w:t>We are not currently conducting sales and marketing efforts with respect to any of our previous programs and are in the process of terminating the license agreements pursuant to wh</w:t>
      </w:r>
      <w:r>
        <w:rPr>
          <w:rFonts w:eastAsia="Times New Roman"/>
          <w:color w:val="000000"/>
          <w:sz w:val="20"/>
          <w:szCs w:val="20"/>
        </w:rPr>
        <w:t>ich we had development and commercialization rights with respect to livoletide, nevanimibe and MLE-301.</w:t>
      </w:r>
    </w:p>
    <w:p w:rsidR="00000000" w:rsidRDefault="00DA1786">
      <w:pPr>
        <w:divId w:val="1825511483"/>
        <w:rPr>
          <w:rFonts w:eastAsia="Times New Roman"/>
        </w:rPr>
      </w:pPr>
      <w:r>
        <w:rPr>
          <w:rFonts w:eastAsia="Times New Roman"/>
          <w:b/>
          <w:bCs/>
          <w:color w:val="000000"/>
          <w:sz w:val="20"/>
          <w:szCs w:val="20"/>
        </w:rPr>
        <w:t>Research and Development</w:t>
      </w:r>
    </w:p>
    <w:p w:rsidR="00000000" w:rsidRDefault="00DA1786">
      <w:pPr>
        <w:jc w:val="both"/>
        <w:divId w:val="802239333"/>
        <w:rPr>
          <w:rFonts w:eastAsia="Times New Roman"/>
        </w:rPr>
      </w:pPr>
      <w:r>
        <w:rPr>
          <w:rFonts w:eastAsia="Times New Roman"/>
          <w:color w:val="000000"/>
          <w:sz w:val="20"/>
          <w:szCs w:val="20"/>
        </w:rPr>
        <w:t>We are not currently conducting research and development of any of our previous programs and our plans for future research and development are dependent on the results of our ongoing strategic evaluation.</w:t>
      </w:r>
    </w:p>
    <w:p w:rsidR="00000000" w:rsidRDefault="00DA1786">
      <w:pPr>
        <w:ind w:firstLine="720"/>
        <w:jc w:val="center"/>
        <w:divId w:val="1034843431"/>
        <w:rPr>
          <w:rFonts w:eastAsia="Times New Roman"/>
        </w:rPr>
      </w:pPr>
      <w:r>
        <w:rPr>
          <w:rFonts w:eastAsia="Times New Roman"/>
          <w:color w:val="000000"/>
          <w:sz w:val="20"/>
          <w:szCs w:val="20"/>
        </w:rPr>
        <w:t>5</w:t>
      </w:r>
    </w:p>
    <w:p w:rsidR="00000000" w:rsidRDefault="00DA1786">
      <w:pPr>
        <w:rPr>
          <w:rFonts w:eastAsia="Times New Roman"/>
        </w:rPr>
      </w:pPr>
      <w:r>
        <w:rPr>
          <w:rFonts w:eastAsia="Times New Roman"/>
        </w:rPr>
        <w:pict>
          <v:rect id="_x0000_i1030" style="width:0;height:1.5pt" o:hralign="center" o:hrstd="t" o:hr="t" fillcolor="#a0a0a0" stroked="f"/>
        </w:pict>
      </w:r>
    </w:p>
    <w:p w:rsidR="00000000" w:rsidRDefault="00DA1786">
      <w:pPr>
        <w:divId w:val="1980258068"/>
        <w:rPr>
          <w:rFonts w:eastAsia="Times New Roman"/>
        </w:rPr>
      </w:pPr>
    </w:p>
    <w:p w:rsidR="00000000" w:rsidRDefault="00DA1786">
      <w:pPr>
        <w:jc w:val="both"/>
        <w:divId w:val="2063944854"/>
        <w:rPr>
          <w:rFonts w:eastAsia="Times New Roman"/>
        </w:rPr>
      </w:pPr>
      <w:r>
        <w:rPr>
          <w:rFonts w:eastAsia="Times New Roman"/>
          <w:b/>
          <w:bCs/>
          <w:color w:val="000000"/>
          <w:sz w:val="20"/>
          <w:szCs w:val="20"/>
        </w:rPr>
        <w:t>Assignment</w:t>
      </w:r>
      <w:r>
        <w:rPr>
          <w:rFonts w:eastAsia="Times New Roman"/>
          <w:b/>
          <w:bCs/>
          <w:color w:val="000000"/>
          <w:sz w:val="20"/>
          <w:szCs w:val="20"/>
        </w:rPr>
        <w:t xml:space="preserve"> Agreement with Erasmus University Medical Center and the University of Turin</w:t>
      </w:r>
    </w:p>
    <w:p w:rsidR="00000000" w:rsidRDefault="00DA1786">
      <w:pPr>
        <w:jc w:val="both"/>
        <w:divId w:val="672492472"/>
        <w:rPr>
          <w:rFonts w:eastAsia="Times New Roman"/>
        </w:rPr>
      </w:pPr>
      <w:r>
        <w:rPr>
          <w:rFonts w:eastAsia="Times New Roman"/>
          <w:color w:val="000000"/>
          <w:sz w:val="20"/>
          <w:szCs w:val="20"/>
        </w:rPr>
        <w:t>We have an assignment agreement (the “Assignment Agreement”</w:t>
      </w:r>
      <w:r>
        <w:rPr>
          <w:rFonts w:eastAsia="Times New Roman"/>
          <w:color w:val="000000"/>
          <w:sz w:val="20"/>
          <w:szCs w:val="20"/>
        </w:rPr>
        <w:t>) with Erasmus University Medical Center, the University of Turin and certain individuals, which we refer to collectively as the assignors, for certain patents and patent applications relating to livoletide.</w:t>
      </w:r>
    </w:p>
    <w:p w:rsidR="00000000" w:rsidRDefault="00DA1786">
      <w:pPr>
        <w:jc w:val="both"/>
        <w:divId w:val="471867660"/>
        <w:rPr>
          <w:rFonts w:eastAsia="Times New Roman"/>
        </w:rPr>
      </w:pPr>
      <w:r>
        <w:rPr>
          <w:rFonts w:eastAsia="Times New Roman"/>
          <w:color w:val="000000"/>
          <w:sz w:val="20"/>
          <w:szCs w:val="20"/>
        </w:rPr>
        <w:t xml:space="preserve">In connection with the Assignment Agreement, we </w:t>
      </w:r>
      <w:r>
        <w:rPr>
          <w:rFonts w:eastAsia="Times New Roman"/>
          <w:color w:val="000000"/>
          <w:sz w:val="20"/>
          <w:szCs w:val="20"/>
        </w:rPr>
        <w:t>agreed to pay the assignors a flat, low single digit royalty on net commercial sales of products containing livoletide that are covered by the claims of the assigned intellectual property. Further, upon approval of livoletide by the FDA or EMA, we are requ</w:t>
      </w:r>
      <w:r>
        <w:rPr>
          <w:rFonts w:eastAsia="Times New Roman"/>
          <w:color w:val="000000"/>
          <w:sz w:val="20"/>
          <w:szCs w:val="20"/>
        </w:rPr>
        <w:t>ired to pay the assignors CDN$100,000, which amount will be deducted from any future royalty payments due to the assignors. We also agreed to pay the assignors a low single digit percentage of any amounts received in connection with our license of the assi</w:t>
      </w:r>
      <w:r>
        <w:rPr>
          <w:rFonts w:eastAsia="Times New Roman"/>
          <w:color w:val="000000"/>
          <w:sz w:val="20"/>
          <w:szCs w:val="20"/>
        </w:rPr>
        <w:t>gned intellectual property or products containing livoletide that are covered by the claims of the assigned intellectual property.</w:t>
      </w:r>
    </w:p>
    <w:p w:rsidR="00000000" w:rsidRDefault="00DA1786">
      <w:pPr>
        <w:jc w:val="both"/>
        <w:divId w:val="1723744659"/>
        <w:rPr>
          <w:rFonts w:eastAsia="Times New Roman"/>
        </w:rPr>
      </w:pPr>
      <w:r>
        <w:rPr>
          <w:rFonts w:eastAsia="Times New Roman"/>
          <w:color w:val="000000"/>
          <w:sz w:val="20"/>
          <w:szCs w:val="20"/>
        </w:rPr>
        <w:t>The assignors have a right to repurchase the assigned intellectual property at a certain price in the event we do not, upon r</w:t>
      </w:r>
      <w:r>
        <w:rPr>
          <w:rFonts w:eastAsia="Times New Roman"/>
          <w:color w:val="000000"/>
          <w:sz w:val="20"/>
          <w:szCs w:val="20"/>
        </w:rPr>
        <w:t>eceiving notice, use reasonable efforts to develop, introduce for sale and promote products derived from the assigned intellectual property. Such reasonable efforts involve spending an annual amount of at least CDN$100,000 in research and development relat</w:t>
      </w:r>
      <w:r>
        <w:rPr>
          <w:rFonts w:eastAsia="Times New Roman"/>
          <w:color w:val="000000"/>
          <w:sz w:val="20"/>
          <w:szCs w:val="20"/>
        </w:rPr>
        <w:t>ed to livoletide, actively pursuing the registration, licenses and permits necessary to market livoletide, and the actual commercialization of livoletide, if approved. In addition, pursuant to the assignment agreement, certain individuals at the Erasmus Un</w:t>
      </w:r>
      <w:r>
        <w:rPr>
          <w:rFonts w:eastAsia="Times New Roman"/>
          <w:color w:val="000000"/>
          <w:sz w:val="20"/>
          <w:szCs w:val="20"/>
        </w:rPr>
        <w:t>iversity Medical Center and the University of Turin were granted non-exclusive rights to use the assigned intellectual property for non-commercial research with our prior written consent. In March 2021, we notified the assignors that we had discontinued th</w:t>
      </w:r>
      <w:r>
        <w:rPr>
          <w:rFonts w:eastAsia="Times New Roman"/>
          <w:color w:val="000000"/>
          <w:sz w:val="20"/>
          <w:szCs w:val="20"/>
        </w:rPr>
        <w:t xml:space="preserve">e PWS program. </w:t>
      </w:r>
    </w:p>
    <w:p w:rsidR="00000000" w:rsidRDefault="00DA1786">
      <w:pPr>
        <w:jc w:val="both"/>
        <w:divId w:val="840239338"/>
        <w:rPr>
          <w:rFonts w:eastAsia="Times New Roman"/>
        </w:rPr>
      </w:pPr>
      <w:r>
        <w:rPr>
          <w:rFonts w:eastAsia="Times New Roman"/>
          <w:b/>
          <w:bCs/>
          <w:color w:val="000000"/>
          <w:sz w:val="20"/>
          <w:szCs w:val="20"/>
        </w:rPr>
        <w:t>License Agreement with the University of Michigan</w:t>
      </w:r>
    </w:p>
    <w:p w:rsidR="00000000" w:rsidRDefault="00DA1786">
      <w:pPr>
        <w:jc w:val="both"/>
        <w:divId w:val="310520079"/>
        <w:rPr>
          <w:rFonts w:eastAsia="Times New Roman"/>
        </w:rPr>
      </w:pPr>
      <w:r>
        <w:rPr>
          <w:rFonts w:eastAsia="Times New Roman"/>
          <w:color w:val="000000"/>
          <w:sz w:val="20"/>
          <w:szCs w:val="20"/>
        </w:rPr>
        <w:t>In June 2013, we entered into a license agreement with the University of Michigan, or the UM License Agreement, for a worldwide, exclusive, sublicensable license to the University of Michiga</w:t>
      </w:r>
      <w:r>
        <w:rPr>
          <w:rFonts w:eastAsia="Times New Roman"/>
          <w:color w:val="000000"/>
          <w:sz w:val="20"/>
          <w:szCs w:val="20"/>
        </w:rPr>
        <w:t>n’s interest in certain patent rights jointly owned with us, covering, among other things, the use of nevanimibe to treat CAH. Such license rights allowed us to make, have made, import, export, use, market, offer for sale and sell products containing nevan</w:t>
      </w:r>
      <w:r>
        <w:rPr>
          <w:rFonts w:eastAsia="Times New Roman"/>
          <w:color w:val="000000"/>
          <w:sz w:val="20"/>
          <w:szCs w:val="20"/>
        </w:rPr>
        <w:t xml:space="preserve">imibe for such use in the United States. Due to our decision to cease investing in the nevanimibe program, effective on March 5, 2021, we notified the University of Michigan of our decision to terminate the UM License Agreement, which termination shall be </w:t>
      </w:r>
      <w:r>
        <w:rPr>
          <w:rFonts w:eastAsia="Times New Roman"/>
          <w:color w:val="000000"/>
          <w:sz w:val="20"/>
          <w:szCs w:val="20"/>
        </w:rPr>
        <w:t>effective April 30, 2021, as agreed to by the University of Michigan.</w:t>
      </w:r>
    </w:p>
    <w:p w:rsidR="00000000" w:rsidRDefault="00DA1786">
      <w:pPr>
        <w:divId w:val="944927354"/>
        <w:rPr>
          <w:rFonts w:eastAsia="Times New Roman"/>
        </w:rPr>
      </w:pPr>
      <w:r>
        <w:rPr>
          <w:rFonts w:eastAsia="Times New Roman"/>
          <w:b/>
          <w:bCs/>
          <w:color w:val="000000"/>
          <w:sz w:val="20"/>
          <w:szCs w:val="20"/>
        </w:rPr>
        <w:t>License Agreement with Roche</w:t>
      </w:r>
    </w:p>
    <w:p w:rsidR="00000000" w:rsidRDefault="00DA1786">
      <w:pPr>
        <w:jc w:val="both"/>
        <w:divId w:val="1751149702"/>
        <w:rPr>
          <w:rFonts w:eastAsia="Times New Roman"/>
        </w:rPr>
      </w:pPr>
      <w:r>
        <w:rPr>
          <w:rFonts w:eastAsia="Times New Roman"/>
          <w:color w:val="000000"/>
          <w:sz w:val="20"/>
          <w:szCs w:val="20"/>
          <w:shd w:val="clear" w:color="auto" w:fill="FFFFFF"/>
        </w:rPr>
        <w:t>On October 16, 2018, we entered into a license agreement with F. Hoffmann-La Roche Ltd and Hoffman-La Roche Inc. (collectively, “Roche”), for a worldwide, ex</w:t>
      </w:r>
      <w:r>
        <w:rPr>
          <w:rFonts w:eastAsia="Times New Roman"/>
          <w:color w:val="000000"/>
          <w:sz w:val="20"/>
          <w:szCs w:val="20"/>
          <w:shd w:val="clear" w:color="auto" w:fill="FFFFFF"/>
        </w:rPr>
        <w:t>clusive license to Roche's interest in certain patent rights and know-how covering, among other things, the use of a neurokinin 3 receptor antagonist (the "Roche License Agreement"). Such license rights have allowed us to research, have researched, develop</w:t>
      </w:r>
      <w:r>
        <w:rPr>
          <w:rFonts w:eastAsia="Times New Roman"/>
          <w:color w:val="000000"/>
          <w:sz w:val="20"/>
          <w:szCs w:val="20"/>
          <w:shd w:val="clear" w:color="auto" w:fill="FFFFFF"/>
        </w:rPr>
        <w:t>, have developed, register, have registered, use, have used, make, have made, import, have imported, export, have exported, market, have marketed, distribute, have distributed, sell and have sold an NK3R antagonist for use in all countries in the world and</w:t>
      </w:r>
      <w:r>
        <w:rPr>
          <w:rFonts w:eastAsia="Times New Roman"/>
          <w:color w:val="000000"/>
          <w:sz w:val="20"/>
          <w:szCs w:val="20"/>
          <w:shd w:val="clear" w:color="auto" w:fill="FFFFFF"/>
        </w:rPr>
        <w:t xml:space="preserve"> for all other uses other than diagnostic use. Due to our decision to discontinue investing in the MLE-301 program, in March 2021, we notified Roche that we were terminating the Roche License Agreement effective three months from the date of such notice.</w:t>
      </w:r>
    </w:p>
    <w:p w:rsidR="00000000" w:rsidRDefault="00DA1786">
      <w:pPr>
        <w:divId w:val="1772430845"/>
        <w:rPr>
          <w:rFonts w:eastAsia="Times New Roman"/>
        </w:rPr>
      </w:pPr>
      <w:r>
        <w:rPr>
          <w:rFonts w:eastAsia="Times New Roman"/>
          <w:b/>
          <w:bCs/>
          <w:color w:val="000000"/>
          <w:sz w:val="20"/>
          <w:szCs w:val="20"/>
        </w:rPr>
        <w:t>I</w:t>
      </w:r>
      <w:r>
        <w:rPr>
          <w:rFonts w:eastAsia="Times New Roman"/>
          <w:b/>
          <w:bCs/>
          <w:color w:val="000000"/>
          <w:sz w:val="20"/>
          <w:szCs w:val="20"/>
        </w:rPr>
        <w:t>ntellectual Property</w:t>
      </w:r>
    </w:p>
    <w:p w:rsidR="00000000" w:rsidRDefault="00DA1786">
      <w:pPr>
        <w:jc w:val="both"/>
        <w:divId w:val="1940718063"/>
        <w:rPr>
          <w:rFonts w:eastAsia="Times New Roman"/>
        </w:rPr>
      </w:pPr>
      <w:r>
        <w:rPr>
          <w:rFonts w:eastAsia="Times New Roman"/>
          <w:color w:val="000000"/>
          <w:sz w:val="20"/>
          <w:szCs w:val="20"/>
        </w:rPr>
        <w:t>When applicable to our development programs, we seek to obtain and maintain patent and other intellectual property and proprietary protection for our drug candidates in the United States and internationally, including composition-of-ma</w:t>
      </w:r>
      <w:r>
        <w:rPr>
          <w:rFonts w:eastAsia="Times New Roman"/>
          <w:color w:val="000000"/>
          <w:sz w:val="20"/>
          <w:szCs w:val="20"/>
        </w:rPr>
        <w:t xml:space="preserve">tter, dosage and formulation patents, as well as patent and other intellectual property and proprietary protection for our novel biological discoveries and other important technology inventions and know-how. In addition to patents, we rely upon unpatented </w:t>
      </w:r>
      <w:r>
        <w:rPr>
          <w:rFonts w:eastAsia="Times New Roman"/>
          <w:color w:val="000000"/>
          <w:sz w:val="20"/>
          <w:szCs w:val="20"/>
        </w:rPr>
        <w:t>trade secrets, know-how, and continuing technological innovation to develop and maintain our intellectual property rights. We protect our proprietary information, in part, using confidentiality agreements with our commercial partners, collaborators, employ</w:t>
      </w:r>
      <w:r>
        <w:rPr>
          <w:rFonts w:eastAsia="Times New Roman"/>
          <w:color w:val="000000"/>
          <w:sz w:val="20"/>
          <w:szCs w:val="20"/>
        </w:rPr>
        <w:t>ees and consultants and invention assignment agreements with our employees as well as selected commercial partners and consultants. Despite these measures, any of our intellectual property and proprietary rights could be challenged, invalidated, circumvent</w:t>
      </w:r>
      <w:r>
        <w:rPr>
          <w:rFonts w:eastAsia="Times New Roman"/>
          <w:color w:val="000000"/>
          <w:sz w:val="20"/>
          <w:szCs w:val="20"/>
        </w:rPr>
        <w:t>ed, infringed or misappropriated, or such intellectual property and proprietary rights may not be sufficient to permit us to take advantage of current market trends or otherwise to provide competitive advantages. In addition, such confidentiality agreement</w:t>
      </w:r>
      <w:r>
        <w:rPr>
          <w:rFonts w:eastAsia="Times New Roman"/>
          <w:color w:val="000000"/>
          <w:sz w:val="20"/>
          <w:szCs w:val="20"/>
        </w:rPr>
        <w:t>s and invention assignment agreements can be breached and we may not have adequate remedies for any such breach. For more information, please see “</w:t>
      </w:r>
      <w:r>
        <w:rPr>
          <w:rFonts w:eastAsia="Times New Roman"/>
          <w:i/>
          <w:iCs/>
          <w:color w:val="000000"/>
          <w:sz w:val="20"/>
          <w:szCs w:val="20"/>
        </w:rPr>
        <w:t>Risk Factors—Risks Related to Our Intellectual Property</w:t>
      </w:r>
      <w:r>
        <w:rPr>
          <w:rFonts w:eastAsia="Times New Roman"/>
          <w:color w:val="000000"/>
          <w:sz w:val="20"/>
          <w:szCs w:val="20"/>
        </w:rPr>
        <w:t>.”</w:t>
      </w:r>
    </w:p>
    <w:p w:rsidR="00000000" w:rsidRDefault="00DA1786">
      <w:pPr>
        <w:ind w:firstLine="720"/>
        <w:jc w:val="center"/>
        <w:divId w:val="674965666"/>
        <w:rPr>
          <w:rFonts w:eastAsia="Times New Roman"/>
        </w:rPr>
      </w:pPr>
      <w:r>
        <w:rPr>
          <w:rFonts w:eastAsia="Times New Roman"/>
          <w:color w:val="000000"/>
          <w:sz w:val="20"/>
          <w:szCs w:val="20"/>
        </w:rPr>
        <w:t>6</w:t>
      </w:r>
    </w:p>
    <w:p w:rsidR="00000000" w:rsidRDefault="00DA1786">
      <w:pPr>
        <w:rPr>
          <w:rFonts w:eastAsia="Times New Roman"/>
        </w:rPr>
      </w:pPr>
      <w:r>
        <w:rPr>
          <w:rFonts w:eastAsia="Times New Roman"/>
        </w:rPr>
        <w:pict>
          <v:rect id="_x0000_i1031" style="width:0;height:1.5pt" o:hralign="center" o:hrstd="t" o:hr="t" fillcolor="#a0a0a0" stroked="f"/>
        </w:pict>
      </w:r>
    </w:p>
    <w:p w:rsidR="00000000" w:rsidRDefault="00DA1786">
      <w:pPr>
        <w:divId w:val="1661811744"/>
        <w:rPr>
          <w:rFonts w:eastAsia="Times New Roman"/>
        </w:rPr>
      </w:pPr>
    </w:p>
    <w:p w:rsidR="00000000" w:rsidRDefault="00DA1786">
      <w:pPr>
        <w:jc w:val="both"/>
        <w:divId w:val="1984388644"/>
        <w:rPr>
          <w:rFonts w:eastAsia="Times New Roman"/>
        </w:rPr>
      </w:pPr>
      <w:r>
        <w:rPr>
          <w:rFonts w:eastAsia="Times New Roman"/>
          <w:color w:val="000000"/>
          <w:sz w:val="20"/>
          <w:szCs w:val="20"/>
        </w:rPr>
        <w:t>We seek pa</w:t>
      </w:r>
      <w:r>
        <w:rPr>
          <w:rFonts w:eastAsia="Times New Roman"/>
          <w:color w:val="000000"/>
          <w:sz w:val="20"/>
          <w:szCs w:val="20"/>
        </w:rPr>
        <w:t>tent protection in significant markets and/or countries for each drug in development. We also seek to maximize patent term. The patent exclusivity period for a drug will prevent generic drugs from entering the market. Patent exclusivity depends on a number</w:t>
      </w:r>
      <w:r>
        <w:rPr>
          <w:rFonts w:eastAsia="Times New Roman"/>
          <w:color w:val="000000"/>
          <w:sz w:val="20"/>
          <w:szCs w:val="20"/>
        </w:rPr>
        <w:t xml:space="preserve"> of factors including the strength of the claims, the initial patent term, patent term adjustments and available patent term extensions based upon delays caused by the regulatory approval process.</w:t>
      </w:r>
    </w:p>
    <w:p w:rsidR="00000000" w:rsidRDefault="00DA1786">
      <w:pPr>
        <w:jc w:val="both"/>
        <w:divId w:val="514392811"/>
        <w:rPr>
          <w:rFonts w:eastAsia="Times New Roman"/>
        </w:rPr>
      </w:pPr>
      <w:r>
        <w:rPr>
          <w:rFonts w:eastAsia="Times New Roman"/>
          <w:color w:val="000000"/>
          <w:sz w:val="20"/>
          <w:szCs w:val="20"/>
        </w:rPr>
        <w:t>The patent positions of biotechnology companies like ours a</w:t>
      </w:r>
      <w:r>
        <w:rPr>
          <w:rFonts w:eastAsia="Times New Roman"/>
          <w:color w:val="000000"/>
          <w:sz w:val="20"/>
          <w:szCs w:val="20"/>
        </w:rPr>
        <w:t>re generally uncertain and involve complex legal, scientific and factual questions. In addition, the coverage claimed in a patent application can be significantly reduced before the patent is issued, and its scope can be reinterpreted after issuance. Conse</w:t>
      </w:r>
      <w:r>
        <w:rPr>
          <w:rFonts w:eastAsia="Times New Roman"/>
          <w:color w:val="000000"/>
          <w:sz w:val="20"/>
          <w:szCs w:val="20"/>
        </w:rPr>
        <w:t>quently, we may not obtain or maintain adequ</w:t>
      </w:r>
      <w:r>
        <w:rPr>
          <w:rFonts w:eastAsia="Times New Roman"/>
          <w:color w:val="000000"/>
          <w:sz w:val="20"/>
          <w:szCs w:val="20"/>
          <w:shd w:val="clear" w:color="auto" w:fill="FFFFFF"/>
        </w:rPr>
        <w:t xml:space="preserve">ate patent protection for any of our product candidates. As of December 31, 2020, with respect to livoletide patent rights, we owned four </w:t>
      </w:r>
      <w:r>
        <w:rPr>
          <w:rFonts w:eastAsia="Times New Roman"/>
          <w:color w:val="000000"/>
          <w:sz w:val="20"/>
          <w:szCs w:val="20"/>
        </w:rPr>
        <w:t xml:space="preserve">issued U.S. patents, one pending U.S. patent application, and a number of </w:t>
      </w:r>
      <w:r>
        <w:rPr>
          <w:rFonts w:eastAsia="Times New Roman"/>
          <w:color w:val="000000"/>
          <w:sz w:val="20"/>
          <w:szCs w:val="20"/>
        </w:rPr>
        <w:t xml:space="preserve">patents and pending patent applications in other jurisdictions. As of December 31, 2020, with respect to nevanimibe patent rights, we owned two issued U.S. patents, two pending U.S. patent applications, and a number of pending patent applications in other </w:t>
      </w:r>
      <w:r>
        <w:rPr>
          <w:rFonts w:eastAsia="Times New Roman"/>
          <w:color w:val="000000"/>
          <w:sz w:val="20"/>
          <w:szCs w:val="20"/>
        </w:rPr>
        <w:t>jurisdictions, and we jointly owned, with University of Michigan, three issued U.S. patents, one pending U.S. patent application, and a number of patent applications in other jurisdictions. As of December 31, 2020, with respect to MLE-301 patent rights, we</w:t>
      </w:r>
      <w:r>
        <w:rPr>
          <w:rFonts w:eastAsia="Times New Roman"/>
          <w:color w:val="000000"/>
          <w:sz w:val="20"/>
          <w:szCs w:val="20"/>
        </w:rPr>
        <w:t xml:space="preserve"> owned one pending U.S. patent application, and we exclusively licensed from Roche one issued U.S. patent and a number of patents and pending patent applications in other jurisdictions.</w:t>
      </w:r>
    </w:p>
    <w:p w:rsidR="00000000" w:rsidRDefault="00DA1786">
      <w:pPr>
        <w:jc w:val="both"/>
        <w:divId w:val="1792818806"/>
        <w:rPr>
          <w:rFonts w:eastAsia="Times New Roman"/>
        </w:rPr>
      </w:pPr>
      <w:r>
        <w:rPr>
          <w:rFonts w:eastAsia="Times New Roman"/>
          <w:color w:val="000000"/>
          <w:sz w:val="20"/>
          <w:szCs w:val="20"/>
        </w:rPr>
        <w:t>We cannot predict whether the patent applications we pursue will issue</w:t>
      </w:r>
      <w:r>
        <w:rPr>
          <w:rFonts w:eastAsia="Times New Roman"/>
          <w:color w:val="000000"/>
          <w:sz w:val="20"/>
          <w:szCs w:val="20"/>
        </w:rPr>
        <w:t xml:space="preserve"> as patents in any particular jurisdiction or whether the claims of any issued patents will provide any proprietary protection from competitors. The patent portfolios for our leading product candidates as of December 31, 2020 are summarized below.</w:t>
      </w:r>
    </w:p>
    <w:p w:rsidR="00000000" w:rsidRDefault="00DA1786">
      <w:pPr>
        <w:divId w:val="1178619641"/>
        <w:rPr>
          <w:rFonts w:eastAsia="Times New Roman"/>
        </w:rPr>
      </w:pPr>
      <w:r>
        <w:rPr>
          <w:rFonts w:eastAsia="Times New Roman"/>
          <w:b/>
          <w:bCs/>
          <w:i/>
          <w:iCs/>
          <w:color w:val="000000"/>
          <w:sz w:val="20"/>
          <w:szCs w:val="20"/>
        </w:rPr>
        <w:t>Livoleti</w:t>
      </w:r>
      <w:r>
        <w:rPr>
          <w:rFonts w:eastAsia="Times New Roman"/>
          <w:b/>
          <w:bCs/>
          <w:i/>
          <w:iCs/>
          <w:color w:val="000000"/>
          <w:sz w:val="20"/>
          <w:szCs w:val="20"/>
        </w:rPr>
        <w:t>de</w:t>
      </w:r>
    </w:p>
    <w:p w:rsidR="00000000" w:rsidRDefault="00DA1786">
      <w:pPr>
        <w:jc w:val="both"/>
        <w:divId w:val="1003433478"/>
        <w:rPr>
          <w:rFonts w:eastAsia="Times New Roman"/>
        </w:rPr>
      </w:pPr>
      <w:r>
        <w:rPr>
          <w:rFonts w:eastAsia="Times New Roman"/>
          <w:color w:val="000000"/>
          <w:sz w:val="20"/>
          <w:szCs w:val="20"/>
        </w:rPr>
        <w:t>With respect to livoletide patent rights, as of December 31, 2020 we owned four issued U.S. patents, which are not due to expire before 2028, 2028, 2029, and 2033, respectively, excluding any additional term for patent term extension pursuant to the Hat</w:t>
      </w:r>
      <w:r>
        <w:rPr>
          <w:rFonts w:eastAsia="Times New Roman"/>
          <w:color w:val="000000"/>
          <w:sz w:val="20"/>
          <w:szCs w:val="20"/>
        </w:rPr>
        <w:t xml:space="preserve">ch-Waxman Act; one pending U.S. patent application, which is not due to expire before 2034, excluding any additional term for patent term adjustment or extension; and a number of patent applications in other jurisdictions. The foregoing patents and patent </w:t>
      </w:r>
      <w:r>
        <w:rPr>
          <w:rFonts w:eastAsia="Times New Roman"/>
          <w:color w:val="000000"/>
          <w:sz w:val="20"/>
          <w:szCs w:val="20"/>
        </w:rPr>
        <w:t>applications cover a form of and methods of making and using livoletide or its analogs. Related international patent applications have issued in Australia, Canada, China, Europe, Japan, and Mexico and are pending in a number of other countries, including C</w:t>
      </w:r>
      <w:r>
        <w:rPr>
          <w:rFonts w:eastAsia="Times New Roman"/>
          <w:color w:val="000000"/>
          <w:sz w:val="20"/>
          <w:szCs w:val="20"/>
        </w:rPr>
        <w:t xml:space="preserve">anada, Europe, and India. In March 2021, in connection with the discontinuation of our livoletide program, we notified the assignors of our decision to discontinue development of livoletide. We do not expect our livoletide patents to enable development of </w:t>
      </w:r>
      <w:r>
        <w:rPr>
          <w:rFonts w:eastAsia="Times New Roman"/>
          <w:color w:val="000000"/>
          <w:sz w:val="20"/>
          <w:szCs w:val="20"/>
        </w:rPr>
        <w:t>livoletide apart from the intellectual property licensed.</w:t>
      </w:r>
    </w:p>
    <w:p w:rsidR="00000000" w:rsidRDefault="00DA1786">
      <w:pPr>
        <w:divId w:val="737092117"/>
        <w:rPr>
          <w:rFonts w:eastAsia="Times New Roman"/>
        </w:rPr>
      </w:pPr>
      <w:r>
        <w:rPr>
          <w:rFonts w:eastAsia="Times New Roman"/>
          <w:b/>
          <w:bCs/>
          <w:i/>
          <w:iCs/>
          <w:color w:val="000000"/>
          <w:sz w:val="20"/>
          <w:szCs w:val="20"/>
        </w:rPr>
        <w:t>Nevanimibe</w:t>
      </w:r>
    </w:p>
    <w:p w:rsidR="00000000" w:rsidRDefault="00DA1786">
      <w:pPr>
        <w:jc w:val="both"/>
        <w:divId w:val="542329765"/>
        <w:rPr>
          <w:rFonts w:eastAsia="Times New Roman"/>
        </w:rPr>
      </w:pPr>
      <w:r>
        <w:rPr>
          <w:rFonts w:eastAsia="Times New Roman"/>
          <w:color w:val="000000"/>
          <w:sz w:val="20"/>
          <w:szCs w:val="20"/>
        </w:rPr>
        <w:t>With respect to nevanimibe patent rights, as of December 31, 2020, we owned two issued U.S. patents, which are not due to expire before 2035, excluding any additional term for patent term</w:t>
      </w:r>
      <w:r>
        <w:rPr>
          <w:rFonts w:eastAsia="Times New Roman"/>
          <w:color w:val="000000"/>
          <w:sz w:val="20"/>
          <w:szCs w:val="20"/>
        </w:rPr>
        <w:t xml:space="preserve"> adjustment or extension; two pending U.S. patent applications, which, if issued, are not due to expire before 2035 and 2036, respectively, excluding any additional term for patent term adjustment or extension; and a number of patent applications in other </w:t>
      </w:r>
      <w:r>
        <w:rPr>
          <w:rFonts w:eastAsia="Times New Roman"/>
          <w:color w:val="000000"/>
          <w:sz w:val="20"/>
          <w:szCs w:val="20"/>
        </w:rPr>
        <w:t>jurisdictions. As of December 31, 2020, we jointly owned, with University of Michigan, three issued U.S. patents, which are each not due to expire before 2033, excluding any additional term for patent term adjustments or extensions; one pending U.S. patent</w:t>
      </w:r>
      <w:r>
        <w:rPr>
          <w:rFonts w:eastAsia="Times New Roman"/>
          <w:color w:val="000000"/>
          <w:sz w:val="20"/>
          <w:szCs w:val="20"/>
        </w:rPr>
        <w:t xml:space="preserve"> application, which, if issued, is not due to expire before 2033, excluding any additional term for patent term adjustment or extension; and a number of patent applications in other jurisdictions. The foregoing patents and patent applications cover a form </w:t>
      </w:r>
      <w:r>
        <w:rPr>
          <w:rFonts w:eastAsia="Times New Roman"/>
          <w:color w:val="000000"/>
          <w:sz w:val="20"/>
          <w:szCs w:val="20"/>
        </w:rPr>
        <w:t>of and methods of making and using nevanimibe or its analogs. Related international patent applications have issued in Australia, China, Japan, Mexico, and New Zealand and are pending in a number of other countries, including Australia, Brazil, Canada, Chi</w:t>
      </w:r>
      <w:r>
        <w:rPr>
          <w:rFonts w:eastAsia="Times New Roman"/>
          <w:color w:val="000000"/>
          <w:sz w:val="20"/>
          <w:szCs w:val="20"/>
        </w:rPr>
        <w:t>na, Europe, and Mexico. Due to our decision to discontinue the development of our nevanimibe program, in March 2021, we notified the University of Michigan of our decision to terminate the UM License Agreement, which termination shall be effective as of Ap</w:t>
      </w:r>
      <w:r>
        <w:rPr>
          <w:rFonts w:eastAsia="Times New Roman"/>
          <w:color w:val="000000"/>
          <w:sz w:val="20"/>
          <w:szCs w:val="20"/>
        </w:rPr>
        <w:t>ril 30, 2021, as agreed with the University of Michigan. We do not expect our nevanimibe patents to enable development of nevanimibe apart from the intellectual property licensed pursuant to the UM License Agreement.</w:t>
      </w:r>
    </w:p>
    <w:p w:rsidR="00000000" w:rsidRDefault="00DA1786">
      <w:pPr>
        <w:divId w:val="232474391"/>
        <w:rPr>
          <w:rFonts w:eastAsia="Times New Roman"/>
        </w:rPr>
      </w:pPr>
      <w:r>
        <w:rPr>
          <w:rFonts w:eastAsia="Times New Roman"/>
          <w:b/>
          <w:bCs/>
          <w:i/>
          <w:iCs/>
          <w:color w:val="000000"/>
          <w:sz w:val="20"/>
          <w:szCs w:val="20"/>
        </w:rPr>
        <w:t>MLE-301</w:t>
      </w:r>
    </w:p>
    <w:p w:rsidR="00000000" w:rsidRDefault="00DA1786">
      <w:pPr>
        <w:jc w:val="both"/>
        <w:divId w:val="1576622632"/>
        <w:rPr>
          <w:rFonts w:eastAsia="Times New Roman"/>
        </w:rPr>
      </w:pPr>
      <w:r>
        <w:rPr>
          <w:rFonts w:eastAsia="Times New Roman"/>
          <w:color w:val="000000"/>
          <w:sz w:val="20"/>
          <w:szCs w:val="20"/>
        </w:rPr>
        <w:t xml:space="preserve">With respect to MLE-301 patent </w:t>
      </w:r>
      <w:r>
        <w:rPr>
          <w:rFonts w:eastAsia="Times New Roman"/>
          <w:color w:val="000000"/>
          <w:sz w:val="20"/>
          <w:szCs w:val="20"/>
        </w:rPr>
        <w:t>rights, as of December 31, 2020, we owned one pending Patent Cooperation Treaty patent application, which, if issued, is not due to expire before 2040, excluding any additional term for patent term adjustment or extension. As of December 31, 2020, we exclu</w:t>
      </w:r>
      <w:r>
        <w:rPr>
          <w:rFonts w:eastAsia="Times New Roman"/>
          <w:color w:val="000000"/>
          <w:sz w:val="20"/>
          <w:szCs w:val="20"/>
        </w:rPr>
        <w:t xml:space="preserve">sively licensed from Roche one issued U.S. patent, which is not due to expire before 2031, excluding any additional term for patent term adjustment or extension. The foregoing patents and patent applications cover a form of and methods of making and using </w:t>
      </w:r>
      <w:r>
        <w:rPr>
          <w:rFonts w:eastAsia="Times New Roman"/>
          <w:color w:val="000000"/>
          <w:sz w:val="20"/>
          <w:szCs w:val="20"/>
        </w:rPr>
        <w:t>MLE-301 or its analogs.</w:t>
      </w:r>
      <w:r>
        <w:rPr>
          <w:rFonts w:eastAsia="Times New Roman"/>
          <w:color w:val="000000"/>
        </w:rPr>
        <w:t xml:space="preserve"> </w:t>
      </w:r>
      <w:r>
        <w:rPr>
          <w:rFonts w:eastAsia="Times New Roman"/>
          <w:color w:val="000000"/>
          <w:sz w:val="20"/>
          <w:szCs w:val="20"/>
        </w:rPr>
        <w:t xml:space="preserve">Related international patent applications have issued in China, Europe, Japan, South Korea, and Mexico, and are pending in a number of other countries, </w:t>
      </w:r>
    </w:p>
    <w:p w:rsidR="00000000" w:rsidRDefault="00DA1786">
      <w:pPr>
        <w:ind w:firstLine="720"/>
        <w:jc w:val="center"/>
        <w:divId w:val="1670672474"/>
        <w:rPr>
          <w:rFonts w:eastAsia="Times New Roman"/>
        </w:rPr>
      </w:pPr>
      <w:r>
        <w:rPr>
          <w:rFonts w:eastAsia="Times New Roman"/>
          <w:color w:val="000000"/>
          <w:sz w:val="20"/>
          <w:szCs w:val="20"/>
        </w:rPr>
        <w:t>7</w:t>
      </w:r>
    </w:p>
    <w:p w:rsidR="00000000" w:rsidRDefault="00DA1786">
      <w:pPr>
        <w:rPr>
          <w:rFonts w:eastAsia="Times New Roman"/>
        </w:rPr>
      </w:pPr>
      <w:r>
        <w:rPr>
          <w:rFonts w:eastAsia="Times New Roman"/>
        </w:rPr>
        <w:pict>
          <v:rect id="_x0000_i1032" style="width:0;height:1.5pt" o:hralign="center" o:hrstd="t" o:hr="t" fillcolor="#a0a0a0" stroked="f"/>
        </w:pict>
      </w:r>
    </w:p>
    <w:p w:rsidR="00000000" w:rsidRDefault="00DA1786">
      <w:pPr>
        <w:divId w:val="1367832743"/>
        <w:rPr>
          <w:rFonts w:eastAsia="Times New Roman"/>
        </w:rPr>
      </w:pPr>
    </w:p>
    <w:p w:rsidR="00000000" w:rsidRDefault="00DA1786">
      <w:pPr>
        <w:jc w:val="both"/>
        <w:divId w:val="589656003"/>
        <w:rPr>
          <w:rFonts w:eastAsia="Times New Roman"/>
        </w:rPr>
      </w:pPr>
      <w:r>
        <w:rPr>
          <w:rFonts w:eastAsia="Times New Roman"/>
          <w:color w:val="000000"/>
          <w:sz w:val="20"/>
          <w:szCs w:val="20"/>
        </w:rPr>
        <w:t xml:space="preserve">including Brazil, Canada, India, and Russia. </w:t>
      </w:r>
      <w:r>
        <w:rPr>
          <w:rFonts w:eastAsia="Times New Roman"/>
          <w:color w:val="000000"/>
          <w:sz w:val="20"/>
          <w:szCs w:val="20"/>
          <w:shd w:val="clear" w:color="auto" w:fill="FFFFFF"/>
        </w:rPr>
        <w:t>Due to our decision to discontinue developing the MLE-301 program in March 2021, we notified Roche that we were terminating the Roche License Agreement effective three month</w:t>
      </w:r>
      <w:r>
        <w:rPr>
          <w:rFonts w:eastAsia="Times New Roman"/>
          <w:color w:val="000000"/>
          <w:sz w:val="20"/>
          <w:szCs w:val="20"/>
          <w:shd w:val="clear" w:color="auto" w:fill="FFFFFF"/>
        </w:rPr>
        <w:t>s from the date of such notice. We do not expect our MLE-301 patents to enable development of MLE-301 apart from the intellectual property licensed pursuant to the Roche License Agreement.</w:t>
      </w:r>
    </w:p>
    <w:p w:rsidR="00000000" w:rsidRDefault="00DA1786">
      <w:pPr>
        <w:divId w:val="601375862"/>
        <w:rPr>
          <w:rFonts w:eastAsia="Times New Roman"/>
        </w:rPr>
      </w:pPr>
      <w:r>
        <w:rPr>
          <w:rFonts w:eastAsia="Times New Roman"/>
          <w:b/>
          <w:bCs/>
          <w:color w:val="000000"/>
          <w:sz w:val="20"/>
          <w:szCs w:val="20"/>
        </w:rPr>
        <w:t>Manufacturing</w:t>
      </w:r>
    </w:p>
    <w:p w:rsidR="00000000" w:rsidRDefault="00DA1786">
      <w:pPr>
        <w:jc w:val="both"/>
        <w:divId w:val="2026904931"/>
        <w:rPr>
          <w:rFonts w:eastAsia="Times New Roman"/>
        </w:rPr>
      </w:pPr>
      <w:r>
        <w:rPr>
          <w:rFonts w:eastAsia="Times New Roman"/>
          <w:color w:val="000000"/>
          <w:sz w:val="20"/>
          <w:szCs w:val="20"/>
        </w:rPr>
        <w:t>We relied on contract manufacturing organizations, or</w:t>
      </w:r>
      <w:r>
        <w:rPr>
          <w:rFonts w:eastAsia="Times New Roman"/>
          <w:color w:val="000000"/>
          <w:sz w:val="20"/>
          <w:szCs w:val="20"/>
        </w:rPr>
        <w:t xml:space="preserve"> CMOs, to produce drug candidates in accordance with the FDA’s current Good Manufacturing Practices, or cGMP, regulations for use in our prior clinical trials. The manufacture of pharmaceuticals is subject to extensive cGMP regulations, which impose variou</w:t>
      </w:r>
      <w:r>
        <w:rPr>
          <w:rFonts w:eastAsia="Times New Roman"/>
          <w:color w:val="000000"/>
          <w:sz w:val="20"/>
          <w:szCs w:val="20"/>
        </w:rPr>
        <w:t>s procedural and documentation requirements and govern all areas of record keeping, production processes and controls, personnel and quality control.</w:t>
      </w:r>
    </w:p>
    <w:p w:rsidR="00000000" w:rsidRDefault="00DA1786">
      <w:pPr>
        <w:divId w:val="1589844554"/>
        <w:rPr>
          <w:rFonts w:eastAsia="Times New Roman"/>
        </w:rPr>
      </w:pPr>
      <w:r>
        <w:rPr>
          <w:rFonts w:eastAsia="Times New Roman"/>
          <w:b/>
          <w:bCs/>
          <w:color w:val="000000"/>
          <w:sz w:val="20"/>
          <w:szCs w:val="20"/>
        </w:rPr>
        <w:t>Government Regulation and Approval</w:t>
      </w:r>
    </w:p>
    <w:p w:rsidR="00000000" w:rsidRDefault="00DA1786">
      <w:pPr>
        <w:divId w:val="393431692"/>
        <w:rPr>
          <w:rFonts w:eastAsia="Times New Roman"/>
        </w:rPr>
      </w:pPr>
      <w:r>
        <w:rPr>
          <w:rFonts w:eastAsia="Times New Roman"/>
          <w:b/>
          <w:bCs/>
          <w:i/>
          <w:iCs/>
          <w:color w:val="000000"/>
          <w:sz w:val="20"/>
          <w:szCs w:val="20"/>
        </w:rPr>
        <w:t>United States-FDA process</w:t>
      </w:r>
    </w:p>
    <w:p w:rsidR="00000000" w:rsidRDefault="00DA1786">
      <w:pPr>
        <w:jc w:val="both"/>
        <w:divId w:val="1871261691"/>
        <w:rPr>
          <w:rFonts w:eastAsia="Times New Roman"/>
        </w:rPr>
      </w:pPr>
      <w:r>
        <w:rPr>
          <w:rFonts w:eastAsia="Times New Roman"/>
          <w:color w:val="000000"/>
          <w:sz w:val="20"/>
          <w:szCs w:val="20"/>
        </w:rPr>
        <w:t>In the United States, the FDA regulates drugs. The Federal Food, Drug, and Cosmetic Act, or FDCA, and other federal and state statutes and regulations, govern, among other things, the research, development, testing, manufacture, storage, recordkeeping, app</w:t>
      </w:r>
      <w:r>
        <w:rPr>
          <w:rFonts w:eastAsia="Times New Roman"/>
          <w:color w:val="000000"/>
          <w:sz w:val="20"/>
          <w:szCs w:val="20"/>
        </w:rPr>
        <w:t xml:space="preserve">roval, labeling, promotion and marketing, distribution, post-approval monitoring and reporting, sampling, and import and export of drugs. To obtain regulatory approvals in the United States and in foreign countries, and subsequently comply with applicable </w:t>
      </w:r>
      <w:r>
        <w:rPr>
          <w:rFonts w:eastAsia="Times New Roman"/>
          <w:color w:val="000000"/>
          <w:sz w:val="20"/>
          <w:szCs w:val="20"/>
        </w:rPr>
        <w:t>statutes and regulations, we will need to spend substantial time and financial resources.</w:t>
      </w:r>
    </w:p>
    <w:p w:rsidR="00000000" w:rsidRDefault="00DA1786">
      <w:pPr>
        <w:divId w:val="1442455393"/>
        <w:rPr>
          <w:rFonts w:eastAsia="Times New Roman"/>
        </w:rPr>
      </w:pPr>
      <w:r>
        <w:rPr>
          <w:rFonts w:eastAsia="Times New Roman"/>
          <w:b/>
          <w:bCs/>
          <w:i/>
          <w:iCs/>
          <w:color w:val="000000"/>
          <w:sz w:val="20"/>
          <w:szCs w:val="20"/>
        </w:rPr>
        <w:t>Approval process</w:t>
      </w:r>
    </w:p>
    <w:p w:rsidR="00000000" w:rsidRDefault="00DA1786">
      <w:pPr>
        <w:jc w:val="both"/>
        <w:divId w:val="1490442853"/>
        <w:rPr>
          <w:rFonts w:eastAsia="Times New Roman"/>
        </w:rPr>
      </w:pPr>
      <w:r>
        <w:rPr>
          <w:rFonts w:eastAsia="Times New Roman"/>
          <w:color w:val="000000"/>
          <w:sz w:val="20"/>
          <w:szCs w:val="20"/>
        </w:rPr>
        <w:t>The FDA must approve any new drug or a drug with certain changes to a previously approved drug before a manufacturer can market it in the United Stat</w:t>
      </w:r>
      <w:r>
        <w:rPr>
          <w:rFonts w:eastAsia="Times New Roman"/>
          <w:color w:val="000000"/>
          <w:sz w:val="20"/>
          <w:szCs w:val="20"/>
        </w:rPr>
        <w:t>es. If a company does not comply with applicable United States requirements it may be subject to a variety of administrative or judicial sanctions, such as FDA refusal to approve pending applications, warning or untitled letters, clinical holds, drug recal</w:t>
      </w:r>
      <w:r>
        <w:rPr>
          <w:rFonts w:eastAsia="Times New Roman"/>
          <w:color w:val="000000"/>
          <w:sz w:val="20"/>
          <w:szCs w:val="20"/>
        </w:rPr>
        <w:t>ls, drug seizures, total or partial suspension of production or distribution, injunctions, fines, civil penalties, and criminal prosecution. The steps we must complete before we can market a drug include:</w:t>
      </w:r>
    </w:p>
    <w:p w:rsidR="00000000" w:rsidRDefault="00DA1786">
      <w:pPr>
        <w:ind w:hanging="360"/>
        <w:jc w:val="both"/>
        <w:divId w:val="135220602"/>
        <w:rPr>
          <w:rFonts w:eastAsia="Times New Roman"/>
        </w:rPr>
      </w:pPr>
      <w:r>
        <w:rPr>
          <w:rFonts w:eastAsia="Times New Roman"/>
          <w:color w:val="000000"/>
          <w:sz w:val="20"/>
          <w:szCs w:val="20"/>
        </w:rPr>
        <w:t>•completion of preclinical laboratory tests, animal</w:t>
      </w:r>
      <w:r>
        <w:rPr>
          <w:rFonts w:eastAsia="Times New Roman"/>
          <w:color w:val="000000"/>
          <w:sz w:val="20"/>
          <w:szCs w:val="20"/>
        </w:rPr>
        <w:t xml:space="preserve"> studies, and formulation studies, all performed in accordance with the FDA’s good laboratory practice, or GLP, regulations;</w:t>
      </w:r>
    </w:p>
    <w:p w:rsidR="00000000" w:rsidRDefault="00DA1786">
      <w:pPr>
        <w:ind w:hanging="360"/>
        <w:jc w:val="both"/>
        <w:divId w:val="1419793466"/>
        <w:rPr>
          <w:rFonts w:eastAsia="Times New Roman"/>
        </w:rPr>
      </w:pPr>
      <w:r>
        <w:rPr>
          <w:rFonts w:eastAsia="Times New Roman"/>
          <w:color w:val="000000"/>
          <w:sz w:val="20"/>
          <w:szCs w:val="20"/>
        </w:rPr>
        <w:t xml:space="preserve">•submission to the FDA of an IND application for human clinical testing, which must become effective before human clinical studies </w:t>
      </w:r>
      <w:r>
        <w:rPr>
          <w:rFonts w:eastAsia="Times New Roman"/>
          <w:color w:val="000000"/>
          <w:sz w:val="20"/>
          <w:szCs w:val="20"/>
        </w:rPr>
        <w:t>start. The sponsor must update the IND annually;</w:t>
      </w:r>
    </w:p>
    <w:p w:rsidR="00000000" w:rsidRDefault="00DA1786">
      <w:pPr>
        <w:ind w:hanging="360"/>
        <w:jc w:val="both"/>
        <w:divId w:val="1572502868"/>
        <w:rPr>
          <w:rFonts w:eastAsia="Times New Roman"/>
        </w:rPr>
      </w:pPr>
      <w:r>
        <w:rPr>
          <w:rFonts w:eastAsia="Times New Roman"/>
          <w:color w:val="000000"/>
          <w:sz w:val="20"/>
          <w:szCs w:val="20"/>
        </w:rPr>
        <w:t>•approval of the study by an independent institutional review board, or IRB, or ethics committee representing each clinical site before each clinical study begins;</w:t>
      </w:r>
    </w:p>
    <w:p w:rsidR="00000000" w:rsidRDefault="00DA1786">
      <w:pPr>
        <w:ind w:hanging="360"/>
        <w:jc w:val="both"/>
        <w:divId w:val="1008678524"/>
        <w:rPr>
          <w:rFonts w:eastAsia="Times New Roman"/>
        </w:rPr>
      </w:pPr>
      <w:r>
        <w:rPr>
          <w:rFonts w:eastAsia="Times New Roman"/>
          <w:color w:val="000000"/>
          <w:sz w:val="20"/>
          <w:szCs w:val="20"/>
        </w:rPr>
        <w:t>•performance of adequate and well-controlle</w:t>
      </w:r>
      <w:r>
        <w:rPr>
          <w:rFonts w:eastAsia="Times New Roman"/>
          <w:color w:val="000000"/>
          <w:sz w:val="20"/>
          <w:szCs w:val="20"/>
        </w:rPr>
        <w:t>d human clinical studies to establish the safety and efficacy of the drug for each indication to the FDA’s satisfaction;</w:t>
      </w:r>
    </w:p>
    <w:p w:rsidR="00000000" w:rsidRDefault="00DA1786">
      <w:pPr>
        <w:ind w:hanging="360"/>
        <w:jc w:val="both"/>
        <w:divId w:val="1095324295"/>
        <w:rPr>
          <w:rFonts w:eastAsia="Times New Roman"/>
        </w:rPr>
      </w:pPr>
      <w:r>
        <w:rPr>
          <w:rFonts w:eastAsia="Times New Roman"/>
          <w:color w:val="000000"/>
          <w:sz w:val="20"/>
          <w:szCs w:val="20"/>
        </w:rPr>
        <w:t>•submission to the FDA of an NDA;</w:t>
      </w:r>
    </w:p>
    <w:p w:rsidR="00000000" w:rsidRDefault="00DA1786">
      <w:pPr>
        <w:ind w:hanging="360"/>
        <w:jc w:val="both"/>
        <w:divId w:val="773206737"/>
        <w:rPr>
          <w:rFonts w:eastAsia="Times New Roman"/>
        </w:rPr>
      </w:pPr>
      <w:r>
        <w:rPr>
          <w:rFonts w:eastAsia="Times New Roman"/>
          <w:color w:val="000000"/>
          <w:sz w:val="20"/>
          <w:szCs w:val="20"/>
        </w:rPr>
        <w:t>•potential review of the drug application by an FDA advisory committee, where appropriate and if appl</w:t>
      </w:r>
      <w:r>
        <w:rPr>
          <w:rFonts w:eastAsia="Times New Roman"/>
          <w:color w:val="000000"/>
          <w:sz w:val="20"/>
          <w:szCs w:val="20"/>
        </w:rPr>
        <w:t>icable;</w:t>
      </w:r>
    </w:p>
    <w:p w:rsidR="00000000" w:rsidRDefault="00DA1786">
      <w:pPr>
        <w:ind w:hanging="360"/>
        <w:jc w:val="both"/>
        <w:divId w:val="541866819"/>
        <w:rPr>
          <w:rFonts w:eastAsia="Times New Roman"/>
        </w:rPr>
      </w:pPr>
      <w:r>
        <w:rPr>
          <w:rFonts w:eastAsia="Times New Roman"/>
          <w:color w:val="000000"/>
          <w:sz w:val="20"/>
          <w:szCs w:val="20"/>
        </w:rPr>
        <w:t>•satisfactory completion of an FDA inspection of the manufacturing facility or facilities to assess compliance with current good manufacturing practices, cGMP, or regulations; and</w:t>
      </w:r>
    </w:p>
    <w:p w:rsidR="00000000" w:rsidRDefault="00DA1786">
      <w:pPr>
        <w:ind w:hanging="360"/>
        <w:jc w:val="both"/>
        <w:divId w:val="326790532"/>
        <w:rPr>
          <w:rFonts w:eastAsia="Times New Roman"/>
        </w:rPr>
      </w:pPr>
      <w:r>
        <w:rPr>
          <w:rFonts w:eastAsia="Times New Roman"/>
          <w:color w:val="000000"/>
          <w:sz w:val="20"/>
          <w:szCs w:val="20"/>
        </w:rPr>
        <w:t>•FDA review and approval of the NDA.</w:t>
      </w:r>
    </w:p>
    <w:p w:rsidR="00000000" w:rsidRDefault="00DA1786">
      <w:pPr>
        <w:jc w:val="both"/>
        <w:divId w:val="280188693"/>
        <w:rPr>
          <w:rFonts w:eastAsia="Times New Roman"/>
        </w:rPr>
      </w:pPr>
      <w:r>
        <w:rPr>
          <w:rFonts w:eastAsia="Times New Roman"/>
          <w:color w:val="000000"/>
          <w:sz w:val="20"/>
          <w:szCs w:val="20"/>
        </w:rPr>
        <w:t>It generally takes companies ma</w:t>
      </w:r>
      <w:r>
        <w:rPr>
          <w:rFonts w:eastAsia="Times New Roman"/>
          <w:color w:val="000000"/>
          <w:sz w:val="20"/>
          <w:szCs w:val="20"/>
        </w:rPr>
        <w:t xml:space="preserve">ny years to satisfy the FDA approval requirements, but this varies substantially based upon the type, complexity, and novelty of the drug or disease. Preclinical tests include laboratory evaluation of a drug’s chemistry, formulation, and toxicity, as well </w:t>
      </w:r>
      <w:r>
        <w:rPr>
          <w:rFonts w:eastAsia="Times New Roman"/>
          <w:color w:val="000000"/>
          <w:sz w:val="20"/>
          <w:szCs w:val="20"/>
        </w:rPr>
        <w:t>as animal trials to assess the characteristics and potential safety and efficacy of the drug. The conduct of the preclinical tests must comply with federal regulations and requirements, including GLP. The company submits the results of the preclinical test</w:t>
      </w:r>
      <w:r>
        <w:rPr>
          <w:rFonts w:eastAsia="Times New Roman"/>
          <w:color w:val="000000"/>
          <w:sz w:val="20"/>
          <w:szCs w:val="20"/>
        </w:rPr>
        <w:t>ing to the FDA as part of an IND along with other information, including information about the product drug’s chemistry, manufacturing and controls, and a proposed clinical study protocol. Long term preclinical tests, such as animal tests of reproductive t</w:t>
      </w:r>
      <w:r>
        <w:rPr>
          <w:rFonts w:eastAsia="Times New Roman"/>
          <w:color w:val="000000"/>
          <w:sz w:val="20"/>
          <w:szCs w:val="20"/>
        </w:rPr>
        <w:t>oxicity and carcinogenicity, are generally conducted after submitting the initial IND.</w:t>
      </w:r>
    </w:p>
    <w:p w:rsidR="00000000" w:rsidRDefault="00DA1786">
      <w:pPr>
        <w:jc w:val="both"/>
        <w:divId w:val="1885437421"/>
        <w:rPr>
          <w:rFonts w:eastAsia="Times New Roman"/>
        </w:rPr>
      </w:pPr>
      <w:r>
        <w:rPr>
          <w:rFonts w:eastAsia="Times New Roman"/>
          <w:color w:val="000000"/>
          <w:sz w:val="20"/>
          <w:szCs w:val="20"/>
        </w:rPr>
        <w:t>The FDA requires a 30-day waiting period after the submission of each IND before the company can begin clinical testing in humans in the United States. The FDA may, with</w:t>
      </w:r>
      <w:r>
        <w:rPr>
          <w:rFonts w:eastAsia="Times New Roman"/>
          <w:color w:val="000000"/>
          <w:sz w:val="20"/>
          <w:szCs w:val="20"/>
        </w:rPr>
        <w:t xml:space="preserve">in the 30-day time period, raise concerns or questions relating to one or more </w:t>
      </w:r>
    </w:p>
    <w:p w:rsidR="00000000" w:rsidRDefault="00DA1786">
      <w:pPr>
        <w:ind w:firstLine="720"/>
        <w:jc w:val="center"/>
        <w:divId w:val="661397096"/>
        <w:rPr>
          <w:rFonts w:eastAsia="Times New Roman"/>
        </w:rPr>
      </w:pPr>
      <w:r>
        <w:rPr>
          <w:rFonts w:eastAsia="Times New Roman"/>
          <w:color w:val="000000"/>
          <w:sz w:val="20"/>
          <w:szCs w:val="20"/>
        </w:rPr>
        <w:t>8</w:t>
      </w:r>
    </w:p>
    <w:p w:rsidR="00000000" w:rsidRDefault="00DA1786">
      <w:pPr>
        <w:rPr>
          <w:rFonts w:eastAsia="Times New Roman"/>
        </w:rPr>
      </w:pPr>
      <w:r>
        <w:rPr>
          <w:rFonts w:eastAsia="Times New Roman"/>
        </w:rPr>
        <w:pict>
          <v:rect id="_x0000_i1033" style="width:0;height:1.5pt" o:hralign="center" o:hrstd="t" o:hr="t" fillcolor="#a0a0a0" stroked="f"/>
        </w:pict>
      </w:r>
    </w:p>
    <w:p w:rsidR="00000000" w:rsidRDefault="00DA1786">
      <w:pPr>
        <w:divId w:val="60299570"/>
        <w:rPr>
          <w:rFonts w:eastAsia="Times New Roman"/>
        </w:rPr>
      </w:pPr>
    </w:p>
    <w:p w:rsidR="00000000" w:rsidRDefault="00DA1786">
      <w:pPr>
        <w:jc w:val="both"/>
        <w:divId w:val="689913617"/>
        <w:rPr>
          <w:rFonts w:eastAsia="Times New Roman"/>
        </w:rPr>
      </w:pPr>
      <w:r>
        <w:rPr>
          <w:rFonts w:eastAsia="Times New Roman"/>
          <w:color w:val="000000"/>
          <w:sz w:val="20"/>
          <w:szCs w:val="20"/>
        </w:rPr>
        <w:t>proposed clinical studies and place the study on a clinical hold. In such a case, the company and the FDA must resolve any outstanding c</w:t>
      </w:r>
      <w:r>
        <w:rPr>
          <w:rFonts w:eastAsia="Times New Roman"/>
          <w:color w:val="000000"/>
          <w:sz w:val="20"/>
          <w:szCs w:val="20"/>
        </w:rPr>
        <w:t>oncerns before the company begins the clinical study. Accordingly, the content of an IND submission may or may not be sufficient for the FDA to permit the sponsor to start a clinical study. The company must also make a separate submission to an existing IN</w:t>
      </w:r>
      <w:r>
        <w:rPr>
          <w:rFonts w:eastAsia="Times New Roman"/>
          <w:color w:val="000000"/>
          <w:sz w:val="20"/>
          <w:szCs w:val="20"/>
        </w:rPr>
        <w:t>D for each successive clinical study conducted in the U.S. during drug development.</w:t>
      </w:r>
    </w:p>
    <w:p w:rsidR="00000000" w:rsidRDefault="00DA1786">
      <w:pPr>
        <w:divId w:val="404494450"/>
        <w:rPr>
          <w:rFonts w:eastAsia="Times New Roman"/>
        </w:rPr>
      </w:pPr>
      <w:r>
        <w:rPr>
          <w:rFonts w:eastAsia="Times New Roman"/>
          <w:b/>
          <w:bCs/>
          <w:i/>
          <w:iCs/>
          <w:color w:val="000000"/>
          <w:sz w:val="20"/>
          <w:szCs w:val="20"/>
        </w:rPr>
        <w:t>Clinical studies</w:t>
      </w:r>
    </w:p>
    <w:p w:rsidR="00000000" w:rsidRDefault="00DA1786">
      <w:pPr>
        <w:jc w:val="both"/>
        <w:divId w:val="1872066722"/>
        <w:rPr>
          <w:rFonts w:eastAsia="Times New Roman"/>
        </w:rPr>
      </w:pPr>
      <w:r>
        <w:rPr>
          <w:rFonts w:eastAsia="Times New Roman"/>
          <w:color w:val="000000"/>
          <w:sz w:val="20"/>
          <w:szCs w:val="20"/>
        </w:rPr>
        <w:t>Clinical studies involve administering the investigational new drug to healthy volunteers or patients under the supervision of a qualified investigator. Th</w:t>
      </w:r>
      <w:r>
        <w:rPr>
          <w:rFonts w:eastAsia="Times New Roman"/>
          <w:color w:val="000000"/>
          <w:sz w:val="20"/>
          <w:szCs w:val="20"/>
        </w:rPr>
        <w:t>e company must conduct clinical studies:</w:t>
      </w:r>
    </w:p>
    <w:p w:rsidR="00000000" w:rsidRDefault="00DA1786">
      <w:pPr>
        <w:ind w:hanging="360"/>
        <w:jc w:val="both"/>
        <w:divId w:val="396125731"/>
        <w:rPr>
          <w:rFonts w:eastAsia="Times New Roman"/>
        </w:rPr>
      </w:pPr>
      <w:r>
        <w:rPr>
          <w:rFonts w:eastAsia="Times New Roman"/>
          <w:color w:val="000000"/>
          <w:sz w:val="20"/>
          <w:szCs w:val="20"/>
        </w:rPr>
        <w:t>•in compliance with federal regulations;</w:t>
      </w:r>
    </w:p>
    <w:p w:rsidR="00000000" w:rsidRDefault="00DA1786">
      <w:pPr>
        <w:ind w:hanging="360"/>
        <w:jc w:val="both"/>
        <w:divId w:val="60174273"/>
        <w:rPr>
          <w:rFonts w:eastAsia="Times New Roman"/>
        </w:rPr>
      </w:pPr>
      <w:r>
        <w:rPr>
          <w:rFonts w:eastAsia="Times New Roman"/>
          <w:color w:val="000000"/>
          <w:sz w:val="20"/>
          <w:szCs w:val="20"/>
        </w:rPr>
        <w:t>•</w:t>
      </w:r>
      <w:r>
        <w:rPr>
          <w:rFonts w:eastAsia="Times New Roman"/>
          <w:color w:val="000000"/>
          <w:sz w:val="20"/>
          <w:szCs w:val="20"/>
        </w:rPr>
        <w:t>in compliance with good clinical practice, or GCP, an international standard meant to protect the rights and health of patients and to define the roles of clinical study sponsors, administrators, and monitors; as well as</w:t>
      </w:r>
    </w:p>
    <w:p w:rsidR="00000000" w:rsidRDefault="00DA1786">
      <w:pPr>
        <w:ind w:hanging="360"/>
        <w:jc w:val="both"/>
        <w:divId w:val="474183618"/>
        <w:rPr>
          <w:rFonts w:eastAsia="Times New Roman"/>
        </w:rPr>
      </w:pPr>
      <w:r>
        <w:rPr>
          <w:rFonts w:eastAsia="Times New Roman"/>
          <w:color w:val="000000"/>
          <w:sz w:val="20"/>
          <w:szCs w:val="20"/>
        </w:rPr>
        <w:t>•under protocols detailing the obje</w:t>
      </w:r>
      <w:r>
        <w:rPr>
          <w:rFonts w:eastAsia="Times New Roman"/>
          <w:color w:val="000000"/>
          <w:sz w:val="20"/>
          <w:szCs w:val="20"/>
        </w:rPr>
        <w:t>ctives of the trial, the safety monitoring parameters, and the effectiveness criteria.</w:t>
      </w:r>
    </w:p>
    <w:p w:rsidR="00000000" w:rsidRDefault="00DA1786">
      <w:pPr>
        <w:jc w:val="both"/>
        <w:divId w:val="186793743"/>
        <w:rPr>
          <w:rFonts w:eastAsia="Times New Roman"/>
        </w:rPr>
      </w:pPr>
      <w:r>
        <w:rPr>
          <w:rFonts w:eastAsia="Times New Roman"/>
          <w:color w:val="000000"/>
          <w:sz w:val="20"/>
          <w:szCs w:val="20"/>
        </w:rPr>
        <w:t>The company must submit each protocol involving testing on United States patients and subsequent protocol amendments to the FDA as part of the IND. The FDA may order the</w:t>
      </w:r>
      <w:r>
        <w:rPr>
          <w:rFonts w:eastAsia="Times New Roman"/>
          <w:color w:val="000000"/>
          <w:sz w:val="20"/>
          <w:szCs w:val="20"/>
        </w:rPr>
        <w:t xml:space="preserve"> temporary, or permanent, discontinuation of a clinical study at any time, or impose other sanctions, if it believes that the sponsor is not conducting the clinical study in accordance with FDA requirements or presents an unacceptable risk to the clinical </w:t>
      </w:r>
      <w:r>
        <w:rPr>
          <w:rFonts w:eastAsia="Times New Roman"/>
          <w:color w:val="000000"/>
          <w:sz w:val="20"/>
          <w:szCs w:val="20"/>
        </w:rPr>
        <w:t>study patients. The sponsor must also submit the study protocol and informed consent information for patients in clinical studies to an institutional review board for approval. An IRB may halt the clinical study, either temporarily or permanently, for fail</w:t>
      </w:r>
      <w:r>
        <w:rPr>
          <w:rFonts w:eastAsia="Times New Roman"/>
          <w:color w:val="000000"/>
          <w:sz w:val="20"/>
          <w:szCs w:val="20"/>
        </w:rPr>
        <w:t>ure to comply with the IRB’s requirements, or may impose other conditions.</w:t>
      </w:r>
    </w:p>
    <w:p w:rsidR="00000000" w:rsidRDefault="00DA1786">
      <w:pPr>
        <w:jc w:val="both"/>
        <w:divId w:val="1081023073"/>
        <w:rPr>
          <w:rFonts w:eastAsia="Times New Roman"/>
        </w:rPr>
      </w:pPr>
      <w:r>
        <w:rPr>
          <w:rFonts w:eastAsia="Times New Roman"/>
          <w:color w:val="000000"/>
          <w:sz w:val="20"/>
          <w:szCs w:val="20"/>
        </w:rPr>
        <w:t>Companies generally divide the clinical investigation of a drug into three or four phases. While companies usually conduct these phases sequentially, they are sometimes overlapped o</w:t>
      </w:r>
      <w:r>
        <w:rPr>
          <w:rFonts w:eastAsia="Times New Roman"/>
          <w:color w:val="000000"/>
          <w:sz w:val="20"/>
          <w:szCs w:val="20"/>
        </w:rPr>
        <w:t>r combined.</w:t>
      </w:r>
    </w:p>
    <w:p w:rsidR="00000000" w:rsidRDefault="00DA1786">
      <w:pPr>
        <w:ind w:hanging="360"/>
        <w:jc w:val="both"/>
        <w:divId w:val="2013295783"/>
        <w:rPr>
          <w:rFonts w:eastAsia="Times New Roman"/>
        </w:rPr>
      </w:pPr>
      <w:r>
        <w:rPr>
          <w:rFonts w:eastAsia="Times New Roman"/>
          <w:color w:val="000000"/>
          <w:sz w:val="20"/>
          <w:szCs w:val="20"/>
        </w:rPr>
        <w:t>•</w:t>
      </w:r>
      <w:r>
        <w:rPr>
          <w:rFonts w:eastAsia="Times New Roman"/>
          <w:i/>
          <w:iCs/>
          <w:color w:val="000000"/>
          <w:sz w:val="20"/>
          <w:szCs w:val="20"/>
        </w:rPr>
        <w:t>Phase 1.</w:t>
      </w:r>
      <w:r>
        <w:rPr>
          <w:rFonts w:eastAsia="Times New Roman"/>
          <w:color w:val="000000"/>
          <w:sz w:val="20"/>
          <w:szCs w:val="20"/>
        </w:rPr>
        <w:t xml:space="preserve"> The company evaluates the drug in healthy human subjects or patients with the target disease or condition. These studies typically evaluate the safety, dosage tolerance, metabolism and pharmacologic actions of the investigational new </w:t>
      </w:r>
      <w:r>
        <w:rPr>
          <w:rFonts w:eastAsia="Times New Roman"/>
          <w:color w:val="000000"/>
          <w:sz w:val="20"/>
          <w:szCs w:val="20"/>
        </w:rPr>
        <w:t>drug in humans, the side effects associated with increasing doses, and if possible, gain early evidence on effectiveness.</w:t>
      </w:r>
    </w:p>
    <w:p w:rsidR="00000000" w:rsidRDefault="00DA1786">
      <w:pPr>
        <w:ind w:hanging="360"/>
        <w:jc w:val="both"/>
        <w:divId w:val="1751392288"/>
        <w:rPr>
          <w:rFonts w:eastAsia="Times New Roman"/>
        </w:rPr>
      </w:pPr>
      <w:r>
        <w:rPr>
          <w:rFonts w:eastAsia="Times New Roman"/>
          <w:color w:val="000000"/>
          <w:sz w:val="20"/>
          <w:szCs w:val="20"/>
        </w:rPr>
        <w:t>•</w:t>
      </w:r>
      <w:r>
        <w:rPr>
          <w:rFonts w:eastAsia="Times New Roman"/>
          <w:i/>
          <w:iCs/>
          <w:color w:val="000000"/>
          <w:sz w:val="20"/>
          <w:szCs w:val="20"/>
        </w:rPr>
        <w:t>Phase 2.</w:t>
      </w:r>
      <w:r>
        <w:rPr>
          <w:rFonts w:eastAsia="Times New Roman"/>
          <w:color w:val="000000"/>
          <w:sz w:val="20"/>
          <w:szCs w:val="20"/>
        </w:rPr>
        <w:t xml:space="preserve"> The company administers the drug to a limited patient population to evaluate dosage tolerance and optimal dosage, identify p</w:t>
      </w:r>
      <w:r>
        <w:rPr>
          <w:rFonts w:eastAsia="Times New Roman"/>
          <w:color w:val="000000"/>
          <w:sz w:val="20"/>
          <w:szCs w:val="20"/>
        </w:rPr>
        <w:t>ossible adverse side effects and safety risks, and preliminarily evaluate efficacy.</w:t>
      </w:r>
    </w:p>
    <w:p w:rsidR="00000000" w:rsidRDefault="00DA1786">
      <w:pPr>
        <w:ind w:hanging="360"/>
        <w:jc w:val="both"/>
        <w:divId w:val="1786925597"/>
        <w:rPr>
          <w:rFonts w:eastAsia="Times New Roman"/>
        </w:rPr>
      </w:pPr>
      <w:r>
        <w:rPr>
          <w:rFonts w:eastAsia="Times New Roman"/>
          <w:color w:val="000000"/>
          <w:sz w:val="20"/>
          <w:szCs w:val="20"/>
        </w:rPr>
        <w:t>•</w:t>
      </w:r>
      <w:r>
        <w:rPr>
          <w:rFonts w:eastAsia="Times New Roman"/>
          <w:i/>
          <w:iCs/>
          <w:color w:val="000000"/>
          <w:sz w:val="20"/>
          <w:szCs w:val="20"/>
        </w:rPr>
        <w:t>Phase 3.</w:t>
      </w:r>
      <w:r>
        <w:rPr>
          <w:rFonts w:eastAsia="Times New Roman"/>
          <w:color w:val="000000"/>
          <w:sz w:val="20"/>
          <w:szCs w:val="20"/>
        </w:rPr>
        <w:t xml:space="preserve"> The company administers the drug to an expanded patient population, generally at geographically dispersed clinical study sites, to generate enough data to statist</w:t>
      </w:r>
      <w:r>
        <w:rPr>
          <w:rFonts w:eastAsia="Times New Roman"/>
          <w:color w:val="000000"/>
          <w:sz w:val="20"/>
          <w:szCs w:val="20"/>
        </w:rPr>
        <w:t>ically evaluate dosage, clinical effectiveness and safety, to establish the overall benefit-risk relationship of the investigational drug, and to provide an adequate basis for product approval.</w:t>
      </w:r>
    </w:p>
    <w:p w:rsidR="00000000" w:rsidRDefault="00DA1786">
      <w:pPr>
        <w:ind w:hanging="360"/>
        <w:jc w:val="both"/>
        <w:divId w:val="896816850"/>
        <w:rPr>
          <w:rFonts w:eastAsia="Times New Roman"/>
        </w:rPr>
      </w:pPr>
      <w:r>
        <w:rPr>
          <w:rFonts w:eastAsia="Times New Roman"/>
          <w:color w:val="000000"/>
          <w:sz w:val="20"/>
          <w:szCs w:val="20"/>
        </w:rPr>
        <w:t>•</w:t>
      </w:r>
      <w:r>
        <w:rPr>
          <w:rFonts w:eastAsia="Times New Roman"/>
          <w:i/>
          <w:iCs/>
          <w:color w:val="000000"/>
          <w:sz w:val="20"/>
          <w:szCs w:val="20"/>
        </w:rPr>
        <w:t>Phase 4.</w:t>
      </w:r>
      <w:r>
        <w:rPr>
          <w:rFonts w:eastAsia="Times New Roman"/>
          <w:color w:val="000000"/>
          <w:sz w:val="20"/>
          <w:szCs w:val="20"/>
        </w:rPr>
        <w:t xml:space="preserve"> In some cases, the FDA may condition approval of an </w:t>
      </w:r>
      <w:r>
        <w:rPr>
          <w:rFonts w:eastAsia="Times New Roman"/>
          <w:color w:val="000000"/>
          <w:sz w:val="20"/>
          <w:szCs w:val="20"/>
        </w:rPr>
        <w:t>NDA for a drug on the company’s agreement to conduct additional clinical studies after approval. In other cases, a sponsor may voluntarily conduct additional clinical studies after approval to gain more information about the drug. We typically refer to suc</w:t>
      </w:r>
      <w:r>
        <w:rPr>
          <w:rFonts w:eastAsia="Times New Roman"/>
          <w:color w:val="000000"/>
          <w:sz w:val="20"/>
          <w:szCs w:val="20"/>
        </w:rPr>
        <w:t>h post-approval studies as Phase 4 clinical studies.</w:t>
      </w:r>
    </w:p>
    <w:p w:rsidR="00000000" w:rsidRDefault="00DA1786">
      <w:pPr>
        <w:jc w:val="both"/>
        <w:divId w:val="1623340187"/>
        <w:rPr>
          <w:rFonts w:eastAsia="Times New Roman"/>
        </w:rPr>
      </w:pPr>
      <w:r>
        <w:rPr>
          <w:rFonts w:eastAsia="Times New Roman"/>
          <w:color w:val="000000"/>
          <w:sz w:val="20"/>
          <w:szCs w:val="20"/>
        </w:rPr>
        <w:t>A pivotal study is a clinical study that adequately meets regulatory agency requirements to evaluate a drug’s efficacy and safety to justify the approval of the drug. Generally, pivotal studies are Phase</w:t>
      </w:r>
      <w:r>
        <w:rPr>
          <w:rFonts w:eastAsia="Times New Roman"/>
          <w:color w:val="000000"/>
          <w:sz w:val="20"/>
          <w:szCs w:val="20"/>
        </w:rPr>
        <w:t xml:space="preserve"> 3 studies, but the FDA may accept results from Phase 2 studies if the study design provides a well controlled and reliable assessment of clinical benefit, particularly in situations in which there is an unmet medical need and the results are sufficiently </w:t>
      </w:r>
      <w:r>
        <w:rPr>
          <w:rFonts w:eastAsia="Times New Roman"/>
          <w:color w:val="000000"/>
          <w:sz w:val="20"/>
          <w:szCs w:val="20"/>
        </w:rPr>
        <w:t>robust.</w:t>
      </w:r>
    </w:p>
    <w:p w:rsidR="00000000" w:rsidRDefault="00DA1786">
      <w:pPr>
        <w:jc w:val="both"/>
        <w:divId w:val="625237926"/>
        <w:rPr>
          <w:rFonts w:eastAsia="Times New Roman"/>
        </w:rPr>
      </w:pPr>
      <w:r>
        <w:rPr>
          <w:rFonts w:eastAsia="Times New Roman"/>
          <w:color w:val="000000"/>
          <w:sz w:val="20"/>
          <w:szCs w:val="20"/>
        </w:rPr>
        <w:t xml:space="preserve">The FDA, the IRB, or the clinical study sponsor may suspend or terminate a clinical study at any time on various grounds, including a finding that the research subjects are being exposed to an unacceptable health risk. Additionally, an independent </w:t>
      </w:r>
      <w:r>
        <w:rPr>
          <w:rFonts w:eastAsia="Times New Roman"/>
          <w:color w:val="000000"/>
          <w:sz w:val="20"/>
          <w:szCs w:val="20"/>
        </w:rPr>
        <w:t>group of qualified experts organized by the clinical study sponsor, known as a data safety monitoring board or committee, may oversee some clinical studies. This group provides authorization for whether or not a study may move forward at designated checkpo</w:t>
      </w:r>
      <w:r>
        <w:rPr>
          <w:rFonts w:eastAsia="Times New Roman"/>
          <w:color w:val="000000"/>
          <w:sz w:val="20"/>
          <w:szCs w:val="20"/>
        </w:rPr>
        <w:t>ints based on access to certain data from the study. We may also suspend or terminate a clinical study based on evolving business objectives and the competitive climate.</w:t>
      </w:r>
    </w:p>
    <w:p w:rsidR="00000000" w:rsidRDefault="00DA1786">
      <w:pPr>
        <w:divId w:val="254170269"/>
        <w:rPr>
          <w:rFonts w:eastAsia="Times New Roman"/>
        </w:rPr>
      </w:pPr>
    </w:p>
    <w:p w:rsidR="00000000" w:rsidRDefault="00DA1786">
      <w:pPr>
        <w:ind w:firstLine="720"/>
        <w:jc w:val="center"/>
        <w:divId w:val="799883510"/>
        <w:rPr>
          <w:rFonts w:eastAsia="Times New Roman"/>
        </w:rPr>
      </w:pPr>
      <w:r>
        <w:rPr>
          <w:rFonts w:eastAsia="Times New Roman"/>
          <w:color w:val="000000"/>
          <w:sz w:val="20"/>
          <w:szCs w:val="20"/>
        </w:rPr>
        <w:t>9</w:t>
      </w:r>
    </w:p>
    <w:p w:rsidR="00000000" w:rsidRDefault="00DA1786">
      <w:pPr>
        <w:rPr>
          <w:rFonts w:eastAsia="Times New Roman"/>
        </w:rPr>
      </w:pPr>
      <w:r>
        <w:rPr>
          <w:rFonts w:eastAsia="Times New Roman"/>
        </w:rPr>
        <w:pict>
          <v:rect id="_x0000_i1034" style="width:0;height:1.5pt" o:hralign="center" o:hrstd="t" o:hr="t" fillcolor="#a0a0a0" stroked="f"/>
        </w:pict>
      </w:r>
    </w:p>
    <w:p w:rsidR="00000000" w:rsidRDefault="00DA1786">
      <w:pPr>
        <w:divId w:val="926767632"/>
        <w:rPr>
          <w:rFonts w:eastAsia="Times New Roman"/>
        </w:rPr>
      </w:pPr>
    </w:p>
    <w:p w:rsidR="00000000" w:rsidRDefault="00DA1786">
      <w:pPr>
        <w:divId w:val="254554366"/>
        <w:rPr>
          <w:rFonts w:eastAsia="Times New Roman"/>
        </w:rPr>
      </w:pPr>
      <w:r>
        <w:rPr>
          <w:rFonts w:eastAsia="Times New Roman"/>
          <w:b/>
          <w:bCs/>
          <w:i/>
          <w:iCs/>
          <w:color w:val="000000"/>
          <w:sz w:val="20"/>
          <w:szCs w:val="20"/>
        </w:rPr>
        <w:t>Submission of an NDA</w:t>
      </w:r>
    </w:p>
    <w:p w:rsidR="00000000" w:rsidRDefault="00DA1786">
      <w:pPr>
        <w:jc w:val="both"/>
        <w:divId w:val="614870308"/>
        <w:rPr>
          <w:rFonts w:eastAsia="Times New Roman"/>
        </w:rPr>
      </w:pPr>
      <w:r>
        <w:rPr>
          <w:rFonts w:eastAsia="Times New Roman"/>
          <w:color w:val="000000"/>
          <w:sz w:val="20"/>
          <w:szCs w:val="20"/>
        </w:rPr>
        <w:t>After a company complet</w:t>
      </w:r>
      <w:r>
        <w:rPr>
          <w:rFonts w:eastAsia="Times New Roman"/>
          <w:color w:val="000000"/>
          <w:sz w:val="20"/>
          <w:szCs w:val="20"/>
        </w:rPr>
        <w:t>es the required clinical testing, it can prepare and submit an NDA to the FDA, who must approve the NDA before it can start marketing the drug in the United States. An NDA must include all relevant data available from pertinent preclinical and clinical stu</w:t>
      </w:r>
      <w:r>
        <w:rPr>
          <w:rFonts w:eastAsia="Times New Roman"/>
          <w:color w:val="000000"/>
          <w:sz w:val="20"/>
          <w:szCs w:val="20"/>
        </w:rPr>
        <w:t>dies, including negative or ambiguous results as well as positive findings, together with detailed information relating to the drug’s chemistry, manufacturing, controls, and proposed labeling, among other things. Data can come from company-sponsored clinic</w:t>
      </w:r>
      <w:r>
        <w:rPr>
          <w:rFonts w:eastAsia="Times New Roman"/>
          <w:color w:val="000000"/>
          <w:sz w:val="20"/>
          <w:szCs w:val="20"/>
        </w:rPr>
        <w:t>al studies on a drug, or from a number of alternative sources, including studies initiated by investigators or studies not conducted under a U.S. IND. To support marketing authorization, the data we submit must be sufficient in quality and quantity to esta</w:t>
      </w:r>
      <w:r>
        <w:rPr>
          <w:rFonts w:eastAsia="Times New Roman"/>
          <w:color w:val="000000"/>
          <w:sz w:val="20"/>
          <w:szCs w:val="20"/>
        </w:rPr>
        <w:t>blish the safety and effectiveness of the investigational drug to the FDA’s satisfaction.</w:t>
      </w:r>
    </w:p>
    <w:p w:rsidR="00000000" w:rsidRDefault="00DA1786">
      <w:pPr>
        <w:jc w:val="both"/>
        <w:divId w:val="1461218089"/>
        <w:rPr>
          <w:rFonts w:eastAsia="Times New Roman"/>
        </w:rPr>
      </w:pPr>
      <w:r>
        <w:rPr>
          <w:rFonts w:eastAsia="Times New Roman"/>
          <w:color w:val="000000"/>
          <w:sz w:val="20"/>
          <w:szCs w:val="20"/>
        </w:rPr>
        <w:t>The cost of preparing and submitting an NDA is substantial. The submission of most NDAs is additionally subject to a substantial application user fee, and the manufac</w:t>
      </w:r>
      <w:r>
        <w:rPr>
          <w:rFonts w:eastAsia="Times New Roman"/>
          <w:color w:val="000000"/>
          <w:sz w:val="20"/>
          <w:szCs w:val="20"/>
        </w:rPr>
        <w:t>turer and/or sponsor under an approved new drug application are also subject to annual program user fees. The FDA typically increases these fees annually. Orphan drug designation entitles a party to financial incentives such as opportunities for grant fund</w:t>
      </w:r>
      <w:r>
        <w:rPr>
          <w:rFonts w:eastAsia="Times New Roman"/>
          <w:color w:val="000000"/>
          <w:sz w:val="20"/>
          <w:szCs w:val="20"/>
        </w:rPr>
        <w:t>ing towards clinical study costs, tax advantages, and user-fee waivers.</w:t>
      </w:r>
    </w:p>
    <w:p w:rsidR="00000000" w:rsidRDefault="00DA1786">
      <w:pPr>
        <w:jc w:val="both"/>
        <w:divId w:val="489637983"/>
        <w:rPr>
          <w:rFonts w:eastAsia="Times New Roman"/>
        </w:rPr>
      </w:pPr>
      <w:r>
        <w:rPr>
          <w:rFonts w:eastAsia="Times New Roman"/>
          <w:color w:val="000000"/>
          <w:sz w:val="20"/>
          <w:szCs w:val="20"/>
        </w:rPr>
        <w:t>The FDA has 60 days from its receipt of an NDA to determine whether it will accept the application for filing based on the agency’</w:t>
      </w:r>
      <w:r>
        <w:rPr>
          <w:rFonts w:eastAsia="Times New Roman"/>
          <w:color w:val="000000"/>
          <w:sz w:val="20"/>
          <w:szCs w:val="20"/>
        </w:rPr>
        <w:t>s threshold determination that the application is sufficiently complete to permit substantive review. Once the FDA accepts the filing, the FDA begins an in-depth review. The FDA has agreed to certain performance goals in the review of NDAs. Under the Presc</w:t>
      </w:r>
      <w:r>
        <w:rPr>
          <w:rFonts w:eastAsia="Times New Roman"/>
          <w:color w:val="000000"/>
          <w:sz w:val="20"/>
          <w:szCs w:val="20"/>
        </w:rPr>
        <w:t>ription Drug User Fee Act, the FDA has a goal of responding to standard review NDAs within ten months after the 60-day filing review period, but this timeframe may be extended. The FDA reviews most applications for standard review drugs within ten to 12 mo</w:t>
      </w:r>
      <w:r>
        <w:rPr>
          <w:rFonts w:eastAsia="Times New Roman"/>
          <w:color w:val="000000"/>
          <w:sz w:val="20"/>
          <w:szCs w:val="20"/>
        </w:rPr>
        <w:t>nths and most applications for priority review drugs within six to eight months. Priority review can be applied to drugs that the FDA determines offer major advances in treatment, or provide a treatment where no adequate therapy exists.</w:t>
      </w:r>
    </w:p>
    <w:p w:rsidR="00000000" w:rsidRDefault="00DA1786">
      <w:pPr>
        <w:jc w:val="both"/>
        <w:divId w:val="9722480"/>
        <w:rPr>
          <w:rFonts w:eastAsia="Times New Roman"/>
        </w:rPr>
      </w:pPr>
      <w:r>
        <w:rPr>
          <w:rFonts w:eastAsia="Times New Roman"/>
          <w:color w:val="000000"/>
          <w:sz w:val="20"/>
          <w:szCs w:val="20"/>
        </w:rPr>
        <w:t>The FDA may also re</w:t>
      </w:r>
      <w:r>
        <w:rPr>
          <w:rFonts w:eastAsia="Times New Roman"/>
          <w:color w:val="000000"/>
          <w:sz w:val="20"/>
          <w:szCs w:val="20"/>
        </w:rPr>
        <w:t>fer applications for novel drugs that present difficult questions of safety or efficacy, to an advisory committee. This is typically a panel that includes clinicians and other experts that will review, evaluate, and recommend whether the FDA should approve</w:t>
      </w:r>
      <w:r>
        <w:rPr>
          <w:rFonts w:eastAsia="Times New Roman"/>
          <w:color w:val="000000"/>
          <w:sz w:val="20"/>
          <w:szCs w:val="20"/>
        </w:rPr>
        <w:t xml:space="preserve"> the application. The FDA is not bound by the recommendation of an advisory committee, but it generally follows such recommendations. Before approving an NDA, the FDA will typically inspect one or more clinical sites to assure compliance with GCP, and will</w:t>
      </w:r>
      <w:r>
        <w:rPr>
          <w:rFonts w:eastAsia="Times New Roman"/>
          <w:color w:val="000000"/>
          <w:sz w:val="20"/>
          <w:szCs w:val="20"/>
        </w:rPr>
        <w:t xml:space="preserve"> inspect the facility or the facilities at which the drug is manufactured. The FDA will not approve the drug unless compliance with cGMP is satisfactory and the NDA contains data that provide evidence that the drug is safe and effective in the indication s</w:t>
      </w:r>
      <w:r>
        <w:rPr>
          <w:rFonts w:eastAsia="Times New Roman"/>
          <w:color w:val="000000"/>
          <w:sz w:val="20"/>
          <w:szCs w:val="20"/>
        </w:rPr>
        <w:t>tudied.</w:t>
      </w:r>
    </w:p>
    <w:p w:rsidR="00000000" w:rsidRDefault="00DA1786">
      <w:pPr>
        <w:divId w:val="806320399"/>
        <w:rPr>
          <w:rFonts w:eastAsia="Times New Roman"/>
        </w:rPr>
      </w:pPr>
      <w:r>
        <w:rPr>
          <w:rFonts w:eastAsia="Times New Roman"/>
          <w:b/>
          <w:bCs/>
          <w:i/>
          <w:iCs/>
          <w:color w:val="000000"/>
          <w:sz w:val="20"/>
          <w:szCs w:val="20"/>
        </w:rPr>
        <w:t>The FDA’s decision on an NDA</w:t>
      </w:r>
    </w:p>
    <w:p w:rsidR="00000000" w:rsidRDefault="00DA1786">
      <w:pPr>
        <w:jc w:val="both"/>
        <w:divId w:val="1450515584"/>
        <w:rPr>
          <w:rFonts w:eastAsia="Times New Roman"/>
        </w:rPr>
      </w:pPr>
      <w:r>
        <w:rPr>
          <w:rFonts w:eastAsia="Times New Roman"/>
          <w:color w:val="000000"/>
          <w:sz w:val="20"/>
          <w:szCs w:val="20"/>
        </w:rPr>
        <w:t>After the FDA evaluates the NDA and the manufacturing facilities, it issues either an approval letter or a complete response letter. A complete response letter indicates that the FDA has completed its review of the appl</w:t>
      </w:r>
      <w:r>
        <w:rPr>
          <w:rFonts w:eastAsia="Times New Roman"/>
          <w:color w:val="000000"/>
          <w:sz w:val="20"/>
          <w:szCs w:val="20"/>
        </w:rPr>
        <w:t>ication, and the agency has determined that it will not approve the application in its present form. A complete response letter generally outlines the deficiencies in the submission and may require substantial additional clinical data and/or other signific</w:t>
      </w:r>
      <w:r>
        <w:rPr>
          <w:rFonts w:eastAsia="Times New Roman"/>
          <w:color w:val="000000"/>
          <w:sz w:val="20"/>
          <w:szCs w:val="20"/>
        </w:rPr>
        <w:t>ant, expensive, and time-consuming requirements related to clinical studies, preclinical studies and/or manufacturing. The FDA has committed to reviewing resubmissions of the NDA addressing such deficiencies in two or six months, depending on the type of i</w:t>
      </w:r>
      <w:r>
        <w:rPr>
          <w:rFonts w:eastAsia="Times New Roman"/>
          <w:color w:val="000000"/>
          <w:sz w:val="20"/>
          <w:szCs w:val="20"/>
        </w:rPr>
        <w:t>nformation included. Even if we submit such data, the FDA may ultimately decide that the NDA does not satisfy the criteria for approval. Also, the government may establish additional requirements, including those resulting from new legislation, or the FDA’</w:t>
      </w:r>
      <w:r>
        <w:rPr>
          <w:rFonts w:eastAsia="Times New Roman"/>
          <w:color w:val="000000"/>
          <w:sz w:val="20"/>
          <w:szCs w:val="20"/>
        </w:rPr>
        <w:t>s policies may change, which could delay or prevent regulatory approval of our drugs under development.</w:t>
      </w:r>
    </w:p>
    <w:p w:rsidR="00000000" w:rsidRDefault="00DA1786">
      <w:pPr>
        <w:jc w:val="both"/>
        <w:divId w:val="1626887639"/>
        <w:rPr>
          <w:rFonts w:eastAsia="Times New Roman"/>
        </w:rPr>
      </w:pPr>
      <w:r>
        <w:rPr>
          <w:rFonts w:eastAsia="Times New Roman"/>
          <w:color w:val="000000"/>
          <w:sz w:val="20"/>
          <w:szCs w:val="20"/>
        </w:rPr>
        <w:t>An approval letter authorizes commercial marketing of the drug with specific prescribing information for specific indications. As a condition of NDA app</w:t>
      </w:r>
      <w:r>
        <w:rPr>
          <w:rFonts w:eastAsia="Times New Roman"/>
          <w:color w:val="000000"/>
          <w:sz w:val="20"/>
          <w:szCs w:val="20"/>
        </w:rPr>
        <w:t>roval, the FDA may require a risk evaluation and mitigation strategy, or REMS, to help ensure that the benefits of the drug outweigh the potential risks. REMS can include communication plans for healthcare professionals, special training or certification f</w:t>
      </w:r>
      <w:r>
        <w:rPr>
          <w:rFonts w:eastAsia="Times New Roman"/>
          <w:color w:val="000000"/>
          <w:sz w:val="20"/>
          <w:szCs w:val="20"/>
        </w:rPr>
        <w:t>or prescribing or dispensing, dispensing only under certain circumstances, special monitoring, and the use of patient registries. The requirement for REMS can materially affect the potential market and profitability of the drug. Moreover, the FDA may condi</w:t>
      </w:r>
      <w:r>
        <w:rPr>
          <w:rFonts w:eastAsia="Times New Roman"/>
          <w:color w:val="000000"/>
          <w:sz w:val="20"/>
          <w:szCs w:val="20"/>
        </w:rPr>
        <w:t>tion approval on substantial post-approval testing and surveillance to monitor the drug’s safety or efficacy. Once granted, the FDA may withdraw drug approvals if the company fails to comply with regulatory standards or identifies problems following initia</w:t>
      </w:r>
      <w:r>
        <w:rPr>
          <w:rFonts w:eastAsia="Times New Roman"/>
          <w:color w:val="000000"/>
          <w:sz w:val="20"/>
          <w:szCs w:val="20"/>
        </w:rPr>
        <w:t>l marketing.</w:t>
      </w:r>
    </w:p>
    <w:p w:rsidR="00000000" w:rsidRDefault="00DA1786">
      <w:pPr>
        <w:jc w:val="both"/>
        <w:divId w:val="1078593381"/>
        <w:rPr>
          <w:rFonts w:eastAsia="Times New Roman"/>
        </w:rPr>
      </w:pPr>
      <w:r>
        <w:rPr>
          <w:rFonts w:eastAsia="Times New Roman"/>
          <w:color w:val="000000"/>
          <w:sz w:val="20"/>
          <w:szCs w:val="20"/>
        </w:rPr>
        <w:t>Changes to some of the conditions established in an approved application, including changes in indications, labeling, or manufacturing processes or facilities, require submission and FDA approval of a new NDA or NDA supplement before we can im</w:t>
      </w:r>
      <w:r>
        <w:rPr>
          <w:rFonts w:eastAsia="Times New Roman"/>
          <w:color w:val="000000"/>
          <w:sz w:val="20"/>
          <w:szCs w:val="20"/>
        </w:rPr>
        <w:t xml:space="preserve">plement the change. An NDA supplement for a new indication typically requires clinical data similar to that in the original application, and the FDA uses the same procedures and actions in reviewing NDA supplements as it does in reviewing new </w:t>
      </w:r>
    </w:p>
    <w:p w:rsidR="00000000" w:rsidRDefault="00DA1786">
      <w:pPr>
        <w:ind w:firstLine="720"/>
        <w:jc w:val="center"/>
        <w:divId w:val="628902543"/>
        <w:rPr>
          <w:rFonts w:eastAsia="Times New Roman"/>
        </w:rPr>
      </w:pPr>
      <w:r>
        <w:rPr>
          <w:rFonts w:eastAsia="Times New Roman"/>
          <w:color w:val="000000"/>
          <w:sz w:val="20"/>
          <w:szCs w:val="20"/>
        </w:rPr>
        <w:t>10</w:t>
      </w:r>
    </w:p>
    <w:p w:rsidR="00000000" w:rsidRDefault="00DA1786">
      <w:pPr>
        <w:rPr>
          <w:rFonts w:eastAsia="Times New Roman"/>
        </w:rPr>
      </w:pPr>
      <w:r>
        <w:rPr>
          <w:rFonts w:eastAsia="Times New Roman"/>
        </w:rPr>
        <w:pict>
          <v:rect id="_x0000_i1035" style="width:0;height:1.5pt" o:hralign="center" o:hrstd="t" o:hr="t" fillcolor="#a0a0a0" stroked="f"/>
        </w:pict>
      </w:r>
    </w:p>
    <w:p w:rsidR="00000000" w:rsidRDefault="00DA1786">
      <w:pPr>
        <w:divId w:val="1232764677"/>
        <w:rPr>
          <w:rFonts w:eastAsia="Times New Roman"/>
        </w:rPr>
      </w:pPr>
    </w:p>
    <w:p w:rsidR="00000000" w:rsidRDefault="00DA1786">
      <w:pPr>
        <w:jc w:val="both"/>
        <w:divId w:val="670253476"/>
        <w:rPr>
          <w:rFonts w:eastAsia="Times New Roman"/>
        </w:rPr>
      </w:pPr>
      <w:r>
        <w:rPr>
          <w:rFonts w:eastAsia="Times New Roman"/>
          <w:color w:val="000000"/>
          <w:sz w:val="20"/>
          <w:szCs w:val="20"/>
        </w:rPr>
        <w:t>NDAs. As with new NDAs, the FDA often significantly extends the review process with requests for additional information or clarification.</w:t>
      </w:r>
    </w:p>
    <w:p w:rsidR="00000000" w:rsidRDefault="00DA1786">
      <w:pPr>
        <w:divId w:val="1349022255"/>
        <w:rPr>
          <w:rFonts w:eastAsia="Times New Roman"/>
        </w:rPr>
      </w:pPr>
      <w:r>
        <w:rPr>
          <w:rFonts w:eastAsia="Times New Roman"/>
          <w:b/>
          <w:bCs/>
          <w:i/>
          <w:iCs/>
          <w:color w:val="000000"/>
          <w:sz w:val="20"/>
          <w:szCs w:val="20"/>
        </w:rPr>
        <w:t>Post-approval requirements</w:t>
      </w:r>
    </w:p>
    <w:p w:rsidR="00000000" w:rsidRDefault="00DA1786">
      <w:pPr>
        <w:jc w:val="both"/>
        <w:divId w:val="672875599"/>
        <w:rPr>
          <w:rFonts w:eastAsia="Times New Roman"/>
        </w:rPr>
      </w:pPr>
      <w:r>
        <w:rPr>
          <w:rFonts w:eastAsia="Times New Roman"/>
          <w:color w:val="000000"/>
          <w:sz w:val="20"/>
          <w:szCs w:val="20"/>
        </w:rPr>
        <w:t xml:space="preserve">The FDA regulates drugs that are manufactured or distributed pursuant to FDA approvals and </w:t>
      </w:r>
      <w:r>
        <w:rPr>
          <w:rFonts w:eastAsia="Times New Roman"/>
          <w:color w:val="000000"/>
          <w:sz w:val="20"/>
          <w:szCs w:val="20"/>
        </w:rPr>
        <w:t>has specific requirements pertaining to recordkeeping, periodic reporting, drug sampling and distribution, advertising and promotion and reporting of adverse experiences with the drug. After approval, the FDA must provide review and approval for most chang</w:t>
      </w:r>
      <w:r>
        <w:rPr>
          <w:rFonts w:eastAsia="Times New Roman"/>
          <w:color w:val="000000"/>
          <w:sz w:val="20"/>
          <w:szCs w:val="20"/>
        </w:rPr>
        <w:t>es to the approved drug, such as adding new indications or other labeling claims. There also are continuing, annual user fee requirements for any marketed drugs and the establishments who manufacture its drugs, as well as new application fees for supplemen</w:t>
      </w:r>
      <w:r>
        <w:rPr>
          <w:rFonts w:eastAsia="Times New Roman"/>
          <w:color w:val="000000"/>
          <w:sz w:val="20"/>
          <w:szCs w:val="20"/>
        </w:rPr>
        <w:t>tal applications with clinical data.</w:t>
      </w:r>
    </w:p>
    <w:p w:rsidR="00000000" w:rsidRDefault="00DA1786">
      <w:pPr>
        <w:jc w:val="both"/>
        <w:divId w:val="400103807"/>
        <w:rPr>
          <w:rFonts w:eastAsia="Times New Roman"/>
        </w:rPr>
      </w:pPr>
      <w:r>
        <w:rPr>
          <w:rFonts w:eastAsia="Times New Roman"/>
          <w:color w:val="000000"/>
          <w:sz w:val="20"/>
          <w:szCs w:val="20"/>
        </w:rPr>
        <w:t>Drug manufacturers are subject to periodic unannounced inspections by the FDA and state agencies for compliance with cGMP requirements. There are strict regulations regarding changes to the manufacturing process, and, d</w:t>
      </w:r>
      <w:r>
        <w:rPr>
          <w:rFonts w:eastAsia="Times New Roman"/>
          <w:color w:val="000000"/>
          <w:sz w:val="20"/>
          <w:szCs w:val="20"/>
        </w:rPr>
        <w:t xml:space="preserve">epending on the significance of the change, it may require prior FDA approval before we can implement it. FDA regulations also require investigation and correction of any deviations from cGMP and impose reporting and documentation requirements upon us and </w:t>
      </w:r>
      <w:r>
        <w:rPr>
          <w:rFonts w:eastAsia="Times New Roman"/>
          <w:color w:val="000000"/>
          <w:sz w:val="20"/>
          <w:szCs w:val="20"/>
        </w:rPr>
        <w:t>any third-party manufacturers that we may decide to use. Accordingly, manufacturers must continue to expend time, money and effort in the area of production and quality control to maintain compliance with cGMP and other aspects of regulatory compliance.</w:t>
      </w:r>
    </w:p>
    <w:p w:rsidR="00000000" w:rsidRDefault="00DA1786">
      <w:pPr>
        <w:jc w:val="both"/>
        <w:divId w:val="735326384"/>
        <w:rPr>
          <w:rFonts w:eastAsia="Times New Roman"/>
        </w:rPr>
      </w:pPr>
      <w:r>
        <w:rPr>
          <w:rFonts w:eastAsia="Times New Roman"/>
          <w:color w:val="000000"/>
          <w:sz w:val="20"/>
          <w:szCs w:val="20"/>
        </w:rPr>
        <w:t>Th</w:t>
      </w:r>
      <w:r>
        <w:rPr>
          <w:rFonts w:eastAsia="Times New Roman"/>
          <w:color w:val="000000"/>
          <w:sz w:val="20"/>
          <w:szCs w:val="20"/>
        </w:rPr>
        <w:t>e FDA may withdraw approval if a company does not comply with regulatory requirements and maintain standards or if problems occur after the drug reaches the market. If a company or the FDA discovers previously unknown problems with a drug, including advers</w:t>
      </w:r>
      <w:r>
        <w:rPr>
          <w:rFonts w:eastAsia="Times New Roman"/>
          <w:color w:val="000000"/>
          <w:sz w:val="20"/>
          <w:szCs w:val="20"/>
        </w:rPr>
        <w:t xml:space="preserve">e events of unanticipated severity or frequency, issues with manufacturing processes, or the company’s failure to comply with regulatory requirements, the FDA may revise the approved labeling to add new safety information; impose post-marketing studies or </w:t>
      </w:r>
      <w:r>
        <w:rPr>
          <w:rFonts w:eastAsia="Times New Roman"/>
          <w:color w:val="000000"/>
          <w:sz w:val="20"/>
          <w:szCs w:val="20"/>
        </w:rPr>
        <w:t>other clinical studies to assess new safety risks; or impose distribution or other restrictions under a REMS program. Other potential consequences may include:</w:t>
      </w:r>
    </w:p>
    <w:p w:rsidR="00000000" w:rsidRDefault="00DA1786">
      <w:pPr>
        <w:ind w:hanging="360"/>
        <w:jc w:val="both"/>
        <w:divId w:val="1669167327"/>
        <w:rPr>
          <w:rFonts w:eastAsia="Times New Roman"/>
        </w:rPr>
      </w:pPr>
      <w:r>
        <w:rPr>
          <w:rFonts w:eastAsia="Times New Roman"/>
          <w:color w:val="000000"/>
          <w:sz w:val="20"/>
          <w:szCs w:val="20"/>
        </w:rPr>
        <w:t>•restrictions on the marketing or manufacturing of the drug, complete withdrawal of the drug fro</w:t>
      </w:r>
      <w:r>
        <w:rPr>
          <w:rFonts w:eastAsia="Times New Roman"/>
          <w:color w:val="000000"/>
          <w:sz w:val="20"/>
          <w:szCs w:val="20"/>
        </w:rPr>
        <w:t>m the market or drug recalls;</w:t>
      </w:r>
    </w:p>
    <w:p w:rsidR="00000000" w:rsidRDefault="00DA1786">
      <w:pPr>
        <w:ind w:hanging="360"/>
        <w:jc w:val="both"/>
        <w:divId w:val="952128189"/>
        <w:rPr>
          <w:rFonts w:eastAsia="Times New Roman"/>
        </w:rPr>
      </w:pPr>
      <w:r>
        <w:rPr>
          <w:rFonts w:eastAsia="Times New Roman"/>
          <w:color w:val="000000"/>
          <w:sz w:val="20"/>
          <w:szCs w:val="20"/>
        </w:rPr>
        <w:t>•fines, warning letters or holds on post-approval clinical studies;</w:t>
      </w:r>
    </w:p>
    <w:p w:rsidR="00000000" w:rsidRDefault="00DA1786">
      <w:pPr>
        <w:ind w:hanging="360"/>
        <w:jc w:val="both"/>
        <w:divId w:val="1141121059"/>
        <w:rPr>
          <w:rFonts w:eastAsia="Times New Roman"/>
        </w:rPr>
      </w:pPr>
      <w:r>
        <w:rPr>
          <w:rFonts w:eastAsia="Times New Roman"/>
          <w:color w:val="000000"/>
          <w:sz w:val="20"/>
          <w:szCs w:val="20"/>
        </w:rPr>
        <w:t>•the FDA refusing to approve pending NDAs or supplements to approved NDAs, or suspending or revoking of drug license approvals;</w:t>
      </w:r>
    </w:p>
    <w:p w:rsidR="00000000" w:rsidRDefault="00DA1786">
      <w:pPr>
        <w:ind w:hanging="360"/>
        <w:jc w:val="both"/>
        <w:divId w:val="1946107632"/>
        <w:rPr>
          <w:rFonts w:eastAsia="Times New Roman"/>
        </w:rPr>
      </w:pPr>
      <w:r>
        <w:rPr>
          <w:rFonts w:eastAsia="Times New Roman"/>
          <w:color w:val="000000"/>
          <w:sz w:val="20"/>
          <w:szCs w:val="20"/>
        </w:rPr>
        <w:t>•drug seizure or detention, or</w:t>
      </w:r>
      <w:r>
        <w:rPr>
          <w:rFonts w:eastAsia="Times New Roman"/>
          <w:color w:val="000000"/>
          <w:sz w:val="20"/>
          <w:szCs w:val="20"/>
        </w:rPr>
        <w:t xml:space="preserve"> refusal to permit the import or export of drugs; or</w:t>
      </w:r>
    </w:p>
    <w:p w:rsidR="00000000" w:rsidRDefault="00DA1786">
      <w:pPr>
        <w:ind w:hanging="360"/>
        <w:jc w:val="both"/>
        <w:divId w:val="124785188"/>
        <w:rPr>
          <w:rFonts w:eastAsia="Times New Roman"/>
        </w:rPr>
      </w:pPr>
      <w:r>
        <w:rPr>
          <w:rFonts w:eastAsia="Times New Roman"/>
          <w:color w:val="000000"/>
          <w:sz w:val="20"/>
          <w:szCs w:val="20"/>
        </w:rPr>
        <w:t>•injunctions or the imposition of civil or criminal penalties.</w:t>
      </w:r>
    </w:p>
    <w:p w:rsidR="00000000" w:rsidRDefault="00DA1786">
      <w:pPr>
        <w:jc w:val="both"/>
        <w:divId w:val="2012293066"/>
        <w:rPr>
          <w:rFonts w:eastAsia="Times New Roman"/>
        </w:rPr>
      </w:pPr>
      <w:r>
        <w:rPr>
          <w:rFonts w:eastAsia="Times New Roman"/>
          <w:color w:val="000000"/>
          <w:sz w:val="20"/>
          <w:szCs w:val="20"/>
        </w:rPr>
        <w:t>The FDA strictly regulates marketing, labeling, advertising, and promotion of drugs that are placed on the market. Drugs may be promoted onl</w:t>
      </w:r>
      <w:r>
        <w:rPr>
          <w:rFonts w:eastAsia="Times New Roman"/>
          <w:color w:val="000000"/>
          <w:sz w:val="20"/>
          <w:szCs w:val="20"/>
        </w:rPr>
        <w:t>y for the approved indications and in accordance with the provisions of the approved label. However, companies may share truthful and not misleading information that is otherwise consistent with the product’s FDA approved labeling. The FDA and other agenci</w:t>
      </w:r>
      <w:r>
        <w:rPr>
          <w:rFonts w:eastAsia="Times New Roman"/>
          <w:color w:val="000000"/>
          <w:sz w:val="20"/>
          <w:szCs w:val="20"/>
        </w:rPr>
        <w:t>es actively enforce the laws and regulations prohibiting the promotion of off-label uses. We could be subject to significant liability if we violated these laws and regulations.</w:t>
      </w:r>
    </w:p>
    <w:p w:rsidR="00000000" w:rsidRDefault="00DA1786">
      <w:pPr>
        <w:divId w:val="352146165"/>
        <w:rPr>
          <w:rFonts w:eastAsia="Times New Roman"/>
        </w:rPr>
      </w:pPr>
      <w:r>
        <w:rPr>
          <w:rFonts w:eastAsia="Times New Roman"/>
          <w:b/>
          <w:bCs/>
          <w:i/>
          <w:iCs/>
          <w:color w:val="000000"/>
          <w:sz w:val="20"/>
          <w:szCs w:val="20"/>
        </w:rPr>
        <w:t>Marketing Exclusivity</w:t>
      </w:r>
    </w:p>
    <w:p w:rsidR="00000000" w:rsidRDefault="00DA1786">
      <w:pPr>
        <w:jc w:val="both"/>
        <w:divId w:val="392512490"/>
        <w:rPr>
          <w:rFonts w:eastAsia="Times New Roman"/>
        </w:rPr>
      </w:pPr>
      <w:r>
        <w:rPr>
          <w:rFonts w:eastAsia="Times New Roman"/>
          <w:color w:val="000000"/>
          <w:sz w:val="20"/>
          <w:szCs w:val="20"/>
        </w:rPr>
        <w:t>In addition to patent term (as extended by the Hatch-Wax</w:t>
      </w:r>
      <w:r>
        <w:rPr>
          <w:rFonts w:eastAsia="Times New Roman"/>
          <w:color w:val="000000"/>
          <w:sz w:val="20"/>
          <w:szCs w:val="20"/>
        </w:rPr>
        <w:t xml:space="preserve">man Act), the holder of the NDA for a listed drug may be entitled to a period of marketing exclusivity, during which the FDA cannot approve an abbreviated new drug application, or ANDA, or 505(b)(2) application that relies on the listed drug. For example, </w:t>
      </w:r>
      <w:r>
        <w:rPr>
          <w:rFonts w:eastAsia="Times New Roman"/>
          <w:color w:val="000000"/>
          <w:sz w:val="20"/>
          <w:szCs w:val="20"/>
        </w:rPr>
        <w:t>a pharmaceutical manufacturer may obtain five years of non-patent exclusivity upon NDA approval of a new chemical entity, or NCE, which is a drug that contains an active moiety that has not been approved by FDA in any other NDA. An "active moiety" is defin</w:t>
      </w:r>
      <w:r>
        <w:rPr>
          <w:rFonts w:eastAsia="Times New Roman"/>
          <w:color w:val="000000"/>
          <w:sz w:val="20"/>
          <w:szCs w:val="20"/>
        </w:rPr>
        <w:t>ed as the molecule or ion responsible for the drug substance's physiological or pharmacological action. During the five year exclusivity period, the FDA cannot accept for filing any ANDA seeking approval of a generic version of that drug or any 505(b)(2) N</w:t>
      </w:r>
      <w:r>
        <w:rPr>
          <w:rFonts w:eastAsia="Times New Roman"/>
          <w:color w:val="000000"/>
          <w:sz w:val="20"/>
          <w:szCs w:val="20"/>
        </w:rPr>
        <w:t>DA for the same active moiety and that relies on the FDA's findings regarding that drug, except that FDA may accept an application for filing after four years if the follow-on applicant makes a paragraph IV certification.</w:t>
      </w:r>
    </w:p>
    <w:p w:rsidR="00000000" w:rsidRDefault="00DA1786">
      <w:pPr>
        <w:jc w:val="both"/>
        <w:divId w:val="72512735"/>
        <w:rPr>
          <w:rFonts w:eastAsia="Times New Roman"/>
        </w:rPr>
      </w:pPr>
      <w:r>
        <w:rPr>
          <w:rFonts w:eastAsia="Times New Roman"/>
          <w:color w:val="000000"/>
          <w:sz w:val="20"/>
          <w:szCs w:val="20"/>
        </w:rPr>
        <w:t>A drug, including one approved und</w:t>
      </w:r>
      <w:r>
        <w:rPr>
          <w:rFonts w:eastAsia="Times New Roman"/>
          <w:color w:val="000000"/>
          <w:sz w:val="20"/>
          <w:szCs w:val="20"/>
        </w:rPr>
        <w:t>er Section 505(b)(2), may obtain a three-year period of exclusivity for a particular condition of approval, or change to a marketed product, such as a new formulation for a previously approved product, if one or more new clinical studies (other than bioava</w:t>
      </w:r>
      <w:r>
        <w:rPr>
          <w:rFonts w:eastAsia="Times New Roman"/>
          <w:color w:val="000000"/>
          <w:sz w:val="20"/>
          <w:szCs w:val="20"/>
        </w:rPr>
        <w:t xml:space="preserve">ilability or bioequivalence studies) was essential to the approval of the application and was conducted/sponsored by the applicant. Should this occur, the FDA would be precluded from approving any ANDA or 505(b)(2) </w:t>
      </w:r>
    </w:p>
    <w:p w:rsidR="00000000" w:rsidRDefault="00DA1786">
      <w:pPr>
        <w:ind w:firstLine="720"/>
        <w:jc w:val="center"/>
        <w:divId w:val="1256014451"/>
        <w:rPr>
          <w:rFonts w:eastAsia="Times New Roman"/>
        </w:rPr>
      </w:pPr>
      <w:r>
        <w:rPr>
          <w:rFonts w:eastAsia="Times New Roman"/>
          <w:color w:val="000000"/>
          <w:sz w:val="20"/>
          <w:szCs w:val="20"/>
        </w:rPr>
        <w:t>11</w:t>
      </w:r>
    </w:p>
    <w:p w:rsidR="00000000" w:rsidRDefault="00DA1786">
      <w:pPr>
        <w:rPr>
          <w:rFonts w:eastAsia="Times New Roman"/>
        </w:rPr>
      </w:pPr>
      <w:r>
        <w:rPr>
          <w:rFonts w:eastAsia="Times New Roman"/>
        </w:rPr>
        <w:pict>
          <v:rect id="_x0000_i1036" style="width:0;height:1.5pt" o:hralign="center" o:hrstd="t" o:hr="t" fillcolor="#a0a0a0" stroked="f"/>
        </w:pict>
      </w:r>
    </w:p>
    <w:p w:rsidR="00000000" w:rsidRDefault="00DA1786">
      <w:pPr>
        <w:divId w:val="1079014443"/>
        <w:rPr>
          <w:rFonts w:eastAsia="Times New Roman"/>
        </w:rPr>
      </w:pPr>
    </w:p>
    <w:p w:rsidR="00000000" w:rsidRDefault="00DA1786">
      <w:pPr>
        <w:jc w:val="both"/>
        <w:divId w:val="420419924"/>
        <w:rPr>
          <w:rFonts w:eastAsia="Times New Roman"/>
        </w:rPr>
      </w:pPr>
      <w:r>
        <w:rPr>
          <w:rFonts w:eastAsia="Times New Roman"/>
          <w:color w:val="000000"/>
          <w:sz w:val="20"/>
          <w:szCs w:val="20"/>
        </w:rPr>
        <w:t>application for the protected modification until after that three-year exclusivity period has run. However, unlike NCE exclusivity, the FDA can accept an application and begin the review process during the exclusivity period.</w:t>
      </w:r>
    </w:p>
    <w:p w:rsidR="00000000" w:rsidRDefault="00DA1786">
      <w:pPr>
        <w:divId w:val="669988075"/>
        <w:rPr>
          <w:rFonts w:eastAsia="Times New Roman"/>
        </w:rPr>
      </w:pPr>
      <w:r>
        <w:rPr>
          <w:rFonts w:eastAsia="Times New Roman"/>
          <w:b/>
          <w:bCs/>
          <w:i/>
          <w:iCs/>
          <w:color w:val="000000"/>
          <w:sz w:val="20"/>
          <w:szCs w:val="20"/>
        </w:rPr>
        <w:t>Orphan drug designation</w:t>
      </w:r>
    </w:p>
    <w:p w:rsidR="00000000" w:rsidRDefault="00DA1786">
      <w:pPr>
        <w:jc w:val="both"/>
        <w:divId w:val="843203260"/>
        <w:rPr>
          <w:rFonts w:eastAsia="Times New Roman"/>
        </w:rPr>
      </w:pPr>
      <w:r>
        <w:rPr>
          <w:rFonts w:eastAsia="Times New Roman"/>
          <w:color w:val="000000"/>
          <w:sz w:val="20"/>
          <w:szCs w:val="20"/>
        </w:rPr>
        <w:t xml:space="preserve">The </w:t>
      </w:r>
      <w:r>
        <w:rPr>
          <w:rFonts w:eastAsia="Times New Roman"/>
          <w:color w:val="000000"/>
          <w:sz w:val="20"/>
          <w:szCs w:val="20"/>
        </w:rPr>
        <w:t>FDA may grant orphan drug designation to sponsors of drugs intended to treat a rare disease or condition that affects fewer than 200,000 individuals in the United States, or if it affects more than 200,000 individuals in the United States, there is no reas</w:t>
      </w:r>
      <w:r>
        <w:rPr>
          <w:rFonts w:eastAsia="Times New Roman"/>
          <w:color w:val="000000"/>
          <w:sz w:val="20"/>
          <w:szCs w:val="20"/>
        </w:rPr>
        <w:t>onable expectation that the cost of developing and making the drug for this type of disease or condition will be recovered from sales in the United States.</w:t>
      </w:r>
    </w:p>
    <w:p w:rsidR="00000000" w:rsidRDefault="00DA1786">
      <w:pPr>
        <w:jc w:val="both"/>
        <w:divId w:val="1413119902"/>
        <w:rPr>
          <w:rFonts w:eastAsia="Times New Roman"/>
        </w:rPr>
      </w:pPr>
      <w:r>
        <w:rPr>
          <w:rFonts w:eastAsia="Times New Roman"/>
          <w:color w:val="000000"/>
          <w:sz w:val="20"/>
          <w:szCs w:val="20"/>
        </w:rPr>
        <w:t>Orphan drug designation entitles a party to financial incentives such as opportunities for grant fun</w:t>
      </w:r>
      <w:r>
        <w:rPr>
          <w:rFonts w:eastAsia="Times New Roman"/>
          <w:color w:val="000000"/>
          <w:sz w:val="20"/>
          <w:szCs w:val="20"/>
        </w:rPr>
        <w:t>ding towards clinical study costs, tax advantages, and user-fee waivers. In addition, if a drug receives FDA approval for the indication for which it has orphan designation, the drug may be entitled to orphan drug exclusivity, which means the FDA may not a</w:t>
      </w:r>
      <w:r>
        <w:rPr>
          <w:rFonts w:eastAsia="Times New Roman"/>
          <w:color w:val="000000"/>
          <w:sz w:val="20"/>
          <w:szCs w:val="20"/>
        </w:rPr>
        <w:t>pprove any other application to market the same drug for the same indication for a period of seven years, except in limited circumstances, such as a showing of clinical superiority over the drug with orphan exclusivity.</w:t>
      </w:r>
    </w:p>
    <w:p w:rsidR="00000000" w:rsidRDefault="00DA1786">
      <w:pPr>
        <w:divId w:val="51388037"/>
        <w:rPr>
          <w:rFonts w:eastAsia="Times New Roman"/>
        </w:rPr>
      </w:pPr>
      <w:r>
        <w:rPr>
          <w:rFonts w:eastAsia="Times New Roman"/>
          <w:b/>
          <w:bCs/>
          <w:i/>
          <w:iCs/>
          <w:color w:val="000000"/>
          <w:sz w:val="20"/>
          <w:szCs w:val="20"/>
        </w:rPr>
        <w:t>Pediatric information</w:t>
      </w:r>
    </w:p>
    <w:p w:rsidR="00000000" w:rsidRDefault="00DA1786">
      <w:pPr>
        <w:jc w:val="both"/>
        <w:divId w:val="1416170077"/>
        <w:rPr>
          <w:rFonts w:eastAsia="Times New Roman"/>
        </w:rPr>
      </w:pPr>
      <w:r>
        <w:rPr>
          <w:rFonts w:eastAsia="Times New Roman"/>
          <w:color w:val="000000"/>
          <w:sz w:val="20"/>
          <w:szCs w:val="20"/>
        </w:rPr>
        <w:t>Under the Pedi</w:t>
      </w:r>
      <w:r>
        <w:rPr>
          <w:rFonts w:eastAsia="Times New Roman"/>
          <w:color w:val="000000"/>
          <w:sz w:val="20"/>
          <w:szCs w:val="20"/>
        </w:rPr>
        <w:t>atric Research Equity Act, or PREA, NDAs or supplements to NDAs must contain data to assess the safety and effectiveness of the drug for the claimed indications in all relevant pediatric subpopulations and to support dosing and administration for each pedi</w:t>
      </w:r>
      <w:r>
        <w:rPr>
          <w:rFonts w:eastAsia="Times New Roman"/>
          <w:color w:val="000000"/>
          <w:sz w:val="20"/>
          <w:szCs w:val="20"/>
        </w:rPr>
        <w:t xml:space="preserve">atric subpopulation for which the drug is safe and effective. The FDA may grant full or partial waivers, or deferrals, for submission of data. Unless otherwise required by regulation, PREA does not apply to any drug for an indication for which the FDA has </w:t>
      </w:r>
      <w:r>
        <w:rPr>
          <w:rFonts w:eastAsia="Times New Roman"/>
          <w:color w:val="000000"/>
          <w:sz w:val="20"/>
          <w:szCs w:val="20"/>
        </w:rPr>
        <w:t>granted an orphan designation.</w:t>
      </w:r>
    </w:p>
    <w:p w:rsidR="00000000" w:rsidRDefault="00DA1786">
      <w:pPr>
        <w:divId w:val="623074221"/>
        <w:rPr>
          <w:rFonts w:eastAsia="Times New Roman"/>
        </w:rPr>
      </w:pPr>
      <w:r>
        <w:rPr>
          <w:rFonts w:eastAsia="Times New Roman"/>
          <w:b/>
          <w:bCs/>
          <w:i/>
          <w:iCs/>
          <w:color w:val="000000"/>
          <w:sz w:val="20"/>
          <w:szCs w:val="20"/>
        </w:rPr>
        <w:t>Healthcare reform</w:t>
      </w:r>
    </w:p>
    <w:p w:rsidR="00000000" w:rsidRDefault="00DA1786">
      <w:pPr>
        <w:jc w:val="both"/>
        <w:divId w:val="248275108"/>
        <w:rPr>
          <w:rFonts w:eastAsia="Times New Roman"/>
        </w:rPr>
      </w:pPr>
      <w:r>
        <w:rPr>
          <w:rFonts w:eastAsia="Times New Roman"/>
          <w:color w:val="000000"/>
          <w:sz w:val="20"/>
          <w:szCs w:val="20"/>
        </w:rPr>
        <w:t>In the United States and foreign jurisdictions, the legislative landscape continues to evolve. There have been a number of legislative and regulatory changes to the healthcare system that could affect the fu</w:t>
      </w:r>
      <w:r>
        <w:rPr>
          <w:rFonts w:eastAsia="Times New Roman"/>
          <w:color w:val="000000"/>
          <w:sz w:val="20"/>
          <w:szCs w:val="20"/>
        </w:rPr>
        <w:t>ture results of our operations. In particular, there have been and continue to be a number of initiatives at the United States federal and state levels that seek to reform the way in which healthcare is funded and reduce healthcare costs. In March 2010, th</w:t>
      </w:r>
      <w:r>
        <w:rPr>
          <w:rFonts w:eastAsia="Times New Roman"/>
          <w:color w:val="000000"/>
          <w:sz w:val="20"/>
          <w:szCs w:val="20"/>
        </w:rPr>
        <w:t>e Patient Protection and Affordable Care Act, as amended by the Health Care and Education Reconciliation Act, or collectively PPACA, was enacted, which included measures that have significantly changed health care financing by both governmental and private</w:t>
      </w:r>
      <w:r>
        <w:rPr>
          <w:rFonts w:eastAsia="Times New Roman"/>
          <w:color w:val="000000"/>
          <w:sz w:val="20"/>
          <w:szCs w:val="20"/>
        </w:rPr>
        <w:t xml:space="preserve"> insurers. The provisions of PPACA of importance to the pharmaceutical and biotechnology industry are, among others, the following:</w:t>
      </w:r>
    </w:p>
    <w:p w:rsidR="00000000" w:rsidRDefault="00DA1786">
      <w:pPr>
        <w:ind w:hanging="360"/>
        <w:jc w:val="both"/>
        <w:divId w:val="728573665"/>
        <w:rPr>
          <w:rFonts w:eastAsia="Times New Roman"/>
        </w:rPr>
      </w:pPr>
      <w:r>
        <w:rPr>
          <w:rFonts w:eastAsia="Times New Roman"/>
          <w:color w:val="000000"/>
          <w:sz w:val="20"/>
          <w:szCs w:val="20"/>
        </w:rPr>
        <w:t>•</w:t>
      </w:r>
      <w:r>
        <w:rPr>
          <w:rFonts w:eastAsia="Times New Roman"/>
          <w:color w:val="000000"/>
          <w:sz w:val="20"/>
          <w:szCs w:val="20"/>
        </w:rPr>
        <w:t>an annual, nondeductible fee on any entity that manufactures or imports certain branded prescription drugs agents, apportioned among these entities according to their market share in certain government healthcare programs;</w:t>
      </w:r>
    </w:p>
    <w:p w:rsidR="00000000" w:rsidRDefault="00DA1786">
      <w:pPr>
        <w:ind w:hanging="360"/>
        <w:jc w:val="both"/>
        <w:divId w:val="569510317"/>
        <w:rPr>
          <w:rFonts w:eastAsia="Times New Roman"/>
        </w:rPr>
      </w:pPr>
      <w:r>
        <w:rPr>
          <w:rFonts w:eastAsia="Times New Roman"/>
          <w:color w:val="000000"/>
          <w:sz w:val="20"/>
          <w:szCs w:val="20"/>
        </w:rPr>
        <w:t>•an increase in the rebates a man</w:t>
      </w:r>
      <w:r>
        <w:rPr>
          <w:rFonts w:eastAsia="Times New Roman"/>
          <w:color w:val="000000"/>
          <w:sz w:val="20"/>
          <w:szCs w:val="20"/>
        </w:rPr>
        <w:t>ufacturer must pay under the Medicaid Drug Rebate Program to 23.1% and 13% of the average manufacturer price for branded and generic drugs, respectively;</w:t>
      </w:r>
    </w:p>
    <w:p w:rsidR="00000000" w:rsidRDefault="00DA1786">
      <w:pPr>
        <w:ind w:hanging="360"/>
        <w:jc w:val="both"/>
        <w:divId w:val="1233273675"/>
        <w:rPr>
          <w:rFonts w:eastAsia="Times New Roman"/>
        </w:rPr>
      </w:pPr>
      <w:r>
        <w:rPr>
          <w:rFonts w:eastAsia="Times New Roman"/>
          <w:color w:val="000000"/>
          <w:sz w:val="20"/>
          <w:szCs w:val="20"/>
        </w:rPr>
        <w:t>•a new Medicare Part D coverage gap discount program, in which manufacturers must now agree to offer 7</w:t>
      </w:r>
      <w:r>
        <w:rPr>
          <w:rFonts w:eastAsia="Times New Roman"/>
          <w:color w:val="000000"/>
          <w:sz w:val="20"/>
          <w:szCs w:val="20"/>
        </w:rPr>
        <w:t>0% point-of-sale discounts to negotiated prices of applicable brand drugs to eligible beneficiaries during their coverage gap period, as a condition for the manufacturer’s outpatient drugs to be covered under Medicare Part D;</w:t>
      </w:r>
    </w:p>
    <w:p w:rsidR="00000000" w:rsidRDefault="00DA1786">
      <w:pPr>
        <w:ind w:hanging="360"/>
        <w:jc w:val="both"/>
        <w:divId w:val="778336957"/>
        <w:rPr>
          <w:rFonts w:eastAsia="Times New Roman"/>
        </w:rPr>
      </w:pPr>
      <w:r>
        <w:rPr>
          <w:rFonts w:eastAsia="Times New Roman"/>
          <w:color w:val="000000"/>
          <w:sz w:val="20"/>
          <w:szCs w:val="20"/>
        </w:rPr>
        <w:t>•extension of manufacturers’ M</w:t>
      </w:r>
      <w:r>
        <w:rPr>
          <w:rFonts w:eastAsia="Times New Roman"/>
          <w:color w:val="000000"/>
          <w:sz w:val="20"/>
          <w:szCs w:val="20"/>
        </w:rPr>
        <w:t>edicaid rebate liability to covered drugs dispensed to individuals who are enrolled in Medicaid managed care organizations, unless the drug is subject to discounts under the 340B drug discount program;</w:t>
      </w:r>
    </w:p>
    <w:p w:rsidR="00000000" w:rsidRDefault="00DA1786">
      <w:pPr>
        <w:ind w:hanging="360"/>
        <w:jc w:val="both"/>
        <w:divId w:val="1553424075"/>
        <w:rPr>
          <w:rFonts w:eastAsia="Times New Roman"/>
        </w:rPr>
      </w:pPr>
      <w:r>
        <w:rPr>
          <w:rFonts w:eastAsia="Times New Roman"/>
          <w:color w:val="000000"/>
          <w:sz w:val="20"/>
          <w:szCs w:val="20"/>
        </w:rPr>
        <w:t>•expansion of eligibility criteria for Medicaid progra</w:t>
      </w:r>
      <w:r>
        <w:rPr>
          <w:rFonts w:eastAsia="Times New Roman"/>
          <w:color w:val="000000"/>
          <w:sz w:val="20"/>
          <w:szCs w:val="20"/>
        </w:rPr>
        <w:t>ms by, among other things, allowing states to offer Medicaid coverage to additional individuals and by adding new mandatory eligibility categories for certain individuals with income at or below 133% of the Federal Poverty Level, thereby potentially increa</w:t>
      </w:r>
      <w:r>
        <w:rPr>
          <w:rFonts w:eastAsia="Times New Roman"/>
          <w:color w:val="000000"/>
          <w:sz w:val="20"/>
          <w:szCs w:val="20"/>
        </w:rPr>
        <w:t>sing manufacturers’ Medicaid rebate liability;</w:t>
      </w:r>
    </w:p>
    <w:p w:rsidR="00000000" w:rsidRDefault="00DA1786">
      <w:pPr>
        <w:ind w:hanging="360"/>
        <w:jc w:val="both"/>
        <w:divId w:val="983433726"/>
        <w:rPr>
          <w:rFonts w:eastAsia="Times New Roman"/>
        </w:rPr>
      </w:pPr>
      <w:r>
        <w:rPr>
          <w:rFonts w:eastAsia="Times New Roman"/>
          <w:color w:val="000000"/>
          <w:sz w:val="20"/>
          <w:szCs w:val="20"/>
        </w:rPr>
        <w:t>•expansion of the entities eligible for discounts under the Public Health Service pharmaceutical pricing program;</w:t>
      </w:r>
    </w:p>
    <w:p w:rsidR="00000000" w:rsidRDefault="00DA1786">
      <w:pPr>
        <w:ind w:hanging="360"/>
        <w:jc w:val="both"/>
        <w:divId w:val="67191085"/>
        <w:rPr>
          <w:rFonts w:eastAsia="Times New Roman"/>
        </w:rPr>
      </w:pPr>
      <w:r>
        <w:rPr>
          <w:rFonts w:eastAsia="Times New Roman"/>
          <w:color w:val="000000"/>
          <w:sz w:val="20"/>
          <w:szCs w:val="20"/>
        </w:rPr>
        <w:t>•expansion of healthcare fraud and abuse laws, including the federal civil False Claims Act and</w:t>
      </w:r>
      <w:r>
        <w:rPr>
          <w:rFonts w:eastAsia="Times New Roman"/>
          <w:color w:val="000000"/>
          <w:sz w:val="20"/>
          <w:szCs w:val="20"/>
        </w:rPr>
        <w:t xml:space="preserve"> the federal Anti-Kickback Statute, new government investigative powers and enhanced penalties for noncompliance;</w:t>
      </w:r>
    </w:p>
    <w:p w:rsidR="00000000" w:rsidRDefault="00DA1786">
      <w:pPr>
        <w:ind w:hanging="360"/>
        <w:jc w:val="both"/>
        <w:divId w:val="102459639"/>
        <w:rPr>
          <w:rFonts w:eastAsia="Times New Roman"/>
        </w:rPr>
      </w:pPr>
      <w:r>
        <w:rPr>
          <w:rFonts w:eastAsia="Times New Roman"/>
          <w:color w:val="000000"/>
          <w:sz w:val="20"/>
          <w:szCs w:val="20"/>
        </w:rPr>
        <w:t>•new requirements under the federal Physician Payments Sunshine Act for drug manufacturers to report information related to payments and other</w:t>
      </w:r>
      <w:r>
        <w:rPr>
          <w:rFonts w:eastAsia="Times New Roman"/>
          <w:color w:val="000000"/>
          <w:sz w:val="20"/>
          <w:szCs w:val="20"/>
        </w:rPr>
        <w:t xml:space="preserve"> transfers of value made to physicians, as defined by such law, and </w:t>
      </w:r>
    </w:p>
    <w:p w:rsidR="00000000" w:rsidRDefault="00DA1786">
      <w:pPr>
        <w:ind w:firstLine="720"/>
        <w:jc w:val="center"/>
        <w:divId w:val="1641762921"/>
        <w:rPr>
          <w:rFonts w:eastAsia="Times New Roman"/>
        </w:rPr>
      </w:pPr>
      <w:r>
        <w:rPr>
          <w:rFonts w:eastAsia="Times New Roman"/>
          <w:color w:val="000000"/>
          <w:sz w:val="20"/>
          <w:szCs w:val="20"/>
        </w:rPr>
        <w:t>12</w:t>
      </w:r>
    </w:p>
    <w:p w:rsidR="00000000" w:rsidRDefault="00DA1786">
      <w:pPr>
        <w:rPr>
          <w:rFonts w:eastAsia="Times New Roman"/>
        </w:rPr>
      </w:pPr>
      <w:r>
        <w:rPr>
          <w:rFonts w:eastAsia="Times New Roman"/>
        </w:rPr>
        <w:pict>
          <v:rect id="_x0000_i1037" style="width:0;height:1.5pt" o:hralign="center" o:hrstd="t" o:hr="t" fillcolor="#a0a0a0" stroked="f"/>
        </w:pict>
      </w:r>
    </w:p>
    <w:p w:rsidR="00000000" w:rsidRDefault="00DA1786">
      <w:pPr>
        <w:divId w:val="1672441984"/>
        <w:rPr>
          <w:rFonts w:eastAsia="Times New Roman"/>
        </w:rPr>
      </w:pPr>
    </w:p>
    <w:p w:rsidR="00000000" w:rsidRDefault="00DA1786">
      <w:pPr>
        <w:jc w:val="both"/>
        <w:divId w:val="933636481"/>
        <w:rPr>
          <w:rFonts w:eastAsia="Times New Roman"/>
        </w:rPr>
      </w:pPr>
      <w:r>
        <w:rPr>
          <w:rFonts w:eastAsia="Times New Roman"/>
          <w:color w:val="000000"/>
          <w:sz w:val="20"/>
          <w:szCs w:val="20"/>
        </w:rPr>
        <w:t>teaching hospitals as well as ownership or investment interests held by physicians and their immediate family members; and</w:t>
      </w:r>
    </w:p>
    <w:p w:rsidR="00000000" w:rsidRDefault="00DA1786">
      <w:pPr>
        <w:ind w:hanging="360"/>
        <w:jc w:val="both"/>
        <w:divId w:val="1474635208"/>
        <w:rPr>
          <w:rFonts w:eastAsia="Times New Roman"/>
        </w:rPr>
      </w:pPr>
      <w:r>
        <w:rPr>
          <w:rFonts w:eastAsia="Times New Roman"/>
          <w:color w:val="000000"/>
          <w:sz w:val="20"/>
          <w:szCs w:val="20"/>
        </w:rPr>
        <w:t>•new requirement to annually report certain drug samples that manufacturers and distributors provide to licensed practitioners, or to</w:t>
      </w:r>
      <w:r>
        <w:rPr>
          <w:rFonts w:eastAsia="Times New Roman"/>
          <w:color w:val="000000"/>
          <w:sz w:val="20"/>
          <w:szCs w:val="20"/>
        </w:rPr>
        <w:t xml:space="preserve"> pharmacies of hospitals or other healthcare entities.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There have been executive, judicial and Congressional challenges to certain aspects of the PPACA. While Congress has not passed comprehensive repeal legislation, several bills affecting the implement</w:t>
      </w:r>
      <w:r>
        <w:rPr>
          <w:rFonts w:eastAsia="Times New Roman"/>
          <w:color w:val="000000"/>
          <w:sz w:val="20"/>
          <w:szCs w:val="20"/>
        </w:rPr>
        <w:t>ation of certain taxes under the PPACA have been signed into law. The Tax Cuts and Jobs Act of 2017, or Tax Act, included a provision that repealed, effective January 1, 2019, the tax based shared responsibility payment imposed by the PPACA on certain indi</w:t>
      </w:r>
      <w:r>
        <w:rPr>
          <w:rFonts w:eastAsia="Times New Roman"/>
          <w:color w:val="000000"/>
          <w:sz w:val="20"/>
          <w:szCs w:val="20"/>
        </w:rPr>
        <w:t>viduals who fail to maintain qualifying health coverage for all or part of a year that is commonly referred to as the “individual mandate.” In addition, the 2020 federal spending package permanently eliminated, effective January 1, 2020, the PPACA mandated</w:t>
      </w:r>
      <w:r>
        <w:rPr>
          <w:rFonts w:eastAsia="Times New Roman"/>
          <w:color w:val="000000"/>
          <w:sz w:val="20"/>
          <w:szCs w:val="20"/>
        </w:rPr>
        <w:t xml:space="preserve"> “Cadillac” tax on high cost employer sponsored health coverage and medical device tax and, effective January 1, 2021, also eliminated the health insurer tax. The Bipartisan Budget Act of 2018, or the BBA, among other things, amended the PPACA, effective J</w:t>
      </w:r>
      <w:r>
        <w:rPr>
          <w:rFonts w:eastAsia="Times New Roman"/>
          <w:color w:val="000000"/>
          <w:sz w:val="20"/>
          <w:szCs w:val="20"/>
        </w:rPr>
        <w:t>anuary 1, 2019, to increase from 50% to 70% the point of sale discount that is owed by pharmaceutical manufacturers who participate in Medicare Part D and to close the coverage gap in most Medicare drug plans, commonly referred to as the “donut hole.” On D</w:t>
      </w:r>
      <w:r>
        <w:rPr>
          <w:rFonts w:eastAsia="Times New Roman"/>
          <w:color w:val="000000"/>
          <w:sz w:val="20"/>
          <w:szCs w:val="20"/>
        </w:rPr>
        <w:t>ecember 14, 2018, a Texas U.S. District Court Judge ruled that the PPACA is unconstitutional in its entirety because the “individual mandate” was repealed by Congress as part of the Tax Act. Additionally, on December 18, 2019, the U.S. Court of Appeals for</w:t>
      </w:r>
      <w:r>
        <w:rPr>
          <w:rFonts w:eastAsia="Times New Roman"/>
          <w:color w:val="000000"/>
          <w:sz w:val="20"/>
          <w:szCs w:val="20"/>
        </w:rPr>
        <w:t xml:space="preserve"> the 5th Circuit upheld the District Court ruling that the individual mandate was unconstitutional and remanded the case back to the District Court to determine whether the remaining provisions of the PPACA are invalid as well. The United States Supreme Co</w:t>
      </w:r>
      <w:r>
        <w:rPr>
          <w:rFonts w:eastAsia="Times New Roman"/>
          <w:color w:val="000000"/>
          <w:sz w:val="20"/>
          <w:szCs w:val="20"/>
        </w:rPr>
        <w:t>urt is currently reviewing this case, but it is unknown when a decision will be reached. Although the U.S. Supreme Court has not yet ruled on the constitutionality of the PPACA, on January 28, 2021, President Biden issued an executive order to initiate a s</w:t>
      </w:r>
      <w:r>
        <w:rPr>
          <w:rFonts w:eastAsia="Times New Roman"/>
          <w:color w:val="000000"/>
          <w:sz w:val="20"/>
          <w:szCs w:val="20"/>
        </w:rPr>
        <w:t>pecial enrollment period from February 15, 2021 through May 15, 2021 for purposes of obtaining health insurance coverage through the PPACA marketplace. The executive order also instructs certain governmental agencies to review and reconsider their existing</w:t>
      </w:r>
      <w:r>
        <w:rPr>
          <w:rFonts w:eastAsia="Times New Roman"/>
          <w:color w:val="000000"/>
          <w:sz w:val="20"/>
          <w:szCs w:val="20"/>
        </w:rPr>
        <w:t xml:space="preserve"> policies and rules that limit access to healthcare, including among others, reexamining Medicaid demonstration projects and waiver programs that include work requirements, and policies that create unnecessary barriers to obtaining access to health insuran</w:t>
      </w:r>
      <w:r>
        <w:rPr>
          <w:rFonts w:eastAsia="Times New Roman"/>
          <w:color w:val="000000"/>
          <w:sz w:val="20"/>
          <w:szCs w:val="20"/>
        </w:rPr>
        <w:t xml:space="preserve">ce coverage through Medicaid or the PPACA. It is unclear how the Supreme Court ruling, other such litigation and the healthcare reform measures of the Biden administration will impact the PPACA.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 xml:space="preserve">In addition, other legislative changes have been proposed </w:t>
      </w:r>
      <w:r>
        <w:rPr>
          <w:rFonts w:eastAsia="Times New Roman"/>
          <w:color w:val="000000"/>
          <w:sz w:val="20"/>
          <w:szCs w:val="20"/>
        </w:rPr>
        <w:t>and adopted since the PPACA was enacted. In August 2011, the President signed into law the Budget Control Act of 2011, as amended, which, among other things, included aggregate reductions to Medicare payments to providers of 2% per fiscal year, which began</w:t>
      </w:r>
      <w:r>
        <w:rPr>
          <w:rFonts w:eastAsia="Times New Roman"/>
          <w:color w:val="000000"/>
          <w:sz w:val="20"/>
          <w:szCs w:val="20"/>
        </w:rPr>
        <w:t xml:space="preserve"> in 2013 and, following passage of subsequent legislation, including the BBA, will continue through 2030 with the exception of a temporary suspension from May 1, 2020 through March 31, 2021 due to the COVID-19 pandemic, unless additional Congressional acti</w:t>
      </w:r>
      <w:r>
        <w:rPr>
          <w:rFonts w:eastAsia="Times New Roman"/>
          <w:color w:val="000000"/>
          <w:sz w:val="20"/>
          <w:szCs w:val="20"/>
        </w:rPr>
        <w:t>on is taken. In January 2013, the American Taxpayer Relief Act of 2012 was enacted and, among other things, reduced Medicare payments to several providers and increased the statute of limitations period for the government to recover overpayments to provide</w:t>
      </w:r>
      <w:r>
        <w:rPr>
          <w:rFonts w:eastAsia="Times New Roman"/>
          <w:color w:val="000000"/>
          <w:sz w:val="20"/>
          <w:szCs w:val="20"/>
        </w:rPr>
        <w:t>rs from three to five years.</w:t>
      </w:r>
    </w:p>
    <w:p w:rsidR="00000000" w:rsidRDefault="00DA1786">
      <w:pPr>
        <w:divId w:val="1859268690"/>
        <w:rPr>
          <w:rFonts w:eastAsia="Times New Roman"/>
        </w:rPr>
      </w:pPr>
    </w:p>
    <w:p w:rsidR="00000000" w:rsidRDefault="00DA1786">
      <w:pPr>
        <w:jc w:val="both"/>
        <w:rPr>
          <w:rFonts w:eastAsia="Times New Roman"/>
        </w:rPr>
      </w:pPr>
      <w:r>
        <w:rPr>
          <w:rFonts w:eastAsia="Times New Roman"/>
          <w:color w:val="000000"/>
          <w:sz w:val="20"/>
          <w:szCs w:val="20"/>
        </w:rPr>
        <w:t>Further, there has been increasing legislative and enforcement interest in the United States with respect to drug pricing practices. Specifically, there have been several recent U.S. Congressional inquiries and proposed and e</w:t>
      </w:r>
      <w:r>
        <w:rPr>
          <w:rFonts w:eastAsia="Times New Roman"/>
          <w:color w:val="000000"/>
          <w:sz w:val="20"/>
          <w:szCs w:val="20"/>
        </w:rPr>
        <w:t>nacted federal and state legislation designed to, among other things, bring more transparency to drug pricing, review the relationship between pricing and manufacturer patient programs, and reform government program reimbursement methodologies for drugs. A</w:t>
      </w:r>
      <w:r>
        <w:rPr>
          <w:rFonts w:eastAsia="Times New Roman"/>
          <w:color w:val="000000"/>
          <w:sz w:val="20"/>
          <w:szCs w:val="20"/>
        </w:rPr>
        <w:t>t the federal level, the Trump administration used several means to propose or implement drug pricing reform, including through federal budget proposals, executive orders and policy initiatives. For example, on July 24, 2020 and September 13, 2020, the Tru</w:t>
      </w:r>
      <w:r>
        <w:rPr>
          <w:rFonts w:eastAsia="Times New Roman"/>
          <w:color w:val="000000"/>
          <w:sz w:val="20"/>
          <w:szCs w:val="20"/>
        </w:rPr>
        <w:t>mp administration announced several executive orders related to prescription drug pricing that attempted to implement several of the administration’s proposals. As a result, the FDA also released a final rule on September 24, 2020, effective November 30, 2</w:t>
      </w:r>
      <w:r>
        <w:rPr>
          <w:rFonts w:eastAsia="Times New Roman"/>
          <w:color w:val="000000"/>
          <w:sz w:val="20"/>
          <w:szCs w:val="20"/>
        </w:rPr>
        <w:t>020, implementing a portion of the importation executive order providing guidance for states to build and submit importation plans for drugs from Canada. Further, on November 20, 2020, HHS finalized a regulation removing safe harbor protection for price re</w:t>
      </w:r>
      <w:r>
        <w:rPr>
          <w:rFonts w:eastAsia="Times New Roman"/>
          <w:color w:val="000000"/>
          <w:sz w:val="20"/>
          <w:szCs w:val="20"/>
        </w:rPr>
        <w:t xml:space="preserve">ductions from pharmaceutical manufacturers to plan sponsors under Part D, either directly or through pharmacy benefit managers, unless the price reduction is required by law. The implementation of the rule has been delayed by the Biden administration from </w:t>
      </w:r>
      <w:r>
        <w:rPr>
          <w:rFonts w:eastAsia="Times New Roman"/>
          <w:color w:val="000000"/>
          <w:sz w:val="20"/>
          <w:szCs w:val="20"/>
        </w:rPr>
        <w:t>January 1, 2022 to January 1, 2023 in response to ongoing litigation. The rule also creates a new safe harbor for price reductions reflected at the point-of-sale, as well as a new safe harbor for certain fixed fee arrangements between pharmacy benefit mana</w:t>
      </w:r>
      <w:r>
        <w:rPr>
          <w:rFonts w:eastAsia="Times New Roman"/>
          <w:color w:val="000000"/>
          <w:sz w:val="20"/>
          <w:szCs w:val="20"/>
        </w:rPr>
        <w:t>gers and manufacturers, the implementation of which have also been delayed pending review by the Biden administration until March 22, 2021. On November 20, 2020, CMS issued an interim final rule implementing the Trump administration’s Most Favored Nation e</w:t>
      </w:r>
      <w:r>
        <w:rPr>
          <w:rFonts w:eastAsia="Times New Roman"/>
          <w:color w:val="000000"/>
          <w:sz w:val="20"/>
          <w:szCs w:val="20"/>
        </w:rPr>
        <w:t>xecutive order, which would tie Medicare Part B payments for certain physician-administered drugs to the lowest price paid in other economically advanced countries, effective January 1, 2021. On December 28, 2020, the United States District Court in Northe</w:t>
      </w:r>
      <w:r>
        <w:rPr>
          <w:rFonts w:eastAsia="Times New Roman"/>
          <w:color w:val="000000"/>
          <w:sz w:val="20"/>
          <w:szCs w:val="20"/>
        </w:rPr>
        <w:t>rn California issued a nationwide preliminary injunction against implementation of the interim final rule. It is unclear whether the Biden administration will work to reverse these measures or pursue similar policy initiatives. At the state level, legislat</w:t>
      </w:r>
      <w:r>
        <w:rPr>
          <w:rFonts w:eastAsia="Times New Roman"/>
          <w:color w:val="000000"/>
          <w:sz w:val="20"/>
          <w:szCs w:val="20"/>
        </w:rPr>
        <w:t>ures have increasingly passed legislation and implemented regulations designed to control pharmaceutical and biological product pricing, including price or patient reimbursement constraints, discounts, restrictions on certain product access and marketing c</w:t>
      </w:r>
      <w:r>
        <w:rPr>
          <w:rFonts w:eastAsia="Times New Roman"/>
          <w:color w:val="000000"/>
          <w:sz w:val="20"/>
          <w:szCs w:val="20"/>
        </w:rPr>
        <w:t xml:space="preserve">ost disclosure and transparency measures, and, in </w:t>
      </w:r>
    </w:p>
    <w:p w:rsidR="00000000" w:rsidRDefault="00DA1786">
      <w:pPr>
        <w:ind w:firstLine="720"/>
        <w:jc w:val="center"/>
        <w:divId w:val="1092506976"/>
        <w:rPr>
          <w:rFonts w:eastAsia="Times New Roman"/>
        </w:rPr>
      </w:pPr>
      <w:r>
        <w:rPr>
          <w:rFonts w:eastAsia="Times New Roman"/>
          <w:color w:val="000000"/>
          <w:sz w:val="20"/>
          <w:szCs w:val="20"/>
        </w:rPr>
        <w:t>13</w:t>
      </w:r>
    </w:p>
    <w:p w:rsidR="00000000" w:rsidRDefault="00DA1786">
      <w:pPr>
        <w:rPr>
          <w:rFonts w:eastAsia="Times New Roman"/>
        </w:rPr>
      </w:pPr>
      <w:r>
        <w:rPr>
          <w:rFonts w:eastAsia="Times New Roman"/>
        </w:rPr>
        <w:pict>
          <v:rect id="_x0000_i1038" style="width:0;height:1.5pt" o:hralign="center" o:hrstd="t" o:hr="t" fillcolor="#a0a0a0" stroked="f"/>
        </w:pict>
      </w:r>
    </w:p>
    <w:p w:rsidR="00000000" w:rsidRDefault="00DA1786">
      <w:pPr>
        <w:divId w:val="1539775301"/>
        <w:rPr>
          <w:rFonts w:eastAsia="Times New Roman"/>
        </w:rPr>
      </w:pPr>
    </w:p>
    <w:p w:rsidR="00000000" w:rsidRDefault="00DA1786">
      <w:pPr>
        <w:jc w:val="both"/>
        <w:rPr>
          <w:rFonts w:eastAsia="Times New Roman"/>
        </w:rPr>
      </w:pPr>
      <w:r>
        <w:rPr>
          <w:rFonts w:eastAsia="Times New Roman"/>
          <w:color w:val="000000"/>
          <w:sz w:val="20"/>
          <w:szCs w:val="20"/>
        </w:rPr>
        <w:t>some cases, designed to encourage importation from other countries and bulk purchasing. It also possible that governmental action will be taken in response to the C</w:t>
      </w:r>
      <w:r>
        <w:rPr>
          <w:rFonts w:eastAsia="Times New Roman"/>
          <w:color w:val="000000"/>
          <w:sz w:val="20"/>
          <w:szCs w:val="20"/>
        </w:rPr>
        <w:t xml:space="preserve">OVID-19 pandemic. </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European Union-EMA process</w:t>
      </w:r>
    </w:p>
    <w:p w:rsidR="00000000" w:rsidRDefault="00DA1786">
      <w:pPr>
        <w:jc w:val="both"/>
        <w:divId w:val="702944102"/>
        <w:rPr>
          <w:rFonts w:eastAsia="Times New Roman"/>
        </w:rPr>
      </w:pPr>
      <w:r>
        <w:rPr>
          <w:rFonts w:eastAsia="Times New Roman"/>
          <w:color w:val="000000"/>
          <w:sz w:val="20"/>
          <w:szCs w:val="20"/>
        </w:rPr>
        <w:t>In the European Union, our product candidates are also be subject to extensive regulatory requirements. As in the United States, medicinal products can only be marketed if a marketing authorization, or MA, fr</w:t>
      </w:r>
      <w:r>
        <w:rPr>
          <w:rFonts w:eastAsia="Times New Roman"/>
          <w:color w:val="000000"/>
          <w:sz w:val="20"/>
          <w:szCs w:val="20"/>
        </w:rPr>
        <w:t>om the competent regulatory agencies has been obtained.</w:t>
      </w:r>
    </w:p>
    <w:p w:rsidR="00000000" w:rsidRDefault="00DA1786">
      <w:pPr>
        <w:jc w:val="both"/>
        <w:divId w:val="1267035612"/>
        <w:rPr>
          <w:rFonts w:eastAsia="Times New Roman"/>
        </w:rPr>
      </w:pPr>
      <w:r>
        <w:rPr>
          <w:rFonts w:eastAsia="Times New Roman"/>
          <w:color w:val="000000"/>
          <w:sz w:val="20"/>
          <w:szCs w:val="20"/>
        </w:rPr>
        <w:t>Similar to the United States, the various phases of preclinical and clinical research in the European Union are subject to significant regulatory controls. Clinical trials of medicinal products in the European Union must be conducted in accordance with Eur</w:t>
      </w:r>
      <w:r>
        <w:rPr>
          <w:rFonts w:eastAsia="Times New Roman"/>
          <w:color w:val="000000"/>
          <w:sz w:val="20"/>
          <w:szCs w:val="20"/>
        </w:rPr>
        <w:t>opean Union and national regulations and the International Conference on Harmonization, or ICH, guidelines on Good Clinical Practices, or GCP. Although the EU Clinical Trials Directive 2001/20/EC has sought to harmonize the European Union clinical trials r</w:t>
      </w:r>
      <w:r>
        <w:rPr>
          <w:rFonts w:eastAsia="Times New Roman"/>
          <w:color w:val="000000"/>
          <w:sz w:val="20"/>
          <w:szCs w:val="20"/>
        </w:rPr>
        <w:t>egulatory framework, setting out common rules for the control and authorization of clinical trials in the European Union, the EU Member States have transposed and applied the provisions of the Directive differently. This has led to significant variations i</w:t>
      </w:r>
      <w:r>
        <w:rPr>
          <w:rFonts w:eastAsia="Times New Roman"/>
          <w:color w:val="000000"/>
          <w:sz w:val="20"/>
          <w:szCs w:val="20"/>
        </w:rPr>
        <w:t>n the Member State regimes. To improve the current system, Regulation (EU) No 536/2014 on clinical trials on medicinal products for human use, which repealed Directive 2001/20/EC, was adopted on April 16, 2014 and published in the European Official Journal</w:t>
      </w:r>
      <w:r>
        <w:rPr>
          <w:rFonts w:eastAsia="Times New Roman"/>
          <w:color w:val="000000"/>
          <w:sz w:val="20"/>
          <w:szCs w:val="20"/>
        </w:rPr>
        <w:t xml:space="preserve"> on May 27, 2014. The Regulation aims to harmonize and streamline the clinical trials authorization process, simplify adverse event reporting procedures, improve the supervision of clinical trials, and increase their transparency. Although the Regulation e</w:t>
      </w:r>
      <w:r>
        <w:rPr>
          <w:rFonts w:eastAsia="Times New Roman"/>
          <w:color w:val="000000"/>
          <w:sz w:val="20"/>
          <w:szCs w:val="20"/>
        </w:rPr>
        <w:t>ntered into force on June 16, 2014, it will not be applicable until six months after the full functionality of the IT portal and database envisaged in the Regulation is confirmed by an independent audit, and the European Commission publishes a notice of th</w:t>
      </w:r>
      <w:r>
        <w:rPr>
          <w:rFonts w:eastAsia="Times New Roman"/>
          <w:color w:val="000000"/>
          <w:sz w:val="20"/>
          <w:szCs w:val="20"/>
        </w:rPr>
        <w:t>is confirmation. This is not expected to occur until before 2021 as an audit of the system is intended to commence in December 2020. Until then the Clinical Trials Directive 2001/20/EC will still apply.</w:t>
      </w:r>
    </w:p>
    <w:p w:rsidR="00000000" w:rsidRDefault="00DA1786">
      <w:pPr>
        <w:divId w:val="718750372"/>
        <w:rPr>
          <w:rFonts w:eastAsia="Times New Roman"/>
        </w:rPr>
      </w:pPr>
    </w:p>
    <w:p w:rsidR="00000000" w:rsidRDefault="00DA1786">
      <w:pPr>
        <w:jc w:val="both"/>
        <w:rPr>
          <w:rFonts w:eastAsia="Times New Roman"/>
        </w:rPr>
      </w:pPr>
      <w:r>
        <w:rPr>
          <w:rFonts w:eastAsia="Times New Roman"/>
          <w:color w:val="000000"/>
          <w:sz w:val="20"/>
          <w:szCs w:val="20"/>
        </w:rPr>
        <w:t>In addition, the transitory provisions of the new R</w:t>
      </w:r>
      <w:r>
        <w:rPr>
          <w:rFonts w:eastAsia="Times New Roman"/>
          <w:color w:val="000000"/>
          <w:sz w:val="20"/>
          <w:szCs w:val="20"/>
        </w:rPr>
        <w:t>egulation offer the sponsors the possibility to choose between the requirements of the Directive and the Regulation for one year from the entry into application of the Regulation.</w:t>
      </w:r>
    </w:p>
    <w:p w:rsidR="00000000" w:rsidRDefault="00DA1786">
      <w:pPr>
        <w:jc w:val="both"/>
        <w:divId w:val="588582804"/>
        <w:rPr>
          <w:rFonts w:eastAsia="Times New Roman"/>
        </w:rPr>
      </w:pPr>
      <w:r>
        <w:rPr>
          <w:rFonts w:eastAsia="Times New Roman"/>
          <w:color w:val="000000"/>
          <w:sz w:val="20"/>
          <w:szCs w:val="20"/>
        </w:rPr>
        <w:t>Under the current regime, before a clinical trial can be initiated it must b</w:t>
      </w:r>
      <w:r>
        <w:rPr>
          <w:rFonts w:eastAsia="Times New Roman"/>
          <w:color w:val="000000"/>
          <w:sz w:val="20"/>
          <w:szCs w:val="20"/>
        </w:rPr>
        <w:t>e approved in each of the EU Member States where the trial is to be conducted by two distinct bodies: the National Competent Authority, or NCA, and one or more Ethics Committees, or ECs. Under the current regime all suspected unexpected serious adverse rea</w:t>
      </w:r>
      <w:r>
        <w:rPr>
          <w:rFonts w:eastAsia="Times New Roman"/>
          <w:color w:val="000000"/>
          <w:sz w:val="20"/>
          <w:szCs w:val="20"/>
        </w:rPr>
        <w:t>ctions, or SUSARs, to the investigated drug that occur during the clinical trial have to be reported to the NCA and ECs of the Member State where they occurred and would also be reported in all countries where the drug is being used in a clinical trial.</w:t>
      </w:r>
    </w:p>
    <w:p w:rsidR="00000000" w:rsidRDefault="00DA1786">
      <w:pPr>
        <w:jc w:val="both"/>
        <w:divId w:val="569778438"/>
        <w:rPr>
          <w:rFonts w:eastAsia="Times New Roman"/>
        </w:rPr>
      </w:pPr>
      <w:r>
        <w:rPr>
          <w:rFonts w:eastAsia="Times New Roman"/>
          <w:b/>
          <w:bCs/>
          <w:i/>
          <w:iCs/>
          <w:color w:val="000000"/>
          <w:sz w:val="20"/>
          <w:szCs w:val="20"/>
        </w:rPr>
        <w:t>Ap</w:t>
      </w:r>
      <w:r>
        <w:rPr>
          <w:rFonts w:eastAsia="Times New Roman"/>
          <w:b/>
          <w:bCs/>
          <w:i/>
          <w:iCs/>
          <w:color w:val="000000"/>
          <w:sz w:val="20"/>
          <w:szCs w:val="20"/>
        </w:rPr>
        <w:t>proval Process</w:t>
      </w:r>
    </w:p>
    <w:p w:rsidR="00000000" w:rsidRDefault="00DA1786">
      <w:pPr>
        <w:jc w:val="both"/>
        <w:divId w:val="1885410691"/>
        <w:rPr>
          <w:rFonts w:eastAsia="Times New Roman"/>
        </w:rPr>
      </w:pPr>
      <w:r>
        <w:rPr>
          <w:rFonts w:eastAsia="Times New Roman"/>
          <w:color w:val="000000"/>
          <w:sz w:val="20"/>
          <w:szCs w:val="20"/>
        </w:rPr>
        <w:t>Under the centralized procedure, after the EMA issues an opinion, the European Commission issues a single marketing authorization valid across the European Union, as well as Iceland, Liechtenstein and Norway. The centralized procedure is com</w:t>
      </w:r>
      <w:r>
        <w:rPr>
          <w:rFonts w:eastAsia="Times New Roman"/>
          <w:color w:val="000000"/>
          <w:sz w:val="20"/>
          <w:szCs w:val="20"/>
        </w:rPr>
        <w:t>pulsory for human drugs that are: derived from biotechnology processes, such as genetic engineering; contain a new active substance indicated for the treatment of certain diseases, such as HIV/AIDS, cancer, diabetes, neurodegenerative disorders diseases or</w:t>
      </w:r>
      <w:r>
        <w:rPr>
          <w:rFonts w:eastAsia="Times New Roman"/>
          <w:color w:val="000000"/>
          <w:sz w:val="20"/>
          <w:szCs w:val="20"/>
        </w:rPr>
        <w:t xml:space="preserve"> autoimmune diseases and other immune dysfunctions; advanced-therapy medicines, such as gene-therapy, somatic cell-therapy or tissue-engineered medicines; and officially designated orphan drugs. For drugs that do not fall within these categories, an applic</w:t>
      </w:r>
      <w:r>
        <w:rPr>
          <w:rFonts w:eastAsia="Times New Roman"/>
          <w:color w:val="000000"/>
          <w:sz w:val="20"/>
          <w:szCs w:val="20"/>
        </w:rPr>
        <w:t>ant has the option of submitting an application for a centralized marketing authorization to the EMA, as long as the drug concerned contains a new active substance; is a significant therapeutic, scientific or technical innovation; or if its authorization w</w:t>
      </w:r>
      <w:r>
        <w:rPr>
          <w:rFonts w:eastAsia="Times New Roman"/>
          <w:color w:val="000000"/>
          <w:sz w:val="20"/>
          <w:szCs w:val="20"/>
        </w:rPr>
        <w:t>ould be in the interest of public health.</w:t>
      </w:r>
    </w:p>
    <w:p w:rsidR="00000000" w:rsidRDefault="00DA1786">
      <w:pPr>
        <w:jc w:val="both"/>
        <w:divId w:val="1206022194"/>
        <w:rPr>
          <w:rFonts w:eastAsia="Times New Roman"/>
        </w:rPr>
      </w:pPr>
      <w:r>
        <w:rPr>
          <w:rFonts w:eastAsia="Times New Roman"/>
          <w:color w:val="000000"/>
          <w:sz w:val="20"/>
          <w:szCs w:val="20"/>
        </w:rPr>
        <w:t>There are also three other possible routes to authorize medicinal products in the European Union, which are available for products that fall outside the scope of the centralized procedure:</w:t>
      </w:r>
    </w:p>
    <w:p w:rsidR="00000000" w:rsidRDefault="00DA1786">
      <w:pPr>
        <w:ind w:hanging="360"/>
        <w:jc w:val="both"/>
        <w:divId w:val="1501964165"/>
        <w:rPr>
          <w:rFonts w:eastAsia="Times New Roman"/>
        </w:rPr>
      </w:pPr>
      <w:r>
        <w:rPr>
          <w:rFonts w:eastAsia="Times New Roman"/>
          <w:color w:val="000000"/>
          <w:sz w:val="20"/>
          <w:szCs w:val="20"/>
        </w:rPr>
        <w:t>•National procedure. Nati</w:t>
      </w:r>
      <w:r>
        <w:rPr>
          <w:rFonts w:eastAsia="Times New Roman"/>
          <w:color w:val="000000"/>
          <w:sz w:val="20"/>
          <w:szCs w:val="20"/>
        </w:rPr>
        <w:t>onal MAs, issued by the competent authorities of the Member States of the EEA, are available however these only cover their respective territory;</w:t>
      </w:r>
    </w:p>
    <w:p w:rsidR="00000000" w:rsidRDefault="00DA1786">
      <w:pPr>
        <w:ind w:hanging="360"/>
        <w:jc w:val="both"/>
        <w:divId w:val="728959723"/>
        <w:rPr>
          <w:rFonts w:eastAsia="Times New Roman"/>
        </w:rPr>
      </w:pPr>
      <w:r>
        <w:rPr>
          <w:rFonts w:eastAsia="Times New Roman"/>
          <w:color w:val="000000"/>
          <w:sz w:val="20"/>
          <w:szCs w:val="20"/>
        </w:rPr>
        <w:t>•Decentralized procedure. Using the decentralized procedure, an applicant may apply for simultaneous authoriza</w:t>
      </w:r>
      <w:r>
        <w:rPr>
          <w:rFonts w:eastAsia="Times New Roman"/>
          <w:color w:val="000000"/>
          <w:sz w:val="20"/>
          <w:szCs w:val="20"/>
        </w:rPr>
        <w:t>tion in more than one European Union country of a medicinal product that has not yet been authorized in any European Union country; and</w:t>
      </w:r>
    </w:p>
    <w:p w:rsidR="00000000" w:rsidRDefault="00DA1786">
      <w:pPr>
        <w:ind w:hanging="360"/>
        <w:jc w:val="both"/>
        <w:divId w:val="1944410402"/>
        <w:rPr>
          <w:rFonts w:eastAsia="Times New Roman"/>
        </w:rPr>
      </w:pPr>
      <w:r>
        <w:rPr>
          <w:rFonts w:eastAsia="Times New Roman"/>
          <w:color w:val="000000"/>
          <w:sz w:val="20"/>
          <w:szCs w:val="20"/>
        </w:rPr>
        <w:t>•Mutual recognition procedure. In the mutual recognition procedure, a medicine is first authorized in one European Union</w:t>
      </w:r>
      <w:r>
        <w:rPr>
          <w:rFonts w:eastAsia="Times New Roman"/>
          <w:color w:val="000000"/>
          <w:sz w:val="20"/>
          <w:szCs w:val="20"/>
        </w:rPr>
        <w:t xml:space="preserve"> Member State, in accordance with the national procedures of that country. Thereafter, further marketing authorizations can be sought from other European Union countries in a procedure whereby the countries concerned agree to recognize the validity of the </w:t>
      </w:r>
      <w:r>
        <w:rPr>
          <w:rFonts w:eastAsia="Times New Roman"/>
          <w:color w:val="000000"/>
          <w:sz w:val="20"/>
          <w:szCs w:val="20"/>
        </w:rPr>
        <w:t>original, national marketing authorization.</w:t>
      </w:r>
    </w:p>
    <w:p w:rsidR="00000000" w:rsidRDefault="00DA1786">
      <w:pPr>
        <w:ind w:firstLine="720"/>
        <w:jc w:val="center"/>
        <w:divId w:val="490096158"/>
        <w:rPr>
          <w:rFonts w:eastAsia="Times New Roman"/>
        </w:rPr>
      </w:pPr>
      <w:r>
        <w:rPr>
          <w:rFonts w:eastAsia="Times New Roman"/>
          <w:color w:val="000000"/>
          <w:sz w:val="20"/>
          <w:szCs w:val="20"/>
        </w:rPr>
        <w:t>14</w:t>
      </w:r>
    </w:p>
    <w:p w:rsidR="00000000" w:rsidRDefault="00DA1786">
      <w:pPr>
        <w:rPr>
          <w:rFonts w:eastAsia="Times New Roman"/>
        </w:rPr>
      </w:pPr>
      <w:r>
        <w:rPr>
          <w:rFonts w:eastAsia="Times New Roman"/>
        </w:rPr>
        <w:pict>
          <v:rect id="_x0000_i1039" style="width:0;height:1.5pt" o:hralign="center" o:hrstd="t" o:hr="t" fillcolor="#a0a0a0" stroked="f"/>
        </w:pict>
      </w:r>
    </w:p>
    <w:p w:rsidR="00000000" w:rsidRDefault="00DA1786">
      <w:pPr>
        <w:divId w:val="1596016403"/>
        <w:rPr>
          <w:rFonts w:eastAsia="Times New Roman"/>
        </w:rPr>
      </w:pPr>
    </w:p>
    <w:p w:rsidR="00000000" w:rsidRDefault="00DA1786">
      <w:pPr>
        <w:jc w:val="both"/>
        <w:divId w:val="878470291"/>
        <w:rPr>
          <w:rFonts w:eastAsia="Times New Roman"/>
        </w:rPr>
      </w:pPr>
      <w:r>
        <w:rPr>
          <w:rFonts w:eastAsia="Times New Roman"/>
          <w:color w:val="000000"/>
          <w:sz w:val="20"/>
          <w:szCs w:val="20"/>
        </w:rPr>
        <w:t xml:space="preserve">Pursuant to Regulation (EC) No 1901/2006, all applications for marketing authorization for new medicines must include the results of all studies performed and details of </w:t>
      </w:r>
      <w:r>
        <w:rPr>
          <w:rFonts w:eastAsia="Times New Roman"/>
          <w:color w:val="000000"/>
          <w:sz w:val="20"/>
          <w:szCs w:val="20"/>
        </w:rPr>
        <w:t>all information collected in compliance with as described in a pediatric investigation plan, or PIP, agreed between regulatory authorities, the EMA’s Pediatric Committee, and the applicant, unless the medicine is exempt because of a deferral or waiver (e.g</w:t>
      </w:r>
      <w:r>
        <w:rPr>
          <w:rFonts w:eastAsia="Times New Roman"/>
          <w:color w:val="000000"/>
          <w:sz w:val="20"/>
          <w:szCs w:val="20"/>
        </w:rPr>
        <w:t>., because the relevant disease or condition occurs only in adults). Applicants are encouraged to submit pediatric investigation plans early during product development, in time for studies to be conducted in the pediatric population, where appropriate, bef</w:t>
      </w:r>
      <w:r>
        <w:rPr>
          <w:rFonts w:eastAsia="Times New Roman"/>
          <w:color w:val="000000"/>
          <w:sz w:val="20"/>
          <w:szCs w:val="20"/>
        </w:rPr>
        <w:t>ore marketing authorization applications are submitted.  Before the EMA is able to begin its assessment of a centralized procedure MA application, it will validate that the applicant has complied with an agreed pediatric investigation plan, or an applicati</w:t>
      </w:r>
      <w:r>
        <w:rPr>
          <w:rFonts w:eastAsia="Times New Roman"/>
          <w:color w:val="000000"/>
          <w:sz w:val="20"/>
          <w:szCs w:val="20"/>
        </w:rPr>
        <w:t>on for a waiver has been submitted. The applicant and the EMA may, where such a step is adequately justified, agree to modify a pediatric investigation plan to assist validation. Modifications are not always possible; may take longer to agree than the peri</w:t>
      </w:r>
      <w:r>
        <w:rPr>
          <w:rFonts w:eastAsia="Times New Roman"/>
          <w:color w:val="000000"/>
          <w:sz w:val="20"/>
          <w:szCs w:val="20"/>
        </w:rPr>
        <w:t>od of validation permits; and may still require the applicant to withdraw its marketing authorization application, or MA, and to conduct additional non-clinical and clinical studies.  Products that are granted a MA on the basis of the pediatric clinical tr</w:t>
      </w:r>
      <w:r>
        <w:rPr>
          <w:rFonts w:eastAsia="Times New Roman"/>
          <w:color w:val="000000"/>
          <w:sz w:val="20"/>
          <w:szCs w:val="20"/>
        </w:rPr>
        <w:t>ials conducted in accordance with the PIP are eligible for a six month extension of the protection under a supplementary protection certificate or a patent qualifying for a supplementary protection (if any is in effect at the time of approval) or certifica</w:t>
      </w:r>
      <w:r>
        <w:rPr>
          <w:rFonts w:eastAsia="Times New Roman"/>
          <w:color w:val="000000"/>
          <w:sz w:val="20"/>
          <w:szCs w:val="20"/>
        </w:rPr>
        <w:t>te or, in the case of orphan medicinal products, a two year extension of the orphan market exclusivity. This pediatric reward is subject to specific conditions and is not automatically available when data in compliance with the PIP are developed and submit</w:t>
      </w:r>
      <w:r>
        <w:rPr>
          <w:rFonts w:eastAsia="Times New Roman"/>
          <w:color w:val="000000"/>
          <w:sz w:val="20"/>
          <w:szCs w:val="20"/>
        </w:rPr>
        <w:t>ted.</w:t>
      </w:r>
    </w:p>
    <w:p w:rsidR="00000000" w:rsidRDefault="00DA1786">
      <w:pPr>
        <w:divId w:val="62801435"/>
        <w:rPr>
          <w:rFonts w:eastAsia="Times New Roman"/>
        </w:rPr>
      </w:pPr>
      <w:r>
        <w:rPr>
          <w:rFonts w:eastAsia="Times New Roman"/>
          <w:b/>
          <w:bCs/>
          <w:i/>
          <w:iCs/>
          <w:color w:val="000000"/>
          <w:sz w:val="20"/>
          <w:szCs w:val="20"/>
        </w:rPr>
        <w:t>Orphan drug designation</w:t>
      </w:r>
    </w:p>
    <w:p w:rsidR="00000000" w:rsidRDefault="00DA1786">
      <w:pPr>
        <w:jc w:val="both"/>
        <w:divId w:val="147672931"/>
        <w:rPr>
          <w:rFonts w:eastAsia="Times New Roman"/>
        </w:rPr>
      </w:pPr>
      <w:r>
        <w:rPr>
          <w:rFonts w:eastAsia="Times New Roman"/>
          <w:color w:val="000000"/>
          <w:sz w:val="20"/>
          <w:szCs w:val="20"/>
        </w:rPr>
        <w:t>In the European Union, Regulation (EC) No 141/2000, as amended, states that a drug will be designated as an orphan drug if its sponsor can establish:</w:t>
      </w:r>
    </w:p>
    <w:p w:rsidR="00000000" w:rsidRDefault="00DA1786">
      <w:pPr>
        <w:ind w:hanging="360"/>
        <w:jc w:val="both"/>
        <w:divId w:val="438062466"/>
        <w:rPr>
          <w:rFonts w:eastAsia="Times New Roman"/>
        </w:rPr>
      </w:pPr>
      <w:r>
        <w:rPr>
          <w:rFonts w:eastAsia="Times New Roman"/>
          <w:color w:val="000000"/>
          <w:sz w:val="20"/>
          <w:szCs w:val="20"/>
        </w:rPr>
        <w:t>•that it is intended for the diagnosis, prevention or treatment of a life-thr</w:t>
      </w:r>
      <w:r>
        <w:rPr>
          <w:rFonts w:eastAsia="Times New Roman"/>
          <w:color w:val="000000"/>
          <w:sz w:val="20"/>
          <w:szCs w:val="20"/>
        </w:rPr>
        <w:t>eatening or chronically debilitating condition affecting not more than five in ten thousand persons in the European Union when the application is made, or that it is intended for the diagnosis, prevention or treatment of a life-threatening, seriously debil</w:t>
      </w:r>
      <w:r>
        <w:rPr>
          <w:rFonts w:eastAsia="Times New Roman"/>
          <w:color w:val="000000"/>
          <w:sz w:val="20"/>
          <w:szCs w:val="20"/>
        </w:rPr>
        <w:t>itating or serious and chronic condition in the European Union and that without incentives it is unlikely that the marketing of the drug in the European Union would generate sufficient return to justify the necessary investment; and</w:t>
      </w:r>
    </w:p>
    <w:p w:rsidR="00000000" w:rsidRDefault="00DA1786">
      <w:pPr>
        <w:ind w:hanging="360"/>
        <w:jc w:val="both"/>
        <w:divId w:val="75639841"/>
        <w:rPr>
          <w:rFonts w:eastAsia="Times New Roman"/>
        </w:rPr>
      </w:pPr>
      <w:r>
        <w:rPr>
          <w:rFonts w:eastAsia="Times New Roman"/>
          <w:color w:val="000000"/>
          <w:sz w:val="20"/>
          <w:szCs w:val="20"/>
        </w:rPr>
        <w:t>•that there exists no s</w:t>
      </w:r>
      <w:r>
        <w:rPr>
          <w:rFonts w:eastAsia="Times New Roman"/>
          <w:color w:val="000000"/>
          <w:sz w:val="20"/>
          <w:szCs w:val="20"/>
        </w:rPr>
        <w:t>atisfactory method of diagnosis, prevention or treatment of the condition in question that has been authorized in the European Union or, if such method exists, that the drug will be of significant benefit to those affected by that condition.</w:t>
      </w:r>
    </w:p>
    <w:p w:rsidR="00000000" w:rsidRDefault="00DA1786">
      <w:pPr>
        <w:jc w:val="both"/>
        <w:divId w:val="173497565"/>
        <w:rPr>
          <w:rFonts w:eastAsia="Times New Roman"/>
        </w:rPr>
      </w:pPr>
      <w:r>
        <w:rPr>
          <w:rFonts w:eastAsia="Times New Roman"/>
          <w:color w:val="000000"/>
          <w:sz w:val="20"/>
          <w:szCs w:val="20"/>
        </w:rPr>
        <w:t>Regulation (EC</w:t>
      </w:r>
      <w:r>
        <w:rPr>
          <w:rFonts w:eastAsia="Times New Roman"/>
          <w:color w:val="000000"/>
          <w:sz w:val="20"/>
          <w:szCs w:val="20"/>
        </w:rPr>
        <w:t>) No 847/2000 sets out further provisions for implementation of the criteria for designation of a drug as an orphan drug. An application for the designation of a drug as an orphan drug may be submitted at any stage of development of the drug before submiss</w:t>
      </w:r>
      <w:r>
        <w:rPr>
          <w:rFonts w:eastAsia="Times New Roman"/>
          <w:color w:val="000000"/>
          <w:sz w:val="20"/>
          <w:szCs w:val="20"/>
        </w:rPr>
        <w:t>ion of a MA application.  However, an application for designation as an orphan drug may be submitted for a new therapeutic indication for an already authorized medicinal product.</w:t>
      </w:r>
    </w:p>
    <w:p w:rsidR="00000000" w:rsidRDefault="00DA1786">
      <w:pPr>
        <w:jc w:val="both"/>
        <w:divId w:val="615019387"/>
        <w:rPr>
          <w:rFonts w:eastAsia="Times New Roman"/>
        </w:rPr>
      </w:pPr>
      <w:r>
        <w:rPr>
          <w:rFonts w:eastAsia="Times New Roman"/>
          <w:color w:val="000000"/>
          <w:sz w:val="20"/>
          <w:szCs w:val="20"/>
        </w:rPr>
        <w:t>If a centralized procedure MA in respect of an orphan drug is granted pursuan</w:t>
      </w:r>
      <w:r>
        <w:rPr>
          <w:rFonts w:eastAsia="Times New Roman"/>
          <w:color w:val="000000"/>
          <w:sz w:val="20"/>
          <w:szCs w:val="20"/>
        </w:rPr>
        <w:t xml:space="preserve">t to Regulation (EC) No 726/2004, regulatory authorities will not, for a period of 10 years, accept another application for a MA, or grant a MA or accept an application to extend an existing MA, for the same therapeutic indication, in respect of a similar </w:t>
      </w:r>
      <w:r>
        <w:rPr>
          <w:rFonts w:eastAsia="Times New Roman"/>
          <w:color w:val="000000"/>
          <w:sz w:val="20"/>
          <w:szCs w:val="20"/>
        </w:rPr>
        <w:t>drug. This period may however be reduced to six years if, at the end of the fifth year, it is established, in respect of the drug concerned, that the criteria for orphan drug designation are no longer met, for example, when it is shown on the basis of avai</w:t>
      </w:r>
      <w:r>
        <w:rPr>
          <w:rFonts w:eastAsia="Times New Roman"/>
          <w:color w:val="000000"/>
          <w:sz w:val="20"/>
          <w:szCs w:val="20"/>
        </w:rPr>
        <w:t>lable evidence that the product is sufficiently profitable not to justify maintenance of market exclusivity. The exclusivity period may increase to 12 years if, among other things, the MA includes the results of studies from an agreed pediatric investigati</w:t>
      </w:r>
      <w:r>
        <w:rPr>
          <w:rFonts w:eastAsia="Times New Roman"/>
          <w:color w:val="000000"/>
          <w:sz w:val="20"/>
          <w:szCs w:val="20"/>
        </w:rPr>
        <w:t>on plan. Notwithstanding the foregoing, a MA may be granted for the same therapeutic indication to a similar drug if:</w:t>
      </w:r>
    </w:p>
    <w:p w:rsidR="00000000" w:rsidRDefault="00DA1786">
      <w:pPr>
        <w:ind w:hanging="360"/>
        <w:jc w:val="both"/>
        <w:divId w:val="1842430735"/>
        <w:rPr>
          <w:rFonts w:eastAsia="Times New Roman"/>
        </w:rPr>
      </w:pPr>
      <w:r>
        <w:rPr>
          <w:rFonts w:eastAsia="Times New Roman"/>
          <w:color w:val="000000"/>
          <w:sz w:val="20"/>
          <w:szCs w:val="20"/>
        </w:rPr>
        <w:t>•the holder of the MA for the original orphan drug has given its consent to the second applicant;</w:t>
      </w:r>
    </w:p>
    <w:p w:rsidR="00000000" w:rsidRDefault="00DA1786">
      <w:pPr>
        <w:ind w:hanging="360"/>
        <w:jc w:val="both"/>
        <w:divId w:val="1123381266"/>
        <w:rPr>
          <w:rFonts w:eastAsia="Times New Roman"/>
        </w:rPr>
      </w:pPr>
      <w:r>
        <w:rPr>
          <w:rFonts w:eastAsia="Times New Roman"/>
          <w:color w:val="000000"/>
          <w:sz w:val="20"/>
          <w:szCs w:val="20"/>
        </w:rPr>
        <w:t>•the holder of the MA for the original o</w:t>
      </w:r>
      <w:r>
        <w:rPr>
          <w:rFonts w:eastAsia="Times New Roman"/>
          <w:color w:val="000000"/>
          <w:sz w:val="20"/>
          <w:szCs w:val="20"/>
        </w:rPr>
        <w:t>rphan drug is unable to supply sufficient quantities of the drug; or</w:t>
      </w:r>
    </w:p>
    <w:p w:rsidR="00000000" w:rsidRDefault="00DA1786">
      <w:pPr>
        <w:ind w:hanging="360"/>
        <w:jc w:val="both"/>
        <w:divId w:val="293798692"/>
        <w:rPr>
          <w:rFonts w:eastAsia="Times New Roman"/>
        </w:rPr>
      </w:pPr>
      <w:r>
        <w:rPr>
          <w:rFonts w:eastAsia="Times New Roman"/>
          <w:color w:val="000000"/>
          <w:sz w:val="20"/>
          <w:szCs w:val="20"/>
        </w:rPr>
        <w:t>•the second applicant can establish in the application that the second drug, although similar to the orphan drug already authorized, is safer, more effective or otherwise clinically super</w:t>
      </w:r>
      <w:r>
        <w:rPr>
          <w:rFonts w:eastAsia="Times New Roman"/>
          <w:color w:val="000000"/>
          <w:sz w:val="20"/>
          <w:szCs w:val="20"/>
        </w:rPr>
        <w:t>ior.</w:t>
      </w:r>
    </w:p>
    <w:p w:rsidR="00000000" w:rsidRDefault="00DA1786">
      <w:pPr>
        <w:jc w:val="both"/>
        <w:divId w:val="156263498"/>
        <w:rPr>
          <w:rFonts w:eastAsia="Times New Roman"/>
        </w:rPr>
      </w:pPr>
      <w:r>
        <w:rPr>
          <w:rFonts w:eastAsia="Times New Roman"/>
          <w:color w:val="000000"/>
          <w:sz w:val="20"/>
          <w:szCs w:val="20"/>
        </w:rPr>
        <w:t>Regulation (EC) No 847/2000 lays down definitions of the concepts ‘similar drug’ and ‘clinical superiority’. Other incentives available to orphan drugs in the European Union include financial incentives such as a reduction of fees or fee waivers and p</w:t>
      </w:r>
      <w:r>
        <w:rPr>
          <w:rFonts w:eastAsia="Times New Roman"/>
          <w:color w:val="000000"/>
          <w:sz w:val="20"/>
          <w:szCs w:val="20"/>
        </w:rPr>
        <w:t>rotocol assistance. Orphan drug designation does not shorten the duration of the regulatory review and approval process.</w:t>
      </w:r>
    </w:p>
    <w:p w:rsidR="00000000" w:rsidRDefault="00DA1786">
      <w:pPr>
        <w:divId w:val="106245502"/>
        <w:rPr>
          <w:rFonts w:eastAsia="Times New Roman"/>
        </w:rPr>
      </w:pPr>
    </w:p>
    <w:p w:rsidR="00000000" w:rsidRDefault="00DA1786">
      <w:pPr>
        <w:ind w:firstLine="720"/>
        <w:jc w:val="center"/>
        <w:divId w:val="1228758540"/>
        <w:rPr>
          <w:rFonts w:eastAsia="Times New Roman"/>
        </w:rPr>
      </w:pPr>
      <w:r>
        <w:rPr>
          <w:rFonts w:eastAsia="Times New Roman"/>
          <w:color w:val="000000"/>
          <w:sz w:val="20"/>
          <w:szCs w:val="20"/>
        </w:rPr>
        <w:t>15</w:t>
      </w:r>
    </w:p>
    <w:p w:rsidR="00000000" w:rsidRDefault="00DA1786">
      <w:pPr>
        <w:rPr>
          <w:rFonts w:eastAsia="Times New Roman"/>
        </w:rPr>
      </w:pPr>
      <w:r>
        <w:rPr>
          <w:rFonts w:eastAsia="Times New Roman"/>
        </w:rPr>
        <w:pict>
          <v:rect id="_x0000_i1040" style="width:0;height:1.5pt" o:hralign="center" o:hrstd="t" o:hr="t" fillcolor="#a0a0a0" stroked="f"/>
        </w:pict>
      </w:r>
    </w:p>
    <w:p w:rsidR="00000000" w:rsidRDefault="00DA1786">
      <w:pPr>
        <w:divId w:val="1807769813"/>
        <w:rPr>
          <w:rFonts w:eastAsia="Times New Roman"/>
        </w:rPr>
      </w:pPr>
    </w:p>
    <w:p w:rsidR="00000000" w:rsidRDefault="00DA1786">
      <w:pPr>
        <w:divId w:val="1838033090"/>
        <w:rPr>
          <w:rFonts w:eastAsia="Times New Roman"/>
        </w:rPr>
      </w:pPr>
      <w:r>
        <w:rPr>
          <w:rFonts w:eastAsia="Times New Roman"/>
          <w:b/>
          <w:bCs/>
          <w:i/>
          <w:iCs/>
          <w:color w:val="000000"/>
          <w:sz w:val="20"/>
          <w:szCs w:val="20"/>
        </w:rPr>
        <w:t>Good manufacturing practices</w:t>
      </w:r>
    </w:p>
    <w:p w:rsidR="00000000" w:rsidRDefault="00DA1786">
      <w:pPr>
        <w:jc w:val="both"/>
        <w:divId w:val="915549205"/>
        <w:rPr>
          <w:rFonts w:eastAsia="Times New Roman"/>
        </w:rPr>
      </w:pPr>
      <w:r>
        <w:rPr>
          <w:rFonts w:eastAsia="Times New Roman"/>
          <w:color w:val="000000"/>
          <w:sz w:val="20"/>
          <w:szCs w:val="20"/>
        </w:rPr>
        <w:t>Like the FDA, the EMA, the competent authorities of the European Union Member States and other regulatory agencies regulate and inspect equipment, facilities and processes used in the manuf</w:t>
      </w:r>
      <w:r>
        <w:rPr>
          <w:rFonts w:eastAsia="Times New Roman"/>
          <w:color w:val="000000"/>
          <w:sz w:val="20"/>
          <w:szCs w:val="20"/>
        </w:rPr>
        <w:t xml:space="preserve">acturing of drugs intended for the EU market to ensure that certain minimum standards are met. These requirements apply, no matter where in the world the manufacturing process takes place and are designed to ensure that products intended for the EU market </w:t>
      </w:r>
      <w:r>
        <w:rPr>
          <w:rFonts w:eastAsia="Times New Roman"/>
          <w:color w:val="000000"/>
          <w:sz w:val="20"/>
          <w:szCs w:val="20"/>
        </w:rPr>
        <w:t>are of consistent high quality, are appropriate for their intended use and meet the requirements of the marketing authorization or clinical trial authorization.  If, after receiving clearance from regulatory agencies, a company makes a material change in m</w:t>
      </w:r>
      <w:r>
        <w:rPr>
          <w:rFonts w:eastAsia="Times New Roman"/>
          <w:color w:val="000000"/>
          <w:sz w:val="20"/>
          <w:szCs w:val="20"/>
        </w:rPr>
        <w:t>anufacturing equipment, location, or process, additional regulatory review and approval may be required. A company and its partners will be required to continue to comply with cGMP, and drug-specific regulations enforced by, the European Commission, the EM</w:t>
      </w:r>
      <w:r>
        <w:rPr>
          <w:rFonts w:eastAsia="Times New Roman"/>
          <w:color w:val="000000"/>
          <w:sz w:val="20"/>
          <w:szCs w:val="20"/>
        </w:rPr>
        <w:t>A and the competent authorities of European Union Member States following drug approval. Also like the FDA, the EMA, the competent authorities of the European Union Member States and other regulatory agencies also conduct regular, periodic visits to reinsp</w:t>
      </w:r>
      <w:r>
        <w:rPr>
          <w:rFonts w:eastAsia="Times New Roman"/>
          <w:color w:val="000000"/>
          <w:sz w:val="20"/>
          <w:szCs w:val="20"/>
        </w:rPr>
        <w:t>ect equipment, facilities, and processes following the initial approval of a drug. If, as a result of these inspections, the regulatory agencies determine that a company or its partners’ equipment, facilities, or processes do not comply with applicable reg</w:t>
      </w:r>
      <w:r>
        <w:rPr>
          <w:rFonts w:eastAsia="Times New Roman"/>
          <w:color w:val="000000"/>
          <w:sz w:val="20"/>
          <w:szCs w:val="20"/>
        </w:rPr>
        <w:t>ulations and conditions of drug approval, they may seek civil, criminal or administrative sanctions and/or remedies against us, including the suspension of its manufacturing operations or the withdrawal of our drug from the market.</w:t>
      </w:r>
    </w:p>
    <w:p w:rsidR="00000000" w:rsidRDefault="00DA1786">
      <w:pPr>
        <w:divId w:val="993921294"/>
        <w:rPr>
          <w:rFonts w:eastAsia="Times New Roman"/>
        </w:rPr>
      </w:pPr>
      <w:r>
        <w:rPr>
          <w:rFonts w:eastAsia="Times New Roman"/>
          <w:b/>
          <w:bCs/>
          <w:i/>
          <w:iCs/>
          <w:color w:val="000000"/>
          <w:sz w:val="20"/>
          <w:szCs w:val="20"/>
        </w:rPr>
        <w:t>Post-Approval Controls</w:t>
      </w:r>
    </w:p>
    <w:p w:rsidR="00000000" w:rsidRDefault="00DA1786">
      <w:pPr>
        <w:jc w:val="both"/>
        <w:divId w:val="1496847543"/>
        <w:rPr>
          <w:rFonts w:eastAsia="Times New Roman"/>
        </w:rPr>
      </w:pPr>
      <w:r>
        <w:rPr>
          <w:rFonts w:eastAsia="Times New Roman"/>
          <w:color w:val="000000"/>
          <w:sz w:val="20"/>
          <w:szCs w:val="20"/>
        </w:rPr>
        <w:t>T</w:t>
      </w:r>
      <w:r>
        <w:rPr>
          <w:rFonts w:eastAsia="Times New Roman"/>
          <w:color w:val="000000"/>
          <w:sz w:val="20"/>
          <w:szCs w:val="20"/>
        </w:rPr>
        <w:t>he holder of a European MA must establish and maintain a pharmacovigilance system and appoint an individual qualified person for pharmacovigilance, or QPPV, who is responsible for oversight of that system. Key obligations include expedited reporting of sus</w:t>
      </w:r>
      <w:r>
        <w:rPr>
          <w:rFonts w:eastAsia="Times New Roman"/>
          <w:color w:val="000000"/>
          <w:sz w:val="20"/>
          <w:szCs w:val="20"/>
        </w:rPr>
        <w:t>pected serious adverse reactions and submission of periodic safety update reports, or PSURs.</w:t>
      </w:r>
    </w:p>
    <w:p w:rsidR="00000000" w:rsidRDefault="00DA1786">
      <w:pPr>
        <w:jc w:val="both"/>
        <w:divId w:val="833954088"/>
        <w:rPr>
          <w:rFonts w:eastAsia="Times New Roman"/>
        </w:rPr>
      </w:pPr>
      <w:r>
        <w:rPr>
          <w:rFonts w:eastAsia="Times New Roman"/>
          <w:color w:val="000000"/>
          <w:sz w:val="20"/>
          <w:szCs w:val="20"/>
        </w:rPr>
        <w:t>All new MAs must include a risk management plan, or RMP, describing the risk management system that the company will put in place, recording the product’</w:t>
      </w:r>
      <w:r>
        <w:rPr>
          <w:rFonts w:eastAsia="Times New Roman"/>
          <w:color w:val="000000"/>
          <w:sz w:val="20"/>
          <w:szCs w:val="20"/>
        </w:rPr>
        <w:t>s safety profile and documenting the effectiveness of risk-minimization measures. The regulatory authorities may also impose specific obligations as a condition of the MA. Such risk-minimization measures or post-authorization obligations may include additi</w:t>
      </w:r>
      <w:r>
        <w:rPr>
          <w:rFonts w:eastAsia="Times New Roman"/>
          <w:color w:val="000000"/>
          <w:sz w:val="20"/>
          <w:szCs w:val="20"/>
        </w:rPr>
        <w:t>onal safety monitoring, more frequent submission of PSURs, or the conduct of additional clinical trials or post-authorization safety studies. RMPs and PSURs are routinely available to third-parties requesting access, subject to limited redactions. All adve</w:t>
      </w:r>
      <w:r>
        <w:rPr>
          <w:rFonts w:eastAsia="Times New Roman"/>
          <w:color w:val="000000"/>
          <w:sz w:val="20"/>
          <w:szCs w:val="20"/>
        </w:rPr>
        <w:t xml:space="preserve">rtising and promotional activities for the product must be consistent with the approved summary of product characteristics, and therefore all off-label promotion is prohibited. Direct-to-consumer advertising of prescription medicines is also prohibited in </w:t>
      </w:r>
      <w:r>
        <w:rPr>
          <w:rFonts w:eastAsia="Times New Roman"/>
          <w:color w:val="000000"/>
          <w:sz w:val="20"/>
          <w:szCs w:val="20"/>
        </w:rPr>
        <w:t>the European Union. Although general requirements for advertising and promotion of medicinal products are established under EU directives, the details are governed by regulations in each EU Member State and can differ from one country to another.</w:t>
      </w:r>
    </w:p>
    <w:p w:rsidR="00000000" w:rsidRDefault="00DA1786">
      <w:pPr>
        <w:divId w:val="2061241424"/>
        <w:rPr>
          <w:rFonts w:eastAsia="Times New Roman"/>
        </w:rPr>
      </w:pPr>
      <w:r>
        <w:rPr>
          <w:rFonts w:eastAsia="Times New Roman"/>
          <w:b/>
          <w:bCs/>
          <w:i/>
          <w:iCs/>
          <w:color w:val="000000"/>
          <w:sz w:val="20"/>
          <w:szCs w:val="20"/>
        </w:rPr>
        <w:t xml:space="preserve">Data and </w:t>
      </w:r>
      <w:r>
        <w:rPr>
          <w:rFonts w:eastAsia="Times New Roman"/>
          <w:b/>
          <w:bCs/>
          <w:i/>
          <w:iCs/>
          <w:color w:val="000000"/>
          <w:sz w:val="20"/>
          <w:szCs w:val="20"/>
        </w:rPr>
        <w:t>market exclusivity</w:t>
      </w:r>
    </w:p>
    <w:p w:rsidR="00000000" w:rsidRDefault="00DA1786">
      <w:pPr>
        <w:jc w:val="both"/>
        <w:divId w:val="1453593985"/>
        <w:rPr>
          <w:rFonts w:eastAsia="Times New Roman"/>
        </w:rPr>
      </w:pPr>
      <w:r>
        <w:rPr>
          <w:rFonts w:eastAsia="Times New Roman"/>
          <w:color w:val="000000"/>
          <w:sz w:val="20"/>
          <w:szCs w:val="20"/>
        </w:rPr>
        <w:t>Similar to the United States, there is a process to authorize generic versions of innovative drugs in the European Union. Generic competitors can, where data exclusivity has expired, submit abridged applications to authorize generic vers</w:t>
      </w:r>
      <w:r>
        <w:rPr>
          <w:rFonts w:eastAsia="Times New Roman"/>
          <w:color w:val="000000"/>
          <w:sz w:val="20"/>
          <w:szCs w:val="20"/>
        </w:rPr>
        <w:t xml:space="preserve">ions of drugs authorized by the EMA through the centralized procedure referencing the innovator’s data and demonstrating bioequivalence to the reference drug, among other things. If a marketing authorization is granted for a medicinal product containing a </w:t>
      </w:r>
      <w:r>
        <w:rPr>
          <w:rFonts w:eastAsia="Times New Roman"/>
          <w:color w:val="000000"/>
          <w:sz w:val="20"/>
          <w:szCs w:val="20"/>
        </w:rPr>
        <w:t xml:space="preserve">new active substance, that product benefits from eight years of data exclusivity, during which generic marketing authorization applications referring to the data of that product may not be accepted by the regulatory authorities, and a further two years of </w:t>
      </w:r>
      <w:r>
        <w:rPr>
          <w:rFonts w:eastAsia="Times New Roman"/>
          <w:color w:val="000000"/>
          <w:sz w:val="20"/>
          <w:szCs w:val="20"/>
        </w:rPr>
        <w:t>market exclusivity, during which such generic products may not be placed on the market. The two-year period may be extended to three years if during the first eight years a new therapeutic indication with significant clinical benefit over existing therapie</w:t>
      </w:r>
      <w:r>
        <w:rPr>
          <w:rFonts w:eastAsia="Times New Roman"/>
          <w:color w:val="000000"/>
          <w:sz w:val="20"/>
          <w:szCs w:val="20"/>
        </w:rPr>
        <w:t>s is approved. This system is usually referred to as “8+2”. There is also a special regime for biosimilars, or biological medicinal products that are similar to a reference medicinal product but that do not meet the definition of a generic medicinal produc</w:t>
      </w:r>
      <w:r>
        <w:rPr>
          <w:rFonts w:eastAsia="Times New Roman"/>
          <w:color w:val="000000"/>
          <w:sz w:val="20"/>
          <w:szCs w:val="20"/>
        </w:rPr>
        <w:t>t, for example, because of differences in raw materials or manufacturing processes. For such products, the results of appropriate preclinical or clinical trials must be provided, and guidelines from the EMA detail the type of quantity of supplementary data</w:t>
      </w:r>
      <w:r>
        <w:rPr>
          <w:rFonts w:eastAsia="Times New Roman"/>
          <w:color w:val="000000"/>
          <w:sz w:val="20"/>
          <w:szCs w:val="20"/>
        </w:rPr>
        <w:t xml:space="preserve"> to be provided for different types of biological product.  In addition, there are certain circumstances, such as where the innovator company is granted a marketing authorization for a significant new indication for the relevant medicinal product, where an</w:t>
      </w:r>
      <w:r>
        <w:rPr>
          <w:rFonts w:eastAsia="Times New Roman"/>
          <w:color w:val="000000"/>
          <w:sz w:val="20"/>
          <w:szCs w:val="20"/>
        </w:rPr>
        <w:t xml:space="preserve"> additional one year of marketing exclusivity may be granted.   As referenced above, orphan medicinal products are subject to separate marketing exclusivity arrangements.</w:t>
      </w:r>
    </w:p>
    <w:p w:rsidR="00000000" w:rsidRDefault="00DA1786">
      <w:pPr>
        <w:divId w:val="224881901"/>
        <w:rPr>
          <w:rFonts w:eastAsia="Times New Roman"/>
        </w:rPr>
      </w:pPr>
      <w:r>
        <w:rPr>
          <w:rFonts w:eastAsia="Times New Roman"/>
          <w:b/>
          <w:bCs/>
          <w:i/>
          <w:iCs/>
          <w:color w:val="000000"/>
          <w:sz w:val="20"/>
          <w:szCs w:val="20"/>
        </w:rPr>
        <w:t>Other international markets-drug approval process</w:t>
      </w:r>
    </w:p>
    <w:p w:rsidR="00000000" w:rsidRDefault="00DA1786">
      <w:pPr>
        <w:jc w:val="both"/>
        <w:divId w:val="1958679076"/>
        <w:rPr>
          <w:rFonts w:eastAsia="Times New Roman"/>
        </w:rPr>
      </w:pPr>
      <w:r>
        <w:rPr>
          <w:rFonts w:eastAsia="Times New Roman"/>
          <w:color w:val="000000"/>
          <w:sz w:val="20"/>
          <w:szCs w:val="20"/>
        </w:rPr>
        <w:t>In some international markets (such</w:t>
      </w:r>
      <w:r>
        <w:rPr>
          <w:rFonts w:eastAsia="Times New Roman"/>
          <w:color w:val="000000"/>
          <w:sz w:val="20"/>
          <w:szCs w:val="20"/>
        </w:rPr>
        <w:t xml:space="preserve"> as China or Japan), although data generated in United States or European Union trials may be submitted in support of a marketing authorization application, regulators may require additional clinical studies conducted in the host territory, or studying peo</w:t>
      </w:r>
      <w:r>
        <w:rPr>
          <w:rFonts w:eastAsia="Times New Roman"/>
          <w:color w:val="000000"/>
          <w:sz w:val="20"/>
          <w:szCs w:val="20"/>
        </w:rPr>
        <w:t>ple of the ethnicity of the host territory, prior to the filing or approval of marketing applications within the country.</w:t>
      </w:r>
    </w:p>
    <w:p w:rsidR="00000000" w:rsidRDefault="00DA1786">
      <w:pPr>
        <w:ind w:firstLine="720"/>
        <w:jc w:val="center"/>
        <w:divId w:val="66802605"/>
        <w:rPr>
          <w:rFonts w:eastAsia="Times New Roman"/>
        </w:rPr>
      </w:pPr>
      <w:r>
        <w:rPr>
          <w:rFonts w:eastAsia="Times New Roman"/>
          <w:color w:val="000000"/>
          <w:sz w:val="20"/>
          <w:szCs w:val="20"/>
        </w:rPr>
        <w:t>16</w:t>
      </w:r>
    </w:p>
    <w:p w:rsidR="00000000" w:rsidRDefault="00DA1786">
      <w:pPr>
        <w:rPr>
          <w:rFonts w:eastAsia="Times New Roman"/>
        </w:rPr>
      </w:pPr>
      <w:r>
        <w:rPr>
          <w:rFonts w:eastAsia="Times New Roman"/>
        </w:rPr>
        <w:pict>
          <v:rect id="_x0000_i1041" style="width:0;height:1.5pt" o:hralign="center" o:hrstd="t" o:hr="t" fillcolor="#a0a0a0" stroked="f"/>
        </w:pict>
      </w:r>
    </w:p>
    <w:p w:rsidR="00000000" w:rsidRDefault="00DA1786">
      <w:pPr>
        <w:divId w:val="2101489870"/>
        <w:rPr>
          <w:rFonts w:eastAsia="Times New Roman"/>
        </w:rPr>
      </w:pPr>
    </w:p>
    <w:p w:rsidR="00000000" w:rsidRDefault="00DA1786">
      <w:pPr>
        <w:divId w:val="1895504012"/>
        <w:rPr>
          <w:rFonts w:eastAsia="Times New Roman"/>
        </w:rPr>
      </w:pPr>
      <w:r>
        <w:rPr>
          <w:rFonts w:eastAsia="Times New Roman"/>
          <w:b/>
          <w:bCs/>
          <w:i/>
          <w:iCs/>
          <w:color w:val="000000"/>
          <w:sz w:val="20"/>
          <w:szCs w:val="20"/>
        </w:rPr>
        <w:t>Pricing and reimbursement</w:t>
      </w:r>
    </w:p>
    <w:p w:rsidR="00000000" w:rsidRDefault="00DA1786">
      <w:pPr>
        <w:jc w:val="both"/>
        <w:divId w:val="955866667"/>
        <w:rPr>
          <w:rFonts w:eastAsia="Times New Roman"/>
        </w:rPr>
      </w:pPr>
      <w:r>
        <w:rPr>
          <w:rFonts w:eastAsia="Times New Roman"/>
          <w:color w:val="000000"/>
          <w:sz w:val="20"/>
          <w:szCs w:val="20"/>
        </w:rPr>
        <w:t>Significant uncertainty exists as to the coverage and reimbursemen</w:t>
      </w:r>
      <w:r>
        <w:rPr>
          <w:rFonts w:eastAsia="Times New Roman"/>
          <w:color w:val="000000"/>
          <w:sz w:val="20"/>
          <w:szCs w:val="20"/>
        </w:rPr>
        <w:t>t status of any drugs for which companies may obtain regulatory approval. In the United States and markets in other countries, sales of any drugs for which companies receive regulatory approval for commercial sale will depend in part on the availability of</w:t>
      </w:r>
      <w:r>
        <w:rPr>
          <w:rFonts w:eastAsia="Times New Roman"/>
          <w:color w:val="000000"/>
          <w:sz w:val="20"/>
          <w:szCs w:val="20"/>
        </w:rPr>
        <w:t xml:space="preserve"> coverage and reimbursement from third-party payors. Third-party payors include government authorities, managed care plans, private health insurers and other organizations. The process for determining whether a third-party payor will provide coverage for a</w:t>
      </w:r>
      <w:r>
        <w:rPr>
          <w:rFonts w:eastAsia="Times New Roman"/>
          <w:color w:val="000000"/>
          <w:sz w:val="20"/>
          <w:szCs w:val="20"/>
        </w:rPr>
        <w:t xml:space="preserve"> drug may be separate from the process for setting the reimbursement rate that the payor will pay for the drug. Third-party payors may limit coverage to specific drugs on an approved list, or formulary, which might not include all of the FDA-approved drugs</w:t>
      </w:r>
      <w:r>
        <w:rPr>
          <w:rFonts w:eastAsia="Times New Roman"/>
          <w:color w:val="000000"/>
          <w:sz w:val="20"/>
          <w:szCs w:val="20"/>
        </w:rPr>
        <w:t xml:space="preserve"> for a particular indication. Moreover, a third-party payor’s decision to provide coverage for a drug does not imply that an adequate reimbursement rate will be approved. Additionally, coverage and reimbursement for drugs can differ significantly from payo</w:t>
      </w:r>
      <w:r>
        <w:rPr>
          <w:rFonts w:eastAsia="Times New Roman"/>
          <w:color w:val="000000"/>
          <w:sz w:val="20"/>
          <w:szCs w:val="20"/>
        </w:rPr>
        <w:t>r to payor. One third-party payor’s decision to cover a particular drug does not ensure that other payors will also provide coverage for the drug, or will provide coverage at an adequate reimbursement rate. Adequate third-party reimbursement may not be ava</w:t>
      </w:r>
      <w:r>
        <w:rPr>
          <w:rFonts w:eastAsia="Times New Roman"/>
          <w:color w:val="000000"/>
          <w:sz w:val="20"/>
          <w:szCs w:val="20"/>
        </w:rPr>
        <w:t>ilable to enable us to maintain price levels sufficient to realize an appropriate return on its investment in drug development.</w:t>
      </w:r>
    </w:p>
    <w:p w:rsidR="00000000" w:rsidRDefault="00DA1786">
      <w:pPr>
        <w:jc w:val="both"/>
        <w:divId w:val="1170756383"/>
        <w:rPr>
          <w:rFonts w:eastAsia="Times New Roman"/>
        </w:rPr>
      </w:pPr>
      <w:r>
        <w:rPr>
          <w:rFonts w:eastAsia="Times New Roman"/>
          <w:color w:val="000000"/>
          <w:sz w:val="20"/>
          <w:szCs w:val="20"/>
        </w:rPr>
        <w:t>Third-party payors are increasingly challenging the price and examining the medical necessity and cost-effectiveness of drugs an</w:t>
      </w:r>
      <w:r>
        <w:rPr>
          <w:rFonts w:eastAsia="Times New Roman"/>
          <w:color w:val="000000"/>
          <w:sz w:val="20"/>
          <w:szCs w:val="20"/>
        </w:rPr>
        <w:t>d services, in addition to their safety and efficacy. To obtain coverage and reimbursement for any drug that might be approved for sale, we may need to conduct expensive pharmacoeconomic studies to demonstrate the medical necessity and cost-effectiveness o</w:t>
      </w:r>
      <w:r>
        <w:rPr>
          <w:rFonts w:eastAsia="Times New Roman"/>
          <w:color w:val="000000"/>
          <w:sz w:val="20"/>
          <w:szCs w:val="20"/>
        </w:rPr>
        <w:t>f our drug. These studies will be in addition to the studies required to obtain regulatory approvals. If third-party payors do not consider a drug to be cost-effective compared to other available therapies, they may not cover the drug after approval as a b</w:t>
      </w:r>
      <w:r>
        <w:rPr>
          <w:rFonts w:eastAsia="Times New Roman"/>
          <w:color w:val="000000"/>
          <w:sz w:val="20"/>
          <w:szCs w:val="20"/>
        </w:rPr>
        <w:t>enefit under their plans or, if they do, the level of payment may not be sufficient to allow a company to sell its drugs at a profit.</w:t>
      </w:r>
    </w:p>
    <w:p w:rsidR="00000000" w:rsidRDefault="00DA1786">
      <w:pPr>
        <w:jc w:val="both"/>
        <w:divId w:val="2026400762"/>
        <w:rPr>
          <w:rFonts w:eastAsia="Times New Roman"/>
        </w:rPr>
      </w:pPr>
      <w:r>
        <w:rPr>
          <w:rFonts w:eastAsia="Times New Roman"/>
          <w:color w:val="000000"/>
          <w:sz w:val="20"/>
          <w:szCs w:val="20"/>
        </w:rPr>
        <w:t>The U.S. government, state legislatures and foreign governments have shown significant interest in implementing cost conta</w:t>
      </w:r>
      <w:r>
        <w:rPr>
          <w:rFonts w:eastAsia="Times New Roman"/>
          <w:color w:val="000000"/>
          <w:sz w:val="20"/>
          <w:szCs w:val="20"/>
        </w:rPr>
        <w:t>inment programs to limit the growth of government-paid health care costs, including price controls, restrictions on reimbursement and requirements for substitution of generic drugs for branded prescription drugs. By way of example, PPACA contains provision</w:t>
      </w:r>
      <w:r>
        <w:rPr>
          <w:rFonts w:eastAsia="Times New Roman"/>
          <w:color w:val="000000"/>
          <w:sz w:val="20"/>
          <w:szCs w:val="20"/>
        </w:rPr>
        <w:t>s that may reduce the profitability of drugs, including, for example, increased rebates for drugs sold to Medicaid programs, extension of Medicaid rebates to Medicaid managed care plans, mandatory discounts for certain Medicare Part D beneficiaries and ann</w:t>
      </w:r>
      <w:r>
        <w:rPr>
          <w:rFonts w:eastAsia="Times New Roman"/>
          <w:color w:val="000000"/>
          <w:sz w:val="20"/>
          <w:szCs w:val="20"/>
        </w:rPr>
        <w:t xml:space="preserve">ual fees based on pharmaceutical companies’ share of sales to federal health care programs. Adoption of government controls and measures, and tightening of restrictive policies in jurisdictions with existing controls and measures, could limit payments for </w:t>
      </w:r>
      <w:r>
        <w:rPr>
          <w:rFonts w:eastAsia="Times New Roman"/>
          <w:color w:val="000000"/>
          <w:sz w:val="20"/>
          <w:szCs w:val="20"/>
        </w:rPr>
        <w:t>our drugs.</w:t>
      </w:r>
    </w:p>
    <w:p w:rsidR="00000000" w:rsidRDefault="00DA1786">
      <w:pPr>
        <w:jc w:val="both"/>
        <w:divId w:val="2099709884"/>
        <w:rPr>
          <w:rFonts w:eastAsia="Times New Roman"/>
        </w:rPr>
      </w:pPr>
      <w:r>
        <w:rPr>
          <w:rFonts w:eastAsia="Times New Roman"/>
          <w:color w:val="000000"/>
          <w:sz w:val="20"/>
          <w:szCs w:val="20"/>
        </w:rPr>
        <w:t>In the European Community, governments influence the price of drugs through their pricing and reimbursement rules and control of national health care systems that fund a large part of the cost of those drugs to consumers. Some jurisdictions oper</w:t>
      </w:r>
      <w:r>
        <w:rPr>
          <w:rFonts w:eastAsia="Times New Roman"/>
          <w:color w:val="000000"/>
          <w:sz w:val="20"/>
          <w:szCs w:val="20"/>
        </w:rPr>
        <w:t>ate positive and negative list systems under which drugs may only be marketed once a reimbursement price has been agreed to by the government. To obtain reimbursement or pricing approval, some of these countries may require the completion of clinical studi</w:t>
      </w:r>
      <w:r>
        <w:rPr>
          <w:rFonts w:eastAsia="Times New Roman"/>
          <w:color w:val="000000"/>
          <w:sz w:val="20"/>
          <w:szCs w:val="20"/>
        </w:rPr>
        <w:t>es that compare the cost effectiveness of a particular drug candidate to currently available therapies. Other member states allow companies to fix their own prices for medicines, but monitor and control company profits. The downward pressure on health care</w:t>
      </w:r>
      <w:r>
        <w:rPr>
          <w:rFonts w:eastAsia="Times New Roman"/>
          <w:color w:val="000000"/>
          <w:sz w:val="20"/>
          <w:szCs w:val="20"/>
        </w:rPr>
        <w:t xml:space="preserve"> costs in general, particularly prescription drugs, has become very intense. As a result, increasingly high barriers are being erected to the entry of new drugs. In addition, in some countries, cross border imports from low-priced markets exert a commercia</w:t>
      </w:r>
      <w:r>
        <w:rPr>
          <w:rFonts w:eastAsia="Times New Roman"/>
          <w:color w:val="000000"/>
          <w:sz w:val="20"/>
          <w:szCs w:val="20"/>
        </w:rPr>
        <w:t>l pressure on pricing within a country.</w:t>
      </w:r>
    </w:p>
    <w:p w:rsidR="00000000" w:rsidRDefault="00DA1786">
      <w:pPr>
        <w:jc w:val="both"/>
        <w:divId w:val="819155289"/>
        <w:rPr>
          <w:rFonts w:eastAsia="Times New Roman"/>
        </w:rPr>
      </w:pPr>
      <w:r>
        <w:rPr>
          <w:rFonts w:eastAsia="Times New Roman"/>
          <w:color w:val="000000"/>
          <w:sz w:val="20"/>
          <w:szCs w:val="20"/>
        </w:rPr>
        <w:t>The marketability of any drugs for which companies receive regulatory approval for commercial sale may suffer if government and other third-party payors fail to provide coverage and adequate reimbursement. In additio</w:t>
      </w:r>
      <w:r>
        <w:rPr>
          <w:rFonts w:eastAsia="Times New Roman"/>
          <w:color w:val="000000"/>
          <w:sz w:val="20"/>
          <w:szCs w:val="20"/>
        </w:rPr>
        <w:t>n, the focus on cost containment measures in the United States and other countries has increased and we expect will continue to increase the pressure on pharmaceutical pricing. Coverage policies and third-party reimbursement rates may change at any time.</w:t>
      </w:r>
    </w:p>
    <w:p w:rsidR="00000000" w:rsidRDefault="00DA1786">
      <w:pPr>
        <w:divId w:val="1790009113"/>
        <w:rPr>
          <w:rFonts w:eastAsia="Times New Roman"/>
        </w:rPr>
      </w:pPr>
      <w:r>
        <w:rPr>
          <w:rFonts w:eastAsia="Times New Roman"/>
          <w:b/>
          <w:bCs/>
          <w:i/>
          <w:iCs/>
          <w:color w:val="000000"/>
          <w:sz w:val="20"/>
          <w:szCs w:val="20"/>
        </w:rPr>
        <w:t>O</w:t>
      </w:r>
      <w:r>
        <w:rPr>
          <w:rFonts w:eastAsia="Times New Roman"/>
          <w:b/>
          <w:bCs/>
          <w:i/>
          <w:iCs/>
          <w:color w:val="000000"/>
          <w:sz w:val="20"/>
          <w:szCs w:val="20"/>
        </w:rPr>
        <w:t>ther healthcare laws impacting sales, marketing, and other company activities</w:t>
      </w:r>
    </w:p>
    <w:p w:rsidR="00000000" w:rsidRDefault="00DA1786">
      <w:pPr>
        <w:jc w:val="both"/>
        <w:divId w:val="1603411201"/>
        <w:rPr>
          <w:rFonts w:eastAsia="Times New Roman"/>
        </w:rPr>
      </w:pPr>
      <w:r>
        <w:rPr>
          <w:rFonts w:eastAsia="Times New Roman"/>
          <w:color w:val="000000"/>
          <w:sz w:val="20"/>
          <w:szCs w:val="20"/>
        </w:rPr>
        <w:t>Numerous regulatory authorities in addition to the FDA, including, in the United States, CMS, other divisions of the U.S. Department of Health and Human Services, or HHS, the U.S</w:t>
      </w:r>
      <w:r>
        <w:rPr>
          <w:rFonts w:eastAsia="Times New Roman"/>
          <w:color w:val="000000"/>
          <w:sz w:val="20"/>
          <w:szCs w:val="20"/>
        </w:rPr>
        <w:t>. Department of Justice, and similar foreign, state, and local government authorities, regulate and enforce laws and regulations applicable to sales, promotion and other activities of pharmaceutical manufacturers. These laws and regulations may impact, amo</w:t>
      </w:r>
      <w:r>
        <w:rPr>
          <w:rFonts w:eastAsia="Times New Roman"/>
          <w:color w:val="000000"/>
          <w:sz w:val="20"/>
          <w:szCs w:val="20"/>
        </w:rPr>
        <w:t>ng other things, our clinical research programs, proposed sales and marketing and education activities, and financial and business relationships with future prescribers of our product candidates, once approved. These laws and regulations include U.S. feder</w:t>
      </w:r>
      <w:r>
        <w:rPr>
          <w:rFonts w:eastAsia="Times New Roman"/>
          <w:color w:val="000000"/>
          <w:sz w:val="20"/>
          <w:szCs w:val="20"/>
        </w:rPr>
        <w:t>al, U.S. state and foreign anti-kickback, false claims, and data privacy and security laws, which are described below, among other legal requirements that may affect our current and future operations.</w:t>
      </w:r>
    </w:p>
    <w:p w:rsidR="00000000" w:rsidRDefault="00DA1786">
      <w:pPr>
        <w:ind w:firstLine="720"/>
        <w:jc w:val="center"/>
        <w:divId w:val="1084886660"/>
        <w:rPr>
          <w:rFonts w:eastAsia="Times New Roman"/>
        </w:rPr>
      </w:pPr>
      <w:r>
        <w:rPr>
          <w:rFonts w:eastAsia="Times New Roman"/>
          <w:color w:val="000000"/>
          <w:sz w:val="20"/>
          <w:szCs w:val="20"/>
        </w:rPr>
        <w:t>17</w:t>
      </w:r>
    </w:p>
    <w:p w:rsidR="00000000" w:rsidRDefault="00DA1786">
      <w:pPr>
        <w:rPr>
          <w:rFonts w:eastAsia="Times New Roman"/>
        </w:rPr>
      </w:pPr>
      <w:r>
        <w:rPr>
          <w:rFonts w:eastAsia="Times New Roman"/>
        </w:rPr>
        <w:pict>
          <v:rect id="_x0000_i1042" style="width:0;height:1.5pt" o:hralign="center" o:hrstd="t" o:hr="t" fillcolor="#a0a0a0" stroked="f"/>
        </w:pict>
      </w:r>
    </w:p>
    <w:p w:rsidR="00000000" w:rsidRDefault="00DA1786">
      <w:pPr>
        <w:divId w:val="77947364"/>
        <w:rPr>
          <w:rFonts w:eastAsia="Times New Roman"/>
        </w:rPr>
      </w:pPr>
    </w:p>
    <w:p w:rsidR="00000000" w:rsidRDefault="00DA1786">
      <w:pPr>
        <w:jc w:val="both"/>
        <w:divId w:val="2018921028"/>
        <w:rPr>
          <w:rFonts w:eastAsia="Times New Roman"/>
        </w:rPr>
      </w:pPr>
      <w:r>
        <w:rPr>
          <w:rFonts w:eastAsia="Times New Roman"/>
          <w:color w:val="000000"/>
          <w:sz w:val="20"/>
          <w:szCs w:val="20"/>
        </w:rPr>
        <w:t>The FDA regula</w:t>
      </w:r>
      <w:r>
        <w:rPr>
          <w:rFonts w:eastAsia="Times New Roman"/>
          <w:color w:val="000000"/>
          <w:sz w:val="20"/>
          <w:szCs w:val="20"/>
        </w:rPr>
        <w:t>tes all advertising and promotion activities for drugs under its jurisdiction both prior to and after approval. Only those claims relating to safety and efficacy that the FDA has approved may be used in labeling once the drug is approved. Physicians may pr</w:t>
      </w:r>
      <w:r>
        <w:rPr>
          <w:rFonts w:eastAsia="Times New Roman"/>
          <w:color w:val="000000"/>
          <w:sz w:val="20"/>
          <w:szCs w:val="20"/>
        </w:rPr>
        <w:t>escribe legally available drugs for uses that are not described in the drug’s labeling and that differ from those we tested and the FDA approved. Such off-label uses are common across medical specialties, and often reflect a physician’s belief that the off</w:t>
      </w:r>
      <w:r>
        <w:rPr>
          <w:rFonts w:eastAsia="Times New Roman"/>
          <w:color w:val="000000"/>
          <w:sz w:val="20"/>
          <w:szCs w:val="20"/>
        </w:rPr>
        <w:t xml:space="preserve">-label use is the best treatment for the patients. The FDA does not regulate the behavior of physicians in their choice of treatments, but FDA regulations do impose stringent restrictions on manufacturers’ communications regarding off-label uses. If we do </w:t>
      </w:r>
      <w:r>
        <w:rPr>
          <w:rFonts w:eastAsia="Times New Roman"/>
          <w:color w:val="000000"/>
          <w:sz w:val="20"/>
          <w:szCs w:val="20"/>
        </w:rPr>
        <w:t xml:space="preserve">not comply with applicable FDA requirements we may face adverse publicity, enforcement action by the FDA, corrective advertising, consent decrees and the full range of civil and criminal penalties available to the FDA. Promotion of off-label uses of drugs </w:t>
      </w:r>
      <w:r>
        <w:rPr>
          <w:rFonts w:eastAsia="Times New Roman"/>
          <w:color w:val="000000"/>
          <w:sz w:val="20"/>
          <w:szCs w:val="20"/>
        </w:rPr>
        <w:t>can also implicate the false claims laws described below.</w:t>
      </w:r>
    </w:p>
    <w:p w:rsidR="00000000" w:rsidRDefault="00DA1786">
      <w:pPr>
        <w:jc w:val="both"/>
        <w:divId w:val="1063526117"/>
        <w:rPr>
          <w:rFonts w:eastAsia="Times New Roman"/>
        </w:rPr>
      </w:pPr>
      <w:r>
        <w:rPr>
          <w:rFonts w:eastAsia="Times New Roman"/>
          <w:color w:val="000000"/>
          <w:sz w:val="20"/>
          <w:szCs w:val="20"/>
        </w:rPr>
        <w:t>Anti-kickback laws including, without limitation, the federal Anti-Kickback Statute that applies to items and services reimbursable under governmental healthcare programs such as Medicare and Medica</w:t>
      </w:r>
      <w:r>
        <w:rPr>
          <w:rFonts w:eastAsia="Times New Roman"/>
          <w:color w:val="000000"/>
          <w:sz w:val="20"/>
          <w:szCs w:val="20"/>
        </w:rPr>
        <w:t>id, make it illegal for a person or entity to, among other things, knowingly and willfully solicit, receive, offer or pay remuneration, directly or indirectly, to induce, or in return for, purchasing, leasing, ordering, or arranging for or recommending the</w:t>
      </w:r>
      <w:r>
        <w:rPr>
          <w:rFonts w:eastAsia="Times New Roman"/>
          <w:color w:val="000000"/>
          <w:sz w:val="20"/>
          <w:szCs w:val="20"/>
        </w:rPr>
        <w:t xml:space="preserve"> purchase, lease, or order of any good, facility, item, or service reimbursable, in whole or in part, under a federal healthcare program. Due to the breadth of the statutory provisions and the narrowness of the statutory exceptions and regulatory safe harb</w:t>
      </w:r>
      <w:r>
        <w:rPr>
          <w:rFonts w:eastAsia="Times New Roman"/>
          <w:color w:val="000000"/>
          <w:sz w:val="20"/>
          <w:szCs w:val="20"/>
        </w:rPr>
        <w:t>ors available, it is possible that our practices might be challenged under anti-kickback or similar laws. Moreover, recent healthcare reform legislation has strengthened these laws. For example, PPACA among other things, amends the intent requirement of th</w:t>
      </w:r>
      <w:r>
        <w:rPr>
          <w:rFonts w:eastAsia="Times New Roman"/>
          <w:color w:val="000000"/>
          <w:sz w:val="20"/>
          <w:szCs w:val="20"/>
        </w:rPr>
        <w:t>e federal Anti-Kickback Statute and certain other criminal healthcare fraud statutes to clarify that a person or entity does not need to have actual knowledge of these statutes or specific intent to violate them in order to have committed a crime. In addit</w:t>
      </w:r>
      <w:r>
        <w:rPr>
          <w:rFonts w:eastAsia="Times New Roman"/>
          <w:color w:val="000000"/>
          <w:sz w:val="20"/>
          <w:szCs w:val="20"/>
        </w:rPr>
        <w:t>ion, PPACA clarifies that the government may assert that a claim that includes items or services resulting from a violation of the federal Anti-Kickback Statute constitutes a false or fraudulent claim for purposes of the federal civil False Claims Act.</w:t>
      </w:r>
    </w:p>
    <w:p w:rsidR="00000000" w:rsidRDefault="00DA1786">
      <w:pPr>
        <w:jc w:val="both"/>
        <w:divId w:val="1444810733"/>
        <w:rPr>
          <w:rFonts w:eastAsia="Times New Roman"/>
        </w:rPr>
      </w:pPr>
      <w:r>
        <w:rPr>
          <w:rFonts w:eastAsia="Times New Roman"/>
          <w:color w:val="000000"/>
          <w:sz w:val="20"/>
          <w:szCs w:val="20"/>
        </w:rPr>
        <w:t>False claims laws, including, without limitation, the federal civil False Claims Act, and civil monetary penalty laws prohibit, among other things, anyone from knowingly and willingly presenting, or causing to be presented for payment, to the federal gover</w:t>
      </w:r>
      <w:r>
        <w:rPr>
          <w:rFonts w:eastAsia="Times New Roman"/>
          <w:color w:val="000000"/>
          <w:sz w:val="20"/>
          <w:szCs w:val="20"/>
        </w:rPr>
        <w:t>nment (including Medicare and Medicaid) claims for reimbursement for, among other things, drugs or services that are false or fraudulent, claims for items or services not provided as claimed, or claims for medically unnecessary items or services. Our activ</w:t>
      </w:r>
      <w:r>
        <w:rPr>
          <w:rFonts w:eastAsia="Times New Roman"/>
          <w:color w:val="000000"/>
          <w:sz w:val="20"/>
          <w:szCs w:val="20"/>
        </w:rPr>
        <w:t>ities relating to the sales and marketing of its drugs may be subject to scrutiny under these laws, as well as civil monetary penalties laws and the criminal healthcare fraud provisions enacted as part of the federal Health Insurance Portability and Accoun</w:t>
      </w:r>
      <w:r>
        <w:rPr>
          <w:rFonts w:eastAsia="Times New Roman"/>
          <w:color w:val="000000"/>
          <w:sz w:val="20"/>
          <w:szCs w:val="20"/>
        </w:rPr>
        <w:t>tability Act of 1996, or HIPAA.</w:t>
      </w:r>
    </w:p>
    <w:p w:rsidR="00000000" w:rsidRDefault="00DA1786">
      <w:pPr>
        <w:jc w:val="both"/>
        <w:divId w:val="83839039"/>
        <w:rPr>
          <w:rFonts w:eastAsia="Times New Roman"/>
        </w:rPr>
      </w:pPr>
      <w:r>
        <w:rPr>
          <w:rFonts w:eastAsia="Times New Roman"/>
          <w:color w:val="000000"/>
          <w:sz w:val="20"/>
          <w:szCs w:val="20"/>
        </w:rPr>
        <w:t>HIPAA imposes criminal and civil liability for, among other things, knowingly and willfully executing, or attempting to execute, a scheme to defraud any healthcare benefit program, or knowingly and willfully falsifying, conc</w:t>
      </w:r>
      <w:r>
        <w:rPr>
          <w:rFonts w:eastAsia="Times New Roman"/>
          <w:color w:val="000000"/>
          <w:sz w:val="20"/>
          <w:szCs w:val="20"/>
        </w:rPr>
        <w:t xml:space="preserve">ealing or covering up a material fact or making any materially false statement, in connection with the delivery of, or payment for, healthcare benefits, items or services. Similar to the U.S. federal Anti-Kickback Statute, a person or entity does not need </w:t>
      </w:r>
      <w:r>
        <w:rPr>
          <w:rFonts w:eastAsia="Times New Roman"/>
          <w:color w:val="000000"/>
          <w:sz w:val="20"/>
          <w:szCs w:val="20"/>
        </w:rPr>
        <w:t>to have actual knowledge of the statute or specific intent to violate it in order to have committed a violation.</w:t>
      </w:r>
    </w:p>
    <w:p w:rsidR="00000000" w:rsidRDefault="00DA1786">
      <w:pPr>
        <w:jc w:val="both"/>
        <w:divId w:val="1144129015"/>
        <w:rPr>
          <w:rFonts w:eastAsia="Times New Roman"/>
        </w:rPr>
      </w:pPr>
      <w:r>
        <w:rPr>
          <w:rFonts w:eastAsia="Times New Roman"/>
          <w:color w:val="000000"/>
          <w:sz w:val="20"/>
          <w:szCs w:val="20"/>
        </w:rPr>
        <w:t>HIPAA, as amended by the Health Information Technology for Economic and Clinical Health Act, or HITECH, and their implementing regulations gove</w:t>
      </w:r>
      <w:r>
        <w:rPr>
          <w:rFonts w:eastAsia="Times New Roman"/>
          <w:color w:val="000000"/>
          <w:sz w:val="20"/>
          <w:szCs w:val="20"/>
        </w:rPr>
        <w:t>rns the conduct of certain electronic healthcare transactions and imposes requirements with respect to safeguarding the security and privacy of protected health information on HIPAA covered entities and their business associates who provide services involv</w:t>
      </w:r>
      <w:r>
        <w:rPr>
          <w:rFonts w:eastAsia="Times New Roman"/>
          <w:color w:val="000000"/>
          <w:sz w:val="20"/>
          <w:szCs w:val="20"/>
        </w:rPr>
        <w:t>ing HIPAA protected health information to such covered entities.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federal Physician Payments Sunshine Act requires certain manufacturers of drugs, devices, biologics and medical supplies for which payment is available under Medicare, Medicaid or the C</w:t>
      </w:r>
      <w:r>
        <w:rPr>
          <w:rFonts w:eastAsia="Times New Roman"/>
          <w:color w:val="000000"/>
          <w:sz w:val="20"/>
          <w:szCs w:val="20"/>
        </w:rPr>
        <w:t xml:space="preserve">hildren’s Health Insurance Program, with specific exceptions, to report annually to the Centers for Medicare &amp; Medicaid Services, or CMS, information related to payments or other transfers of value made to physicians (defined to include doctors, dentists, </w:t>
      </w:r>
      <w:r>
        <w:rPr>
          <w:rFonts w:eastAsia="Times New Roman"/>
          <w:color w:val="000000"/>
          <w:sz w:val="20"/>
          <w:szCs w:val="20"/>
        </w:rPr>
        <w:t>optometrists, podiatrists and chiropractors), and teaching hospitals, and applicable manufacturers and applicable group purchasing organizations to report annually to CMS ownership and investment interests held by physicians and their immediate family memb</w:t>
      </w:r>
      <w:r>
        <w:rPr>
          <w:rFonts w:eastAsia="Times New Roman"/>
          <w:color w:val="000000"/>
          <w:sz w:val="20"/>
          <w:szCs w:val="20"/>
        </w:rPr>
        <w:t>ers. Beginning in 2022, applicable manufacturers also will be required to report such information regarding payments and other transfers of value to physician assistants, nurse practitioners, clinical nurse specialists, anesthesiologist assistants, certifi</w:t>
      </w:r>
      <w:r>
        <w:rPr>
          <w:rFonts w:eastAsia="Times New Roman"/>
          <w:color w:val="000000"/>
          <w:sz w:val="20"/>
          <w:szCs w:val="20"/>
        </w:rPr>
        <w:t xml:space="preserve">ed registered nurse anesthetists and certified nurse midwives provided during the previous year. </w:t>
      </w:r>
    </w:p>
    <w:p w:rsidR="00000000" w:rsidRDefault="00DA1786">
      <w:pPr>
        <w:jc w:val="both"/>
        <w:divId w:val="1693267195"/>
        <w:rPr>
          <w:rFonts w:eastAsia="Times New Roman"/>
        </w:rPr>
      </w:pPr>
      <w:r>
        <w:rPr>
          <w:rFonts w:eastAsia="Times New Roman"/>
          <w:color w:val="000000"/>
          <w:sz w:val="20"/>
          <w:szCs w:val="20"/>
        </w:rPr>
        <w:t xml:space="preserve">In addition, companies may be subject to state law equivalents of each of the above federal laws, such as anti-kickback, self-referral, and false claims laws </w:t>
      </w:r>
      <w:r>
        <w:rPr>
          <w:rFonts w:eastAsia="Times New Roman"/>
          <w:color w:val="000000"/>
          <w:sz w:val="20"/>
          <w:szCs w:val="20"/>
        </w:rPr>
        <w:t>which may apply to our business practices, including but not limited to, research, distribution, sales and marketing arrangements and submitting claims involving healthcare items or services reimbursed by any third-party payor, including commercial insurer</w:t>
      </w:r>
      <w:r>
        <w:rPr>
          <w:rFonts w:eastAsia="Times New Roman"/>
          <w:color w:val="000000"/>
          <w:sz w:val="20"/>
          <w:szCs w:val="20"/>
        </w:rPr>
        <w:t>s; state laws that require pharmaceutical manufacturers to comply with the industry’s voluntary compliance guidelines and the applicable compliance guidance promulgated by the federal government that otherwise restricts payments that may be made to healthc</w:t>
      </w:r>
      <w:r>
        <w:rPr>
          <w:rFonts w:eastAsia="Times New Roman"/>
          <w:color w:val="000000"/>
          <w:sz w:val="20"/>
          <w:szCs w:val="20"/>
        </w:rPr>
        <w:t xml:space="preserve">are providers; state laws that require pharmaceutical manufacturers to file reports with states regarding marketing information, such as the tracking and reporting of gifts, compensation and other remuneration </w:t>
      </w:r>
    </w:p>
    <w:p w:rsidR="00000000" w:rsidRDefault="00DA1786">
      <w:pPr>
        <w:ind w:firstLine="720"/>
        <w:jc w:val="center"/>
        <w:divId w:val="597252805"/>
        <w:rPr>
          <w:rFonts w:eastAsia="Times New Roman"/>
        </w:rPr>
      </w:pPr>
      <w:r>
        <w:rPr>
          <w:rFonts w:eastAsia="Times New Roman"/>
          <w:color w:val="000000"/>
          <w:sz w:val="20"/>
          <w:szCs w:val="20"/>
        </w:rPr>
        <w:t>18</w:t>
      </w:r>
    </w:p>
    <w:p w:rsidR="00000000" w:rsidRDefault="00DA1786">
      <w:pPr>
        <w:rPr>
          <w:rFonts w:eastAsia="Times New Roman"/>
        </w:rPr>
      </w:pPr>
      <w:r>
        <w:rPr>
          <w:rFonts w:eastAsia="Times New Roman"/>
        </w:rPr>
        <w:pict>
          <v:rect id="_x0000_i1043" style="width:0;height:1.5pt" o:hralign="center" o:hrstd="t" o:hr="t" fillcolor="#a0a0a0" stroked="f"/>
        </w:pict>
      </w:r>
    </w:p>
    <w:p w:rsidR="00000000" w:rsidRDefault="00DA1786">
      <w:pPr>
        <w:divId w:val="1847406472"/>
        <w:rPr>
          <w:rFonts w:eastAsia="Times New Roman"/>
        </w:rPr>
      </w:pPr>
    </w:p>
    <w:p w:rsidR="00000000" w:rsidRDefault="00DA1786">
      <w:pPr>
        <w:jc w:val="both"/>
        <w:divId w:val="105974677"/>
        <w:rPr>
          <w:rFonts w:eastAsia="Times New Roman"/>
        </w:rPr>
      </w:pPr>
      <w:r>
        <w:rPr>
          <w:rFonts w:eastAsia="Times New Roman"/>
          <w:color w:val="000000"/>
          <w:sz w:val="20"/>
          <w:szCs w:val="20"/>
        </w:rPr>
        <w:t xml:space="preserve">and </w:t>
      </w:r>
      <w:r>
        <w:rPr>
          <w:rFonts w:eastAsia="Times New Roman"/>
          <w:color w:val="000000"/>
          <w:sz w:val="20"/>
          <w:szCs w:val="20"/>
        </w:rPr>
        <w:t>items of value provided to healthcare professionals and entities; state laws that require the reporting of information related to drug pricing; state and local laws requiring the registration of pharmaceutical sales representatives; and state laws governin</w:t>
      </w:r>
      <w:r>
        <w:rPr>
          <w:rFonts w:eastAsia="Times New Roman"/>
          <w:color w:val="000000"/>
          <w:sz w:val="20"/>
          <w:szCs w:val="20"/>
        </w:rPr>
        <w:t>g the privacy and security of personal data and protected health information in certain circumstances, many of which differ from each other in significant ways, thus complicating compliance efforts.</w:t>
      </w:r>
    </w:p>
    <w:p w:rsidR="00000000" w:rsidRDefault="00DA1786">
      <w:pPr>
        <w:jc w:val="both"/>
        <w:divId w:val="1298602736"/>
        <w:rPr>
          <w:rFonts w:eastAsia="Times New Roman"/>
        </w:rPr>
      </w:pPr>
      <w:r>
        <w:rPr>
          <w:rFonts w:eastAsia="Times New Roman"/>
          <w:color w:val="000000"/>
          <w:sz w:val="20"/>
          <w:szCs w:val="20"/>
        </w:rPr>
        <w:t>Violations of these laws may result in significant crimin</w:t>
      </w:r>
      <w:r>
        <w:rPr>
          <w:rFonts w:eastAsia="Times New Roman"/>
          <w:color w:val="000000"/>
          <w:sz w:val="20"/>
          <w:szCs w:val="20"/>
        </w:rPr>
        <w:t>al, civil and administrative sanctions, including fines and civil monetary penalties, the possibility of exclusion from federal healthcare programs (including Medicare and Medicaid), disgorgement, contractual damages, reputational harm and the imposition o</w:t>
      </w:r>
      <w:r>
        <w:rPr>
          <w:rFonts w:eastAsia="Times New Roman"/>
          <w:color w:val="000000"/>
          <w:sz w:val="20"/>
          <w:szCs w:val="20"/>
        </w:rPr>
        <w:t>f corporate integrity agreements or other similar agreements with governmental entities, which may impose, among other things, rigorous operational and monitoring requirements on companies. Similar sanctions and penalties, as well as imprisonment, also can</w:t>
      </w:r>
      <w:r>
        <w:rPr>
          <w:rFonts w:eastAsia="Times New Roman"/>
          <w:color w:val="000000"/>
          <w:sz w:val="20"/>
          <w:szCs w:val="20"/>
        </w:rPr>
        <w:t xml:space="preserve"> be imposed upon executive officers and employees, including criminal sanctions against executive officers under the so-called “responsible corporate officer” doctrine, even in situations where the executive officer did not intend to violate the law and wa</w:t>
      </w:r>
      <w:r>
        <w:rPr>
          <w:rFonts w:eastAsia="Times New Roman"/>
          <w:color w:val="000000"/>
          <w:sz w:val="20"/>
          <w:szCs w:val="20"/>
        </w:rPr>
        <w:t xml:space="preserve">s unaware of any wrongdoing. Given the significant penalties and fines that can be imposed on companies and individuals if convicted, allegations of such violations often result in settlements even if the company or individual being investigated admits no </w:t>
      </w:r>
      <w:r>
        <w:rPr>
          <w:rFonts w:eastAsia="Times New Roman"/>
          <w:color w:val="000000"/>
          <w:sz w:val="20"/>
          <w:szCs w:val="20"/>
        </w:rPr>
        <w:t>wrongdoing. Settlements often include significant civil sanctions and additional corporate integrity obligations.</w:t>
      </w:r>
    </w:p>
    <w:p w:rsidR="00000000" w:rsidRDefault="00DA1786">
      <w:pPr>
        <w:jc w:val="both"/>
        <w:divId w:val="157119828"/>
        <w:rPr>
          <w:rFonts w:eastAsia="Times New Roman"/>
        </w:rPr>
      </w:pPr>
      <w:r>
        <w:rPr>
          <w:rFonts w:eastAsia="Times New Roman"/>
          <w:color w:val="000000"/>
          <w:sz w:val="20"/>
          <w:szCs w:val="20"/>
        </w:rPr>
        <w:t>Similar rigorous restrictions are imposed on the promotion and marketing of drugs in the European Union and other countries.</w:t>
      </w:r>
    </w:p>
    <w:p w:rsidR="00000000" w:rsidRDefault="00DA1786">
      <w:pPr>
        <w:divId w:val="796991629"/>
        <w:rPr>
          <w:rFonts w:eastAsia="Times New Roman"/>
        </w:rPr>
      </w:pPr>
      <w:r>
        <w:rPr>
          <w:rFonts w:eastAsia="Times New Roman"/>
          <w:b/>
          <w:bCs/>
          <w:color w:val="000000"/>
          <w:sz w:val="20"/>
          <w:szCs w:val="20"/>
        </w:rPr>
        <w:t>Employees</w:t>
      </w:r>
    </w:p>
    <w:p w:rsidR="00000000" w:rsidRDefault="00DA1786">
      <w:pPr>
        <w:jc w:val="both"/>
        <w:divId w:val="1361542266"/>
        <w:rPr>
          <w:rFonts w:eastAsia="Times New Roman"/>
        </w:rPr>
      </w:pPr>
      <w:r>
        <w:rPr>
          <w:rFonts w:eastAsia="Times New Roman"/>
          <w:color w:val="000000"/>
          <w:sz w:val="20"/>
          <w:szCs w:val="20"/>
        </w:rPr>
        <w:t>As of M</w:t>
      </w:r>
      <w:r>
        <w:rPr>
          <w:rFonts w:eastAsia="Times New Roman"/>
          <w:color w:val="000000"/>
          <w:sz w:val="20"/>
          <w:szCs w:val="20"/>
        </w:rPr>
        <w:t>ar</w:t>
      </w:r>
      <w:r>
        <w:rPr>
          <w:rFonts w:eastAsia="Times New Roman"/>
          <w:color w:val="000000"/>
          <w:sz w:val="20"/>
          <w:szCs w:val="20"/>
          <w:shd w:val="clear" w:color="auto" w:fill="FFFFFF"/>
        </w:rPr>
        <w:t>ch 15, 2021, we had 13 employees, 12 of whom were full-time employees and one of whom was a part-time employee. As of March 15, 2021, one of our employees was engaged in research and development activities and 12 of our employees were engaged in business</w:t>
      </w:r>
      <w:r>
        <w:rPr>
          <w:rFonts w:eastAsia="Times New Roman"/>
          <w:color w:val="000000"/>
          <w:sz w:val="20"/>
          <w:szCs w:val="20"/>
          <w:shd w:val="clear" w:color="auto" w:fill="FFFFFF"/>
        </w:rPr>
        <w:t xml:space="preserve"> development, finance, information systems, facilities, human resources or administrative support. As of March 15, 2021, we had 12 employees located in the United States and one employee located in France. None of our U.S. employees are represented by any </w:t>
      </w:r>
      <w:r>
        <w:rPr>
          <w:rFonts w:eastAsia="Times New Roman"/>
          <w:color w:val="000000"/>
          <w:sz w:val="20"/>
          <w:szCs w:val="20"/>
          <w:shd w:val="clear" w:color="auto" w:fill="FFFFFF"/>
        </w:rPr>
        <w:t xml:space="preserve">collective bargaining agreements. </w:t>
      </w:r>
      <w:r>
        <w:rPr>
          <w:rFonts w:eastAsia="Times New Roman"/>
          <w:color w:val="000000"/>
          <w:sz w:val="20"/>
          <w:szCs w:val="20"/>
        </w:rPr>
        <w:t xml:space="preserve">Our French employee is represented by a collective bargaining agreement. </w:t>
      </w:r>
    </w:p>
    <w:p w:rsidR="00000000" w:rsidRDefault="00DA1786">
      <w:pPr>
        <w:jc w:val="both"/>
        <w:divId w:val="123349453"/>
        <w:rPr>
          <w:rFonts w:eastAsia="Times New Roman"/>
        </w:rPr>
      </w:pPr>
      <w:r>
        <w:rPr>
          <w:rFonts w:eastAsia="Times New Roman"/>
          <w:color w:val="000000"/>
          <w:sz w:val="20"/>
          <w:szCs w:val="20"/>
        </w:rPr>
        <w:t xml:space="preserve">In connection with the Plan, our Board determined to reduce our workforce by up to 85%, with the majority of the reduction in personnel expected to </w:t>
      </w:r>
      <w:r>
        <w:rPr>
          <w:rFonts w:eastAsia="Times New Roman"/>
          <w:color w:val="000000"/>
          <w:sz w:val="20"/>
          <w:szCs w:val="20"/>
        </w:rPr>
        <w:t>be completed by April 15, 2021.</w:t>
      </w:r>
    </w:p>
    <w:p w:rsidR="00000000" w:rsidRDefault="00DA1786">
      <w:pPr>
        <w:jc w:val="both"/>
        <w:divId w:val="649528861"/>
        <w:rPr>
          <w:rFonts w:eastAsia="Times New Roman"/>
        </w:rPr>
      </w:pPr>
      <w:r>
        <w:rPr>
          <w:rFonts w:eastAsia="Times New Roman"/>
          <w:b/>
          <w:bCs/>
          <w:color w:val="000000"/>
          <w:sz w:val="20"/>
          <w:szCs w:val="20"/>
        </w:rPr>
        <w:t>OvaScience Merger</w:t>
      </w:r>
    </w:p>
    <w:p w:rsidR="00000000" w:rsidRDefault="00DA1786">
      <w:pPr>
        <w:jc w:val="both"/>
        <w:divId w:val="476454698"/>
        <w:rPr>
          <w:rFonts w:eastAsia="Times New Roman"/>
        </w:rPr>
      </w:pPr>
      <w:r>
        <w:rPr>
          <w:rFonts w:eastAsia="Times New Roman"/>
          <w:color w:val="000000"/>
          <w:sz w:val="20"/>
          <w:szCs w:val="20"/>
        </w:rPr>
        <w:t>On December 7, 2018, OvaScience, Inc., or OvaScience, now known as Millendo Therapeutics, Inc., completed its reverse merger or, the OvaScience Merger, with what was then known as “Millendo Therapeutics, Inc.,” or Private Millendo, in accordance with the t</w:t>
      </w:r>
      <w:r>
        <w:rPr>
          <w:rFonts w:eastAsia="Times New Roman"/>
          <w:color w:val="000000"/>
          <w:sz w:val="20"/>
          <w:szCs w:val="20"/>
        </w:rPr>
        <w:t xml:space="preserve">erms of the Agreement and Plan of Merger and Reorganization dated as of August 8, 2018, as amended on September 25, 2018 and November 1, 2018. OvaScience’s shares of common stock listed on The Nasdaq Capital Market, previously trading through the close of </w:t>
      </w:r>
      <w:r>
        <w:rPr>
          <w:rFonts w:eastAsia="Times New Roman"/>
          <w:color w:val="000000"/>
          <w:sz w:val="20"/>
          <w:szCs w:val="20"/>
        </w:rPr>
        <w:t>business on Friday, December 7, 2018 under the ticker symbol “OVAS,” commenced trading on The Nasdaq Capital Market, under the ticker symbol “MLND,” on Monday, December 10, 2018.</w:t>
      </w:r>
    </w:p>
    <w:p w:rsidR="00000000" w:rsidRDefault="00DA1786">
      <w:pPr>
        <w:jc w:val="both"/>
        <w:divId w:val="327633844"/>
        <w:rPr>
          <w:rFonts w:eastAsia="Times New Roman"/>
        </w:rPr>
      </w:pPr>
      <w:r>
        <w:rPr>
          <w:rFonts w:eastAsia="Times New Roman"/>
          <w:color w:val="000000"/>
          <w:sz w:val="20"/>
          <w:szCs w:val="20"/>
        </w:rPr>
        <w:t>Immediately following the OvaScience Merger, Private Millendo became a wholly</w:t>
      </w:r>
      <w:r>
        <w:rPr>
          <w:rFonts w:eastAsia="Times New Roman"/>
          <w:color w:val="000000"/>
          <w:sz w:val="20"/>
          <w:szCs w:val="20"/>
        </w:rPr>
        <w:t>-owned subsidiary of OvaScience. Upon consummation of the OvaScience Merger, OvaScience adopted the business plan of Private Millendo and discontinued the pursuit of OvaScience’s business plan pre-Closing. </w:t>
      </w:r>
    </w:p>
    <w:p w:rsidR="00000000" w:rsidRDefault="00DA1786">
      <w:pPr>
        <w:divId w:val="1548180100"/>
        <w:rPr>
          <w:rFonts w:eastAsia="Times New Roman"/>
        </w:rPr>
      </w:pPr>
      <w:r>
        <w:rPr>
          <w:rFonts w:eastAsia="Times New Roman"/>
          <w:b/>
          <w:bCs/>
          <w:color w:val="000000"/>
          <w:sz w:val="20"/>
          <w:szCs w:val="20"/>
        </w:rPr>
        <w:t>Available Information</w:t>
      </w:r>
    </w:p>
    <w:p w:rsidR="00000000" w:rsidRDefault="00DA1786">
      <w:pPr>
        <w:jc w:val="both"/>
        <w:divId w:val="443572755"/>
        <w:rPr>
          <w:rFonts w:eastAsia="Times New Roman"/>
        </w:rPr>
      </w:pPr>
      <w:r>
        <w:rPr>
          <w:rFonts w:eastAsia="Times New Roman"/>
          <w:color w:val="000000"/>
          <w:sz w:val="20"/>
          <w:szCs w:val="20"/>
        </w:rPr>
        <w:t>Our internet website addres</w:t>
      </w:r>
      <w:r>
        <w:rPr>
          <w:rFonts w:eastAsia="Times New Roman"/>
          <w:color w:val="000000"/>
          <w:sz w:val="20"/>
          <w:szCs w:val="20"/>
        </w:rPr>
        <w:t>s is www.millendo.com. In addition to the information about us and our subsidiaries contained in this Annual Report, information about us can be found on our website. Our website and information included in or linked to our website are not part of this Ann</w:t>
      </w:r>
      <w:r>
        <w:rPr>
          <w:rFonts w:eastAsia="Times New Roman"/>
          <w:color w:val="000000"/>
          <w:sz w:val="20"/>
          <w:szCs w:val="20"/>
        </w:rPr>
        <w:t>ual Report.</w:t>
      </w:r>
    </w:p>
    <w:p w:rsidR="00000000" w:rsidRDefault="00DA1786">
      <w:pPr>
        <w:jc w:val="both"/>
        <w:divId w:val="120392136"/>
        <w:rPr>
          <w:rFonts w:eastAsia="Times New Roman"/>
        </w:rPr>
      </w:pPr>
      <w:r>
        <w:rPr>
          <w:rFonts w:eastAsia="Times New Roman"/>
          <w:color w:val="000000"/>
          <w:sz w:val="20"/>
          <w:szCs w:val="20"/>
        </w:rPr>
        <w:t>Our annual reports on Form 10-K, quarterly reports on Form 10-Q, current reports on Form 8-K and amendments to those reports filed or furnished pursuant to Section 13(a) or 15(d) of the Securities Exchange Act of 1934, as amended, are available</w:t>
      </w:r>
      <w:r>
        <w:rPr>
          <w:rFonts w:eastAsia="Times New Roman"/>
          <w:color w:val="000000"/>
          <w:sz w:val="20"/>
          <w:szCs w:val="20"/>
        </w:rPr>
        <w:t xml:space="preserve"> free of charge through our website as soon as reasonably practicable after they are electronically filed with or furnished to the Securities and Exchange Commission, or SEC. Additionally the SEC maintains an internet site that contains reports, proxy and </w:t>
      </w:r>
      <w:r>
        <w:rPr>
          <w:rFonts w:eastAsia="Times New Roman"/>
          <w:color w:val="000000"/>
          <w:sz w:val="20"/>
          <w:szCs w:val="20"/>
        </w:rPr>
        <w:t>information statements and other information. The address of the SEC’s website is www.sec.gov.</w:t>
      </w:r>
    </w:p>
    <w:p w:rsidR="00000000" w:rsidRDefault="00DA1786">
      <w:pPr>
        <w:jc w:val="both"/>
        <w:divId w:val="1428891415"/>
        <w:rPr>
          <w:rFonts w:eastAsia="Times New Roman"/>
        </w:rPr>
      </w:pPr>
    </w:p>
    <w:p w:rsidR="00000000" w:rsidRDefault="00DA1786">
      <w:pPr>
        <w:ind w:firstLine="720"/>
        <w:jc w:val="center"/>
        <w:divId w:val="886063711"/>
        <w:rPr>
          <w:rFonts w:eastAsia="Times New Roman"/>
        </w:rPr>
      </w:pPr>
      <w:r>
        <w:rPr>
          <w:rFonts w:eastAsia="Times New Roman"/>
          <w:color w:val="000000"/>
          <w:sz w:val="20"/>
          <w:szCs w:val="20"/>
        </w:rPr>
        <w:t>19</w:t>
      </w:r>
    </w:p>
    <w:p w:rsidR="00000000" w:rsidRDefault="00DA1786">
      <w:pPr>
        <w:rPr>
          <w:rFonts w:eastAsia="Times New Roman"/>
        </w:rPr>
      </w:pPr>
      <w:r>
        <w:rPr>
          <w:rFonts w:eastAsia="Times New Roman"/>
        </w:rPr>
        <w:pict>
          <v:rect id="_x0000_i1044" style="width:0;height:1.5pt" o:hralign="center" o:hrstd="t" o:hr="t" fillcolor="#a0a0a0" stroked="f"/>
        </w:pict>
      </w:r>
    </w:p>
    <w:p w:rsidR="00000000" w:rsidRDefault="00DA1786">
      <w:pPr>
        <w:divId w:val="1729642241"/>
        <w:rPr>
          <w:rFonts w:eastAsia="Times New Roman"/>
        </w:rPr>
      </w:pPr>
    </w:p>
    <w:p w:rsidR="00000000" w:rsidRDefault="00DA1786">
      <w:pPr>
        <w:divId w:val="2082484814"/>
        <w:rPr>
          <w:rFonts w:eastAsia="Times New Roman"/>
        </w:rPr>
      </w:pPr>
      <w:r>
        <w:rPr>
          <w:rFonts w:eastAsia="Times New Roman"/>
          <w:b/>
          <w:bCs/>
          <w:color w:val="000000"/>
          <w:sz w:val="20"/>
          <w:szCs w:val="20"/>
        </w:rPr>
        <w:t>ITEM 1A. RISK FACTORS</w:t>
      </w:r>
    </w:p>
    <w:p w:rsidR="00000000" w:rsidRDefault="00DA1786">
      <w:pPr>
        <w:jc w:val="both"/>
        <w:divId w:val="1779180382"/>
        <w:rPr>
          <w:rFonts w:eastAsia="Times New Roman"/>
        </w:rPr>
      </w:pPr>
      <w:r>
        <w:rPr>
          <w:rFonts w:eastAsia="Times New Roman"/>
          <w:i/>
          <w:iCs/>
          <w:color w:val="000000"/>
          <w:sz w:val="20"/>
          <w:szCs w:val="20"/>
        </w:rPr>
        <w:t>You should carefully consider the risks described below, as well as general economic and busines</w:t>
      </w:r>
      <w:r>
        <w:rPr>
          <w:rFonts w:eastAsia="Times New Roman"/>
          <w:i/>
          <w:iCs/>
          <w:color w:val="000000"/>
          <w:sz w:val="20"/>
          <w:szCs w:val="20"/>
        </w:rPr>
        <w:t>s risks and the other information in this Annual Report on Form 10-K. The occurrence of any of the following risks could have a material adverse effect on our business, financial condition, results of operations and future growth prospects or cause our act</w:t>
      </w:r>
      <w:r>
        <w:rPr>
          <w:rFonts w:eastAsia="Times New Roman"/>
          <w:i/>
          <w:iCs/>
          <w:color w:val="000000"/>
          <w:sz w:val="20"/>
          <w:szCs w:val="20"/>
        </w:rPr>
        <w:t>ual results to differ materially from those contained in forward-looking statements we have made in this report and those we may make from time to time. In these circumstances, the market price of our common stock could decline, and you may lose all or par</w:t>
      </w:r>
      <w:r>
        <w:rPr>
          <w:rFonts w:eastAsia="Times New Roman"/>
          <w:i/>
          <w:iCs/>
          <w:color w:val="000000"/>
          <w:sz w:val="20"/>
          <w:szCs w:val="20"/>
        </w:rPr>
        <w:t>t of your investment. We cannot assure you that any of the events discussed below will not occur. Such risks may be amplified by the COVID-19 pandemic and its potential impact on our business and the global economy.</w:t>
      </w:r>
    </w:p>
    <w:p w:rsidR="00000000" w:rsidRDefault="00DA1786">
      <w:pPr>
        <w:jc w:val="both"/>
        <w:divId w:val="1471246744"/>
        <w:rPr>
          <w:rFonts w:eastAsia="Times New Roman"/>
        </w:rPr>
      </w:pPr>
      <w:r>
        <w:rPr>
          <w:rFonts w:eastAsia="Times New Roman"/>
          <w:b/>
          <w:bCs/>
          <w:color w:val="000000"/>
          <w:sz w:val="20"/>
          <w:szCs w:val="20"/>
        </w:rPr>
        <w:t>Risks Related to Our Proposed Merger and Retention of Key Employees</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Our merger with Tempest may not be consummated or may not deliver the anticipated benefits we expect.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 xml:space="preserve">In 2020, we undertook a strategic review process, which was intended to result in </w:t>
      </w:r>
      <w:r>
        <w:rPr>
          <w:rFonts w:eastAsia="Times New Roman"/>
          <w:color w:val="000000"/>
          <w:sz w:val="20"/>
          <w:szCs w:val="20"/>
        </w:rPr>
        <w:t>an actionable plan that leverages our assets, capital and capabilities to maximize stockholder value. Following an extensive process of evaluating strategic alternatives and identifying and reviewing potential candidates for a strategic acquisition or othe</w:t>
      </w:r>
      <w:r>
        <w:rPr>
          <w:rFonts w:eastAsia="Times New Roman"/>
          <w:color w:val="000000"/>
          <w:sz w:val="20"/>
          <w:szCs w:val="20"/>
        </w:rPr>
        <w:t xml:space="preserve">r transaction, on March 29, 2021, we entered into a merger agreement with Tempest Therapeutics, Inc. (“Tempest”), under which the privately held Tempest will merge with a wholly owned subsidiary of Millendo (the “Merger”). Pre-Merger Millendo shareholders </w:t>
      </w:r>
      <w:r>
        <w:rPr>
          <w:rFonts w:eastAsia="Times New Roman"/>
          <w:color w:val="000000"/>
          <w:sz w:val="20"/>
          <w:szCs w:val="20"/>
        </w:rPr>
        <w:t>will own approximately 18.5% of the combined company and pre-Merger Tempest stockholders will own approximately 81.5% of the combined company (assuming the financing transaction described in the Merger Agreement results in gross proceeds of approximately $</w:t>
      </w:r>
      <w:r>
        <w:rPr>
          <w:rFonts w:eastAsia="Times New Roman"/>
          <w:color w:val="000000"/>
          <w:sz w:val="20"/>
          <w:szCs w:val="20"/>
        </w:rPr>
        <w:t>30 million). We are devoting substantially all of our time and resources to consummating this transaction, however, there can be no assurance that such activities will result in the consummation of this transaction or that such transaction will deliver the</w:t>
      </w:r>
      <w:r>
        <w:rPr>
          <w:rFonts w:eastAsia="Times New Roman"/>
          <w:color w:val="000000"/>
          <w:sz w:val="20"/>
          <w:szCs w:val="20"/>
        </w:rPr>
        <w:t xml:space="preserve"> anticipated benefits or enhance stockholder value.</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Certain provisions of the Merger Agreement may discourage third-parties from submitting alternative acquisition proposals, including proposals that may be superior to the arrangements contemplated by th</w:t>
      </w:r>
      <w:r>
        <w:rPr>
          <w:rFonts w:eastAsia="Times New Roman"/>
          <w:b/>
          <w:bCs/>
          <w:i/>
          <w:iCs/>
          <w:color w:val="000000"/>
          <w:sz w:val="20"/>
          <w:szCs w:val="20"/>
        </w:rPr>
        <w:t xml:space="preserve">e Merger Agreement.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terms of the Merger Agreement prohibit each party from soliciting or engaging in discussions with third parties regarding alternative acquisition proposals, except in limited circumstances when such party’s board of directors det</w:t>
      </w:r>
      <w:r>
        <w:rPr>
          <w:rFonts w:eastAsia="Times New Roman"/>
          <w:color w:val="000000"/>
          <w:sz w:val="20"/>
          <w:szCs w:val="20"/>
        </w:rPr>
        <w:t>ermines in good faith that an unsolicited acquisition proposal constitutes or could reasonably be expected to lead to a superior proposal and that failure to take such action would reasonably be expected to be inconsistent with its fiduciary duties under a</w:t>
      </w:r>
      <w:r>
        <w:rPr>
          <w:rFonts w:eastAsia="Times New Roman"/>
          <w:color w:val="000000"/>
          <w:sz w:val="20"/>
          <w:szCs w:val="20"/>
        </w:rPr>
        <w:t>pplicable law. In addition, if the Merger Agreement is terminated by us or Tempest under certain circumstances, including because of a decision of our board of directors to accept a superior proposal, we would be required to pay Tempest a termination fee o</w:t>
      </w:r>
      <w:r>
        <w:rPr>
          <w:rFonts w:eastAsia="Times New Roman"/>
          <w:color w:val="000000"/>
          <w:sz w:val="20"/>
          <w:szCs w:val="20"/>
        </w:rPr>
        <w:t>f $1.4 million or reimburse Tempest's expenses up to a maximum of $1.0 million. This termination fee may discourage third parties from submitting alternative takeover proposals to us or our stockholders, and may cause our board of directors to be less incl</w:t>
      </w:r>
      <w:r>
        <w:rPr>
          <w:rFonts w:eastAsia="Times New Roman"/>
          <w:color w:val="000000"/>
          <w:sz w:val="20"/>
          <w:szCs w:val="20"/>
        </w:rPr>
        <w:t>ined to recommend an alternative proposal.</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The announcement and pendency of the Merger, whether or not consummated, may adversely affect the trading price of our common stock and our business prospects.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announcement and pendency of the Merger, whet</w:t>
      </w:r>
      <w:r>
        <w:rPr>
          <w:rFonts w:eastAsia="Times New Roman"/>
          <w:color w:val="000000"/>
          <w:sz w:val="20"/>
          <w:szCs w:val="20"/>
        </w:rPr>
        <w:t xml:space="preserve">her or not consummated, may adversely affect the trading price of our common stock and our business prospects. In the event that the Merger is not completed, the announcement of the termination of the Merger Agreement may also adversely affect the trading </w:t>
      </w:r>
      <w:r>
        <w:rPr>
          <w:rFonts w:eastAsia="Times New Roman"/>
          <w:color w:val="000000"/>
          <w:sz w:val="20"/>
          <w:szCs w:val="20"/>
        </w:rPr>
        <w:t>price of our common stock and our business prospects.</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Failure to consummate the Merger may result in us paying a termination fee to Tempest and could harm our common stock price and our future business and operations.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Merger will not be consummated</w:t>
      </w:r>
      <w:r>
        <w:rPr>
          <w:rFonts w:eastAsia="Times New Roman"/>
          <w:color w:val="000000"/>
          <w:sz w:val="20"/>
          <w:szCs w:val="20"/>
        </w:rPr>
        <w:t xml:space="preserve"> if the conditions precedent to the consummation of the transaction are not satisfied or waived, or if the Merger Agreement is terminated in accordance with its terms. If the Merger is not consummated, we are subject to the following risks:</w:t>
      </w:r>
    </w:p>
    <w:p w:rsidR="00000000" w:rsidRDefault="00DA1786">
      <w:pPr>
        <w:jc w:val="both"/>
        <w:rPr>
          <w:rFonts w:eastAsia="Times New Roman"/>
        </w:rPr>
      </w:pPr>
    </w:p>
    <w:p w:rsidR="00000000" w:rsidRDefault="00DA1786">
      <w:pPr>
        <w:ind w:hanging="360"/>
        <w:divId w:val="1881940378"/>
        <w:rPr>
          <w:rFonts w:eastAsia="Times New Roman"/>
        </w:rPr>
      </w:pPr>
      <w:r>
        <w:rPr>
          <w:rFonts w:eastAsia="Times New Roman"/>
          <w:color w:val="000000"/>
          <w:sz w:val="20"/>
          <w:szCs w:val="20"/>
        </w:rPr>
        <w:t>•if the Merge</w:t>
      </w:r>
      <w:r>
        <w:rPr>
          <w:rFonts w:eastAsia="Times New Roman"/>
          <w:color w:val="000000"/>
          <w:sz w:val="20"/>
          <w:szCs w:val="20"/>
        </w:rPr>
        <w:t>r Agreement is terminated under certain circumstances, we will be required to pay Tempest a termination fee of $1.4 million or reimburse Tempest's expenses up to a maximum of $1.0 million; and</w:t>
      </w:r>
    </w:p>
    <w:p w:rsidR="00000000" w:rsidRDefault="00DA1786">
      <w:pPr>
        <w:ind w:hanging="360"/>
        <w:divId w:val="476385778"/>
        <w:rPr>
          <w:rFonts w:eastAsia="Times New Roman"/>
        </w:rPr>
      </w:pPr>
      <w:r>
        <w:rPr>
          <w:rFonts w:eastAsia="Times New Roman"/>
          <w:color w:val="000000"/>
          <w:sz w:val="20"/>
          <w:szCs w:val="20"/>
        </w:rPr>
        <w:t>•the price of our common stock may decline and remain volatile.</w:t>
      </w:r>
    </w:p>
    <w:p w:rsidR="00000000" w:rsidRDefault="00DA1786">
      <w:pPr>
        <w:divId w:val="155271373"/>
        <w:rPr>
          <w:rFonts w:eastAsia="Times New Roman"/>
        </w:rPr>
      </w:pPr>
    </w:p>
    <w:p w:rsidR="00000000" w:rsidRDefault="00DA1786">
      <w:pPr>
        <w:jc w:val="both"/>
        <w:rPr>
          <w:rFonts w:eastAsia="Times New Roman"/>
        </w:rPr>
      </w:pPr>
      <w:r>
        <w:rPr>
          <w:rFonts w:eastAsia="Times New Roman"/>
          <w:color w:val="000000"/>
          <w:sz w:val="20"/>
          <w:szCs w:val="20"/>
        </w:rPr>
        <w:t>If the Merger does not close for any reason, our board of directors may elect to, among other things, attempt to complete another strategic transaction, attempt to sell or otherwise dispose of our various assets, dissolve or liquidate our assets or seek</w:t>
      </w:r>
      <w:r>
        <w:rPr>
          <w:rFonts w:eastAsia="Times New Roman"/>
          <w:color w:val="000000"/>
          <w:sz w:val="20"/>
          <w:szCs w:val="20"/>
        </w:rPr>
        <w:t xml:space="preserve"> to continue to operate our business. If we seek another strategic transaction or attempt to sell or otherwise dispose of our various assets, there is no assurance that we will be able to do so, that the terms would be equal to or superior to the terms of </w:t>
      </w:r>
      <w:r>
        <w:rPr>
          <w:rFonts w:eastAsia="Times New Roman"/>
          <w:color w:val="000000"/>
          <w:sz w:val="20"/>
          <w:szCs w:val="20"/>
        </w:rPr>
        <w:t xml:space="preserve">the Merger or as to the timing of such transaction. If we decide to dissolve and liquidate our assets, we would be required to pay all of our </w:t>
      </w:r>
    </w:p>
    <w:p w:rsidR="00000000" w:rsidRDefault="00DA1786">
      <w:pPr>
        <w:ind w:firstLine="720"/>
        <w:jc w:val="center"/>
        <w:divId w:val="406539995"/>
        <w:rPr>
          <w:rFonts w:eastAsia="Times New Roman"/>
        </w:rPr>
      </w:pPr>
      <w:r>
        <w:rPr>
          <w:rFonts w:eastAsia="Times New Roman"/>
          <w:color w:val="000000"/>
          <w:sz w:val="20"/>
          <w:szCs w:val="20"/>
        </w:rPr>
        <w:t>20</w:t>
      </w:r>
    </w:p>
    <w:p w:rsidR="00000000" w:rsidRDefault="00DA1786">
      <w:pPr>
        <w:rPr>
          <w:rFonts w:eastAsia="Times New Roman"/>
        </w:rPr>
      </w:pPr>
      <w:r>
        <w:rPr>
          <w:rFonts w:eastAsia="Times New Roman"/>
        </w:rPr>
        <w:pict>
          <v:rect id="_x0000_i1045" style="width:0;height:1.5pt" o:hralign="center" o:hrstd="t" o:hr="t" fillcolor="#a0a0a0" stroked="f"/>
        </w:pict>
      </w:r>
    </w:p>
    <w:p w:rsidR="00000000" w:rsidRDefault="00DA1786">
      <w:pPr>
        <w:divId w:val="630214645"/>
        <w:rPr>
          <w:rFonts w:eastAsia="Times New Roman"/>
        </w:rPr>
      </w:pPr>
    </w:p>
    <w:p w:rsidR="00000000" w:rsidRDefault="00DA1786">
      <w:pPr>
        <w:jc w:val="both"/>
        <w:rPr>
          <w:rFonts w:eastAsia="Times New Roman"/>
        </w:rPr>
      </w:pPr>
      <w:r>
        <w:rPr>
          <w:rFonts w:eastAsia="Times New Roman"/>
          <w:color w:val="000000"/>
          <w:sz w:val="20"/>
          <w:szCs w:val="20"/>
        </w:rPr>
        <w:t>debts and contractual obligations, and to set aside certain reserves for</w:t>
      </w:r>
      <w:r>
        <w:rPr>
          <w:rFonts w:eastAsia="Times New Roman"/>
          <w:color w:val="000000"/>
          <w:sz w:val="20"/>
          <w:szCs w:val="20"/>
        </w:rPr>
        <w:t xml:space="preserve"> potential future claims, and there can be no assurance as to the amount or timing of available cash left to distribute to stockholders after paying our debts and other obligations and setting aside funds for reserves.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 xml:space="preserve">If we were to seek to continue our business, we would need to determine whether to acquire one or more other product candidates. We would also need to raise funds to support continued operations and re-assess our workforce requirements in consideration of </w:t>
      </w:r>
      <w:r>
        <w:rPr>
          <w:rFonts w:eastAsia="Times New Roman"/>
          <w:color w:val="000000"/>
          <w:sz w:val="20"/>
          <w:szCs w:val="20"/>
        </w:rPr>
        <w:t>our reduced workforce.</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If the Merger is not consummated, we may be unable to retain the services of key remaining members of our management team and, as a result, may be unable to seek or consummate another strategic transaction, properly dissolve and li</w:t>
      </w:r>
      <w:r>
        <w:rPr>
          <w:rFonts w:eastAsia="Times New Roman"/>
          <w:color w:val="000000"/>
          <w:sz w:val="20"/>
          <w:szCs w:val="20"/>
        </w:rPr>
        <w:t>quidate our assets or continue our business.</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If we do not successfully consummate the transaction with Tempest, our board of directors may dissolve or liquidate our assets to pursue a dissolution and liquidation. In such an event, the amount of cash avai</w:t>
      </w:r>
      <w:r>
        <w:rPr>
          <w:rFonts w:eastAsia="Times New Roman"/>
          <w:b/>
          <w:bCs/>
          <w:i/>
          <w:iCs/>
          <w:color w:val="000000"/>
          <w:sz w:val="20"/>
          <w:szCs w:val="20"/>
        </w:rPr>
        <w:t>lable for distribution to our stockholders will depend heavily on the timing of such transaction or liquidation.</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If the Merger does not close for any reason, our board of directors may elect to, among other things, dissolve or liquidate our assets, which</w:t>
      </w:r>
      <w:r>
        <w:rPr>
          <w:rFonts w:eastAsia="Times New Roman"/>
          <w:color w:val="000000"/>
          <w:sz w:val="20"/>
          <w:szCs w:val="20"/>
        </w:rPr>
        <w:t xml:space="preserve"> may include seeking protection from creditors in a bankruptcy proceeding. If we decide to dissolve and liquidate our assets, we would be required to pay all of our debts and contractual obligations, and to set aside certain reserves for potential future c</w:t>
      </w:r>
      <w:r>
        <w:rPr>
          <w:rFonts w:eastAsia="Times New Roman"/>
          <w:color w:val="000000"/>
          <w:sz w:val="20"/>
          <w:szCs w:val="20"/>
        </w:rPr>
        <w:t>laims, and there can be no assurances as to the amount or timing of available cash left to distribute to stockholders after paying our debts and other obligations and setting aside funds for reserves.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the event of a dissolution and liquidation, the am</w:t>
      </w:r>
      <w:r>
        <w:rPr>
          <w:rFonts w:eastAsia="Times New Roman"/>
          <w:color w:val="000000"/>
          <w:sz w:val="20"/>
          <w:szCs w:val="20"/>
        </w:rPr>
        <w:t>ount of cash available for distribution to our stockholders will depend heavily on the timing of such decision and, ultimately, such liquidation, since the amount of cash available for distribution continues to decrease as we fund our operations in prepara</w:t>
      </w:r>
      <w:r>
        <w:rPr>
          <w:rFonts w:eastAsia="Times New Roman"/>
          <w:color w:val="000000"/>
          <w:sz w:val="20"/>
          <w:szCs w:val="20"/>
        </w:rPr>
        <w:t>tion for the consummation of the Merger. Further, the Merger Agreement contains certain termination rights for each party, and provides that, upon termination under specified circumstances, we may be required to pay Tempest a termination fee of $1.4 millio</w:t>
      </w:r>
      <w:r>
        <w:rPr>
          <w:rFonts w:eastAsia="Times New Roman"/>
          <w:color w:val="000000"/>
          <w:sz w:val="20"/>
          <w:szCs w:val="20"/>
        </w:rPr>
        <w:t>n or reimburse Tempest's expenses up to a maximum of $1.0 million, which would further decrease our available cash resources. If our board of directors were to approve and recommend, and our stockholders were to approve, a dissolution and liquidation, we w</w:t>
      </w:r>
      <w:r>
        <w:rPr>
          <w:rFonts w:eastAsia="Times New Roman"/>
          <w:color w:val="000000"/>
          <w:sz w:val="20"/>
          <w:szCs w:val="20"/>
        </w:rPr>
        <w:t>ould be required under Delaware corporate law to pay our outstanding obligations, as well as to make reasonable provision for contingent and unknown obligations, prior to making any distributions in liquidation to our stockholders. Our commitments and cont</w:t>
      </w:r>
      <w:r>
        <w:rPr>
          <w:rFonts w:eastAsia="Times New Roman"/>
          <w:color w:val="000000"/>
          <w:sz w:val="20"/>
          <w:szCs w:val="20"/>
        </w:rPr>
        <w:t>ingent liabilities may include (i) regulatory and clinical obligations remaining under our clinical trials; (ii) obligations under our employment, separation and retention agreements with certain employees that provide for severance and other payments foll</w:t>
      </w:r>
      <w:r>
        <w:rPr>
          <w:rFonts w:eastAsia="Times New Roman"/>
          <w:color w:val="000000"/>
          <w:sz w:val="20"/>
          <w:szCs w:val="20"/>
        </w:rPr>
        <w:t>owing a termination of employment occurring for various reasons, including a change in control of us; and (iii) potential litigation against us, and other various claims and legal actions arising in the ordinary course of business. As a result of this requ</w:t>
      </w:r>
      <w:r>
        <w:rPr>
          <w:rFonts w:eastAsia="Times New Roman"/>
          <w:color w:val="000000"/>
          <w:sz w:val="20"/>
          <w:szCs w:val="20"/>
        </w:rPr>
        <w:t>irement, a portion of our assets may need to be reserved pending the resolution of such obligations. In addition, we may be subject to litigation or other claims related to a dissolution and liquidation of us. If a dissolution and liquidation were pursued,</w:t>
      </w:r>
      <w:r>
        <w:rPr>
          <w:rFonts w:eastAsia="Times New Roman"/>
          <w:color w:val="000000"/>
          <w:sz w:val="20"/>
          <w:szCs w:val="20"/>
        </w:rPr>
        <w:t xml:space="preserve"> our board of directors, in consultation with our advisors, would need to evaluate these matters and make a determination about a reasonable amount to reserve. Accordingly, holders of our common stock could lose all or a significant portion of their invest</w:t>
      </w:r>
      <w:r>
        <w:rPr>
          <w:rFonts w:eastAsia="Times New Roman"/>
          <w:color w:val="000000"/>
          <w:sz w:val="20"/>
          <w:szCs w:val="20"/>
        </w:rPr>
        <w:t>ment in the event of our liquidation, dissolution or winding up.</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As a result of our decision to discontinue further investment in MLE-301 and the reductions in our workforce, we have only 12 employees remaining as of the date of this filing. If we are un</w:t>
      </w:r>
      <w:r>
        <w:rPr>
          <w:rFonts w:eastAsia="Times New Roman"/>
          <w:b/>
          <w:bCs/>
          <w:i/>
          <w:iCs/>
          <w:color w:val="000000"/>
          <w:sz w:val="20"/>
          <w:szCs w:val="20"/>
        </w:rPr>
        <w:t>able to retain certain of our remaining employees, our ability to consummate the planned Merger transaction may be delayed or seriously jeopardized.</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On January 28, 2021, we announced workforce reductions, and current headcount has been reduced to 12 empl</w:t>
      </w:r>
      <w:r>
        <w:rPr>
          <w:rFonts w:eastAsia="Times New Roman"/>
          <w:color w:val="000000"/>
          <w:sz w:val="20"/>
          <w:szCs w:val="20"/>
        </w:rPr>
        <w:t>oyees as of the date of this filing. Our cash conservation activities may yield unintended consequences, such as attrition beyond the planned workforce reductions and reduced employee morale, which may cause the remaining employees to seek alternate employ</w:t>
      </w:r>
      <w:r>
        <w:rPr>
          <w:rFonts w:eastAsia="Times New Roman"/>
          <w:color w:val="000000"/>
          <w:sz w:val="20"/>
          <w:szCs w:val="20"/>
        </w:rPr>
        <w:t>ment. Competition among biotechnology companies for qualified employees is intense, and the ability to retain the remaining employees is critical to our ability to effectively manage our business and to consummate the planned Merger transaction. Additional</w:t>
      </w:r>
      <w:r>
        <w:rPr>
          <w:rFonts w:eastAsia="Times New Roman"/>
          <w:color w:val="000000"/>
          <w:sz w:val="20"/>
          <w:szCs w:val="20"/>
        </w:rPr>
        <w:t xml:space="preserve"> attrition could have a material adverse effect on our business and ability to consummate the Merger. In addition, as a result of the reduction in our workforce, we face an increased risk of employment litigation.</w:t>
      </w:r>
    </w:p>
    <w:p w:rsidR="00000000" w:rsidRDefault="00DA1786">
      <w:pPr>
        <w:divId w:val="1686597125"/>
        <w:rPr>
          <w:rFonts w:eastAsia="Times New Roman"/>
        </w:rPr>
      </w:pPr>
      <w:r>
        <w:rPr>
          <w:rFonts w:eastAsia="Times New Roman"/>
          <w:b/>
          <w:bCs/>
          <w:color w:val="000000"/>
          <w:sz w:val="20"/>
          <w:szCs w:val="20"/>
        </w:rPr>
        <w:t>Risks Related to Our Financial Position an</w:t>
      </w:r>
      <w:r>
        <w:rPr>
          <w:rFonts w:eastAsia="Times New Roman"/>
          <w:b/>
          <w:bCs/>
          <w:color w:val="000000"/>
          <w:sz w:val="20"/>
          <w:szCs w:val="20"/>
        </w:rPr>
        <w:t>d Need for Additional Capital</w:t>
      </w:r>
    </w:p>
    <w:p w:rsidR="00000000" w:rsidRDefault="00DA1786">
      <w:pPr>
        <w:jc w:val="both"/>
        <w:divId w:val="1670206086"/>
        <w:rPr>
          <w:rFonts w:eastAsia="Times New Roman"/>
        </w:rPr>
      </w:pPr>
      <w:r>
        <w:rPr>
          <w:rFonts w:eastAsia="Times New Roman"/>
          <w:b/>
          <w:bCs/>
          <w:i/>
          <w:iCs/>
          <w:color w:val="000000"/>
          <w:sz w:val="20"/>
          <w:szCs w:val="20"/>
        </w:rPr>
        <w:t>We have incurred significant operating losses since inception and anticipate that we will continue to incur operating losses for the foreseeable future and may never achieve or maintain profitability.</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Since inception, we hav</w:t>
      </w:r>
      <w:r>
        <w:rPr>
          <w:rFonts w:eastAsia="Times New Roman"/>
          <w:color w:val="000000"/>
          <w:sz w:val="20"/>
          <w:szCs w:val="20"/>
        </w:rPr>
        <w:t>e incurred significant operating losses and negative operating cash flows and there is no assurance that we will ever achieve or sustain profitability. Our net loss was $36.4 million and $44.6 million and for the years ended December 31, 2020 and 2019, res</w:t>
      </w:r>
      <w:r>
        <w:rPr>
          <w:rFonts w:eastAsia="Times New Roman"/>
          <w:color w:val="000000"/>
          <w:sz w:val="20"/>
          <w:szCs w:val="20"/>
        </w:rPr>
        <w:t xml:space="preserve">pectively. As of December 31, 2020, we had an accumulated deficit of $245.1 million. We </w:t>
      </w:r>
    </w:p>
    <w:p w:rsidR="00000000" w:rsidRDefault="00DA1786">
      <w:pPr>
        <w:ind w:firstLine="720"/>
        <w:jc w:val="center"/>
        <w:divId w:val="69617619"/>
        <w:rPr>
          <w:rFonts w:eastAsia="Times New Roman"/>
        </w:rPr>
      </w:pPr>
      <w:r>
        <w:rPr>
          <w:rFonts w:eastAsia="Times New Roman"/>
          <w:color w:val="000000"/>
          <w:sz w:val="20"/>
          <w:szCs w:val="20"/>
        </w:rPr>
        <w:t>21</w:t>
      </w:r>
    </w:p>
    <w:p w:rsidR="00000000" w:rsidRDefault="00DA1786">
      <w:pPr>
        <w:rPr>
          <w:rFonts w:eastAsia="Times New Roman"/>
        </w:rPr>
      </w:pPr>
      <w:r>
        <w:rPr>
          <w:rFonts w:eastAsia="Times New Roman"/>
        </w:rPr>
        <w:pict>
          <v:rect id="_x0000_i1046" style="width:0;height:1.5pt" o:hralign="center" o:hrstd="t" o:hr="t" fillcolor="#a0a0a0" stroked="f"/>
        </w:pict>
      </w:r>
    </w:p>
    <w:p w:rsidR="00000000" w:rsidRDefault="00DA1786">
      <w:pPr>
        <w:divId w:val="290870553"/>
        <w:rPr>
          <w:rFonts w:eastAsia="Times New Roman"/>
        </w:rPr>
      </w:pPr>
    </w:p>
    <w:p w:rsidR="00000000" w:rsidRDefault="00DA1786">
      <w:pPr>
        <w:jc w:val="both"/>
        <w:rPr>
          <w:rFonts w:eastAsia="Times New Roman"/>
        </w:rPr>
      </w:pPr>
      <w:r>
        <w:rPr>
          <w:rFonts w:eastAsia="Times New Roman"/>
          <w:color w:val="000000"/>
          <w:sz w:val="20"/>
          <w:szCs w:val="20"/>
        </w:rPr>
        <w:t xml:space="preserve">expect to continue to incur significant expenses and increasing operating losses for the foreseeable future. We have devoted substantially all of our efforts to the acquisition of and preclinical and clinical development of MLE-301, in which we decided to </w:t>
      </w:r>
      <w:r>
        <w:rPr>
          <w:rFonts w:eastAsia="Times New Roman"/>
          <w:color w:val="000000"/>
          <w:sz w:val="20"/>
          <w:szCs w:val="20"/>
        </w:rPr>
        <w:t>discontinue our investment in January 2021, nevanimibe, in which we ceased investing in June 2020, and livoletide, of which we discontinued development in April 2020, as well as to building our management team and infrastructure. The net losses we incur ma</w:t>
      </w:r>
      <w:r>
        <w:rPr>
          <w:rFonts w:eastAsia="Times New Roman"/>
          <w:color w:val="000000"/>
          <w:sz w:val="20"/>
          <w:szCs w:val="20"/>
        </w:rPr>
        <w:t xml:space="preserve">y fluctuate significantly from quarter to quarter and year to year. We anticipate that our expenses may increase if we resume drug development activities. Our failure to become and remain profitable would decrease our value and could impair our ability to </w:t>
      </w:r>
      <w:r>
        <w:rPr>
          <w:rFonts w:eastAsia="Times New Roman"/>
          <w:color w:val="000000"/>
          <w:sz w:val="20"/>
          <w:szCs w:val="20"/>
        </w:rPr>
        <w:t>raise capital, continue our operations. A decline in our value also could cause you to lose all or part of your investment.</w:t>
      </w:r>
    </w:p>
    <w:p w:rsidR="00000000" w:rsidRDefault="00DA1786">
      <w:pPr>
        <w:jc w:val="both"/>
        <w:divId w:val="1771270444"/>
        <w:rPr>
          <w:rFonts w:eastAsia="Times New Roman"/>
        </w:rPr>
      </w:pPr>
      <w:r>
        <w:rPr>
          <w:rFonts w:eastAsia="Times New Roman"/>
          <w:b/>
          <w:bCs/>
          <w:i/>
          <w:iCs/>
          <w:color w:val="000000"/>
          <w:sz w:val="20"/>
          <w:szCs w:val="20"/>
        </w:rPr>
        <w:t>We have a limited operating history and have never generated any revenue from product sales, which may make it difficult to assess o</w:t>
      </w:r>
      <w:r>
        <w:rPr>
          <w:rFonts w:eastAsia="Times New Roman"/>
          <w:b/>
          <w:bCs/>
          <w:i/>
          <w:iCs/>
          <w:color w:val="000000"/>
          <w:sz w:val="20"/>
          <w:szCs w:val="20"/>
        </w:rPr>
        <w:t>ur future viability.</w:t>
      </w:r>
    </w:p>
    <w:p w:rsidR="00000000" w:rsidRDefault="00DA1786">
      <w:pPr>
        <w:jc w:val="both"/>
        <w:divId w:val="1012491431"/>
        <w:rPr>
          <w:rFonts w:eastAsia="Times New Roman"/>
        </w:rPr>
      </w:pPr>
      <w:r>
        <w:rPr>
          <w:rFonts w:eastAsia="Times New Roman"/>
          <w:color w:val="000000"/>
          <w:sz w:val="20"/>
          <w:szCs w:val="20"/>
        </w:rPr>
        <w:t>We are a biopharmaceutical company with a limited operating history. Our operations to date, with respect to the development of our product candidates, have been limited to organizing and staffing the business, business planning, raisi</w:t>
      </w:r>
      <w:r>
        <w:rPr>
          <w:rFonts w:eastAsia="Times New Roman"/>
          <w:color w:val="000000"/>
          <w:sz w:val="20"/>
          <w:szCs w:val="20"/>
        </w:rPr>
        <w:t>ng capital, acquiring our product candidates and other assets and conducting preclinical and clinical development of our product candidates. We have not demonstrated an ability to successfully complete clinical development of a product candidate, obtain ma</w:t>
      </w:r>
      <w:r>
        <w:rPr>
          <w:rFonts w:eastAsia="Times New Roman"/>
          <w:color w:val="000000"/>
          <w:sz w:val="20"/>
          <w:szCs w:val="20"/>
        </w:rPr>
        <w:t>rketing approval, manufacture a commercial-scale drug (or arrange for a third-party to do so on our behalf), or conduct sales and marketing activities necessary for successful commercialization. Consequently, our predictions about our future success or via</w:t>
      </w:r>
      <w:r>
        <w:rPr>
          <w:rFonts w:eastAsia="Times New Roman"/>
          <w:color w:val="000000"/>
          <w:sz w:val="20"/>
          <w:szCs w:val="20"/>
        </w:rPr>
        <w:t>bility may not be as accurate as they could be if we had more experience developing product candidates.</w:t>
      </w:r>
    </w:p>
    <w:p w:rsidR="00000000" w:rsidRDefault="00DA1786">
      <w:pPr>
        <w:jc w:val="both"/>
        <w:divId w:val="2094620696"/>
        <w:rPr>
          <w:rFonts w:eastAsia="Times New Roman"/>
        </w:rPr>
      </w:pPr>
      <w:r>
        <w:rPr>
          <w:rFonts w:eastAsia="Times New Roman"/>
          <w:b/>
          <w:bCs/>
          <w:i/>
          <w:iCs/>
          <w:color w:val="000000"/>
          <w:sz w:val="20"/>
          <w:szCs w:val="20"/>
        </w:rPr>
        <w:t>If the Merger is not completed, we would need to raise substantial additional funding to the extent we resume our drug development efforts, which may no</w:t>
      </w:r>
      <w:r>
        <w:rPr>
          <w:rFonts w:eastAsia="Times New Roman"/>
          <w:b/>
          <w:bCs/>
          <w:i/>
          <w:iCs/>
          <w:color w:val="000000"/>
          <w:sz w:val="20"/>
          <w:szCs w:val="20"/>
        </w:rPr>
        <w:t>t be available on acceptable terms, or at all. Failure to obtain this necessary capital when needed may force us to delay, limit or terminate our drug development efforts or other operations.</w:t>
      </w:r>
    </w:p>
    <w:p w:rsidR="00000000" w:rsidRDefault="00DA1786">
      <w:pPr>
        <w:divId w:val="619604557"/>
        <w:rPr>
          <w:rFonts w:eastAsia="Times New Roman"/>
        </w:rPr>
      </w:pPr>
    </w:p>
    <w:p w:rsidR="00000000" w:rsidRDefault="00DA1786">
      <w:pPr>
        <w:jc w:val="both"/>
        <w:rPr>
          <w:rFonts w:eastAsia="Times New Roman"/>
        </w:rPr>
      </w:pPr>
      <w:r>
        <w:rPr>
          <w:rFonts w:eastAsia="Times New Roman"/>
          <w:color w:val="000000"/>
          <w:sz w:val="20"/>
          <w:szCs w:val="20"/>
        </w:rPr>
        <w:t>If the Merger is not completed, we may require substantial add</w:t>
      </w:r>
      <w:r>
        <w:rPr>
          <w:rFonts w:eastAsia="Times New Roman"/>
          <w:color w:val="000000"/>
          <w:sz w:val="20"/>
          <w:szCs w:val="20"/>
        </w:rPr>
        <w:t xml:space="preserve">itional capital to fund any research and development and expenses related to our business. We had cash, cash equivalents and restricted cash of $38.7 million at December 31, 2020. In the event that the Merger is not completed, we may pursue a liquidation, </w:t>
      </w:r>
      <w:r>
        <w:rPr>
          <w:rFonts w:eastAsia="Times New Roman"/>
          <w:color w:val="000000"/>
          <w:sz w:val="20"/>
          <w:szCs w:val="20"/>
        </w:rPr>
        <w:t>dissolution or winding-up of the company, or may seek to complete an alternate strategic transaction or may elect to resume investment in other product candidates. Based on our current operating plan, we believe that our existing cash, cash equivalents and</w:t>
      </w:r>
      <w:r>
        <w:rPr>
          <w:rFonts w:eastAsia="Times New Roman"/>
          <w:color w:val="000000"/>
          <w:sz w:val="20"/>
          <w:szCs w:val="20"/>
        </w:rPr>
        <w:t xml:space="preserve"> restricted cash will be sufficient to allow us to fund our current operating plan for at least the next 12 months.</w:t>
      </w:r>
    </w:p>
    <w:p w:rsidR="00000000" w:rsidRDefault="00DA1786">
      <w:pPr>
        <w:jc w:val="both"/>
        <w:divId w:val="854196535"/>
        <w:rPr>
          <w:rFonts w:eastAsia="Times New Roman"/>
        </w:rPr>
      </w:pPr>
      <w:r>
        <w:rPr>
          <w:rFonts w:eastAsia="Times New Roman"/>
          <w:color w:val="000000"/>
          <w:sz w:val="20"/>
          <w:szCs w:val="20"/>
        </w:rPr>
        <w:t>We cannot predict to what extent we will resume drug development activities for any other drug product candidates. If we resume drug develop</w:t>
      </w:r>
      <w:r>
        <w:rPr>
          <w:rFonts w:eastAsia="Times New Roman"/>
          <w:color w:val="000000"/>
          <w:sz w:val="20"/>
          <w:szCs w:val="20"/>
        </w:rPr>
        <w:t>ment activities, only a small minority of all research and development programs ultimately result in commercially successful drugs. Clinical failure can occur at any stage of clinical development and clinical trials may produce negative or inconclusive res</w:t>
      </w:r>
      <w:r>
        <w:rPr>
          <w:rFonts w:eastAsia="Times New Roman"/>
          <w:color w:val="000000"/>
          <w:sz w:val="20"/>
          <w:szCs w:val="20"/>
        </w:rPr>
        <w:t>ults, and we may decide, or regulators may require us, to conduct additional clinical or preclinical trials. In addition, data obtained from trials are susceptible to varying interpretations, and regulators may not interpret our data as favorably as we do,</w:t>
      </w:r>
      <w:r>
        <w:rPr>
          <w:rFonts w:eastAsia="Times New Roman"/>
          <w:color w:val="000000"/>
          <w:sz w:val="20"/>
          <w:szCs w:val="20"/>
        </w:rPr>
        <w:t xml:space="preserve"> which may delay, limit or prevent regulatory approval. Success in preclinical testing and early clinical trials does not ensure that later clinical trials will generate the same results or otherwise provide adequate data to demonstrate the efficacy and sa</w:t>
      </w:r>
      <w:r>
        <w:rPr>
          <w:rFonts w:eastAsia="Times New Roman"/>
          <w:color w:val="000000"/>
          <w:sz w:val="20"/>
          <w:szCs w:val="20"/>
        </w:rPr>
        <w:t>fety of a drug candidate. Further, even if we complete the development for a drug product candidate and gain marketing approvals from the FDA, and comparable foreign regulatory authorities in a timely manner, we cannot be sure that such drug product candid</w:t>
      </w:r>
      <w:r>
        <w:rPr>
          <w:rFonts w:eastAsia="Times New Roman"/>
          <w:color w:val="000000"/>
          <w:sz w:val="20"/>
          <w:szCs w:val="20"/>
        </w:rPr>
        <w:t xml:space="preserve">ate will be commercially successful in the pharmaceutical market. If the results of clinical trials, the anticipated or actual timing of marketing approvals, or the market acceptance of any drug product candidate, if approved, do not meet the expectations </w:t>
      </w:r>
      <w:r>
        <w:rPr>
          <w:rFonts w:eastAsia="Times New Roman"/>
          <w:color w:val="000000"/>
          <w:sz w:val="20"/>
          <w:szCs w:val="20"/>
        </w:rPr>
        <w:t>of investors or public market analysts, the market price of our common stock would likely decline. Further, if we resume drug development activities, we will need substantial additional financing to complete the development of any other drug product candid</w:t>
      </w:r>
      <w:r>
        <w:rPr>
          <w:rFonts w:eastAsia="Times New Roman"/>
          <w:color w:val="000000"/>
          <w:sz w:val="20"/>
          <w:szCs w:val="20"/>
        </w:rPr>
        <w:t>ates we may develop.</w:t>
      </w:r>
    </w:p>
    <w:p w:rsidR="00000000" w:rsidRDefault="00DA1786">
      <w:pPr>
        <w:jc w:val="both"/>
        <w:divId w:val="418403289"/>
        <w:rPr>
          <w:rFonts w:eastAsia="Times New Roman"/>
        </w:rPr>
      </w:pPr>
      <w:r>
        <w:rPr>
          <w:rFonts w:eastAsia="Times New Roman"/>
          <w:color w:val="000000"/>
          <w:sz w:val="20"/>
          <w:szCs w:val="20"/>
        </w:rPr>
        <w:t>We expect to incur losses for the foreseeable future. Our ability to achieve profitability in the future is dependent upon achieving a level of revenues adequate to support our cost structure. We may never achieve profitability, and unless and until we do,</w:t>
      </w:r>
      <w:r>
        <w:rPr>
          <w:rFonts w:eastAsia="Times New Roman"/>
          <w:color w:val="000000"/>
          <w:sz w:val="20"/>
          <w:szCs w:val="20"/>
        </w:rPr>
        <w:t xml:space="preserve"> we will continue to need to raise additional capital. If we raise additional capital through the sale of equity or convertible debt securities, the issuance of those securities could result in substantial dilution for our current stockholders and the term</w:t>
      </w:r>
      <w:r>
        <w:rPr>
          <w:rFonts w:eastAsia="Times New Roman"/>
          <w:color w:val="000000"/>
          <w:sz w:val="20"/>
          <w:szCs w:val="20"/>
        </w:rPr>
        <w:t>s may include liquidation or other preferences that adversely affect the rights of our current stockholders, further diminishing current stockholders' ability to realize any value for their stock holdings. Furthermore, the issuance of additional securities</w:t>
      </w:r>
      <w:r>
        <w:rPr>
          <w:rFonts w:eastAsia="Times New Roman"/>
          <w:color w:val="000000"/>
          <w:sz w:val="20"/>
          <w:szCs w:val="20"/>
        </w:rPr>
        <w:t>, whether equity or debt, by us, or the possibility of such issuance, may cause the market price of our common stock to decline further and existing stockholders may not agree with our financing plans or the terms of such financings. There can be no assura</w:t>
      </w:r>
      <w:r>
        <w:rPr>
          <w:rFonts w:eastAsia="Times New Roman"/>
          <w:color w:val="000000"/>
          <w:sz w:val="20"/>
          <w:szCs w:val="20"/>
        </w:rPr>
        <w:t>nces, however, that additional funding will be available on terms acceptable to us, or at all.</w:t>
      </w:r>
    </w:p>
    <w:p w:rsidR="00000000" w:rsidRDefault="00DA1786">
      <w:pPr>
        <w:divId w:val="1603342658"/>
        <w:rPr>
          <w:rFonts w:eastAsia="Times New Roman"/>
        </w:rPr>
      </w:pPr>
    </w:p>
    <w:p w:rsidR="00000000" w:rsidRDefault="00DA1786">
      <w:pPr>
        <w:ind w:firstLine="720"/>
        <w:jc w:val="center"/>
        <w:divId w:val="621377155"/>
        <w:rPr>
          <w:rFonts w:eastAsia="Times New Roman"/>
        </w:rPr>
      </w:pPr>
      <w:r>
        <w:rPr>
          <w:rFonts w:eastAsia="Times New Roman"/>
          <w:color w:val="000000"/>
          <w:sz w:val="20"/>
          <w:szCs w:val="20"/>
        </w:rPr>
        <w:t>22</w:t>
      </w:r>
    </w:p>
    <w:p w:rsidR="00000000" w:rsidRDefault="00DA1786">
      <w:pPr>
        <w:rPr>
          <w:rFonts w:eastAsia="Times New Roman"/>
        </w:rPr>
      </w:pPr>
      <w:r>
        <w:rPr>
          <w:rFonts w:eastAsia="Times New Roman"/>
        </w:rPr>
        <w:pict>
          <v:rect id="_x0000_i1047" style="width:0;height:1.5pt" o:hralign="center" o:hrstd="t" o:hr="t" fillcolor="#a0a0a0" stroked="f"/>
        </w:pict>
      </w:r>
    </w:p>
    <w:p w:rsidR="00000000" w:rsidRDefault="00DA1786">
      <w:pPr>
        <w:divId w:val="2066223310"/>
        <w:rPr>
          <w:rFonts w:eastAsia="Times New Roman"/>
        </w:rPr>
      </w:pPr>
    </w:p>
    <w:p w:rsidR="00000000" w:rsidRDefault="00DA1786">
      <w:pPr>
        <w:jc w:val="both"/>
        <w:rPr>
          <w:rFonts w:eastAsia="Times New Roman"/>
        </w:rPr>
      </w:pPr>
      <w:r>
        <w:rPr>
          <w:rFonts w:eastAsia="Times New Roman"/>
          <w:b/>
          <w:bCs/>
          <w:i/>
          <w:iCs/>
          <w:color w:val="000000"/>
          <w:sz w:val="20"/>
          <w:szCs w:val="20"/>
        </w:rPr>
        <w:t>We will require additional capital to finance our operations, which may not be available on acceptable terms, if at al</w:t>
      </w:r>
      <w:r>
        <w:rPr>
          <w:rFonts w:eastAsia="Times New Roman"/>
          <w:b/>
          <w:bCs/>
          <w:i/>
          <w:iCs/>
          <w:color w:val="000000"/>
          <w:sz w:val="20"/>
          <w:szCs w:val="20"/>
        </w:rPr>
        <w:t>l. Failure to obtain capital when needed may force us to delay, limit or terminate certain of our development programs, future commercialization efforts or other operations.</w:t>
      </w:r>
    </w:p>
    <w:p w:rsidR="00000000" w:rsidRDefault="00DA1786">
      <w:pPr>
        <w:jc w:val="both"/>
        <w:divId w:val="407463847"/>
        <w:rPr>
          <w:rFonts w:eastAsia="Times New Roman"/>
        </w:rPr>
      </w:pPr>
      <w:r>
        <w:rPr>
          <w:rFonts w:eastAsia="Times New Roman"/>
          <w:color w:val="000000"/>
          <w:sz w:val="20"/>
          <w:szCs w:val="20"/>
        </w:rPr>
        <w:t>We expect our expenses to increase in connection with our ongoing activities and e</w:t>
      </w:r>
      <w:r>
        <w:rPr>
          <w:rFonts w:eastAsia="Times New Roman"/>
          <w:color w:val="000000"/>
          <w:sz w:val="20"/>
          <w:szCs w:val="20"/>
        </w:rPr>
        <w:t>xpect to continue to incur additional costs associated with operating as a public company. As of December 31, 2020, our cash, cash equivalents and restricted cash were $38.7 million. Our existing cash, cash equivalents and restricted cash are currently exp</w:t>
      </w:r>
      <w:r>
        <w:rPr>
          <w:rFonts w:eastAsia="Times New Roman"/>
          <w:color w:val="000000"/>
          <w:sz w:val="20"/>
          <w:szCs w:val="20"/>
        </w:rPr>
        <w:t>ected to be sufficient to fund our current operating plans through at least the next 12 months. This cash runway guidance is based on our current operational plans and excludes any additional funding that may be received and business development activities</w:t>
      </w:r>
      <w:r>
        <w:rPr>
          <w:rFonts w:eastAsia="Times New Roman"/>
          <w:color w:val="000000"/>
          <w:sz w:val="20"/>
          <w:szCs w:val="20"/>
        </w:rPr>
        <w:t xml:space="preserve"> that may be undertaken. In addition, our operating plans may change as a result of many factors currently unknown to us, including the short- and long-term effects of the COVID-19 pandemic, and we may need to seek additional funds sooner than planned, thr</w:t>
      </w:r>
      <w:r>
        <w:rPr>
          <w:rFonts w:eastAsia="Times New Roman"/>
          <w:color w:val="000000"/>
          <w:sz w:val="20"/>
          <w:szCs w:val="20"/>
        </w:rPr>
        <w:t>ough public or private equity or debt financings, third-party funding, and marketing and distribution arrangements, as well as other collaborations, strategic alliances and licensing arrangements, or a combination of these approaches. In any event, we will</w:t>
      </w:r>
      <w:r>
        <w:rPr>
          <w:rFonts w:eastAsia="Times New Roman"/>
          <w:color w:val="000000"/>
          <w:sz w:val="20"/>
          <w:szCs w:val="20"/>
        </w:rPr>
        <w:t xml:space="preserve"> require additional capital to pursue preclinical and clinical activities, regulatory approval and the commercialization of our current and future product candidates. Even if we believe we have sufficient capital for our current operating plans, we may see</w:t>
      </w:r>
      <w:r>
        <w:rPr>
          <w:rFonts w:eastAsia="Times New Roman"/>
          <w:color w:val="000000"/>
          <w:sz w:val="20"/>
          <w:szCs w:val="20"/>
        </w:rPr>
        <w:t xml:space="preserve">k additional capital if market conditions are favorable or if we have specific strategic considerations. If we elect to do so, additional capital may not be available to us on acceptable terms, if at all. Our ability to access additional capital, and as a </w:t>
      </w:r>
      <w:r>
        <w:rPr>
          <w:rFonts w:eastAsia="Times New Roman"/>
          <w:color w:val="000000"/>
          <w:sz w:val="20"/>
          <w:szCs w:val="20"/>
        </w:rPr>
        <w:t xml:space="preserve">result our operating results and liquidity needs, could be negatively affected by market fluctuations and economic downturn. The COVID-19 pandemic has already resulted in a significant disruption of global financial markets. If the disruption persists and </w:t>
      </w:r>
      <w:r>
        <w:rPr>
          <w:rFonts w:eastAsia="Times New Roman"/>
          <w:color w:val="000000"/>
          <w:sz w:val="20"/>
          <w:szCs w:val="20"/>
        </w:rPr>
        <w:t>deepens, we could experience an inability to access additional capital, which could negatively affect our business. Any additional capital raising efforts may divert our management from its day-to-day activities, which may adversely affect our ability to d</w:t>
      </w:r>
      <w:r>
        <w:rPr>
          <w:rFonts w:eastAsia="Times New Roman"/>
          <w:color w:val="000000"/>
          <w:sz w:val="20"/>
          <w:szCs w:val="20"/>
        </w:rPr>
        <w:t xml:space="preserve">evelop and commercialize our current and future product candidates. </w:t>
      </w:r>
    </w:p>
    <w:p w:rsidR="00000000" w:rsidRDefault="00DA1786">
      <w:pPr>
        <w:jc w:val="both"/>
        <w:divId w:val="274797350"/>
        <w:rPr>
          <w:rFonts w:eastAsia="Times New Roman"/>
        </w:rPr>
      </w:pPr>
      <w:r>
        <w:rPr>
          <w:rFonts w:eastAsia="Times New Roman"/>
          <w:b/>
          <w:bCs/>
          <w:i/>
          <w:iCs/>
          <w:color w:val="000000"/>
          <w:sz w:val="20"/>
          <w:szCs w:val="20"/>
        </w:rPr>
        <w:t xml:space="preserve">Raising additional capital by issuing equity or debt securities may cause dilution to our existing stockholders, and raising funds through lending and licensing arrangements may restrict </w:t>
      </w:r>
      <w:r>
        <w:rPr>
          <w:rFonts w:eastAsia="Times New Roman"/>
          <w:b/>
          <w:bCs/>
          <w:i/>
          <w:iCs/>
          <w:color w:val="000000"/>
          <w:sz w:val="20"/>
          <w:szCs w:val="20"/>
        </w:rPr>
        <w:t>our operations or require us to relinquish proprietary rights.</w:t>
      </w:r>
    </w:p>
    <w:p w:rsidR="00000000" w:rsidRDefault="00DA1786">
      <w:pPr>
        <w:jc w:val="both"/>
        <w:divId w:val="526941988"/>
        <w:rPr>
          <w:rFonts w:eastAsia="Times New Roman"/>
        </w:rPr>
      </w:pPr>
      <w:r>
        <w:rPr>
          <w:rFonts w:eastAsia="Times New Roman"/>
          <w:color w:val="000000"/>
          <w:sz w:val="20"/>
          <w:szCs w:val="20"/>
        </w:rPr>
        <w:t xml:space="preserve">Until such time as we can generate substantial revenue from product sales, if ever, we expect to finance our cash needs through a combination of equity and debt financings, strategic alliances </w:t>
      </w:r>
      <w:r>
        <w:rPr>
          <w:rFonts w:eastAsia="Times New Roman"/>
          <w:color w:val="000000"/>
          <w:sz w:val="20"/>
          <w:szCs w:val="20"/>
        </w:rPr>
        <w:t>and license and development agreements in connection with any future collaborations. To the extent that we raise additional capital by issuing equity securities, our existing stockholders’ ownership may experience substantial dilution, and the terms of the</w:t>
      </w:r>
      <w:r>
        <w:rPr>
          <w:rFonts w:eastAsia="Times New Roman"/>
          <w:color w:val="000000"/>
          <w:sz w:val="20"/>
          <w:szCs w:val="20"/>
        </w:rPr>
        <w:t>se securities may include liquidation or other preferences that adversely affect your rights as a stockholder. Equity and debt financing, if available, may involve agreements that include covenants limiting or restricting our ability to take specific actio</w:t>
      </w:r>
      <w:r>
        <w:rPr>
          <w:rFonts w:eastAsia="Times New Roman"/>
          <w:color w:val="000000"/>
          <w:sz w:val="20"/>
          <w:szCs w:val="20"/>
        </w:rPr>
        <w:t>ns, such as redeeming our shares, making investments, incurring additional debt, making capital expenditures or declaring dividends.</w:t>
      </w:r>
    </w:p>
    <w:p w:rsidR="00000000" w:rsidRDefault="00DA1786">
      <w:pPr>
        <w:jc w:val="both"/>
        <w:divId w:val="1193958372"/>
        <w:rPr>
          <w:rFonts w:eastAsia="Times New Roman"/>
        </w:rPr>
      </w:pPr>
      <w:r>
        <w:rPr>
          <w:rFonts w:eastAsia="Times New Roman"/>
          <w:color w:val="000000"/>
          <w:sz w:val="20"/>
          <w:szCs w:val="20"/>
        </w:rPr>
        <w:t>The incurrence of indebtedness could result in increased fixed payment obligations and we may be required to agree to certa</w:t>
      </w:r>
      <w:r>
        <w:rPr>
          <w:rFonts w:eastAsia="Times New Roman"/>
          <w:color w:val="000000"/>
          <w:sz w:val="20"/>
          <w:szCs w:val="20"/>
        </w:rPr>
        <w:t>in restrictive covenants therein, such as limitations on our ability to incur additional debt, limitations on our ability to acquire, sell or license intellectual property rights and other operating restrictions that could adversely affect our ability to c</w:t>
      </w:r>
      <w:r>
        <w:rPr>
          <w:rFonts w:eastAsia="Times New Roman"/>
          <w:color w:val="000000"/>
          <w:sz w:val="20"/>
          <w:szCs w:val="20"/>
        </w:rPr>
        <w:t>onduct our business.</w:t>
      </w:r>
    </w:p>
    <w:p w:rsidR="00000000" w:rsidRDefault="00DA1786">
      <w:pPr>
        <w:jc w:val="both"/>
        <w:divId w:val="1675302895"/>
        <w:rPr>
          <w:rFonts w:eastAsia="Times New Roman"/>
        </w:rPr>
      </w:pPr>
      <w:r>
        <w:rPr>
          <w:rFonts w:eastAsia="Times New Roman"/>
          <w:color w:val="000000"/>
          <w:sz w:val="20"/>
          <w:szCs w:val="20"/>
        </w:rPr>
        <w:t>If we raise additional capital through collaborations, strategic alliances or third-party licensing arrangements, we may have to relinquish valuable rights to our intellectual property, future revenue streams, research programs or prod</w:t>
      </w:r>
      <w:r>
        <w:rPr>
          <w:rFonts w:eastAsia="Times New Roman"/>
          <w:color w:val="000000"/>
          <w:sz w:val="20"/>
          <w:szCs w:val="20"/>
        </w:rPr>
        <w:t>uct candidates, or grant licenses on terms that may not be favorable to us. If we are unable to raise additional capital through equity or debt financings when needed, we may be required to delay, limit, reduce or terminate our product development or futur</w:t>
      </w:r>
      <w:r>
        <w:rPr>
          <w:rFonts w:eastAsia="Times New Roman"/>
          <w:color w:val="000000"/>
          <w:sz w:val="20"/>
          <w:szCs w:val="20"/>
        </w:rPr>
        <w:t>e commercialization efforts, or grant rights to develop and market product candidates that we would otherwise develop and market ourselves.</w:t>
      </w:r>
    </w:p>
    <w:p w:rsidR="00000000" w:rsidRDefault="00DA1786">
      <w:pPr>
        <w:divId w:val="1136070736"/>
        <w:rPr>
          <w:rFonts w:eastAsia="Times New Roman"/>
        </w:rPr>
      </w:pPr>
      <w:r>
        <w:rPr>
          <w:rFonts w:eastAsia="Times New Roman"/>
          <w:b/>
          <w:bCs/>
          <w:color w:val="000000"/>
          <w:sz w:val="20"/>
          <w:szCs w:val="20"/>
        </w:rPr>
        <w:t>Risks Related to Development and Commercialization</w:t>
      </w:r>
    </w:p>
    <w:p w:rsidR="00000000" w:rsidRDefault="00DA1786">
      <w:pPr>
        <w:jc w:val="both"/>
        <w:divId w:val="1475370349"/>
        <w:rPr>
          <w:rFonts w:eastAsia="Times New Roman"/>
        </w:rPr>
      </w:pPr>
      <w:r>
        <w:rPr>
          <w:rFonts w:eastAsia="Times New Roman"/>
          <w:b/>
          <w:bCs/>
          <w:i/>
          <w:iCs/>
          <w:color w:val="000000"/>
          <w:sz w:val="20"/>
          <w:szCs w:val="20"/>
        </w:rPr>
        <w:t>We have never obtained marketing approval for a product candidate</w:t>
      </w:r>
      <w:r>
        <w:rPr>
          <w:rFonts w:eastAsia="Times New Roman"/>
          <w:b/>
          <w:bCs/>
          <w:i/>
          <w:iCs/>
          <w:color w:val="000000"/>
          <w:sz w:val="20"/>
          <w:szCs w:val="20"/>
        </w:rPr>
        <w:t xml:space="preserve"> and we may be unable to obtain, or may be delayed in obtaining, marketing approval for any future product candidates that we may develop.</w:t>
      </w:r>
    </w:p>
    <w:p w:rsidR="00000000" w:rsidRDefault="00DA1786">
      <w:pPr>
        <w:jc w:val="both"/>
        <w:divId w:val="1235161394"/>
        <w:rPr>
          <w:rFonts w:eastAsia="Times New Roman"/>
        </w:rPr>
      </w:pPr>
      <w:r>
        <w:rPr>
          <w:rFonts w:eastAsia="Times New Roman"/>
          <w:color w:val="000000"/>
          <w:sz w:val="20"/>
          <w:szCs w:val="20"/>
        </w:rPr>
        <w:t>We have never obtained marketing approval for a product candidate. It is possible that the FDA may refuse to accept f</w:t>
      </w:r>
      <w:r>
        <w:rPr>
          <w:rFonts w:eastAsia="Times New Roman"/>
          <w:color w:val="000000"/>
          <w:sz w:val="20"/>
          <w:szCs w:val="20"/>
        </w:rPr>
        <w:t>or substantive review any NDAs that we submit for any future candidates we may choose to develop or may conclude after review of our data that our application is insufficient to obtain marketing approval of our product candidates. If the FDA does not accep</w:t>
      </w:r>
      <w:r>
        <w:rPr>
          <w:rFonts w:eastAsia="Times New Roman"/>
          <w:color w:val="000000"/>
          <w:sz w:val="20"/>
          <w:szCs w:val="20"/>
        </w:rPr>
        <w:t>t or approve our NDAs for any of our future product candidates, it may require that we conduct additional clinical trials, preclinical studies or manufacturing validation studies and submit that data before it will reconsider our applications. Depending on</w:t>
      </w:r>
      <w:r>
        <w:rPr>
          <w:rFonts w:eastAsia="Times New Roman"/>
          <w:color w:val="000000"/>
          <w:sz w:val="20"/>
          <w:szCs w:val="20"/>
        </w:rPr>
        <w:t xml:space="preserve"> the extent of these or any other FDA-required trials or studies, approval of any NDA or application that we submit may be delayed by several years or may require us to expend more resources than we have available. It is also possible that additional trial</w:t>
      </w:r>
      <w:r>
        <w:rPr>
          <w:rFonts w:eastAsia="Times New Roman"/>
          <w:color w:val="000000"/>
          <w:sz w:val="20"/>
          <w:szCs w:val="20"/>
        </w:rPr>
        <w:t>s or studies, if performed and completed, may not be considered sufficient by the FDA to approve our NDAs.</w:t>
      </w:r>
    </w:p>
    <w:p w:rsidR="00000000" w:rsidRDefault="00DA1786">
      <w:pPr>
        <w:ind w:firstLine="720"/>
        <w:jc w:val="center"/>
        <w:divId w:val="1223713447"/>
        <w:rPr>
          <w:rFonts w:eastAsia="Times New Roman"/>
        </w:rPr>
      </w:pPr>
      <w:r>
        <w:rPr>
          <w:rFonts w:eastAsia="Times New Roman"/>
          <w:color w:val="000000"/>
          <w:sz w:val="20"/>
          <w:szCs w:val="20"/>
        </w:rPr>
        <w:t>23</w:t>
      </w:r>
    </w:p>
    <w:p w:rsidR="00000000" w:rsidRDefault="00DA1786">
      <w:pPr>
        <w:rPr>
          <w:rFonts w:eastAsia="Times New Roman"/>
        </w:rPr>
      </w:pPr>
      <w:r>
        <w:rPr>
          <w:rFonts w:eastAsia="Times New Roman"/>
        </w:rPr>
        <w:pict>
          <v:rect id="_x0000_i1048" style="width:0;height:1.5pt" o:hralign="center" o:hrstd="t" o:hr="t" fillcolor="#a0a0a0" stroked="f"/>
        </w:pict>
      </w:r>
    </w:p>
    <w:p w:rsidR="00000000" w:rsidRDefault="00DA1786">
      <w:pPr>
        <w:divId w:val="96486820"/>
        <w:rPr>
          <w:rFonts w:eastAsia="Times New Roman"/>
        </w:rPr>
      </w:pPr>
    </w:p>
    <w:p w:rsidR="00000000" w:rsidRDefault="00DA1786">
      <w:pPr>
        <w:jc w:val="both"/>
        <w:divId w:val="461268025"/>
        <w:rPr>
          <w:rFonts w:eastAsia="Times New Roman"/>
        </w:rPr>
      </w:pPr>
      <w:r>
        <w:rPr>
          <w:rFonts w:eastAsia="Times New Roman"/>
          <w:color w:val="000000"/>
          <w:sz w:val="20"/>
          <w:szCs w:val="20"/>
        </w:rPr>
        <w:t>Any delay in obtaining, or an inability to obtain, marketing approvals would prevent us from commercializing</w:t>
      </w:r>
      <w:r>
        <w:rPr>
          <w:rFonts w:eastAsia="Times New Roman"/>
          <w:color w:val="000000"/>
          <w:sz w:val="20"/>
          <w:szCs w:val="20"/>
        </w:rPr>
        <w:t xml:space="preserve"> our product candidates, generating revenues and achieving and sustaining profitability. If any of these outcomes occurs, we may be forced to abandon our development efforts for our product candidates, which could significantly harm our business, prospects</w:t>
      </w:r>
      <w:r>
        <w:rPr>
          <w:rFonts w:eastAsia="Times New Roman"/>
          <w:color w:val="000000"/>
          <w:sz w:val="20"/>
          <w:szCs w:val="20"/>
        </w:rPr>
        <w:t>, operating results and financial condition.</w:t>
      </w:r>
    </w:p>
    <w:p w:rsidR="00000000" w:rsidRDefault="00DA1786">
      <w:pPr>
        <w:jc w:val="both"/>
        <w:divId w:val="178006213"/>
        <w:rPr>
          <w:rFonts w:eastAsia="Times New Roman"/>
        </w:rPr>
      </w:pPr>
      <w:r>
        <w:rPr>
          <w:rFonts w:eastAsia="Times New Roman"/>
          <w:b/>
          <w:bCs/>
          <w:i/>
          <w:iCs/>
          <w:color w:val="000000"/>
          <w:sz w:val="20"/>
          <w:szCs w:val="20"/>
        </w:rPr>
        <w:t>We are exposed to a variety of risks associated with our international operations.</w:t>
      </w:r>
    </w:p>
    <w:p w:rsidR="00000000" w:rsidRDefault="00DA1786">
      <w:pPr>
        <w:jc w:val="both"/>
        <w:divId w:val="550845794"/>
        <w:rPr>
          <w:rFonts w:eastAsia="Times New Roman"/>
        </w:rPr>
      </w:pPr>
      <w:r>
        <w:rPr>
          <w:rFonts w:eastAsia="Times New Roman"/>
          <w:color w:val="000000"/>
          <w:sz w:val="20"/>
          <w:szCs w:val="20"/>
        </w:rPr>
        <w:t>Since the closing date of the merger we completed with OvaScience in 2018 (“the OvaScience Merger”), we have been engaged in the</w:t>
      </w:r>
      <w:r>
        <w:rPr>
          <w:rFonts w:eastAsia="Times New Roman"/>
          <w:color w:val="000000"/>
          <w:sz w:val="20"/>
          <w:szCs w:val="20"/>
        </w:rPr>
        <w:t xml:space="preserve"> process of winding up various subsidiaries of OvaScience, some or all of which are in foreign jurisdictions. We are also in the process of closing all other international subsidiaries. We expect to incur additional costs to complete these processes. Moreo</w:t>
      </w:r>
      <w:r>
        <w:rPr>
          <w:rFonts w:eastAsia="Times New Roman"/>
          <w:color w:val="000000"/>
          <w:sz w:val="20"/>
          <w:szCs w:val="20"/>
        </w:rPr>
        <w:t>ver, even if we successfully wind up these entities, we may be exposed to liability in these foreign jurisdictions as a result of their historical operations.</w:t>
      </w:r>
    </w:p>
    <w:p w:rsidR="00000000" w:rsidRDefault="00DA1786">
      <w:pPr>
        <w:jc w:val="both"/>
        <w:divId w:val="1852644437"/>
        <w:rPr>
          <w:rFonts w:eastAsia="Times New Roman"/>
        </w:rPr>
      </w:pPr>
      <w:r>
        <w:rPr>
          <w:rFonts w:eastAsia="Times New Roman"/>
          <w:color w:val="000000"/>
          <w:sz w:val="20"/>
          <w:szCs w:val="20"/>
        </w:rPr>
        <w:t>In addition, in December 2017, we acquired Alizé Pharma SAS (“Alizé”), a biopharmaceutical compan</w:t>
      </w:r>
      <w:r>
        <w:rPr>
          <w:rFonts w:eastAsia="Times New Roman"/>
          <w:color w:val="000000"/>
          <w:sz w:val="20"/>
          <w:szCs w:val="20"/>
        </w:rPr>
        <w:t>y based in Lyon, France. As of March 15, 2021, we had 12 employees located in the United States and one employee located in France. Our past and current global operations expose us to numerous and sometimes conflicting legal, tax and regulatory requirement</w:t>
      </w:r>
      <w:r>
        <w:rPr>
          <w:rFonts w:eastAsia="Times New Roman"/>
          <w:color w:val="000000"/>
          <w:sz w:val="20"/>
          <w:szCs w:val="20"/>
        </w:rPr>
        <w:t>s, and violations or unfavorable interpretation by the respective authorities of these regulations could harm our business. Risks associated with international operations include the following, and these risks may be more pronounced if we seek to commercia</w:t>
      </w:r>
      <w:r>
        <w:rPr>
          <w:rFonts w:eastAsia="Times New Roman"/>
          <w:color w:val="000000"/>
          <w:sz w:val="20"/>
          <w:szCs w:val="20"/>
        </w:rPr>
        <w:t>lize any future product candidates outside of the United States:</w:t>
      </w:r>
    </w:p>
    <w:p w:rsidR="00000000" w:rsidRDefault="00DA1786">
      <w:pPr>
        <w:ind w:hanging="360"/>
        <w:jc w:val="both"/>
        <w:divId w:val="2023117994"/>
        <w:rPr>
          <w:rFonts w:eastAsia="Times New Roman"/>
        </w:rPr>
      </w:pPr>
      <w:r>
        <w:rPr>
          <w:rFonts w:eastAsia="Times New Roman"/>
          <w:color w:val="000000"/>
          <w:sz w:val="20"/>
          <w:szCs w:val="20"/>
        </w:rPr>
        <w:t>•reduced protection for intellectual property rights;</w:t>
      </w:r>
    </w:p>
    <w:p w:rsidR="00000000" w:rsidRDefault="00DA1786">
      <w:pPr>
        <w:ind w:hanging="360"/>
        <w:jc w:val="both"/>
        <w:divId w:val="347484619"/>
        <w:rPr>
          <w:rFonts w:eastAsia="Times New Roman"/>
        </w:rPr>
      </w:pPr>
      <w:r>
        <w:rPr>
          <w:rFonts w:eastAsia="Times New Roman"/>
          <w:color w:val="000000"/>
          <w:sz w:val="20"/>
          <w:szCs w:val="20"/>
        </w:rPr>
        <w:t>•unexpected changes in tariffs, trade barriers and regulatory requirements;</w:t>
      </w:r>
    </w:p>
    <w:p w:rsidR="00000000" w:rsidRDefault="00DA1786">
      <w:pPr>
        <w:ind w:hanging="360"/>
        <w:jc w:val="both"/>
        <w:divId w:val="1479149938"/>
        <w:rPr>
          <w:rFonts w:eastAsia="Times New Roman"/>
        </w:rPr>
      </w:pPr>
      <w:r>
        <w:rPr>
          <w:rFonts w:eastAsia="Times New Roman"/>
          <w:color w:val="000000"/>
          <w:sz w:val="20"/>
          <w:szCs w:val="20"/>
        </w:rPr>
        <w:t>•economic weakness, including inflation, or political instabi</w:t>
      </w:r>
      <w:r>
        <w:rPr>
          <w:rFonts w:eastAsia="Times New Roman"/>
          <w:color w:val="000000"/>
          <w:sz w:val="20"/>
          <w:szCs w:val="20"/>
        </w:rPr>
        <w:t>lity in particular foreign economies and markets;</w:t>
      </w:r>
    </w:p>
    <w:p w:rsidR="00000000" w:rsidRDefault="00DA1786">
      <w:pPr>
        <w:ind w:hanging="360"/>
        <w:jc w:val="both"/>
        <w:divId w:val="1494032421"/>
        <w:rPr>
          <w:rFonts w:eastAsia="Times New Roman"/>
        </w:rPr>
      </w:pPr>
      <w:r>
        <w:rPr>
          <w:rFonts w:eastAsia="Times New Roman"/>
          <w:color w:val="000000"/>
          <w:sz w:val="20"/>
          <w:szCs w:val="20"/>
        </w:rPr>
        <w:t>•compliance with tax, employment, immigration and labor laws for employees living or traveling abroad;</w:t>
      </w:r>
    </w:p>
    <w:p w:rsidR="00000000" w:rsidRDefault="00DA1786">
      <w:pPr>
        <w:ind w:hanging="360"/>
        <w:jc w:val="both"/>
        <w:divId w:val="1016418584"/>
        <w:rPr>
          <w:rFonts w:eastAsia="Times New Roman"/>
        </w:rPr>
      </w:pPr>
      <w:r>
        <w:rPr>
          <w:rFonts w:eastAsia="Times New Roman"/>
          <w:color w:val="000000"/>
          <w:sz w:val="20"/>
          <w:szCs w:val="20"/>
        </w:rPr>
        <w:t>•foreign currency fluctuations, which could result in increased operating expenses and reduced revenue,</w:t>
      </w:r>
      <w:r>
        <w:rPr>
          <w:rFonts w:eastAsia="Times New Roman"/>
          <w:color w:val="000000"/>
          <w:sz w:val="20"/>
          <w:szCs w:val="20"/>
        </w:rPr>
        <w:t xml:space="preserve"> and other obligations incident to doing business in another country;</w:t>
      </w:r>
    </w:p>
    <w:p w:rsidR="00000000" w:rsidRDefault="00DA1786">
      <w:pPr>
        <w:ind w:hanging="360"/>
        <w:jc w:val="both"/>
        <w:divId w:val="695887261"/>
        <w:rPr>
          <w:rFonts w:eastAsia="Times New Roman"/>
        </w:rPr>
      </w:pPr>
      <w:r>
        <w:rPr>
          <w:rFonts w:eastAsia="Times New Roman"/>
          <w:color w:val="000000"/>
          <w:sz w:val="20"/>
          <w:szCs w:val="20"/>
        </w:rPr>
        <w:t>•foreign reimbursement, pricing and insurance regimes;</w:t>
      </w:r>
    </w:p>
    <w:p w:rsidR="00000000" w:rsidRDefault="00DA1786">
      <w:pPr>
        <w:ind w:hanging="360"/>
        <w:jc w:val="both"/>
        <w:divId w:val="1750225534"/>
        <w:rPr>
          <w:rFonts w:eastAsia="Times New Roman"/>
        </w:rPr>
      </w:pPr>
      <w:r>
        <w:rPr>
          <w:rFonts w:eastAsia="Times New Roman"/>
          <w:color w:val="000000"/>
          <w:sz w:val="20"/>
          <w:szCs w:val="20"/>
        </w:rPr>
        <w:t>•</w:t>
      </w:r>
      <w:r>
        <w:rPr>
          <w:rFonts w:eastAsia="Times New Roman"/>
          <w:color w:val="000000"/>
          <w:sz w:val="20"/>
          <w:szCs w:val="20"/>
        </w:rPr>
        <w:t>workforce uncertainty in countries where labor unrest is more common than in the United States;</w:t>
      </w:r>
    </w:p>
    <w:p w:rsidR="00000000" w:rsidRDefault="00DA1786">
      <w:pPr>
        <w:ind w:hanging="360"/>
        <w:jc w:val="both"/>
        <w:divId w:val="968321766"/>
        <w:rPr>
          <w:rFonts w:eastAsia="Times New Roman"/>
        </w:rPr>
      </w:pPr>
      <w:r>
        <w:rPr>
          <w:rFonts w:eastAsia="Times New Roman"/>
          <w:color w:val="000000"/>
          <w:sz w:val="20"/>
          <w:szCs w:val="20"/>
        </w:rPr>
        <w:t>•changes in diplomatic and trade relationships;</w:t>
      </w:r>
    </w:p>
    <w:p w:rsidR="00000000" w:rsidRDefault="00DA1786">
      <w:pPr>
        <w:ind w:hanging="360"/>
        <w:jc w:val="both"/>
        <w:divId w:val="324478893"/>
        <w:rPr>
          <w:rFonts w:eastAsia="Times New Roman"/>
        </w:rPr>
      </w:pPr>
      <w:r>
        <w:rPr>
          <w:rFonts w:eastAsia="Times New Roman"/>
          <w:color w:val="000000"/>
          <w:sz w:val="20"/>
          <w:szCs w:val="20"/>
        </w:rPr>
        <w:t>•anti-corruption laws, including the FCPA, and its equivalent in foreign jurisdictions, such as the UK Bribery A</w:t>
      </w:r>
      <w:r>
        <w:rPr>
          <w:rFonts w:eastAsia="Times New Roman"/>
          <w:color w:val="000000"/>
          <w:sz w:val="20"/>
          <w:szCs w:val="20"/>
        </w:rPr>
        <w:t>ct;</w:t>
      </w:r>
    </w:p>
    <w:p w:rsidR="00000000" w:rsidRDefault="00DA1786">
      <w:pPr>
        <w:ind w:hanging="360"/>
        <w:jc w:val="both"/>
        <w:divId w:val="419565197"/>
        <w:rPr>
          <w:rFonts w:eastAsia="Times New Roman"/>
        </w:rPr>
      </w:pPr>
      <w:r>
        <w:rPr>
          <w:rFonts w:eastAsia="Times New Roman"/>
          <w:color w:val="000000"/>
          <w:sz w:val="20"/>
          <w:szCs w:val="20"/>
        </w:rPr>
        <w:t>•production shortages resulting from any events affecting raw material supply or manufacturing capabilities abroad; and</w:t>
      </w:r>
    </w:p>
    <w:p w:rsidR="00000000" w:rsidRDefault="00DA1786">
      <w:pPr>
        <w:ind w:hanging="360"/>
        <w:jc w:val="both"/>
        <w:divId w:val="1113327298"/>
        <w:rPr>
          <w:rFonts w:eastAsia="Times New Roman"/>
        </w:rPr>
      </w:pPr>
      <w:r>
        <w:rPr>
          <w:rFonts w:eastAsia="Times New Roman"/>
          <w:color w:val="000000"/>
          <w:sz w:val="20"/>
          <w:szCs w:val="20"/>
        </w:rPr>
        <w:t>•business interruptions resulting from pandemics and public health emergencies, including those related to the COVID-19 pandemic, ge</w:t>
      </w:r>
      <w:r>
        <w:rPr>
          <w:rFonts w:eastAsia="Times New Roman"/>
          <w:color w:val="000000"/>
          <w:sz w:val="20"/>
          <w:szCs w:val="20"/>
        </w:rPr>
        <w:t>opolitical actions, including war and terrorism or natural disasters including earthquakes, typhoons, floods and fires.</w:t>
      </w:r>
    </w:p>
    <w:p w:rsidR="00000000" w:rsidRDefault="00DA1786">
      <w:pPr>
        <w:jc w:val="both"/>
        <w:divId w:val="975911047"/>
        <w:rPr>
          <w:rFonts w:eastAsia="Times New Roman"/>
        </w:rPr>
      </w:pPr>
      <w:r>
        <w:rPr>
          <w:rFonts w:eastAsia="Times New Roman"/>
          <w:color w:val="000000"/>
          <w:sz w:val="20"/>
          <w:szCs w:val="20"/>
        </w:rPr>
        <w:t>In addition, there are complex regulatory, tax, labor, and other legal requirements imposed by both the European Union and many of the i</w:t>
      </w:r>
      <w:r>
        <w:rPr>
          <w:rFonts w:eastAsia="Times New Roman"/>
          <w:color w:val="000000"/>
          <w:sz w:val="20"/>
          <w:szCs w:val="20"/>
        </w:rPr>
        <w:t xml:space="preserve">ndividual countries in and outside of Europe, with which we may need to comply. </w:t>
      </w:r>
    </w:p>
    <w:p w:rsidR="00000000" w:rsidRDefault="00DA1786">
      <w:pPr>
        <w:jc w:val="both"/>
        <w:divId w:val="660430391"/>
        <w:rPr>
          <w:rFonts w:eastAsia="Times New Roman"/>
        </w:rPr>
      </w:pPr>
      <w:r>
        <w:rPr>
          <w:rFonts w:eastAsia="Times New Roman"/>
          <w:b/>
          <w:bCs/>
          <w:i/>
          <w:iCs/>
          <w:color w:val="000000"/>
          <w:sz w:val="20"/>
          <w:szCs w:val="20"/>
        </w:rPr>
        <w:t>Product liability lawsuits against us could cause us to incur substantial liabilities and could limit commercialization of any future product candidate that we may develop.</w:t>
      </w:r>
    </w:p>
    <w:p w:rsidR="00000000" w:rsidRDefault="00DA1786">
      <w:pPr>
        <w:jc w:val="both"/>
        <w:divId w:val="2009598756"/>
        <w:rPr>
          <w:rFonts w:eastAsia="Times New Roman"/>
        </w:rPr>
      </w:pPr>
      <w:r>
        <w:rPr>
          <w:rFonts w:eastAsia="Times New Roman"/>
          <w:color w:val="000000"/>
          <w:sz w:val="20"/>
          <w:szCs w:val="20"/>
        </w:rPr>
        <w:t>We face an inherent risk of product liability exposure related to our historical testing of product candidates. If we cannot successfully defend ourselves against claims that any such product candidates caused injuries, we could incur substantial liabiliti</w:t>
      </w:r>
      <w:r>
        <w:rPr>
          <w:rFonts w:eastAsia="Times New Roman"/>
          <w:color w:val="000000"/>
          <w:sz w:val="20"/>
          <w:szCs w:val="20"/>
        </w:rPr>
        <w:t>es. Regardless of merit or eventual outcome, liability claims may result in:</w:t>
      </w:r>
    </w:p>
    <w:p w:rsidR="00000000" w:rsidRDefault="00DA1786">
      <w:pPr>
        <w:ind w:hanging="360"/>
        <w:jc w:val="both"/>
        <w:divId w:val="1628465091"/>
        <w:rPr>
          <w:rFonts w:eastAsia="Times New Roman"/>
        </w:rPr>
      </w:pPr>
      <w:r>
        <w:rPr>
          <w:rFonts w:eastAsia="Times New Roman"/>
          <w:color w:val="000000"/>
          <w:sz w:val="20"/>
          <w:szCs w:val="20"/>
        </w:rPr>
        <w:t>•decreased demand for any product candidate that we may develop;</w:t>
      </w:r>
    </w:p>
    <w:p w:rsidR="00000000" w:rsidRDefault="00DA1786">
      <w:pPr>
        <w:ind w:hanging="360"/>
        <w:jc w:val="both"/>
        <w:divId w:val="1192650130"/>
        <w:rPr>
          <w:rFonts w:eastAsia="Times New Roman"/>
        </w:rPr>
      </w:pPr>
      <w:r>
        <w:rPr>
          <w:rFonts w:eastAsia="Times New Roman"/>
          <w:color w:val="000000"/>
          <w:sz w:val="20"/>
          <w:szCs w:val="20"/>
        </w:rPr>
        <w:t>•loss of revenue;</w:t>
      </w:r>
    </w:p>
    <w:p w:rsidR="00000000" w:rsidRDefault="00DA1786">
      <w:pPr>
        <w:ind w:firstLine="720"/>
        <w:jc w:val="center"/>
        <w:divId w:val="1017971009"/>
        <w:rPr>
          <w:rFonts w:eastAsia="Times New Roman"/>
        </w:rPr>
      </w:pPr>
      <w:r>
        <w:rPr>
          <w:rFonts w:eastAsia="Times New Roman"/>
          <w:color w:val="000000"/>
          <w:sz w:val="20"/>
          <w:szCs w:val="20"/>
        </w:rPr>
        <w:t>24</w:t>
      </w:r>
    </w:p>
    <w:p w:rsidR="00000000" w:rsidRDefault="00DA1786">
      <w:pPr>
        <w:rPr>
          <w:rFonts w:eastAsia="Times New Roman"/>
        </w:rPr>
      </w:pPr>
      <w:r>
        <w:rPr>
          <w:rFonts w:eastAsia="Times New Roman"/>
        </w:rPr>
        <w:pict>
          <v:rect id="_x0000_i1049" style="width:0;height:1.5pt" o:hralign="center" o:hrstd="t" o:hr="t" fillcolor="#a0a0a0" stroked="f"/>
        </w:pict>
      </w:r>
    </w:p>
    <w:p w:rsidR="00000000" w:rsidRDefault="00DA1786">
      <w:pPr>
        <w:divId w:val="559874839"/>
        <w:rPr>
          <w:rFonts w:eastAsia="Times New Roman"/>
        </w:rPr>
      </w:pPr>
    </w:p>
    <w:p w:rsidR="00000000" w:rsidRDefault="00DA1786">
      <w:pPr>
        <w:ind w:hanging="360"/>
        <w:jc w:val="both"/>
        <w:divId w:val="686516440"/>
        <w:rPr>
          <w:rFonts w:eastAsia="Times New Roman"/>
        </w:rPr>
      </w:pPr>
      <w:r>
        <w:rPr>
          <w:rFonts w:eastAsia="Times New Roman"/>
          <w:color w:val="000000"/>
          <w:sz w:val="20"/>
          <w:szCs w:val="20"/>
        </w:rPr>
        <w:t xml:space="preserve">•substantial monetary awards to trial participants or </w:t>
      </w:r>
      <w:r>
        <w:rPr>
          <w:rFonts w:eastAsia="Times New Roman"/>
          <w:color w:val="000000"/>
          <w:sz w:val="20"/>
          <w:szCs w:val="20"/>
        </w:rPr>
        <w:t>patients;</w:t>
      </w:r>
    </w:p>
    <w:p w:rsidR="00000000" w:rsidRDefault="00DA1786">
      <w:pPr>
        <w:ind w:hanging="360"/>
        <w:jc w:val="both"/>
        <w:divId w:val="1281953765"/>
        <w:rPr>
          <w:rFonts w:eastAsia="Times New Roman"/>
        </w:rPr>
      </w:pPr>
      <w:r>
        <w:rPr>
          <w:rFonts w:eastAsia="Times New Roman"/>
          <w:color w:val="000000"/>
          <w:sz w:val="20"/>
          <w:szCs w:val="20"/>
        </w:rPr>
        <w:t>•significant time and costs to defend the related litigation;</w:t>
      </w:r>
    </w:p>
    <w:p w:rsidR="00000000" w:rsidRDefault="00DA1786">
      <w:pPr>
        <w:ind w:hanging="360"/>
        <w:jc w:val="both"/>
        <w:divId w:val="1515270545"/>
        <w:rPr>
          <w:rFonts w:eastAsia="Times New Roman"/>
        </w:rPr>
      </w:pPr>
      <w:r>
        <w:rPr>
          <w:rFonts w:eastAsia="Times New Roman"/>
          <w:color w:val="000000"/>
          <w:sz w:val="20"/>
          <w:szCs w:val="20"/>
        </w:rPr>
        <w:t>•withdrawal of clinical trial participants;</w:t>
      </w:r>
    </w:p>
    <w:p w:rsidR="00000000" w:rsidRDefault="00DA1786">
      <w:pPr>
        <w:ind w:hanging="360"/>
        <w:jc w:val="both"/>
        <w:divId w:val="286279349"/>
        <w:rPr>
          <w:rFonts w:eastAsia="Times New Roman"/>
        </w:rPr>
      </w:pPr>
      <w:r>
        <w:rPr>
          <w:rFonts w:eastAsia="Times New Roman"/>
          <w:color w:val="000000"/>
          <w:sz w:val="20"/>
          <w:szCs w:val="20"/>
        </w:rPr>
        <w:t>•the inability to commercialize any product candidate that it may develop;</w:t>
      </w:r>
    </w:p>
    <w:p w:rsidR="00000000" w:rsidRDefault="00DA1786">
      <w:pPr>
        <w:ind w:hanging="360"/>
        <w:jc w:val="both"/>
        <w:divId w:val="408499164"/>
        <w:rPr>
          <w:rFonts w:eastAsia="Times New Roman"/>
        </w:rPr>
      </w:pPr>
      <w:r>
        <w:rPr>
          <w:rFonts w:eastAsia="Times New Roman"/>
          <w:color w:val="000000"/>
          <w:sz w:val="20"/>
          <w:szCs w:val="20"/>
        </w:rPr>
        <w:t>•injury to our reputation and significant negative media attentio</w:t>
      </w:r>
      <w:r>
        <w:rPr>
          <w:rFonts w:eastAsia="Times New Roman"/>
          <w:color w:val="000000"/>
          <w:sz w:val="20"/>
          <w:szCs w:val="20"/>
        </w:rPr>
        <w:t>n; and</w:t>
      </w:r>
    </w:p>
    <w:p w:rsidR="00000000" w:rsidRDefault="00DA1786">
      <w:pPr>
        <w:ind w:hanging="360"/>
        <w:jc w:val="both"/>
        <w:divId w:val="200745607"/>
        <w:rPr>
          <w:rFonts w:eastAsia="Times New Roman"/>
        </w:rPr>
      </w:pPr>
      <w:r>
        <w:rPr>
          <w:rFonts w:eastAsia="Times New Roman"/>
          <w:color w:val="000000"/>
          <w:sz w:val="20"/>
          <w:szCs w:val="20"/>
        </w:rPr>
        <w:t>•increased marketing costs to attempt to overcome any injury to our reputation or negative media attention.</w:t>
      </w:r>
    </w:p>
    <w:p w:rsidR="00000000" w:rsidRDefault="00DA1786">
      <w:pPr>
        <w:jc w:val="both"/>
        <w:divId w:val="448814070"/>
        <w:rPr>
          <w:rFonts w:eastAsia="Times New Roman"/>
        </w:rPr>
      </w:pPr>
      <w:r>
        <w:rPr>
          <w:rFonts w:eastAsia="Times New Roman"/>
          <w:color w:val="000000"/>
          <w:sz w:val="20"/>
          <w:szCs w:val="20"/>
        </w:rPr>
        <w:t>In addition, we face an inherent risk of product liability exposure related to OvaScience’s prior use of fertility treatments in humans. Prod</w:t>
      </w:r>
      <w:r>
        <w:rPr>
          <w:rFonts w:eastAsia="Times New Roman"/>
          <w:color w:val="000000"/>
          <w:sz w:val="20"/>
          <w:szCs w:val="20"/>
        </w:rPr>
        <w:t>uct liability claims involving OvaScience’s activities may be brought for significant amounts because OvaScience’s potential fertility treatments involved mothers and children. For example, it is possible that we will be subject to product liability claims</w:t>
      </w:r>
      <w:r>
        <w:rPr>
          <w:rFonts w:eastAsia="Times New Roman"/>
          <w:color w:val="000000"/>
          <w:sz w:val="20"/>
          <w:szCs w:val="20"/>
        </w:rPr>
        <w:t xml:space="preserve"> that assert that OvaScience’s potential fertility treatments have caused birth defects in children or that such defects are inheritable. These claims could be made many years into the future based on effects that were not observed or observable at the tim</w:t>
      </w:r>
      <w:r>
        <w:rPr>
          <w:rFonts w:eastAsia="Times New Roman"/>
          <w:color w:val="000000"/>
          <w:sz w:val="20"/>
          <w:szCs w:val="20"/>
        </w:rPr>
        <w:t>e of birth. If we cannot successfully defend against claims that OvaScience’s potential fertility treatments caused injuries, we will incur substantial liabilities. Regardless of merit or eventual outcome, liability claims may result in, among other things</w:t>
      </w:r>
      <w:r>
        <w:rPr>
          <w:rFonts w:eastAsia="Times New Roman"/>
          <w:color w:val="000000"/>
          <w:sz w:val="20"/>
          <w:szCs w:val="20"/>
        </w:rPr>
        <w:t>, significant costs to defend the related litigation; substantial monetary awards or payments to trial participants or patients; loss of revenue; and the diversion of management’s resources.</w:t>
      </w:r>
    </w:p>
    <w:p w:rsidR="00000000" w:rsidRDefault="00DA1786">
      <w:pPr>
        <w:jc w:val="both"/>
        <w:divId w:val="390931469"/>
        <w:rPr>
          <w:rFonts w:eastAsia="Times New Roman"/>
        </w:rPr>
      </w:pPr>
      <w:r>
        <w:rPr>
          <w:rFonts w:eastAsia="Times New Roman"/>
          <w:color w:val="000000"/>
          <w:sz w:val="20"/>
          <w:szCs w:val="20"/>
        </w:rPr>
        <w:t>Although we maintain product liability insurance coverage, such i</w:t>
      </w:r>
      <w:r>
        <w:rPr>
          <w:rFonts w:eastAsia="Times New Roman"/>
          <w:color w:val="000000"/>
          <w:sz w:val="20"/>
          <w:szCs w:val="20"/>
        </w:rPr>
        <w:t>nsurance may not be adequate to cover all liabilities that we may incur. We anticipate that we will need to increase our insurance coverage each time we commence a clinical trial and if we successfully commercialize any product candidate. Insurance coverag</w:t>
      </w:r>
      <w:r>
        <w:rPr>
          <w:rFonts w:eastAsia="Times New Roman"/>
          <w:color w:val="000000"/>
          <w:sz w:val="20"/>
          <w:szCs w:val="20"/>
        </w:rPr>
        <w:t>e is increasingly expensive. We may not be able to maintain insurance coverage at a reasonable cost or in an amount adequate to satisfy any liability that may arise.</w:t>
      </w:r>
    </w:p>
    <w:p w:rsidR="00000000" w:rsidRDefault="00DA1786">
      <w:pPr>
        <w:jc w:val="both"/>
        <w:divId w:val="708185287"/>
        <w:rPr>
          <w:rFonts w:eastAsia="Times New Roman"/>
        </w:rPr>
      </w:pPr>
      <w:r>
        <w:rPr>
          <w:rFonts w:eastAsia="Times New Roman"/>
          <w:b/>
          <w:bCs/>
          <w:i/>
          <w:iCs/>
          <w:color w:val="000000"/>
          <w:sz w:val="20"/>
          <w:szCs w:val="20"/>
        </w:rPr>
        <w:t>If OvaScience failed to comply with environmental, health and safety laws and regulations,</w:t>
      </w:r>
      <w:r>
        <w:rPr>
          <w:rFonts w:eastAsia="Times New Roman"/>
          <w:b/>
          <w:bCs/>
          <w:i/>
          <w:iCs/>
          <w:color w:val="000000"/>
          <w:sz w:val="20"/>
          <w:szCs w:val="20"/>
        </w:rPr>
        <w:t xml:space="preserve"> we could become subject to fines or penalties or incur costs that could have a material adverse effect on the success of our business.</w:t>
      </w:r>
    </w:p>
    <w:p w:rsidR="00000000" w:rsidRDefault="00DA1786">
      <w:pPr>
        <w:jc w:val="both"/>
        <w:divId w:val="749933230"/>
        <w:rPr>
          <w:rFonts w:eastAsia="Times New Roman"/>
        </w:rPr>
      </w:pPr>
      <w:r>
        <w:rPr>
          <w:rFonts w:eastAsia="Times New Roman"/>
          <w:color w:val="000000"/>
          <w:sz w:val="20"/>
          <w:szCs w:val="20"/>
        </w:rPr>
        <w:t>OvaScience was subject to numerous environmental, health and safety laws and regulations, including those governing labo</w:t>
      </w:r>
      <w:r>
        <w:rPr>
          <w:rFonts w:eastAsia="Times New Roman"/>
          <w:color w:val="000000"/>
          <w:sz w:val="20"/>
          <w:szCs w:val="20"/>
        </w:rPr>
        <w:t>ratory procedures and the handling, use, storage, treatment and disposal of hazardous materials and wastes. OvaScience’s prior operations involved the use of hazardous and flammable materials, including chemicals and biological materials. OvaScience’s prio</w:t>
      </w:r>
      <w:r>
        <w:rPr>
          <w:rFonts w:eastAsia="Times New Roman"/>
          <w:color w:val="000000"/>
          <w:sz w:val="20"/>
          <w:szCs w:val="20"/>
        </w:rPr>
        <w:t>r operations also produced hazardous waste products. OvaScience generally contracted with third-parties for the disposal of these materials and wastes. In the event of contamination or injury resulting from OvaScience’s use of hazardous materials, we could</w:t>
      </w:r>
      <w:r>
        <w:rPr>
          <w:rFonts w:eastAsia="Times New Roman"/>
          <w:color w:val="000000"/>
          <w:sz w:val="20"/>
          <w:szCs w:val="20"/>
        </w:rPr>
        <w:t xml:space="preserve"> be held liable for any resulting damages, and any liability could exceed our resources. We also could incur significant costs associated with civil or criminal fines and penalties.</w:t>
      </w:r>
    </w:p>
    <w:p w:rsidR="00000000" w:rsidRDefault="00DA1786">
      <w:pPr>
        <w:jc w:val="both"/>
        <w:divId w:val="1030646668"/>
        <w:rPr>
          <w:rFonts w:eastAsia="Times New Roman"/>
        </w:rPr>
      </w:pPr>
      <w:r>
        <w:rPr>
          <w:rFonts w:eastAsia="Times New Roman"/>
          <w:color w:val="000000"/>
          <w:sz w:val="20"/>
          <w:szCs w:val="20"/>
        </w:rPr>
        <w:t>We do not maintain insurance for environmental liability or toxic tort cla</w:t>
      </w:r>
      <w:r>
        <w:rPr>
          <w:rFonts w:eastAsia="Times New Roman"/>
          <w:color w:val="000000"/>
          <w:sz w:val="20"/>
          <w:szCs w:val="20"/>
        </w:rPr>
        <w:t>ims that may be asserted against us in connection with OvaScience’s storage or disposal of biological, hazardous or radioactive materials.</w:t>
      </w:r>
    </w:p>
    <w:p w:rsidR="00000000" w:rsidRDefault="00DA1786">
      <w:pPr>
        <w:jc w:val="both"/>
        <w:divId w:val="159740797"/>
        <w:rPr>
          <w:rFonts w:eastAsia="Times New Roman"/>
        </w:rPr>
      </w:pPr>
      <w:r>
        <w:rPr>
          <w:rFonts w:eastAsia="Times New Roman"/>
          <w:b/>
          <w:bCs/>
          <w:color w:val="000000"/>
          <w:sz w:val="20"/>
          <w:szCs w:val="20"/>
        </w:rPr>
        <w:t>Risks Related to Regulatory Compliance</w:t>
      </w:r>
    </w:p>
    <w:p w:rsidR="00000000" w:rsidRDefault="00DA1786">
      <w:pPr>
        <w:jc w:val="both"/>
        <w:divId w:val="955645969"/>
        <w:rPr>
          <w:rFonts w:eastAsia="Times New Roman"/>
        </w:rPr>
      </w:pPr>
      <w:r>
        <w:rPr>
          <w:rFonts w:eastAsia="Times New Roman"/>
          <w:b/>
          <w:bCs/>
          <w:i/>
          <w:iCs/>
          <w:color w:val="000000"/>
          <w:sz w:val="20"/>
          <w:szCs w:val="20"/>
        </w:rPr>
        <w:t>Regulatory, legislative or self-regulatory/standard developments regarding privacy and data security matters could adversely affect our ability to conduct our business.</w:t>
      </w:r>
    </w:p>
    <w:p w:rsidR="00000000" w:rsidRDefault="00DA1786">
      <w:pPr>
        <w:jc w:val="both"/>
        <w:divId w:val="70978742"/>
        <w:rPr>
          <w:rFonts w:eastAsia="Times New Roman"/>
        </w:rPr>
      </w:pPr>
      <w:r>
        <w:rPr>
          <w:rFonts w:eastAsia="Times New Roman"/>
          <w:color w:val="000000"/>
          <w:sz w:val="20"/>
          <w:szCs w:val="20"/>
        </w:rPr>
        <w:t>We are subject to and affected by laws, rules, regulations and industry standards relat</w:t>
      </w:r>
      <w:r>
        <w:rPr>
          <w:rFonts w:eastAsia="Times New Roman"/>
          <w:color w:val="000000"/>
          <w:sz w:val="20"/>
          <w:szCs w:val="20"/>
        </w:rPr>
        <w:t>ed to data privacy and security, and restrictions or technological requirements regarding the collection, use, storage, security, retention or transfer of data. In the United States, the rules and regulations to which we may be subject include federal laws</w:t>
      </w:r>
      <w:r>
        <w:rPr>
          <w:rFonts w:eastAsia="Times New Roman"/>
          <w:color w:val="000000"/>
          <w:sz w:val="20"/>
          <w:szCs w:val="20"/>
        </w:rPr>
        <w:t xml:space="preserve"> and regulations enforced by the Federal Trade Commission, HHS, and state privacy, data security, and breach notification laws, as well as regulator enforcement positions and expectations. Internationally, governments and agencies have adopted and could in</w:t>
      </w:r>
      <w:r>
        <w:rPr>
          <w:rFonts w:eastAsia="Times New Roman"/>
          <w:color w:val="000000"/>
          <w:sz w:val="20"/>
          <w:szCs w:val="20"/>
        </w:rPr>
        <w:t xml:space="preserve"> the future adopt, modify, apply or enforce additional laws, policies, regulations, and standards covering privacy and data security that may apply to our business. New regulation or legislative actions regarding data privacy and security (together with ap</w:t>
      </w:r>
      <w:r>
        <w:rPr>
          <w:rFonts w:eastAsia="Times New Roman"/>
          <w:color w:val="000000"/>
          <w:sz w:val="20"/>
          <w:szCs w:val="20"/>
        </w:rPr>
        <w:t xml:space="preserve">plicable industry standards) may increase our costs of doing business. In addition to privacy and data security regulations currently in force in the jurisdictions where we operate, the European Union General Data Protection Regulation (“GDPR”), went into </w:t>
      </w:r>
      <w:r>
        <w:rPr>
          <w:rFonts w:eastAsia="Times New Roman"/>
          <w:color w:val="000000"/>
          <w:sz w:val="20"/>
          <w:szCs w:val="20"/>
        </w:rPr>
        <w:t>effect in May 2018. The GDPR contains numerous requirements and changes from existing European Union (“EU”), law, including more robust obligations on data processors and data controllers and heavier documentation requirements for data protection complianc</w:t>
      </w:r>
      <w:r>
        <w:rPr>
          <w:rFonts w:eastAsia="Times New Roman"/>
          <w:color w:val="000000"/>
          <w:sz w:val="20"/>
          <w:szCs w:val="20"/>
        </w:rPr>
        <w:t xml:space="preserve">e programs. Specifically, the GDPR will introduce numerous privacy-related changes for companies operating in the EU, including greater control over personal data-by-data subjects (e.g., the “right to be forgotten”), increased data portability </w:t>
      </w:r>
    </w:p>
    <w:p w:rsidR="00000000" w:rsidRDefault="00DA1786">
      <w:pPr>
        <w:ind w:firstLine="720"/>
        <w:jc w:val="center"/>
        <w:divId w:val="517890084"/>
        <w:rPr>
          <w:rFonts w:eastAsia="Times New Roman"/>
        </w:rPr>
      </w:pPr>
      <w:r>
        <w:rPr>
          <w:rFonts w:eastAsia="Times New Roman"/>
          <w:color w:val="000000"/>
          <w:sz w:val="20"/>
          <w:szCs w:val="20"/>
        </w:rPr>
        <w:t>25</w:t>
      </w:r>
    </w:p>
    <w:p w:rsidR="00000000" w:rsidRDefault="00DA1786">
      <w:pPr>
        <w:rPr>
          <w:rFonts w:eastAsia="Times New Roman"/>
        </w:rPr>
      </w:pPr>
      <w:r>
        <w:rPr>
          <w:rFonts w:eastAsia="Times New Roman"/>
        </w:rPr>
        <w:pict>
          <v:rect id="_x0000_i1050" style="width:0;height:1.5pt" o:hralign="center" o:hrstd="t" o:hr="t" fillcolor="#a0a0a0" stroked="f"/>
        </w:pict>
      </w:r>
    </w:p>
    <w:p w:rsidR="00000000" w:rsidRDefault="00DA1786">
      <w:pPr>
        <w:divId w:val="487403701"/>
        <w:rPr>
          <w:rFonts w:eastAsia="Times New Roman"/>
        </w:rPr>
      </w:pPr>
    </w:p>
    <w:p w:rsidR="00000000" w:rsidRDefault="00DA1786">
      <w:pPr>
        <w:jc w:val="both"/>
        <w:divId w:val="558901499"/>
        <w:rPr>
          <w:rFonts w:eastAsia="Times New Roman"/>
        </w:rPr>
      </w:pPr>
      <w:r>
        <w:rPr>
          <w:rFonts w:eastAsia="Times New Roman"/>
          <w:color w:val="000000"/>
          <w:sz w:val="20"/>
          <w:szCs w:val="20"/>
        </w:rPr>
        <w:t>for EU consumers, data breach notification requirements, and increased fines. The GDPR requirements apply not only to third-party transactions, but also to transfers of information between us and our subsidiaries, including em</w:t>
      </w:r>
      <w:r>
        <w:rPr>
          <w:rFonts w:eastAsia="Times New Roman"/>
          <w:color w:val="000000"/>
          <w:sz w:val="20"/>
          <w:szCs w:val="20"/>
        </w:rPr>
        <w:t xml:space="preserve">ployee information. However, despite our ongoing efforts to bring our practices into compliance before the effective date of the GDPR, we may not be successful either due to various factors within our control, such as limited financial or human resources, </w:t>
      </w:r>
      <w:r>
        <w:rPr>
          <w:rFonts w:eastAsia="Times New Roman"/>
          <w:color w:val="000000"/>
          <w:sz w:val="20"/>
          <w:szCs w:val="20"/>
        </w:rPr>
        <w:t>or other factors outside our control. It is also possible that local data protection authorities may have different interpretations of the GDPR, leading to potential inconsistencies amongst various EU member states. Any failure or alleged failure (includin</w:t>
      </w:r>
      <w:r>
        <w:rPr>
          <w:rFonts w:eastAsia="Times New Roman"/>
          <w:color w:val="000000"/>
          <w:sz w:val="20"/>
          <w:szCs w:val="20"/>
        </w:rPr>
        <w:t>g as a result of deficiencies in our policies, procedures, or measures relating to privacy, data security, marketing, or communications) by us to comply with laws, regulations, policies, legal or contractual obligations, industry standards, or regulatory g</w:t>
      </w:r>
      <w:r>
        <w:rPr>
          <w:rFonts w:eastAsia="Times New Roman"/>
          <w:color w:val="000000"/>
          <w:sz w:val="20"/>
          <w:szCs w:val="20"/>
        </w:rPr>
        <w:t>uidance relating to privacy or data security, may result in governmental investigations and enforcement actions, litigation, fines and penalties, additional regulatory oversight and reporting obligations or adverse publicity. Further, because of the work-f</w:t>
      </w:r>
      <w:r>
        <w:rPr>
          <w:rFonts w:eastAsia="Times New Roman"/>
          <w:color w:val="000000"/>
          <w:sz w:val="20"/>
          <w:szCs w:val="20"/>
        </w:rPr>
        <w:t>rom-home policies we implemented due to COVID-19, information that is normally protected, including company confidential information, may be less secure.</w:t>
      </w:r>
    </w:p>
    <w:p w:rsidR="00000000" w:rsidRDefault="00DA1786">
      <w:pPr>
        <w:jc w:val="both"/>
        <w:divId w:val="993070854"/>
        <w:rPr>
          <w:rFonts w:eastAsia="Times New Roman"/>
        </w:rPr>
      </w:pPr>
      <w:r>
        <w:rPr>
          <w:rFonts w:eastAsia="Times New Roman"/>
          <w:color w:val="000000"/>
          <w:sz w:val="20"/>
          <w:szCs w:val="20"/>
        </w:rPr>
        <w:t>We expect that there will continue to be new proposed laws, regulations and industry standards relatin</w:t>
      </w:r>
      <w:r>
        <w:rPr>
          <w:rFonts w:eastAsia="Times New Roman"/>
          <w:color w:val="000000"/>
          <w:sz w:val="20"/>
          <w:szCs w:val="20"/>
        </w:rPr>
        <w:t>g to privacy and data protection in the United States, the European Union, and in other jurisdictions, and we cannot determine the impact such future laws, regulations and standards may have on our business. Future laws, regulations, standards and other ob</w:t>
      </w:r>
      <w:r>
        <w:rPr>
          <w:rFonts w:eastAsia="Times New Roman"/>
          <w:color w:val="000000"/>
          <w:sz w:val="20"/>
          <w:szCs w:val="20"/>
        </w:rPr>
        <w:t>ligations or any changed interpretation of existing laws or regulations could impair our ability to operate our business and negatively impact our results of operations.</w:t>
      </w:r>
    </w:p>
    <w:p w:rsidR="00000000" w:rsidRDefault="00DA1786">
      <w:pPr>
        <w:jc w:val="both"/>
        <w:divId w:val="1445150799"/>
        <w:rPr>
          <w:rFonts w:eastAsia="Times New Roman"/>
        </w:rPr>
      </w:pPr>
      <w:r>
        <w:rPr>
          <w:rFonts w:eastAsia="Times New Roman"/>
          <w:b/>
          <w:bCs/>
          <w:color w:val="000000"/>
          <w:sz w:val="20"/>
          <w:szCs w:val="20"/>
        </w:rPr>
        <w:t>Risks Related to Our Intellectual Property</w:t>
      </w:r>
    </w:p>
    <w:p w:rsidR="00000000" w:rsidRDefault="00DA1786">
      <w:pPr>
        <w:jc w:val="both"/>
        <w:divId w:val="822891182"/>
        <w:rPr>
          <w:rFonts w:eastAsia="Times New Roman"/>
        </w:rPr>
      </w:pPr>
      <w:r>
        <w:rPr>
          <w:rFonts w:eastAsia="Times New Roman"/>
          <w:b/>
          <w:bCs/>
          <w:i/>
          <w:iCs/>
          <w:color w:val="000000"/>
          <w:sz w:val="20"/>
          <w:szCs w:val="20"/>
        </w:rPr>
        <w:t>If we are unable to obtain and maintain pat</w:t>
      </w:r>
      <w:r>
        <w:rPr>
          <w:rFonts w:eastAsia="Times New Roman"/>
          <w:b/>
          <w:bCs/>
          <w:i/>
          <w:iCs/>
          <w:color w:val="000000"/>
          <w:sz w:val="20"/>
          <w:szCs w:val="20"/>
        </w:rPr>
        <w:t>ent protection for our technology and products, or if the scope of the patent protection obtained is not sufficiently broad, we may not be able to compete effectively in our markets.</w:t>
      </w:r>
    </w:p>
    <w:p w:rsidR="00000000" w:rsidRDefault="00DA1786">
      <w:pPr>
        <w:jc w:val="both"/>
        <w:divId w:val="1892227211"/>
        <w:rPr>
          <w:rFonts w:eastAsia="Times New Roman"/>
        </w:rPr>
      </w:pPr>
      <w:r>
        <w:rPr>
          <w:rFonts w:eastAsia="Times New Roman"/>
          <w:color w:val="000000"/>
          <w:sz w:val="20"/>
          <w:szCs w:val="20"/>
        </w:rPr>
        <w:t xml:space="preserve">To the extent we resume drug development activities, we will rely upon a </w:t>
      </w:r>
      <w:r>
        <w:rPr>
          <w:rFonts w:eastAsia="Times New Roman"/>
          <w:color w:val="000000"/>
          <w:sz w:val="20"/>
          <w:szCs w:val="20"/>
        </w:rPr>
        <w:t>combination of patents, trade secret protection and confidentiality agreements to protect the intellectual property related to our product candidates. The patent prosecution process is expensive and time-consuming, and we may not be able to file and prosec</w:t>
      </w:r>
      <w:r>
        <w:rPr>
          <w:rFonts w:eastAsia="Times New Roman"/>
          <w:color w:val="000000"/>
          <w:sz w:val="20"/>
          <w:szCs w:val="20"/>
        </w:rPr>
        <w:t>ute all necessary or desirable patent applications at a reasonable cost or in a timely manner.</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patent position of biotechnology and pharmaceutical companies generally is highly uncertain, involves complex legal and factual questions and has in recent</w:t>
      </w:r>
      <w:r>
        <w:rPr>
          <w:rFonts w:eastAsia="Times New Roman"/>
          <w:color w:val="000000"/>
          <w:sz w:val="20"/>
          <w:szCs w:val="20"/>
        </w:rPr>
        <w:t> years been the subject of much litigation. In addition, the laws of foreign countries may not protect our rights to the same extent as the laws of the United States, or vice versa. For example, European patent law restricts the patentability of methods of</w:t>
      </w:r>
      <w:r>
        <w:rPr>
          <w:rFonts w:eastAsia="Times New Roman"/>
          <w:color w:val="000000"/>
          <w:sz w:val="20"/>
          <w:szCs w:val="20"/>
        </w:rPr>
        <w:t xml:space="preserve"> treatment of the human body more than United States law does. Further, we may not be aware of all third-party intellectual property rights potentially relating to our product candidates. Publications of discoveries in scientific literature often lag behin</w:t>
      </w:r>
      <w:r>
        <w:rPr>
          <w:rFonts w:eastAsia="Times New Roman"/>
          <w:color w:val="000000"/>
          <w:sz w:val="20"/>
          <w:szCs w:val="20"/>
        </w:rPr>
        <w:t>d the actual discoveries, and patent applications in the United States and other jurisdictions are typically published 18 months after filing, or in some cases, not at all. Therefore, we cannot know with certainty whether we were the first to make the inve</w:t>
      </w:r>
      <w:r>
        <w:rPr>
          <w:rFonts w:eastAsia="Times New Roman"/>
          <w:color w:val="000000"/>
          <w:sz w:val="20"/>
          <w:szCs w:val="20"/>
        </w:rPr>
        <w:t>ntions claimed in our owned or licensed patents or pending patent applications, or that we were the first to file for patent protection of such inventions. As a result, the issuance, scope, validity, enforceability and commercial value of our patent rights</w:t>
      </w:r>
      <w:r>
        <w:rPr>
          <w:rFonts w:eastAsia="Times New Roman"/>
          <w:color w:val="000000"/>
          <w:sz w:val="20"/>
          <w:szCs w:val="20"/>
        </w:rPr>
        <w:t xml:space="preserve"> are highly uncertain. Our pending and future patent applications may not result in patents being issued which protect our technology or product candidates, in whole or in part, or which effectively prevent others from commercializing competitive technolog</w:t>
      </w:r>
      <w:r>
        <w:rPr>
          <w:rFonts w:eastAsia="Times New Roman"/>
          <w:color w:val="000000"/>
          <w:sz w:val="20"/>
          <w:szCs w:val="20"/>
        </w:rPr>
        <w:t>ies and drugs. Changes in either the patent laws or interpretation of the patent laws in the United States and other countries may diminish the value of our patents or narrow the scope of our patent protection.</w:t>
      </w:r>
    </w:p>
    <w:p w:rsidR="00000000" w:rsidRDefault="00DA1786">
      <w:pPr>
        <w:jc w:val="both"/>
        <w:divId w:val="471753018"/>
        <w:rPr>
          <w:rFonts w:eastAsia="Times New Roman"/>
        </w:rPr>
      </w:pPr>
      <w:r>
        <w:rPr>
          <w:rFonts w:eastAsia="Times New Roman"/>
          <w:color w:val="000000"/>
          <w:sz w:val="20"/>
          <w:szCs w:val="20"/>
        </w:rPr>
        <w:t>Recent patent reform legislation could increa</w:t>
      </w:r>
      <w:r>
        <w:rPr>
          <w:rFonts w:eastAsia="Times New Roman"/>
          <w:color w:val="000000"/>
          <w:sz w:val="20"/>
          <w:szCs w:val="20"/>
        </w:rPr>
        <w:t>se the uncertainties and costs surrounding the prosecution of our patent applications and the enforcement or defense of our issued patents. On September 16, 2011, the Leahy-Smith America Invents Act (the “Leahy-Smith Act”), was signed into law. The Leahy-S</w:t>
      </w:r>
      <w:r>
        <w:rPr>
          <w:rFonts w:eastAsia="Times New Roman"/>
          <w:color w:val="000000"/>
          <w:sz w:val="20"/>
          <w:szCs w:val="20"/>
        </w:rPr>
        <w:t>mith Act includes a number of significant changes to United States patent law. These include provisions that affect the way patent applications are prosecuted and may also affect patent litigation. The United States Patent and Trademark Office (“USPTO”), r</w:t>
      </w:r>
      <w:r>
        <w:rPr>
          <w:rFonts w:eastAsia="Times New Roman"/>
          <w:color w:val="000000"/>
          <w:sz w:val="20"/>
          <w:szCs w:val="20"/>
        </w:rPr>
        <w:t xml:space="preserve">ecently developed new regulations and procedures to govern administration of the Leahy-Smith Act, and many of the substantive changes to patent law associated with the Leahy-Smith Act, and in particular, the first to file provisions, only became effective </w:t>
      </w:r>
      <w:r>
        <w:rPr>
          <w:rFonts w:eastAsia="Times New Roman"/>
          <w:color w:val="000000"/>
          <w:sz w:val="20"/>
          <w:szCs w:val="20"/>
        </w:rPr>
        <w:t xml:space="preserve">on March 16, 2013. Accordingly, it is not clear what, if any, impact the Leahy-Smith Act will have on the operation of our business. However, the Leahy-Smith Act and its implementation could increase the uncertainties and costs surrounding the prosecution </w:t>
      </w:r>
      <w:r>
        <w:rPr>
          <w:rFonts w:eastAsia="Times New Roman"/>
          <w:color w:val="000000"/>
          <w:sz w:val="20"/>
          <w:szCs w:val="20"/>
        </w:rPr>
        <w:t>of our patent applications and the enforcement or defense of our issued patents, all of which could have a material adverse effect on our business and financial condition. Any further changes in either the patent laws or interpretation of the patent laws i</w:t>
      </w:r>
      <w:r>
        <w:rPr>
          <w:rFonts w:eastAsia="Times New Roman"/>
          <w:color w:val="000000"/>
          <w:sz w:val="20"/>
          <w:szCs w:val="20"/>
        </w:rPr>
        <w:t>n the United States and other countries may diminish the value of our patents and patent applications or narrow the scope of our potential patent protection.</w:t>
      </w:r>
    </w:p>
    <w:p w:rsidR="00000000" w:rsidRDefault="00DA1786">
      <w:pPr>
        <w:jc w:val="both"/>
        <w:divId w:val="87318218"/>
        <w:rPr>
          <w:rFonts w:eastAsia="Times New Roman"/>
        </w:rPr>
      </w:pPr>
      <w:r>
        <w:rPr>
          <w:rFonts w:eastAsia="Times New Roman"/>
          <w:color w:val="000000"/>
          <w:sz w:val="20"/>
          <w:szCs w:val="20"/>
        </w:rPr>
        <w:t xml:space="preserve">Moreover, we may be subject to a third-party pre-issuance submission of prior art to the USPTO or </w:t>
      </w:r>
      <w:r>
        <w:rPr>
          <w:rFonts w:eastAsia="Times New Roman"/>
          <w:color w:val="000000"/>
          <w:sz w:val="20"/>
          <w:szCs w:val="20"/>
        </w:rPr>
        <w:t>become involved in opposition, derivation, reexamination, inter partes review, post-grant review or interference proceedings challenging our patent rights or the patent rights of others. An adverse determination in any such submission, proceeding or litiga</w:t>
      </w:r>
      <w:r>
        <w:rPr>
          <w:rFonts w:eastAsia="Times New Roman"/>
          <w:color w:val="000000"/>
          <w:sz w:val="20"/>
          <w:szCs w:val="20"/>
        </w:rPr>
        <w:t xml:space="preserve">tion could reduce the </w:t>
      </w:r>
    </w:p>
    <w:p w:rsidR="00000000" w:rsidRDefault="00DA1786">
      <w:pPr>
        <w:ind w:firstLine="720"/>
        <w:jc w:val="center"/>
        <w:divId w:val="103693311"/>
        <w:rPr>
          <w:rFonts w:eastAsia="Times New Roman"/>
        </w:rPr>
      </w:pPr>
      <w:r>
        <w:rPr>
          <w:rFonts w:eastAsia="Times New Roman"/>
          <w:color w:val="000000"/>
          <w:sz w:val="20"/>
          <w:szCs w:val="20"/>
        </w:rPr>
        <w:t>26</w:t>
      </w:r>
    </w:p>
    <w:p w:rsidR="00000000" w:rsidRDefault="00DA1786">
      <w:pPr>
        <w:rPr>
          <w:rFonts w:eastAsia="Times New Roman"/>
        </w:rPr>
      </w:pPr>
      <w:r>
        <w:rPr>
          <w:rFonts w:eastAsia="Times New Roman"/>
        </w:rPr>
        <w:pict>
          <v:rect id="_x0000_i1051" style="width:0;height:1.5pt" o:hralign="center" o:hrstd="t" o:hr="t" fillcolor="#a0a0a0" stroked="f"/>
        </w:pict>
      </w:r>
    </w:p>
    <w:p w:rsidR="00000000" w:rsidRDefault="00DA1786">
      <w:pPr>
        <w:divId w:val="1666323308"/>
        <w:rPr>
          <w:rFonts w:eastAsia="Times New Roman"/>
        </w:rPr>
      </w:pPr>
    </w:p>
    <w:p w:rsidR="00000000" w:rsidRDefault="00DA1786">
      <w:pPr>
        <w:jc w:val="both"/>
        <w:divId w:val="1282572173"/>
        <w:rPr>
          <w:rFonts w:eastAsia="Times New Roman"/>
        </w:rPr>
      </w:pPr>
      <w:r>
        <w:rPr>
          <w:rFonts w:eastAsia="Times New Roman"/>
          <w:color w:val="000000"/>
          <w:sz w:val="20"/>
          <w:szCs w:val="20"/>
        </w:rPr>
        <w:t>scope of, or invalidate, our patent rights, allow third-parties to commercialize our technology or product candidates and compete directly with us, without payment to us, or result in our inab</w:t>
      </w:r>
      <w:r>
        <w:rPr>
          <w:rFonts w:eastAsia="Times New Roman"/>
          <w:color w:val="000000"/>
          <w:sz w:val="20"/>
          <w:szCs w:val="20"/>
        </w:rPr>
        <w:t>ility to manufacture or commercialize product candidates without infringing third-party patent rights. In addition, if the breadth or strength of protection provided by our patents and patent applications is threatened, it could dissuade companies from col</w:t>
      </w:r>
      <w:r>
        <w:rPr>
          <w:rFonts w:eastAsia="Times New Roman"/>
          <w:color w:val="000000"/>
          <w:sz w:val="20"/>
          <w:szCs w:val="20"/>
        </w:rPr>
        <w:t>laborating with us to license, develop or commercialize current or future product candidates.</w:t>
      </w:r>
    </w:p>
    <w:p w:rsidR="00000000" w:rsidRDefault="00DA1786">
      <w:pPr>
        <w:jc w:val="both"/>
        <w:divId w:val="1678144809"/>
        <w:rPr>
          <w:rFonts w:eastAsia="Times New Roman"/>
        </w:rPr>
      </w:pPr>
      <w:r>
        <w:rPr>
          <w:rFonts w:eastAsia="Times New Roman"/>
          <w:color w:val="000000"/>
          <w:sz w:val="20"/>
          <w:szCs w:val="20"/>
        </w:rPr>
        <w:t xml:space="preserve">The issuance of a patent is not conclusive as to its inventorship, scope, validity or enforceability, and our owned and licensed patents may be challenged in the </w:t>
      </w:r>
      <w:r>
        <w:rPr>
          <w:rFonts w:eastAsia="Times New Roman"/>
          <w:color w:val="000000"/>
          <w:sz w:val="20"/>
          <w:szCs w:val="20"/>
        </w:rPr>
        <w:t>courts or patent offices in the United States and abroad. Such challenges may result in loss of exclusivity or freedom to operate or in patent claims being narrowed, invalidated or held unenforceable, in whole or in part, which could limit our ability to s</w:t>
      </w:r>
      <w:r>
        <w:rPr>
          <w:rFonts w:eastAsia="Times New Roman"/>
          <w:color w:val="000000"/>
          <w:sz w:val="20"/>
          <w:szCs w:val="20"/>
        </w:rPr>
        <w:t>top others from using or commercializing similar or identical technology and product candidates, or limit the duration of the patent protection of our technology and product candidates. Moreover, patents have a limited lifespan. In the United States, the n</w:t>
      </w:r>
      <w:r>
        <w:rPr>
          <w:rFonts w:eastAsia="Times New Roman"/>
          <w:color w:val="000000"/>
          <w:sz w:val="20"/>
          <w:szCs w:val="20"/>
        </w:rPr>
        <w:t>atural expiration of a patent is generally 20 years from the earliest filing date of a non-provisional patent application. Various extensions may be available; however, the life of a patent, and the protection it affords, is limited. Without patent protect</w:t>
      </w:r>
      <w:r>
        <w:rPr>
          <w:rFonts w:eastAsia="Times New Roman"/>
          <w:color w:val="000000"/>
          <w:sz w:val="20"/>
          <w:szCs w:val="20"/>
        </w:rPr>
        <w:t>ion for our current or future product candidates, we may be open to competition from generic versions of such drugs. Given the amount of time required for the development, testing and regulatory review of new product candidates, patents protecting such can</w:t>
      </w:r>
      <w:r>
        <w:rPr>
          <w:rFonts w:eastAsia="Times New Roman"/>
          <w:color w:val="000000"/>
          <w:sz w:val="20"/>
          <w:szCs w:val="20"/>
        </w:rPr>
        <w:t>didates might expire before or shortly after such candidates are commercialized. As a result, we owned and licensed patent portfolio may not provide it with sufficient rights to exclude others from commercializing drugs similar or identical to that of us.</w:t>
      </w:r>
    </w:p>
    <w:p w:rsidR="00000000" w:rsidRDefault="00DA1786">
      <w:pPr>
        <w:jc w:val="both"/>
        <w:divId w:val="1084182297"/>
        <w:rPr>
          <w:rFonts w:eastAsia="Times New Roman"/>
        </w:rPr>
      </w:pPr>
      <w:r>
        <w:rPr>
          <w:rFonts w:eastAsia="Times New Roman"/>
          <w:b/>
          <w:bCs/>
          <w:i/>
          <w:iCs/>
          <w:color w:val="000000"/>
          <w:sz w:val="20"/>
          <w:szCs w:val="20"/>
        </w:rPr>
        <w:t>We jointly own patents and patent applications with third-parties. Our ability to exploit or enforce these patent rights, or to prevent the third-party from granting licenses to others with respect to these patent rights, may be limited in some circumstanc</w:t>
      </w:r>
      <w:r>
        <w:rPr>
          <w:rFonts w:eastAsia="Times New Roman"/>
          <w:b/>
          <w:bCs/>
          <w:i/>
          <w:iCs/>
          <w:color w:val="000000"/>
          <w:sz w:val="20"/>
          <w:szCs w:val="20"/>
        </w:rPr>
        <w:t>es.</w:t>
      </w:r>
    </w:p>
    <w:p w:rsidR="00000000" w:rsidRDefault="00DA1786">
      <w:pPr>
        <w:jc w:val="both"/>
        <w:divId w:val="570114470"/>
        <w:rPr>
          <w:rFonts w:eastAsia="Times New Roman"/>
        </w:rPr>
      </w:pPr>
      <w:r>
        <w:rPr>
          <w:rFonts w:eastAsia="Times New Roman"/>
          <w:color w:val="000000"/>
          <w:sz w:val="20"/>
          <w:szCs w:val="20"/>
        </w:rPr>
        <w:t>We jointly own certain patents and patent applications with third-parties. In the absence of an agreement with each co-owner of jointly owned patent rights, we will be subject to default rules pertaining to joint ownership. Some countries require the c</w:t>
      </w:r>
      <w:r>
        <w:rPr>
          <w:rFonts w:eastAsia="Times New Roman"/>
          <w:color w:val="000000"/>
          <w:sz w:val="20"/>
          <w:szCs w:val="20"/>
        </w:rPr>
        <w:t>onsent of all joint owners to exploit, license or assign jointly owned patents, and if we are unable to obtain that consent from the joint owners, we may be unable to exploit the invention or to license or assign our rights under these patents and patent a</w:t>
      </w:r>
      <w:r>
        <w:rPr>
          <w:rFonts w:eastAsia="Times New Roman"/>
          <w:color w:val="000000"/>
          <w:sz w:val="20"/>
          <w:szCs w:val="20"/>
        </w:rPr>
        <w:t xml:space="preserve">pplications in those countries. For example, we secured exclusive rights from the University of Michigan for certain patents and patent applications that they jointly own with us related to nevanimibe. Additionally, in the United States, each co-owner may </w:t>
      </w:r>
      <w:r>
        <w:rPr>
          <w:rFonts w:eastAsia="Times New Roman"/>
          <w:color w:val="000000"/>
          <w:sz w:val="20"/>
          <w:szCs w:val="20"/>
        </w:rPr>
        <w:t>be required to be joined as a party to any claim or action we may wish to bring to enforce these patent rights, which may limit our ability to pursue third-party infringement claims.</w:t>
      </w:r>
    </w:p>
    <w:p w:rsidR="00000000" w:rsidRDefault="00DA1786">
      <w:pPr>
        <w:jc w:val="both"/>
        <w:divId w:val="435834925"/>
        <w:rPr>
          <w:rFonts w:eastAsia="Times New Roman"/>
        </w:rPr>
      </w:pPr>
      <w:r>
        <w:rPr>
          <w:rFonts w:eastAsia="Times New Roman"/>
          <w:b/>
          <w:bCs/>
          <w:i/>
          <w:iCs/>
          <w:color w:val="000000"/>
          <w:sz w:val="20"/>
          <w:szCs w:val="20"/>
        </w:rPr>
        <w:t>We have in-licensed patents and patent applications from third-parties. O</w:t>
      </w:r>
      <w:r>
        <w:rPr>
          <w:rFonts w:eastAsia="Times New Roman"/>
          <w:b/>
          <w:bCs/>
          <w:i/>
          <w:iCs/>
          <w:color w:val="000000"/>
          <w:sz w:val="20"/>
          <w:szCs w:val="20"/>
        </w:rPr>
        <w:t>ur ability to exploit or enforce these patent rights, or to prevent the third-party from granting licenses to others with respect to these patent rights, may be limited in some circumstances.</w:t>
      </w:r>
    </w:p>
    <w:p w:rsidR="00000000" w:rsidRDefault="00DA1786">
      <w:pPr>
        <w:jc w:val="both"/>
        <w:divId w:val="1666207946"/>
        <w:rPr>
          <w:rFonts w:eastAsia="Times New Roman"/>
        </w:rPr>
      </w:pPr>
      <w:r>
        <w:rPr>
          <w:rFonts w:eastAsia="Times New Roman"/>
          <w:color w:val="000000"/>
          <w:sz w:val="20"/>
          <w:szCs w:val="20"/>
        </w:rPr>
        <w:t>We have in-licensed certain patents and patent applications from</w:t>
      </w:r>
      <w:r>
        <w:rPr>
          <w:rFonts w:eastAsia="Times New Roman"/>
          <w:color w:val="000000"/>
          <w:sz w:val="20"/>
          <w:szCs w:val="20"/>
        </w:rPr>
        <w:t xml:space="preserve"> third-parties. In the absence of an agreement with each patent rights owner, we will be subject to default rules pertaining to ownership. Some countries require the consent of all owners to exploit, license or assign owned patents, and if we are unable to</w:t>
      </w:r>
      <w:r>
        <w:rPr>
          <w:rFonts w:eastAsia="Times New Roman"/>
          <w:color w:val="000000"/>
          <w:sz w:val="20"/>
          <w:szCs w:val="20"/>
        </w:rPr>
        <w:t xml:space="preserve"> obtain that consent from the owners, we may be unable to exploit the invention or to license or assign our rights under these patents and patent applications in those countries. For example, we secured exclusive rights from Roche for certain patents and p</w:t>
      </w:r>
      <w:r>
        <w:rPr>
          <w:rFonts w:eastAsia="Times New Roman"/>
          <w:color w:val="000000"/>
          <w:sz w:val="20"/>
          <w:szCs w:val="20"/>
        </w:rPr>
        <w:t>atent applications that they own related to MLE-301. Additionally, in the United States, each owner may be required to be joined as a party to any claim or action we may wish to bring to enforce these patent rights, which may limit our ability to pursue th</w:t>
      </w:r>
      <w:r>
        <w:rPr>
          <w:rFonts w:eastAsia="Times New Roman"/>
          <w:color w:val="000000"/>
          <w:sz w:val="20"/>
          <w:szCs w:val="20"/>
        </w:rPr>
        <w:t>ird-party infringement claims.</w:t>
      </w:r>
    </w:p>
    <w:p w:rsidR="00000000" w:rsidRDefault="00DA1786">
      <w:pPr>
        <w:jc w:val="both"/>
        <w:divId w:val="1811508530"/>
        <w:rPr>
          <w:rFonts w:eastAsia="Times New Roman"/>
        </w:rPr>
      </w:pPr>
      <w:r>
        <w:rPr>
          <w:rFonts w:eastAsia="Times New Roman"/>
          <w:b/>
          <w:bCs/>
          <w:i/>
          <w:iCs/>
          <w:color w:val="000000"/>
          <w:sz w:val="20"/>
          <w:szCs w:val="20"/>
        </w:rPr>
        <w:t>Obtaining and maintaining our patent protection depends on compliance with various procedural, document submission, fee payment and other requirements imposed by governmental patent agencies, and our patent protection could be reduced or eliminated for non</w:t>
      </w:r>
      <w:r>
        <w:rPr>
          <w:rFonts w:eastAsia="Times New Roman"/>
          <w:b/>
          <w:bCs/>
          <w:i/>
          <w:iCs/>
          <w:color w:val="000000"/>
          <w:sz w:val="20"/>
          <w:szCs w:val="20"/>
        </w:rPr>
        <w:t>-compliance with these requirements.</w:t>
      </w:r>
    </w:p>
    <w:p w:rsidR="00000000" w:rsidRDefault="00DA1786">
      <w:pPr>
        <w:jc w:val="both"/>
        <w:divId w:val="851378494"/>
        <w:rPr>
          <w:rFonts w:eastAsia="Times New Roman"/>
        </w:rPr>
      </w:pPr>
      <w:r>
        <w:rPr>
          <w:rFonts w:eastAsia="Times New Roman"/>
          <w:color w:val="000000"/>
          <w:sz w:val="20"/>
          <w:szCs w:val="20"/>
        </w:rPr>
        <w:t>Periodic maintenance fees, renewal fees, annuity fees and various other government fees on patents and/or applications will be due to be paid to the USPTO and various government patent agencies outside of the United Sta</w:t>
      </w:r>
      <w:r>
        <w:rPr>
          <w:rFonts w:eastAsia="Times New Roman"/>
          <w:color w:val="000000"/>
          <w:sz w:val="20"/>
          <w:szCs w:val="20"/>
        </w:rPr>
        <w:t>tes in several stages over the lifetime of our owned and licensed patents and/or applications and any patent rights it may own or license in the future. We rely on our outside counsel or our licensing partners to pay these fees due to non-U.S. patent agenc</w:t>
      </w:r>
      <w:r>
        <w:rPr>
          <w:rFonts w:eastAsia="Times New Roman"/>
          <w:color w:val="000000"/>
          <w:sz w:val="20"/>
          <w:szCs w:val="20"/>
        </w:rPr>
        <w:t>ies. The USPTO and various non-U.S. government patent agencies require compliance with several procedural, documentary, fee payment and other similar provisions during the patent application process. We employ reputable law firms and other professionals to</w:t>
      </w:r>
      <w:r>
        <w:rPr>
          <w:rFonts w:eastAsia="Times New Roman"/>
          <w:color w:val="000000"/>
          <w:sz w:val="20"/>
          <w:szCs w:val="20"/>
        </w:rPr>
        <w:t xml:space="preserve"> help us comply and we are also dependent on our licensors to take the necessary action to comply with these requirements with respect to our licensed intellectual property. In many cases, an inadvertent lapse can be cured by payment of a late fee or by ot</w:t>
      </w:r>
      <w:r>
        <w:rPr>
          <w:rFonts w:eastAsia="Times New Roman"/>
          <w:color w:val="000000"/>
          <w:sz w:val="20"/>
          <w:szCs w:val="20"/>
        </w:rPr>
        <w:t>her means in accordance with the applicable rules.</w:t>
      </w:r>
    </w:p>
    <w:p w:rsidR="00000000" w:rsidRDefault="00DA1786">
      <w:pPr>
        <w:ind w:firstLine="720"/>
        <w:jc w:val="center"/>
        <w:divId w:val="526064708"/>
        <w:rPr>
          <w:rFonts w:eastAsia="Times New Roman"/>
        </w:rPr>
      </w:pPr>
      <w:r>
        <w:rPr>
          <w:rFonts w:eastAsia="Times New Roman"/>
          <w:color w:val="000000"/>
          <w:sz w:val="20"/>
          <w:szCs w:val="20"/>
        </w:rPr>
        <w:t>27</w:t>
      </w:r>
    </w:p>
    <w:p w:rsidR="00000000" w:rsidRDefault="00DA1786">
      <w:pPr>
        <w:rPr>
          <w:rFonts w:eastAsia="Times New Roman"/>
        </w:rPr>
      </w:pPr>
      <w:r>
        <w:rPr>
          <w:rFonts w:eastAsia="Times New Roman"/>
        </w:rPr>
        <w:pict>
          <v:rect id="_x0000_i1052" style="width:0;height:1.5pt" o:hralign="center" o:hrstd="t" o:hr="t" fillcolor="#a0a0a0" stroked="f"/>
        </w:pict>
      </w:r>
    </w:p>
    <w:p w:rsidR="00000000" w:rsidRDefault="00DA1786">
      <w:pPr>
        <w:divId w:val="1845171588"/>
        <w:rPr>
          <w:rFonts w:eastAsia="Times New Roman"/>
        </w:rPr>
      </w:pPr>
    </w:p>
    <w:p w:rsidR="00000000" w:rsidRDefault="00DA1786">
      <w:pPr>
        <w:jc w:val="both"/>
        <w:divId w:val="1076784378"/>
        <w:rPr>
          <w:rFonts w:eastAsia="Times New Roman"/>
        </w:rPr>
      </w:pPr>
      <w:r>
        <w:rPr>
          <w:rFonts w:eastAsia="Times New Roman"/>
          <w:color w:val="000000"/>
          <w:sz w:val="20"/>
          <w:szCs w:val="20"/>
        </w:rPr>
        <w:t>There are situations, however, in which non-compliance can result in abandonment or lapse of the patent or patent application, resulting in partial or complete loss of patent rights in the relevant jurisdiction.</w:t>
      </w:r>
    </w:p>
    <w:p w:rsidR="00000000" w:rsidRDefault="00DA1786">
      <w:pPr>
        <w:jc w:val="both"/>
        <w:divId w:val="1661424619"/>
        <w:rPr>
          <w:rFonts w:eastAsia="Times New Roman"/>
        </w:rPr>
      </w:pPr>
      <w:r>
        <w:rPr>
          <w:rFonts w:eastAsia="Times New Roman"/>
          <w:color w:val="000000"/>
          <w:sz w:val="20"/>
          <w:szCs w:val="20"/>
        </w:rPr>
        <w:t>In such an event, potential competitors migh</w:t>
      </w:r>
      <w:r>
        <w:rPr>
          <w:rFonts w:eastAsia="Times New Roman"/>
          <w:color w:val="000000"/>
          <w:sz w:val="20"/>
          <w:szCs w:val="20"/>
        </w:rPr>
        <w:t>t be able to enter the market and this circumstance would have a material adverse effect on our business.</w:t>
      </w:r>
    </w:p>
    <w:p w:rsidR="00000000" w:rsidRDefault="00DA1786">
      <w:pPr>
        <w:jc w:val="both"/>
        <w:divId w:val="194276751"/>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p>
    <w:p w:rsidR="00000000" w:rsidRDefault="00DA1786">
      <w:pPr>
        <w:jc w:val="both"/>
        <w:divId w:val="482624572"/>
        <w:rPr>
          <w:rFonts w:eastAsia="Times New Roman"/>
        </w:rPr>
      </w:pPr>
      <w:r>
        <w:rPr>
          <w:rFonts w:eastAsia="Times New Roman"/>
          <w:color w:val="000000"/>
          <w:sz w:val="20"/>
          <w:szCs w:val="20"/>
        </w:rPr>
        <w:t xml:space="preserve">Given the amount of time </w:t>
      </w:r>
      <w:r>
        <w:rPr>
          <w:rFonts w:eastAsia="Times New Roman"/>
          <w:color w:val="000000"/>
          <w:sz w:val="20"/>
          <w:szCs w:val="20"/>
        </w:rPr>
        <w:t>required for the development, testing and regulatory review of new product candidates, patents protecting such candidates might expire before or shortly after such candidates are commercialized. We have in the past sought, and in the future may seek, exten</w:t>
      </w:r>
      <w:r>
        <w:rPr>
          <w:rFonts w:eastAsia="Times New Roman"/>
          <w:color w:val="000000"/>
          <w:sz w:val="20"/>
          <w:szCs w:val="20"/>
        </w:rPr>
        <w:t>sions of patent terms in the United States and, if available, in other countries where we are prosecuting patents. In the United States, the Drug Price Competition and Patent Term Restoration Act of 1984 permits extension of the term of one U.S. patent tha</w:t>
      </w:r>
      <w:r>
        <w:rPr>
          <w:rFonts w:eastAsia="Times New Roman"/>
          <w:color w:val="000000"/>
          <w:sz w:val="20"/>
          <w:szCs w:val="20"/>
        </w:rPr>
        <w:t xml:space="preserve">t includes at least one claim covering the composition of matter of an FDA-approved drug, an FDA-approved method of treatment using the drug. The extended patent term cannot exceed the shorter of five years beyond the non-extended expiration of the patent </w:t>
      </w:r>
      <w:r>
        <w:rPr>
          <w:rFonts w:eastAsia="Times New Roman"/>
          <w:color w:val="000000"/>
          <w:sz w:val="20"/>
          <w:szCs w:val="20"/>
        </w:rPr>
        <w:t>or 14 years from the date of the FDA approval of the drug. However, the applicable authorities, including the FDA and the USPTO in the United States, and any equivalent regulatory authority in other countries, may not agree with our assessment of whether s</w:t>
      </w:r>
      <w:r>
        <w:rPr>
          <w:rFonts w:eastAsia="Times New Roman"/>
          <w:color w:val="000000"/>
          <w:sz w:val="20"/>
          <w:szCs w:val="20"/>
        </w:rPr>
        <w:t>uch extensions are available, and may refuse to grant extensions to our patents, or may grant more limited extensions than we request. Further, we may not elect to extend the most beneficial patent to us or the claims underlying the patent that we choose t</w:t>
      </w:r>
      <w:r>
        <w:rPr>
          <w:rFonts w:eastAsia="Times New Roman"/>
          <w:color w:val="000000"/>
          <w:sz w:val="20"/>
          <w:szCs w:val="20"/>
        </w:rPr>
        <w:t>o extend could be invalidated. If any of the foregoing occurs, our competitors may be able to take advantage of our investment in development and clinical trials by referencing its clinical and preclinical data and launch their drug earlier than might othe</w:t>
      </w:r>
      <w:r>
        <w:rPr>
          <w:rFonts w:eastAsia="Times New Roman"/>
          <w:color w:val="000000"/>
          <w:sz w:val="20"/>
          <w:szCs w:val="20"/>
        </w:rPr>
        <w:t>rwise be the case.</w:t>
      </w:r>
    </w:p>
    <w:p w:rsidR="00000000" w:rsidRDefault="00DA1786">
      <w:pPr>
        <w:jc w:val="both"/>
        <w:divId w:val="1432970942"/>
        <w:rPr>
          <w:rFonts w:eastAsia="Times New Roman"/>
        </w:rPr>
      </w:pPr>
      <w:r>
        <w:rPr>
          <w:rFonts w:eastAsia="Times New Roman"/>
          <w:b/>
          <w:bCs/>
          <w:i/>
          <w:iCs/>
          <w:color w:val="000000"/>
          <w:sz w:val="20"/>
          <w:szCs w:val="20"/>
        </w:rPr>
        <w:t>Intellectual property rights do not necessarily address all potential threats to our business.</w:t>
      </w:r>
    </w:p>
    <w:p w:rsidR="00000000" w:rsidRDefault="00DA1786">
      <w:pPr>
        <w:jc w:val="both"/>
        <w:divId w:val="1061948260"/>
        <w:rPr>
          <w:rFonts w:eastAsia="Times New Roman"/>
        </w:rPr>
      </w:pPr>
      <w:r>
        <w:rPr>
          <w:rFonts w:eastAsia="Times New Roman"/>
          <w:color w:val="000000"/>
          <w:sz w:val="20"/>
          <w:szCs w:val="20"/>
        </w:rPr>
        <w:t>The degree of future protection afforded by our intellectual property rights is uncertain because intellectual property rights have limitation</w:t>
      </w:r>
      <w:r>
        <w:rPr>
          <w:rFonts w:eastAsia="Times New Roman"/>
          <w:color w:val="000000"/>
          <w:sz w:val="20"/>
          <w:szCs w:val="20"/>
        </w:rPr>
        <w:t>s and may not adequately protect our business. The following examples are illustrative:</w:t>
      </w:r>
    </w:p>
    <w:p w:rsidR="00000000" w:rsidRDefault="00DA1786">
      <w:pPr>
        <w:ind w:hanging="360"/>
        <w:jc w:val="both"/>
        <w:divId w:val="336463832"/>
        <w:rPr>
          <w:rFonts w:eastAsia="Times New Roman"/>
        </w:rPr>
      </w:pPr>
      <w:r>
        <w:rPr>
          <w:rFonts w:eastAsia="Times New Roman"/>
          <w:color w:val="000000"/>
          <w:sz w:val="20"/>
          <w:szCs w:val="20"/>
        </w:rPr>
        <w:t>•others may be able to make compounds or formulations that are similar to our formulation but that are not covered by the claims of the patents that we own or control;</w:t>
      </w:r>
    </w:p>
    <w:p w:rsidR="00000000" w:rsidRDefault="00DA1786">
      <w:pPr>
        <w:ind w:hanging="360"/>
        <w:jc w:val="both"/>
        <w:divId w:val="74788876"/>
        <w:rPr>
          <w:rFonts w:eastAsia="Times New Roman"/>
        </w:rPr>
      </w:pPr>
      <w:r>
        <w:rPr>
          <w:rFonts w:eastAsia="Times New Roman"/>
          <w:color w:val="000000"/>
          <w:sz w:val="20"/>
          <w:szCs w:val="20"/>
        </w:rPr>
        <w:t>•we or any strategic partners might not have been the first to make the inventions covered by the issued patents or pending patent applications that we own or control;</w:t>
      </w:r>
    </w:p>
    <w:p w:rsidR="00000000" w:rsidRDefault="00DA1786">
      <w:pPr>
        <w:ind w:hanging="360"/>
        <w:jc w:val="both"/>
        <w:divId w:val="1467628667"/>
        <w:rPr>
          <w:rFonts w:eastAsia="Times New Roman"/>
        </w:rPr>
      </w:pPr>
      <w:r>
        <w:rPr>
          <w:rFonts w:eastAsia="Times New Roman"/>
          <w:color w:val="000000"/>
          <w:sz w:val="20"/>
          <w:szCs w:val="20"/>
        </w:rPr>
        <w:t>•we might not have been the first to file patent applications covering certain of our in</w:t>
      </w:r>
      <w:r>
        <w:rPr>
          <w:rFonts w:eastAsia="Times New Roman"/>
          <w:color w:val="000000"/>
          <w:sz w:val="20"/>
          <w:szCs w:val="20"/>
        </w:rPr>
        <w:t>ventions;</w:t>
      </w:r>
    </w:p>
    <w:p w:rsidR="00000000" w:rsidRDefault="00DA1786">
      <w:pPr>
        <w:ind w:hanging="360"/>
        <w:jc w:val="both"/>
        <w:divId w:val="1503736220"/>
        <w:rPr>
          <w:rFonts w:eastAsia="Times New Roman"/>
        </w:rPr>
      </w:pPr>
      <w:r>
        <w:rPr>
          <w:rFonts w:eastAsia="Times New Roman"/>
          <w:color w:val="000000"/>
          <w:sz w:val="20"/>
          <w:szCs w:val="20"/>
        </w:rPr>
        <w:t>•others may independently develop similar or alternative technologies or duplicate any of our technologies without infringing our intellectual property rights;</w:t>
      </w:r>
    </w:p>
    <w:p w:rsidR="00000000" w:rsidRDefault="00DA1786">
      <w:pPr>
        <w:ind w:hanging="360"/>
        <w:jc w:val="both"/>
        <w:divId w:val="1015813891"/>
        <w:rPr>
          <w:rFonts w:eastAsia="Times New Roman"/>
        </w:rPr>
      </w:pPr>
      <w:r>
        <w:rPr>
          <w:rFonts w:eastAsia="Times New Roman"/>
          <w:color w:val="000000"/>
          <w:sz w:val="20"/>
          <w:szCs w:val="20"/>
        </w:rPr>
        <w:t>•it is possible that our pending patent applications will not lead to issued patents;</w:t>
      </w:r>
    </w:p>
    <w:p w:rsidR="00000000" w:rsidRDefault="00DA1786">
      <w:pPr>
        <w:ind w:hanging="360"/>
        <w:jc w:val="both"/>
        <w:divId w:val="1298143915"/>
        <w:rPr>
          <w:rFonts w:eastAsia="Times New Roman"/>
        </w:rPr>
      </w:pPr>
      <w:r>
        <w:rPr>
          <w:rFonts w:eastAsia="Times New Roman"/>
          <w:color w:val="000000"/>
          <w:sz w:val="20"/>
          <w:szCs w:val="20"/>
        </w:rPr>
        <w:t>•issued patents that we own or control may not provide us with any competitive advantages, or may be held invalid or unenforceable as a result of legal challenges;</w:t>
      </w:r>
    </w:p>
    <w:p w:rsidR="00000000" w:rsidRDefault="00DA1786">
      <w:pPr>
        <w:ind w:hanging="360"/>
        <w:jc w:val="both"/>
        <w:divId w:val="278076016"/>
        <w:rPr>
          <w:rFonts w:eastAsia="Times New Roman"/>
        </w:rPr>
      </w:pPr>
      <w:r>
        <w:rPr>
          <w:rFonts w:eastAsia="Times New Roman"/>
          <w:color w:val="000000"/>
          <w:sz w:val="20"/>
          <w:szCs w:val="20"/>
        </w:rPr>
        <w:t xml:space="preserve">•our competitors might conduct research and development activities in the United States and </w:t>
      </w:r>
      <w:r>
        <w:rPr>
          <w:rFonts w:eastAsia="Times New Roman"/>
          <w:color w:val="000000"/>
          <w:sz w:val="20"/>
          <w:szCs w:val="20"/>
        </w:rPr>
        <w:t>other countries that provide a safe harbor from patent infringement claims for certain research and development activities, as well as in countries where we do not have patent rights and then use the information learned from such activities to develop comp</w:t>
      </w:r>
      <w:r>
        <w:rPr>
          <w:rFonts w:eastAsia="Times New Roman"/>
          <w:color w:val="000000"/>
          <w:sz w:val="20"/>
          <w:szCs w:val="20"/>
        </w:rPr>
        <w:t>etitive drugs for sale in our major commercial markets;</w:t>
      </w:r>
    </w:p>
    <w:p w:rsidR="00000000" w:rsidRDefault="00DA1786">
      <w:pPr>
        <w:ind w:hanging="360"/>
        <w:jc w:val="both"/>
        <w:divId w:val="1084914699"/>
        <w:rPr>
          <w:rFonts w:eastAsia="Times New Roman"/>
        </w:rPr>
      </w:pPr>
      <w:r>
        <w:rPr>
          <w:rFonts w:eastAsia="Times New Roman"/>
          <w:color w:val="000000"/>
          <w:sz w:val="20"/>
          <w:szCs w:val="20"/>
        </w:rPr>
        <w:t>•we may not develop additional proprietary technologies that are patentable; and</w:t>
      </w:r>
    </w:p>
    <w:p w:rsidR="00000000" w:rsidRDefault="00DA1786">
      <w:pPr>
        <w:ind w:hanging="360"/>
        <w:jc w:val="both"/>
        <w:divId w:val="1915122222"/>
        <w:rPr>
          <w:rFonts w:eastAsia="Times New Roman"/>
        </w:rPr>
      </w:pPr>
      <w:r>
        <w:rPr>
          <w:rFonts w:eastAsia="Times New Roman"/>
          <w:color w:val="000000"/>
          <w:sz w:val="20"/>
          <w:szCs w:val="20"/>
        </w:rPr>
        <w:t>•the patents of others may have an adverse effect on our business.</w:t>
      </w:r>
    </w:p>
    <w:p w:rsidR="00000000" w:rsidRDefault="00DA1786">
      <w:pPr>
        <w:jc w:val="both"/>
        <w:divId w:val="2138453904"/>
        <w:rPr>
          <w:rFonts w:eastAsia="Times New Roman"/>
        </w:rPr>
      </w:pPr>
      <w:r>
        <w:rPr>
          <w:rFonts w:eastAsia="Times New Roman"/>
          <w:b/>
          <w:bCs/>
          <w:i/>
          <w:iCs/>
          <w:color w:val="000000"/>
          <w:sz w:val="20"/>
          <w:szCs w:val="20"/>
        </w:rPr>
        <w:t xml:space="preserve">Third-parties may initiate legal proceedings, which </w:t>
      </w:r>
      <w:r>
        <w:rPr>
          <w:rFonts w:eastAsia="Times New Roman"/>
          <w:b/>
          <w:bCs/>
          <w:i/>
          <w:iCs/>
          <w:color w:val="000000"/>
          <w:sz w:val="20"/>
          <w:szCs w:val="20"/>
        </w:rPr>
        <w:t>are expensive and time consuming, alleging that we are infringing their intellectual property rights, the outcome of which would be uncertain and could have a material adverse impact on the success of our business.</w:t>
      </w:r>
    </w:p>
    <w:p w:rsidR="00000000" w:rsidRDefault="00DA1786">
      <w:pPr>
        <w:jc w:val="both"/>
        <w:divId w:val="614752849"/>
        <w:rPr>
          <w:rFonts w:eastAsia="Times New Roman"/>
        </w:rPr>
      </w:pPr>
      <w:r>
        <w:rPr>
          <w:rFonts w:eastAsia="Times New Roman"/>
          <w:color w:val="000000"/>
          <w:sz w:val="20"/>
          <w:szCs w:val="20"/>
        </w:rPr>
        <w:t>The biotechnology and pharmaceutical indu</w:t>
      </w:r>
      <w:r>
        <w:rPr>
          <w:rFonts w:eastAsia="Times New Roman"/>
          <w:color w:val="000000"/>
          <w:sz w:val="20"/>
          <w:szCs w:val="20"/>
        </w:rPr>
        <w:t xml:space="preserve">stries are characterized by extensive and complex litigation regarding patents and other intellectual property rights. We may in the future become party to, or be threatened with, adversarial proceedings or </w:t>
      </w:r>
    </w:p>
    <w:p w:rsidR="00000000" w:rsidRDefault="00DA1786">
      <w:pPr>
        <w:ind w:firstLine="720"/>
        <w:jc w:val="center"/>
        <w:divId w:val="1658337735"/>
        <w:rPr>
          <w:rFonts w:eastAsia="Times New Roman"/>
        </w:rPr>
      </w:pPr>
      <w:r>
        <w:rPr>
          <w:rFonts w:eastAsia="Times New Roman"/>
          <w:color w:val="000000"/>
          <w:sz w:val="20"/>
          <w:szCs w:val="20"/>
        </w:rPr>
        <w:t>28</w:t>
      </w:r>
    </w:p>
    <w:p w:rsidR="00000000" w:rsidRDefault="00DA1786">
      <w:pPr>
        <w:rPr>
          <w:rFonts w:eastAsia="Times New Roman"/>
        </w:rPr>
      </w:pPr>
      <w:r>
        <w:rPr>
          <w:rFonts w:eastAsia="Times New Roman"/>
        </w:rPr>
        <w:pict>
          <v:rect id="_x0000_i1053" style="width:0;height:1.5pt" o:hralign="center" o:hrstd="t" o:hr="t" fillcolor="#a0a0a0" stroked="f"/>
        </w:pict>
      </w:r>
    </w:p>
    <w:p w:rsidR="00000000" w:rsidRDefault="00DA1786">
      <w:pPr>
        <w:divId w:val="1986204781"/>
        <w:rPr>
          <w:rFonts w:eastAsia="Times New Roman"/>
        </w:rPr>
      </w:pPr>
    </w:p>
    <w:p w:rsidR="00000000" w:rsidRDefault="00DA1786">
      <w:pPr>
        <w:jc w:val="both"/>
        <w:divId w:val="1804693880"/>
        <w:rPr>
          <w:rFonts w:eastAsia="Times New Roman"/>
        </w:rPr>
      </w:pPr>
      <w:r>
        <w:rPr>
          <w:rFonts w:eastAsia="Times New Roman"/>
          <w:color w:val="000000"/>
          <w:sz w:val="20"/>
          <w:szCs w:val="20"/>
        </w:rPr>
        <w:t>litiga</w:t>
      </w:r>
      <w:r>
        <w:rPr>
          <w:rFonts w:eastAsia="Times New Roman"/>
          <w:color w:val="000000"/>
          <w:sz w:val="20"/>
          <w:szCs w:val="20"/>
        </w:rPr>
        <w:t>tion regarding intellectual property rights with respect to any future product candidates and technology, including interference proceedings, post grant review and inter partes review before the USPTO. Third-parties may assert infringement claims against u</w:t>
      </w:r>
      <w:r>
        <w:rPr>
          <w:rFonts w:eastAsia="Times New Roman"/>
          <w:color w:val="000000"/>
          <w:sz w:val="20"/>
          <w:szCs w:val="20"/>
        </w:rPr>
        <w:t xml:space="preserve">s based on existing patents or patents that may be granted in the future, regardless of their merit. There is a risk that third-parties may choose to engage in litigation with us to enforce or to otherwise assert their patent rights against us. Even if we </w:t>
      </w:r>
      <w:r>
        <w:rPr>
          <w:rFonts w:eastAsia="Times New Roman"/>
          <w:color w:val="000000"/>
          <w:sz w:val="20"/>
          <w:szCs w:val="20"/>
        </w:rPr>
        <w:t>believe such claims are without merit, a court of competent jurisdiction could hold that these third-party patents are valid, enforceable and infringed, which could have a material adverse effect on our ability to commercialize any future product candidate</w:t>
      </w:r>
      <w:r>
        <w:rPr>
          <w:rFonts w:eastAsia="Times New Roman"/>
          <w:color w:val="000000"/>
          <w:sz w:val="20"/>
          <w:szCs w:val="20"/>
        </w:rPr>
        <w:t>s. In order to successfully challenge the validity of any such U.S. patent in federal court, we would need to overcome a presumption of validity. As this burden is a high one requiring us to present clear and convincing evidence as to the invalidity of any</w:t>
      </w:r>
      <w:r>
        <w:rPr>
          <w:rFonts w:eastAsia="Times New Roman"/>
          <w:color w:val="000000"/>
          <w:sz w:val="20"/>
          <w:szCs w:val="20"/>
        </w:rPr>
        <w:t xml:space="preserve"> such U.S. patent claim, there is no assurance that a court of competent jurisdiction would invalidate the claims of any such U.S. patent. If we are found to infringe a third-party’s valid and enforceable intellectual property rights, we could be required </w:t>
      </w:r>
      <w:r>
        <w:rPr>
          <w:rFonts w:eastAsia="Times New Roman"/>
          <w:color w:val="000000"/>
          <w:sz w:val="20"/>
          <w:szCs w:val="20"/>
        </w:rPr>
        <w:t xml:space="preserve">to obtain a license from such third-party to continue developing, manufacturing and marketing our product candidate and technology. However, we may not be able to obtain any required license on commercially reasonable terms or at all. Even if we were able </w:t>
      </w:r>
      <w:r>
        <w:rPr>
          <w:rFonts w:eastAsia="Times New Roman"/>
          <w:color w:val="000000"/>
          <w:sz w:val="20"/>
          <w:szCs w:val="20"/>
        </w:rPr>
        <w:t>to obtain a license, it could be non-exclusive, thereby giving our competitors and other third-parties access to the same technologies licensed to us, and it could require us to make substantial licensing and royalty payments. We could be forced, including</w:t>
      </w:r>
      <w:r>
        <w:rPr>
          <w:rFonts w:eastAsia="Times New Roman"/>
          <w:color w:val="000000"/>
          <w:sz w:val="20"/>
          <w:szCs w:val="20"/>
        </w:rPr>
        <w:t xml:space="preserve"> by court order, to cease developing, manufacturing and commercializing the infringing technology or product candidate. In addition, we could be found liable for monetary damages, including treble damages and attorneys’ fees, if we are found to have willfu</w:t>
      </w:r>
      <w:r>
        <w:rPr>
          <w:rFonts w:eastAsia="Times New Roman"/>
          <w:color w:val="000000"/>
          <w:sz w:val="20"/>
          <w:szCs w:val="20"/>
        </w:rPr>
        <w:t>lly infringed a patent or other intellectual property right. A finding of infringement could prevent us from manufacturing and commercializing any future product candidates or force us to cease some or all of our business operations, which would have a mat</w:t>
      </w:r>
      <w:r>
        <w:rPr>
          <w:rFonts w:eastAsia="Times New Roman"/>
          <w:color w:val="000000"/>
          <w:sz w:val="20"/>
          <w:szCs w:val="20"/>
        </w:rPr>
        <w:t>erial adverse effect on our business. Claims that we have misappropriated the confidential information or trade secrets of third-parties could have a similar material adverse effect on our business. Even if we prevail in such infringement claims, patent li</w:t>
      </w:r>
      <w:r>
        <w:rPr>
          <w:rFonts w:eastAsia="Times New Roman"/>
          <w:color w:val="000000"/>
          <w:sz w:val="20"/>
          <w:szCs w:val="20"/>
        </w:rPr>
        <w:t>tigation can be expensive and time consuming, which would harm our business, financial condition and results of operations.</w:t>
      </w:r>
    </w:p>
    <w:p w:rsidR="00000000" w:rsidRDefault="00DA1786">
      <w:pPr>
        <w:jc w:val="both"/>
        <w:divId w:val="815031816"/>
        <w:rPr>
          <w:rFonts w:eastAsia="Times New Roman"/>
        </w:rPr>
      </w:pPr>
      <w:r>
        <w:rPr>
          <w:rFonts w:eastAsia="Times New Roman"/>
          <w:b/>
          <w:bCs/>
          <w:i/>
          <w:iCs/>
          <w:color w:val="000000"/>
          <w:sz w:val="20"/>
          <w:szCs w:val="20"/>
        </w:rPr>
        <w:t>We may become involved in lawsuits to protect or enforce our patents, the patents of our licensors or our other intellectual propert</w:t>
      </w:r>
      <w:r>
        <w:rPr>
          <w:rFonts w:eastAsia="Times New Roman"/>
          <w:b/>
          <w:bCs/>
          <w:i/>
          <w:iCs/>
          <w:color w:val="000000"/>
          <w:sz w:val="20"/>
          <w:szCs w:val="20"/>
        </w:rPr>
        <w:t>y rights, which could be expensive, time consuming and unsuccessful.</w:t>
      </w:r>
    </w:p>
    <w:p w:rsidR="00000000" w:rsidRDefault="00DA1786">
      <w:pPr>
        <w:jc w:val="both"/>
        <w:divId w:val="1741176664"/>
        <w:rPr>
          <w:rFonts w:eastAsia="Times New Roman"/>
        </w:rPr>
      </w:pPr>
      <w:r>
        <w:rPr>
          <w:rFonts w:eastAsia="Times New Roman"/>
          <w:color w:val="000000"/>
          <w:sz w:val="20"/>
          <w:szCs w:val="20"/>
        </w:rPr>
        <w:t>Competitors may infringe or otherwise violate our patents, the patents of our licensors or our other intellectual property rights. To counter infringement or unauthorized use, we may be r</w:t>
      </w:r>
      <w:r>
        <w:rPr>
          <w:rFonts w:eastAsia="Times New Roman"/>
          <w:color w:val="000000"/>
          <w:sz w:val="20"/>
          <w:szCs w:val="20"/>
        </w:rPr>
        <w:t>equired to file legal claims, which can be expensive and time-consuming. In addition, in an infringement proceeding, a court may decide that a patent of ours or our licensors is not valid or is unenforceable, or may refuse to stop the other party from usin</w:t>
      </w:r>
      <w:r>
        <w:rPr>
          <w:rFonts w:eastAsia="Times New Roman"/>
          <w:color w:val="000000"/>
          <w:sz w:val="20"/>
          <w:szCs w:val="20"/>
        </w:rPr>
        <w:t>g the technology at issue on the grounds that our patents do not cover the technology in question. An adverse result in any litigation or defense proceedings could put one or more of ours patents at risk of being invalidated or interpreted narrowly and cou</w:t>
      </w:r>
      <w:r>
        <w:rPr>
          <w:rFonts w:eastAsia="Times New Roman"/>
          <w:color w:val="000000"/>
          <w:sz w:val="20"/>
          <w:szCs w:val="20"/>
        </w:rPr>
        <w:t>ld put our patent applications at risk of not issuing. The initiation of a claim against a third-party may also cause the third-party to bring counter claims against us such as claims asserting that our patents are invalid or unenforceable. In patent litig</w:t>
      </w:r>
      <w:r>
        <w:rPr>
          <w:rFonts w:eastAsia="Times New Roman"/>
          <w:color w:val="000000"/>
          <w:sz w:val="20"/>
          <w:szCs w:val="20"/>
        </w:rPr>
        <w:t>ation in the United States, defendant counterclaims alleging invalidity or unenforceability are commonplace. Grounds for a validity challenge could be an alleged failure to meet any of several statutory requirements, including lack of novelty, obviousness,</w:t>
      </w:r>
      <w:r>
        <w:rPr>
          <w:rFonts w:eastAsia="Times New Roman"/>
          <w:color w:val="000000"/>
          <w:sz w:val="20"/>
          <w:szCs w:val="20"/>
        </w:rPr>
        <w:t xml:space="preserve"> non-enablement or lack of statutory subject matter. Grounds for an unenforceability assertion could be an allegation that someone connected with prosecution of the patent withheld relevant material information from the USPTO, or made a materially misleadi</w:t>
      </w:r>
      <w:r>
        <w:rPr>
          <w:rFonts w:eastAsia="Times New Roman"/>
          <w:color w:val="000000"/>
          <w:sz w:val="20"/>
          <w:szCs w:val="20"/>
        </w:rPr>
        <w:t xml:space="preserve">ng statement, during prosecution. Third-parties may also raise similar validity claims before the USPTO in post-grant proceedings such as ex parte reexaminations, inter partes review, or post-grant review, or oppositions or similar proceedings outside the </w:t>
      </w:r>
      <w:r>
        <w:rPr>
          <w:rFonts w:eastAsia="Times New Roman"/>
          <w:color w:val="000000"/>
          <w:sz w:val="20"/>
          <w:szCs w:val="20"/>
        </w:rPr>
        <w:t xml:space="preserve">United States, in parallel with litigation or even outside the context of litigation. The outcome following legal assertions of invalidity and unenforceability is unpredictable. We cannot be certain that there is no invalidating prior art, of which we and </w:t>
      </w:r>
      <w:r>
        <w:rPr>
          <w:rFonts w:eastAsia="Times New Roman"/>
          <w:color w:val="000000"/>
          <w:sz w:val="20"/>
          <w:szCs w:val="20"/>
        </w:rPr>
        <w:t>the patent examiner were unaware during prosecution. For the patents and patent applications that we have licensed, we may have limited or no right to participate in the defense of any licensed patents against challenge by a third-party. If a defendant wer</w:t>
      </w:r>
      <w:r>
        <w:rPr>
          <w:rFonts w:eastAsia="Times New Roman"/>
          <w:color w:val="000000"/>
          <w:sz w:val="20"/>
          <w:szCs w:val="20"/>
        </w:rPr>
        <w:t>e to prevail on a legal assertion of invalidity or unenforceability, we would lose at least part, and perhaps all, of any future patent protection on our current or future product candidates. Such a loss of patent protection could have material adverse eff</w:t>
      </w:r>
      <w:r>
        <w:rPr>
          <w:rFonts w:eastAsia="Times New Roman"/>
          <w:color w:val="000000"/>
          <w:sz w:val="20"/>
          <w:szCs w:val="20"/>
        </w:rPr>
        <w:t>ect on our business.</w:t>
      </w:r>
    </w:p>
    <w:p w:rsidR="00000000" w:rsidRDefault="00DA1786">
      <w:pPr>
        <w:jc w:val="both"/>
        <w:divId w:val="606040475"/>
        <w:rPr>
          <w:rFonts w:eastAsia="Times New Roman"/>
        </w:rPr>
      </w:pPr>
      <w:r>
        <w:rPr>
          <w:rFonts w:eastAsia="Times New Roman"/>
          <w:color w:val="000000"/>
          <w:sz w:val="20"/>
          <w:szCs w:val="20"/>
        </w:rPr>
        <w:t>We may not be able to prevent, alone or with our licensors, misappropriation of our intellectual property rights, particularly in countries where the laws may not protect those rights as fully as in the United States. Any litigation or</w:t>
      </w:r>
      <w:r>
        <w:rPr>
          <w:rFonts w:eastAsia="Times New Roman"/>
          <w:color w:val="000000"/>
          <w:sz w:val="20"/>
          <w:szCs w:val="20"/>
        </w:rPr>
        <w:t xml:space="preserve"> other proceedings to enforce our intellectual property rights may fail, and even if successful, may result in substantial costs and distract our management and other employees. Even if we prevail in such infringement claims, patent litigation can be expen</w:t>
      </w:r>
      <w:r>
        <w:rPr>
          <w:rFonts w:eastAsia="Times New Roman"/>
          <w:color w:val="000000"/>
          <w:sz w:val="20"/>
          <w:szCs w:val="20"/>
        </w:rPr>
        <w:t>sive and time consuming, which would harm our business, financial condition and results of operations.</w:t>
      </w:r>
    </w:p>
    <w:p w:rsidR="00000000" w:rsidRDefault="00DA1786">
      <w:pPr>
        <w:jc w:val="both"/>
        <w:divId w:val="1870292893"/>
        <w:rPr>
          <w:rFonts w:eastAsia="Times New Roman"/>
        </w:rPr>
      </w:pPr>
      <w:r>
        <w:rPr>
          <w:rFonts w:eastAsia="Times New Roman"/>
          <w:color w:val="000000"/>
          <w:sz w:val="20"/>
          <w:szCs w:val="20"/>
        </w:rPr>
        <w:t>Furthermore, because of the substantial amount of discovery required in connection with intellectual property litigation, there is a risk that some of ou</w:t>
      </w:r>
      <w:r>
        <w:rPr>
          <w:rFonts w:eastAsia="Times New Roman"/>
          <w:color w:val="000000"/>
          <w:sz w:val="20"/>
          <w:szCs w:val="20"/>
        </w:rPr>
        <w:t>r confidential information could be compromised by disclosure during this type of litigation. There could also be public announcements of the results of hearings, motions or other interim proceedings or developments. If securities analysts or investors per</w:t>
      </w:r>
      <w:r>
        <w:rPr>
          <w:rFonts w:eastAsia="Times New Roman"/>
          <w:color w:val="000000"/>
          <w:sz w:val="20"/>
          <w:szCs w:val="20"/>
        </w:rPr>
        <w:t>ceive these results to be negative, it could have an adverse effect on the price of our common stock.</w:t>
      </w:r>
    </w:p>
    <w:p w:rsidR="00000000" w:rsidRDefault="00DA1786">
      <w:pPr>
        <w:ind w:firstLine="720"/>
        <w:jc w:val="center"/>
        <w:divId w:val="625428461"/>
        <w:rPr>
          <w:rFonts w:eastAsia="Times New Roman"/>
        </w:rPr>
      </w:pPr>
      <w:r>
        <w:rPr>
          <w:rFonts w:eastAsia="Times New Roman"/>
          <w:color w:val="000000"/>
          <w:sz w:val="20"/>
          <w:szCs w:val="20"/>
        </w:rPr>
        <w:t>29</w:t>
      </w:r>
    </w:p>
    <w:p w:rsidR="00000000" w:rsidRDefault="00DA1786">
      <w:pPr>
        <w:rPr>
          <w:rFonts w:eastAsia="Times New Roman"/>
        </w:rPr>
      </w:pPr>
      <w:r>
        <w:rPr>
          <w:rFonts w:eastAsia="Times New Roman"/>
        </w:rPr>
        <w:pict>
          <v:rect id="_x0000_i1054" style="width:0;height:1.5pt" o:hralign="center" o:hrstd="t" o:hr="t" fillcolor="#a0a0a0" stroked="f"/>
        </w:pict>
      </w:r>
    </w:p>
    <w:p w:rsidR="00000000" w:rsidRDefault="00DA1786">
      <w:pPr>
        <w:divId w:val="1849834385"/>
        <w:rPr>
          <w:rFonts w:eastAsia="Times New Roman"/>
        </w:rPr>
      </w:pPr>
    </w:p>
    <w:p w:rsidR="00000000" w:rsidRDefault="00DA1786">
      <w:pPr>
        <w:jc w:val="both"/>
        <w:divId w:val="1622102557"/>
        <w:rPr>
          <w:rFonts w:eastAsia="Times New Roman"/>
        </w:rPr>
      </w:pPr>
      <w:r>
        <w:rPr>
          <w:rFonts w:eastAsia="Times New Roman"/>
          <w:b/>
          <w:bCs/>
          <w:i/>
          <w:iCs/>
          <w:color w:val="000000"/>
          <w:sz w:val="20"/>
          <w:szCs w:val="20"/>
        </w:rPr>
        <w:t>Changes in U.S. patent law or the patent law of other countries or jurisdictions could diminish the value of patents in general, thereby impairing our ability to protect our product candidates.</w:t>
      </w:r>
    </w:p>
    <w:p w:rsidR="00000000" w:rsidRDefault="00DA1786">
      <w:pPr>
        <w:jc w:val="both"/>
        <w:divId w:val="1409883225"/>
        <w:rPr>
          <w:rFonts w:eastAsia="Times New Roman"/>
        </w:rPr>
      </w:pPr>
      <w:r>
        <w:rPr>
          <w:rFonts w:eastAsia="Times New Roman"/>
          <w:color w:val="000000"/>
          <w:sz w:val="20"/>
          <w:szCs w:val="20"/>
        </w:rPr>
        <w:t>The United States has re</w:t>
      </w:r>
      <w:r>
        <w:rPr>
          <w:rFonts w:eastAsia="Times New Roman"/>
          <w:color w:val="000000"/>
          <w:sz w:val="20"/>
          <w:szCs w:val="20"/>
        </w:rPr>
        <w:t>cently enacted and implemented wide-ranging patent reform legislation. The U.S. Supreme Court has ruled on several patent cases in recent years, either narrowing the scope of patent protection available in certain circumstances or weakening the rights of p</w:t>
      </w:r>
      <w:r>
        <w:rPr>
          <w:rFonts w:eastAsia="Times New Roman"/>
          <w:color w:val="000000"/>
          <w:sz w:val="20"/>
          <w:szCs w:val="20"/>
        </w:rPr>
        <w:t>atent owners in certain situations. In addition to increasing uncertainty with regard to our ability to obtain patents in the future, this combination of events has created uncertainty with respect to the value of patents, once obtained. Depending on actio</w:t>
      </w:r>
      <w:r>
        <w:rPr>
          <w:rFonts w:eastAsia="Times New Roman"/>
          <w:color w:val="000000"/>
          <w:sz w:val="20"/>
          <w:szCs w:val="20"/>
        </w:rPr>
        <w:t>ns by the U.S. Congress, federal courts, USPTO, and the relevant law-making bodies in other countries, the laws and regulations governing patents could change in unpredictable ways that would weaken our ability to obtain new patents or to enforce patents t</w:t>
      </w:r>
      <w:r>
        <w:rPr>
          <w:rFonts w:eastAsia="Times New Roman"/>
          <w:color w:val="000000"/>
          <w:sz w:val="20"/>
          <w:szCs w:val="20"/>
        </w:rPr>
        <w:t>hat we have licensed or that we might obtain in the future. Similarly, changes in patent law and regulations in other countries or jurisdictions or changes in the governmental bodies that enforce them or changes in how the relevant governmental authority e</w:t>
      </w:r>
      <w:r>
        <w:rPr>
          <w:rFonts w:eastAsia="Times New Roman"/>
          <w:color w:val="000000"/>
          <w:sz w:val="20"/>
          <w:szCs w:val="20"/>
        </w:rPr>
        <w:t>nforces patent laws or regulations may weaken our ability to obtain new patents or to enforce patents that we have licensed or that we may obtain in the future.</w:t>
      </w:r>
    </w:p>
    <w:p w:rsidR="00000000" w:rsidRDefault="00DA1786">
      <w:pPr>
        <w:jc w:val="both"/>
        <w:divId w:val="297883373"/>
        <w:rPr>
          <w:rFonts w:eastAsia="Times New Roman"/>
        </w:rPr>
      </w:pPr>
      <w:r>
        <w:rPr>
          <w:rFonts w:eastAsia="Times New Roman"/>
          <w:b/>
          <w:bCs/>
          <w:i/>
          <w:iCs/>
          <w:color w:val="000000"/>
          <w:sz w:val="20"/>
          <w:szCs w:val="20"/>
        </w:rPr>
        <w:t>We may not be able to protect our intellectual property rights throughout the world, which coul</w:t>
      </w:r>
      <w:r>
        <w:rPr>
          <w:rFonts w:eastAsia="Times New Roman"/>
          <w:b/>
          <w:bCs/>
          <w:i/>
          <w:iCs/>
          <w:color w:val="000000"/>
          <w:sz w:val="20"/>
          <w:szCs w:val="20"/>
        </w:rPr>
        <w:t>d have a material adverse effect on our business.</w:t>
      </w:r>
    </w:p>
    <w:p w:rsidR="00000000" w:rsidRDefault="00DA1786">
      <w:pPr>
        <w:jc w:val="both"/>
        <w:divId w:val="1618679803"/>
        <w:rPr>
          <w:rFonts w:eastAsia="Times New Roman"/>
        </w:rPr>
      </w:pPr>
      <w:r>
        <w:rPr>
          <w:rFonts w:eastAsia="Times New Roman"/>
          <w:color w:val="000000"/>
          <w:sz w:val="20"/>
          <w:szCs w:val="20"/>
        </w:rPr>
        <w:t>Filing, prosecuting and defending patents covering any future product candidates throughout the world would be prohibitively expensive. Competitors may use our technologies in jurisdictions where we have no</w:t>
      </w:r>
      <w:r>
        <w:rPr>
          <w:rFonts w:eastAsia="Times New Roman"/>
          <w:color w:val="000000"/>
          <w:sz w:val="20"/>
          <w:szCs w:val="20"/>
        </w:rPr>
        <w:t>t obtained patent protection to develop our own drugs and, further, may export otherwise infringing drugs to territories where we may obtain patent protection, but where patent enforcement is not as strong as that in the United States. These drugs may comp</w:t>
      </w:r>
      <w:r>
        <w:rPr>
          <w:rFonts w:eastAsia="Times New Roman"/>
          <w:color w:val="000000"/>
          <w:sz w:val="20"/>
          <w:szCs w:val="20"/>
        </w:rPr>
        <w:t>ete with our drugs in jurisdictions where we do not have any issued or licensed patents and any future patent claims or other intellectual property rights may not be effective or sufficient to prevent them from so competing.</w:t>
      </w:r>
    </w:p>
    <w:p w:rsidR="00000000" w:rsidRDefault="00DA1786">
      <w:pPr>
        <w:jc w:val="both"/>
        <w:divId w:val="167133471"/>
        <w:rPr>
          <w:rFonts w:eastAsia="Times New Roman"/>
        </w:rPr>
      </w:pPr>
      <w:r>
        <w:rPr>
          <w:rFonts w:eastAsia="Times New Roman"/>
          <w:b/>
          <w:bCs/>
          <w:i/>
          <w:iCs/>
          <w:color w:val="000000"/>
          <w:sz w:val="20"/>
          <w:szCs w:val="20"/>
        </w:rPr>
        <w:t>We may be subject to claims tha</w:t>
      </w:r>
      <w:r>
        <w:rPr>
          <w:rFonts w:eastAsia="Times New Roman"/>
          <w:b/>
          <w:bCs/>
          <w:i/>
          <w:iCs/>
          <w:color w:val="000000"/>
          <w:sz w:val="20"/>
          <w:szCs w:val="20"/>
        </w:rPr>
        <w:t>t our employees, consultants or independent contractors have wrongfully used or disclosed confidential information of their former employers or other third-parties.</w:t>
      </w:r>
    </w:p>
    <w:p w:rsidR="00000000" w:rsidRDefault="00DA1786">
      <w:pPr>
        <w:jc w:val="both"/>
        <w:divId w:val="1700080338"/>
        <w:rPr>
          <w:rFonts w:eastAsia="Times New Roman"/>
        </w:rPr>
      </w:pPr>
      <w:r>
        <w:rPr>
          <w:rFonts w:eastAsia="Times New Roman"/>
          <w:color w:val="000000"/>
          <w:sz w:val="20"/>
          <w:szCs w:val="20"/>
        </w:rPr>
        <w:t>Certain of our employees, consultants or advisors are currently, or were previously, employ</w:t>
      </w:r>
      <w:r>
        <w:rPr>
          <w:rFonts w:eastAsia="Times New Roman"/>
          <w:color w:val="000000"/>
          <w:sz w:val="20"/>
          <w:szCs w:val="20"/>
        </w:rPr>
        <w:t>ed at universities or other biotechnology or pharmaceutical companies, including our competitors or potential competitors. Although we try to ensure that our employees, consultants and advisors do not use the proprietary information or know-how of others i</w:t>
      </w:r>
      <w:r>
        <w:rPr>
          <w:rFonts w:eastAsia="Times New Roman"/>
          <w:color w:val="000000"/>
          <w:sz w:val="20"/>
          <w:szCs w:val="20"/>
        </w:rPr>
        <w:t>n their work for us, we may be subject to claims that these individuals or we have used or disclosed intellectual property, including trade secrets or other proprietary information, of any such individual’s current or former employer. Litigation may be nec</w:t>
      </w:r>
      <w:r>
        <w:rPr>
          <w:rFonts w:eastAsia="Times New Roman"/>
          <w:color w:val="000000"/>
          <w:sz w:val="20"/>
          <w:szCs w:val="20"/>
        </w:rPr>
        <w:t>essary to defend against these claims. If we fail in defending any such claims, in addition to paying monetary damages we may lose valuable intellectual property rights or personnel. Even if we are successful in defending against such claims, litigation co</w:t>
      </w:r>
      <w:r>
        <w:rPr>
          <w:rFonts w:eastAsia="Times New Roman"/>
          <w:color w:val="000000"/>
          <w:sz w:val="20"/>
          <w:szCs w:val="20"/>
        </w:rPr>
        <w:t>uld result in substantial costs and be a distraction to management.</w:t>
      </w:r>
    </w:p>
    <w:p w:rsidR="00000000" w:rsidRDefault="00DA1786">
      <w:pPr>
        <w:jc w:val="both"/>
        <w:divId w:val="1187019584"/>
        <w:rPr>
          <w:rFonts w:eastAsia="Times New Roman"/>
        </w:rPr>
      </w:pPr>
      <w:r>
        <w:rPr>
          <w:rFonts w:eastAsia="Times New Roman"/>
          <w:color w:val="000000"/>
          <w:sz w:val="20"/>
          <w:szCs w:val="20"/>
        </w:rPr>
        <w:t>In addition, while it is our approach to require our employees and contractors who may be involved in the conception or development of intellectual property to execute agreements assigning</w:t>
      </w:r>
      <w:r>
        <w:rPr>
          <w:rFonts w:eastAsia="Times New Roman"/>
          <w:color w:val="000000"/>
          <w:sz w:val="20"/>
          <w:szCs w:val="20"/>
        </w:rPr>
        <w:t xml:space="preserve"> such intellectual property to us, we may be unsuccessful in executing such an agreement with each party who, in fact, conceives or develops intellectual property that we regard as our own. The assignment of intellectual property rights may not be self-exe</w:t>
      </w:r>
      <w:r>
        <w:rPr>
          <w:rFonts w:eastAsia="Times New Roman"/>
          <w:color w:val="000000"/>
          <w:sz w:val="20"/>
          <w:szCs w:val="20"/>
        </w:rPr>
        <w:t>cuting or the assignment agreements may be breached, and we may be forced to bring claims against third-parties, or defend claims that they may bring against us, to determine the ownership of what we regard as our intellectual property.</w:t>
      </w:r>
    </w:p>
    <w:p w:rsidR="00000000" w:rsidRDefault="00DA1786">
      <w:pPr>
        <w:jc w:val="both"/>
        <w:divId w:val="99878356"/>
        <w:rPr>
          <w:rFonts w:eastAsia="Times New Roman"/>
        </w:rPr>
      </w:pPr>
      <w:r>
        <w:rPr>
          <w:rFonts w:eastAsia="Times New Roman"/>
          <w:b/>
          <w:bCs/>
          <w:color w:val="000000"/>
          <w:sz w:val="20"/>
          <w:szCs w:val="20"/>
        </w:rPr>
        <w:t>Risks Related to Ou</w:t>
      </w:r>
      <w:r>
        <w:rPr>
          <w:rFonts w:eastAsia="Times New Roman"/>
          <w:b/>
          <w:bCs/>
          <w:color w:val="000000"/>
          <w:sz w:val="20"/>
          <w:szCs w:val="20"/>
        </w:rPr>
        <w:t>r Dependence on Third-Parties</w:t>
      </w:r>
    </w:p>
    <w:p w:rsidR="00000000" w:rsidRDefault="00DA1786">
      <w:pPr>
        <w:jc w:val="both"/>
        <w:divId w:val="622424919"/>
        <w:rPr>
          <w:rFonts w:eastAsia="Times New Roman"/>
        </w:rPr>
      </w:pPr>
      <w:r>
        <w:rPr>
          <w:rFonts w:eastAsia="Times New Roman"/>
          <w:b/>
          <w:bCs/>
          <w:i/>
          <w:iCs/>
          <w:color w:val="000000"/>
          <w:sz w:val="20"/>
          <w:szCs w:val="20"/>
        </w:rPr>
        <w:t>We may in the future enter into collaborations with third-parties to develop our product candidates. If these collaborations are not successful, our business could be harmed.</w:t>
      </w:r>
    </w:p>
    <w:p w:rsidR="00000000" w:rsidRDefault="00DA1786">
      <w:pPr>
        <w:jc w:val="both"/>
        <w:divId w:val="224099813"/>
        <w:rPr>
          <w:rFonts w:eastAsia="Times New Roman"/>
        </w:rPr>
      </w:pPr>
      <w:r>
        <w:rPr>
          <w:rFonts w:eastAsia="Times New Roman"/>
          <w:color w:val="000000"/>
          <w:sz w:val="20"/>
          <w:szCs w:val="20"/>
        </w:rPr>
        <w:t xml:space="preserve">We may enter into collaborations with third-parties in the future. We may in the </w:t>
      </w:r>
      <w:r>
        <w:rPr>
          <w:rFonts w:eastAsia="Times New Roman"/>
          <w:color w:val="000000"/>
          <w:sz w:val="20"/>
          <w:szCs w:val="20"/>
        </w:rPr>
        <w:t>future determine to collaborate with other pharmaceutical and biotechnology companies for development and potential commercialization of our product candidates. These relationships, or those like them, may require us to incur non-recurring and other charge</w:t>
      </w:r>
      <w:r>
        <w:rPr>
          <w:rFonts w:eastAsia="Times New Roman"/>
          <w:color w:val="000000"/>
          <w:sz w:val="20"/>
          <w:szCs w:val="20"/>
        </w:rPr>
        <w:t>s, increase our near- and long-term expenditures, issue securities that dilute our existing stockholders or disrupt our management and business. In addition, we could face significant competition in seeking appropriate collaborators and the negotiation pro</w:t>
      </w:r>
      <w:r>
        <w:rPr>
          <w:rFonts w:eastAsia="Times New Roman"/>
          <w:color w:val="000000"/>
          <w:sz w:val="20"/>
          <w:szCs w:val="20"/>
        </w:rPr>
        <w:t>cess is time-consuming and complex. Our ability to reach a definitive collaboration agreement will depend, among other things, upon our assessment of the collaborator’s resources and expertise, the terms and conditions of the proposed collaboration and the</w:t>
      </w:r>
      <w:r>
        <w:rPr>
          <w:rFonts w:eastAsia="Times New Roman"/>
          <w:color w:val="000000"/>
          <w:sz w:val="20"/>
          <w:szCs w:val="20"/>
        </w:rPr>
        <w:t xml:space="preserve"> proposed collaborator’s evaluation of several factors. If we license rights to our product candidates, we may not be able to realize the benefit of such transactions if we are unable to successfully integrate them with our existing operations and company </w:t>
      </w:r>
      <w:r>
        <w:rPr>
          <w:rFonts w:eastAsia="Times New Roman"/>
          <w:color w:val="000000"/>
          <w:sz w:val="20"/>
          <w:szCs w:val="20"/>
        </w:rPr>
        <w:t>culture.</w:t>
      </w:r>
    </w:p>
    <w:p w:rsidR="00000000" w:rsidRDefault="00DA1786">
      <w:pPr>
        <w:ind w:firstLine="720"/>
        <w:jc w:val="center"/>
        <w:divId w:val="1765373761"/>
        <w:rPr>
          <w:rFonts w:eastAsia="Times New Roman"/>
        </w:rPr>
      </w:pPr>
      <w:r>
        <w:rPr>
          <w:rFonts w:eastAsia="Times New Roman"/>
          <w:color w:val="000000"/>
          <w:sz w:val="20"/>
          <w:szCs w:val="20"/>
        </w:rPr>
        <w:t>30</w:t>
      </w:r>
    </w:p>
    <w:p w:rsidR="00000000" w:rsidRDefault="00DA1786">
      <w:pPr>
        <w:rPr>
          <w:rFonts w:eastAsia="Times New Roman"/>
        </w:rPr>
      </w:pPr>
      <w:r>
        <w:rPr>
          <w:rFonts w:eastAsia="Times New Roman"/>
        </w:rPr>
        <w:pict>
          <v:rect id="_x0000_i1055" style="width:0;height:1.5pt" o:hralign="center" o:hrstd="t" o:hr="t" fillcolor="#a0a0a0" stroked="f"/>
        </w:pict>
      </w:r>
    </w:p>
    <w:p w:rsidR="00000000" w:rsidRDefault="00DA1786">
      <w:pPr>
        <w:divId w:val="1763794441"/>
        <w:rPr>
          <w:rFonts w:eastAsia="Times New Roman"/>
        </w:rPr>
      </w:pPr>
    </w:p>
    <w:p w:rsidR="00000000" w:rsidRDefault="00DA1786">
      <w:pPr>
        <w:jc w:val="both"/>
        <w:divId w:val="2028170976"/>
        <w:rPr>
          <w:rFonts w:eastAsia="Times New Roman"/>
        </w:rPr>
      </w:pPr>
      <w:r>
        <w:rPr>
          <w:rFonts w:eastAsia="Times New Roman"/>
          <w:color w:val="000000"/>
          <w:sz w:val="20"/>
          <w:szCs w:val="20"/>
        </w:rPr>
        <w:t>If any such potential future collaborations do not result in the successful development and commercialization of product candidates, or if one of our future collaborators terminates its agreement with us, w</w:t>
      </w:r>
      <w:r>
        <w:rPr>
          <w:rFonts w:eastAsia="Times New Roman"/>
          <w:color w:val="000000"/>
          <w:sz w:val="20"/>
          <w:szCs w:val="20"/>
        </w:rPr>
        <w:t>e may not receive any future research funding or milestone or royalty payments under the collaboration. If we do not receive the funding we expect under these agreements, the development of our product candidates could be delayed and we may need additional</w:t>
      </w:r>
      <w:r>
        <w:rPr>
          <w:rFonts w:eastAsia="Times New Roman"/>
          <w:color w:val="000000"/>
          <w:sz w:val="20"/>
          <w:szCs w:val="20"/>
        </w:rPr>
        <w:t xml:space="preserve"> resources to develop our product candidates. In addition, if one of our future collaborators terminates its agreement with us, we may find it more difficult to attract new collaborators and the perception of us in the business and financial communities co</w:t>
      </w:r>
      <w:r>
        <w:rPr>
          <w:rFonts w:eastAsia="Times New Roman"/>
          <w:color w:val="000000"/>
          <w:sz w:val="20"/>
          <w:szCs w:val="20"/>
        </w:rPr>
        <w:t>uld be adversely affected. All of the risks relating to product development, regulatory approval and commercialization apply to the activities of our potential future collaborators.</w:t>
      </w:r>
    </w:p>
    <w:p w:rsidR="00000000" w:rsidRDefault="00DA1786">
      <w:pPr>
        <w:jc w:val="both"/>
        <w:divId w:val="873419321"/>
        <w:rPr>
          <w:rFonts w:eastAsia="Times New Roman"/>
        </w:rPr>
      </w:pPr>
      <w:r>
        <w:rPr>
          <w:rFonts w:eastAsia="Times New Roman"/>
          <w:b/>
          <w:bCs/>
          <w:color w:val="000000"/>
          <w:sz w:val="20"/>
          <w:szCs w:val="20"/>
        </w:rPr>
        <w:t>Risks Related to Our Business Operations and Employee Matters</w:t>
      </w:r>
    </w:p>
    <w:p w:rsidR="00000000" w:rsidRDefault="00DA1786">
      <w:pPr>
        <w:jc w:val="both"/>
        <w:divId w:val="102653260"/>
        <w:rPr>
          <w:rFonts w:eastAsia="Times New Roman"/>
        </w:rPr>
      </w:pPr>
      <w:r>
        <w:rPr>
          <w:rFonts w:eastAsia="Times New Roman"/>
          <w:b/>
          <w:bCs/>
          <w:i/>
          <w:iCs/>
          <w:color w:val="000000"/>
          <w:sz w:val="20"/>
          <w:szCs w:val="20"/>
        </w:rPr>
        <w:t>Our business</w:t>
      </w:r>
      <w:r>
        <w:rPr>
          <w:rFonts w:eastAsia="Times New Roman"/>
          <w:b/>
          <w:bCs/>
          <w:i/>
          <w:iCs/>
          <w:color w:val="000000"/>
          <w:sz w:val="20"/>
          <w:szCs w:val="20"/>
        </w:rPr>
        <w:t>, preclinical studies and clinical development programs and timelines, our financial condition and results of operations could be materially and adversely affected by the current COVID-19 pandemic.</w:t>
      </w:r>
    </w:p>
    <w:p w:rsidR="00000000" w:rsidRDefault="00DA1786">
      <w:pPr>
        <w:jc w:val="both"/>
        <w:divId w:val="1318221816"/>
        <w:rPr>
          <w:rFonts w:eastAsia="Times New Roman"/>
        </w:rPr>
      </w:pPr>
      <w:r>
        <w:rPr>
          <w:rFonts w:eastAsia="Times New Roman"/>
          <w:color w:val="000000"/>
          <w:sz w:val="20"/>
          <w:szCs w:val="20"/>
        </w:rPr>
        <w:t>A novel strain of coronavirus, SARS-CoV-2, causing COVID-1</w:t>
      </w:r>
      <w:r>
        <w:rPr>
          <w:rFonts w:eastAsia="Times New Roman"/>
          <w:color w:val="000000"/>
          <w:sz w:val="20"/>
          <w:szCs w:val="20"/>
        </w:rPr>
        <w:t>9, has been declared a pandemic by the World Health Organization. The COVID-19 pandemic has resulted in travel and other restrictions in order to reduce the spread of the disease, including state and local orders across the country, which, among other thin</w:t>
      </w:r>
      <w:r>
        <w:rPr>
          <w:rFonts w:eastAsia="Times New Roman"/>
          <w:color w:val="000000"/>
          <w:sz w:val="20"/>
          <w:szCs w:val="20"/>
        </w:rPr>
        <w:t xml:space="preserve">gs, direct individuals to shelter at their places of residence, direct businesses and governmental agencies to cease non-essential operations at physical locations, prohibit certain non-essential gatherings, and order cessation of non-essential travel. In </w:t>
      </w:r>
      <w:r>
        <w:rPr>
          <w:rFonts w:eastAsia="Times New Roman"/>
          <w:color w:val="000000"/>
          <w:sz w:val="20"/>
          <w:szCs w:val="20"/>
        </w:rPr>
        <w:t>response to these public health directives and orders, we have implemented work-from-home policies for certain employees. The effects of the executive orders, the shelter-in-place orders and our work-from-home policies may negatively impact productivity, d</w:t>
      </w:r>
      <w:r>
        <w:rPr>
          <w:rFonts w:eastAsia="Times New Roman"/>
          <w:color w:val="000000"/>
          <w:sz w:val="20"/>
          <w:szCs w:val="20"/>
        </w:rPr>
        <w:t>isrupt our business and delay our clinical programs and timelines, the magnitude of which will depend, in part, on the length and severity of the restrictions and other limitations on our ability to conduct our business in the ordinary course. These and si</w:t>
      </w:r>
      <w:r>
        <w:rPr>
          <w:rFonts w:eastAsia="Times New Roman"/>
          <w:color w:val="000000"/>
          <w:sz w:val="20"/>
          <w:szCs w:val="20"/>
        </w:rPr>
        <w:t>milar, and perhaps more severe, disruptions in our operations could negatively impact our business, operating results and financial condition.</w:t>
      </w:r>
    </w:p>
    <w:p w:rsidR="00000000" w:rsidRDefault="00DA1786">
      <w:pPr>
        <w:jc w:val="both"/>
        <w:divId w:val="322857569"/>
        <w:rPr>
          <w:rFonts w:eastAsia="Times New Roman"/>
        </w:rPr>
      </w:pPr>
      <w:r>
        <w:rPr>
          <w:rFonts w:eastAsia="Times New Roman"/>
          <w:color w:val="000000"/>
          <w:sz w:val="20"/>
          <w:szCs w:val="20"/>
        </w:rPr>
        <w:t>Quarantines, shelter-in-place and similar government orders related to COVID-19 may adversely impact our business</w:t>
      </w:r>
      <w:r>
        <w:rPr>
          <w:rFonts w:eastAsia="Times New Roman"/>
          <w:color w:val="000000"/>
          <w:sz w:val="20"/>
          <w:szCs w:val="20"/>
        </w:rPr>
        <w:t xml:space="preserve"> operations and the business operations of our contract research organizations conducting our clinical trials and our third-party manufacturing facilities in the United States and other countries. In particular, some of our third-party manufacturers which </w:t>
      </w:r>
      <w:r>
        <w:rPr>
          <w:rFonts w:eastAsia="Times New Roman"/>
          <w:color w:val="000000"/>
          <w:sz w:val="20"/>
          <w:szCs w:val="20"/>
        </w:rPr>
        <w:t xml:space="preserve">we use for the supply of materials for product candidates or other materials necessary to manufacture product to conduct preclinical studies and clinical trials are located in countries affected by COVID-19, and should they experience disruptions, such as </w:t>
      </w:r>
      <w:r>
        <w:rPr>
          <w:rFonts w:eastAsia="Times New Roman"/>
          <w:color w:val="000000"/>
          <w:sz w:val="20"/>
          <w:szCs w:val="20"/>
        </w:rPr>
        <w:t>temporary closures or suspension of services, we would likely experience delays in advancing these tests and trials.</w:t>
      </w:r>
    </w:p>
    <w:p w:rsidR="00000000" w:rsidRDefault="00DA1786">
      <w:pPr>
        <w:jc w:val="both"/>
        <w:divId w:val="968243326"/>
        <w:rPr>
          <w:rFonts w:eastAsia="Times New Roman"/>
        </w:rPr>
      </w:pPr>
      <w:r>
        <w:rPr>
          <w:rFonts w:eastAsia="Times New Roman"/>
          <w:color w:val="000000"/>
          <w:sz w:val="20"/>
          <w:szCs w:val="20"/>
        </w:rPr>
        <w:t>The spread of COVID-19, which has caused a broad impact globally, may materially affect us economically. While the potential economic impac</w:t>
      </w:r>
      <w:r>
        <w:rPr>
          <w:rFonts w:eastAsia="Times New Roman"/>
          <w:color w:val="000000"/>
          <w:sz w:val="20"/>
          <w:szCs w:val="20"/>
        </w:rPr>
        <w:t>t brought by, and the duration of, COVID-19 may be difficult to assess or predict, a widespread pandemic could result in significant disruption of global financial markets, reducing our ability to access capital, which could in the future negatively affect</w:t>
      </w:r>
      <w:r>
        <w:rPr>
          <w:rFonts w:eastAsia="Times New Roman"/>
          <w:color w:val="000000"/>
          <w:sz w:val="20"/>
          <w:szCs w:val="20"/>
        </w:rPr>
        <w:t xml:space="preserve"> our liquidity. In addition, a recession or market correction resulting from the spread of COVID-19 could materially affect our business and the value of our common stock.</w:t>
      </w:r>
    </w:p>
    <w:p w:rsidR="00000000" w:rsidRDefault="00DA1786">
      <w:pPr>
        <w:jc w:val="both"/>
        <w:divId w:val="1130173635"/>
        <w:rPr>
          <w:rFonts w:eastAsia="Times New Roman"/>
        </w:rPr>
      </w:pPr>
      <w:r>
        <w:rPr>
          <w:rFonts w:eastAsia="Times New Roman"/>
          <w:color w:val="000000"/>
          <w:sz w:val="20"/>
          <w:szCs w:val="20"/>
        </w:rPr>
        <w:t>The global pandemic of COVID-19 continues to rapidly evolve. The extent to which the</w:t>
      </w:r>
      <w:r>
        <w:rPr>
          <w:rFonts w:eastAsia="Times New Roman"/>
          <w:color w:val="000000"/>
          <w:sz w:val="20"/>
          <w:szCs w:val="20"/>
        </w:rPr>
        <w:t xml:space="preserve"> COVID-19 pandemic impacts our business, our clinical development and regulatory efforts will depend on future developments that are highly uncertain and cannot be predicted with confidence, such as the duration of the outbreak, travel restrictions, quaran</w:t>
      </w:r>
      <w:r>
        <w:rPr>
          <w:rFonts w:eastAsia="Times New Roman"/>
          <w:color w:val="000000"/>
          <w:sz w:val="20"/>
          <w:szCs w:val="20"/>
        </w:rPr>
        <w:t>tines, social distancing requirements and business closures in the United States and other countries, and business disruptions, and the effectiveness of actions taken in the United States and other countries to contain and treat the disease. Accordingly, w</w:t>
      </w:r>
      <w:r>
        <w:rPr>
          <w:rFonts w:eastAsia="Times New Roman"/>
          <w:color w:val="000000"/>
          <w:sz w:val="20"/>
          <w:szCs w:val="20"/>
        </w:rPr>
        <w:t xml:space="preserve">e do not yet know the full extent of potential delays or impacts on our business, our clinical and regulatory activities, healthcare systems or the global economy as a whole. However, these impacts could adversely affect our business, financial condition, </w:t>
      </w:r>
      <w:r>
        <w:rPr>
          <w:rFonts w:eastAsia="Times New Roman"/>
          <w:color w:val="000000"/>
          <w:sz w:val="20"/>
          <w:szCs w:val="20"/>
        </w:rPr>
        <w:t xml:space="preserve">results of operations and growth prospects. </w:t>
      </w:r>
    </w:p>
    <w:p w:rsidR="00000000" w:rsidRDefault="00DA1786">
      <w:pPr>
        <w:jc w:val="both"/>
        <w:divId w:val="11928053"/>
        <w:rPr>
          <w:rFonts w:eastAsia="Times New Roman"/>
        </w:rPr>
      </w:pPr>
      <w:r>
        <w:rPr>
          <w:rFonts w:eastAsia="Times New Roman"/>
          <w:color w:val="000000"/>
          <w:sz w:val="20"/>
          <w:szCs w:val="20"/>
        </w:rPr>
        <w:t>In addition, to the extent the ongoing COVID-19 pandemic adversely affects our business and results of operations, it may also have the effect of heightening many of the other risks and uncertainties described i</w:t>
      </w:r>
      <w:r>
        <w:rPr>
          <w:rFonts w:eastAsia="Times New Roman"/>
          <w:color w:val="000000"/>
          <w:sz w:val="20"/>
          <w:szCs w:val="20"/>
        </w:rPr>
        <w:t>n this ‘‘Risk Factors’’ section.</w:t>
      </w:r>
    </w:p>
    <w:p w:rsidR="00000000" w:rsidRDefault="00DA1786">
      <w:pPr>
        <w:jc w:val="both"/>
        <w:divId w:val="672876695"/>
        <w:rPr>
          <w:rFonts w:eastAsia="Times New Roman"/>
        </w:rPr>
      </w:pPr>
      <w:r>
        <w:rPr>
          <w:rFonts w:eastAsia="Times New Roman"/>
          <w:b/>
          <w:bCs/>
          <w:i/>
          <w:iCs/>
          <w:color w:val="000000"/>
          <w:sz w:val="20"/>
          <w:szCs w:val="20"/>
          <w:shd w:val="clear" w:color="auto" w:fill="FFFFFF"/>
        </w:rPr>
        <w:t>We are highly dependent</w:t>
      </w:r>
      <w:r>
        <w:rPr>
          <w:rFonts w:eastAsia="Times New Roman"/>
          <w:color w:val="000000"/>
          <w:sz w:val="20"/>
          <w:szCs w:val="20"/>
          <w:shd w:val="clear" w:color="auto" w:fill="FFFFFF"/>
        </w:rPr>
        <w:t xml:space="preserve"> </w:t>
      </w:r>
      <w:r>
        <w:rPr>
          <w:rFonts w:eastAsia="Times New Roman"/>
          <w:b/>
          <w:bCs/>
          <w:i/>
          <w:iCs/>
          <w:color w:val="000000"/>
          <w:sz w:val="20"/>
          <w:szCs w:val="20"/>
        </w:rPr>
        <w:t>on the services of our key executives and personnel, including Louis Arcudi III, our chief executive officer and</w:t>
      </w:r>
      <w:r>
        <w:rPr>
          <w:rFonts w:eastAsia="Times New Roman"/>
          <w:b/>
          <w:bCs/>
          <w:i/>
          <w:iCs/>
          <w:color w:val="000000"/>
          <w:sz w:val="20"/>
          <w:szCs w:val="20"/>
          <w:shd w:val="clear" w:color="auto" w:fill="FFFFFF"/>
        </w:rPr>
        <w:t xml:space="preserve"> Jennifer Minai-Azary</w:t>
      </w:r>
      <w:r>
        <w:rPr>
          <w:rFonts w:eastAsia="Times New Roman"/>
          <w:b/>
          <w:bCs/>
          <w:i/>
          <w:iCs/>
          <w:color w:val="000000"/>
          <w:sz w:val="20"/>
          <w:szCs w:val="20"/>
        </w:rPr>
        <w:t>, our chief financial officer</w:t>
      </w:r>
      <w:r>
        <w:rPr>
          <w:rFonts w:eastAsia="Times New Roman"/>
          <w:b/>
          <w:bCs/>
          <w:i/>
          <w:iCs/>
          <w:color w:val="000000"/>
          <w:sz w:val="20"/>
          <w:szCs w:val="20"/>
          <w:shd w:val="clear" w:color="auto" w:fill="FFFFFF"/>
        </w:rPr>
        <w:t xml:space="preserve"> and if we are not able to retain the</w:t>
      </w:r>
      <w:r>
        <w:rPr>
          <w:rFonts w:eastAsia="Times New Roman"/>
          <w:b/>
          <w:bCs/>
          <w:i/>
          <w:iCs/>
          <w:color w:val="000000"/>
          <w:sz w:val="20"/>
          <w:szCs w:val="20"/>
          <w:shd w:val="clear" w:color="auto" w:fill="FFFFFF"/>
        </w:rPr>
        <w:t>se members of our management team or recruit and retain additional management or personnel, our business will be harmed.</w:t>
      </w:r>
    </w:p>
    <w:p w:rsidR="00000000" w:rsidRDefault="00DA1786">
      <w:pPr>
        <w:jc w:val="both"/>
        <w:divId w:val="1946885569"/>
        <w:rPr>
          <w:rFonts w:eastAsia="Times New Roman"/>
        </w:rPr>
      </w:pPr>
      <w:r>
        <w:rPr>
          <w:rFonts w:eastAsia="Times New Roman"/>
          <w:color w:val="000000"/>
          <w:sz w:val="20"/>
          <w:szCs w:val="20"/>
        </w:rPr>
        <w:t>We are highly dependent on</w:t>
      </w:r>
      <w:r>
        <w:rPr>
          <w:rFonts w:eastAsia="Times New Roman"/>
          <w:color w:val="000000"/>
          <w:sz w:val="20"/>
          <w:szCs w:val="20"/>
          <w:shd w:val="clear" w:color="auto" w:fill="FFFFFF"/>
        </w:rPr>
        <w:t xml:space="preserve"> Mr. Arcudi and Ms. Minai-Azary. The employme</w:t>
      </w:r>
      <w:r>
        <w:rPr>
          <w:rFonts w:eastAsia="Times New Roman"/>
          <w:color w:val="000000"/>
          <w:sz w:val="20"/>
          <w:szCs w:val="20"/>
        </w:rPr>
        <w:t>nt agreements we have with these officers do not prevent such pe</w:t>
      </w:r>
      <w:r>
        <w:rPr>
          <w:rFonts w:eastAsia="Times New Roman"/>
          <w:color w:val="000000"/>
          <w:sz w:val="20"/>
          <w:szCs w:val="20"/>
        </w:rPr>
        <w:t>rsons from terminating their employment with us at any time. Further, these officers may be unable to perform their duties or have limited availability due to COVID-19 or other health emergencies. The temporary or permanent loss of the services of any of t</w:t>
      </w:r>
      <w:r>
        <w:rPr>
          <w:rFonts w:eastAsia="Times New Roman"/>
          <w:color w:val="000000"/>
          <w:sz w:val="20"/>
          <w:szCs w:val="20"/>
        </w:rPr>
        <w:t>hese persons could impede the achievement of our corporate objectives.</w:t>
      </w:r>
    </w:p>
    <w:p w:rsidR="00000000" w:rsidRDefault="00DA1786">
      <w:pPr>
        <w:ind w:firstLine="720"/>
        <w:jc w:val="center"/>
        <w:divId w:val="2121026121"/>
        <w:rPr>
          <w:rFonts w:eastAsia="Times New Roman"/>
        </w:rPr>
      </w:pPr>
      <w:r>
        <w:rPr>
          <w:rFonts w:eastAsia="Times New Roman"/>
          <w:color w:val="000000"/>
          <w:sz w:val="20"/>
          <w:szCs w:val="20"/>
        </w:rPr>
        <w:t>31</w:t>
      </w:r>
    </w:p>
    <w:p w:rsidR="00000000" w:rsidRDefault="00DA1786">
      <w:pPr>
        <w:rPr>
          <w:rFonts w:eastAsia="Times New Roman"/>
        </w:rPr>
      </w:pPr>
      <w:r>
        <w:rPr>
          <w:rFonts w:eastAsia="Times New Roman"/>
        </w:rPr>
        <w:pict>
          <v:rect id="_x0000_i1056" style="width:0;height:1.5pt" o:hralign="center" o:hrstd="t" o:hr="t" fillcolor="#a0a0a0" stroked="f"/>
        </w:pict>
      </w:r>
    </w:p>
    <w:p w:rsidR="00000000" w:rsidRDefault="00DA1786">
      <w:pPr>
        <w:divId w:val="1880119612"/>
        <w:rPr>
          <w:rFonts w:eastAsia="Times New Roman"/>
        </w:rPr>
      </w:pPr>
    </w:p>
    <w:p w:rsidR="00000000" w:rsidRDefault="00DA1786">
      <w:pPr>
        <w:jc w:val="both"/>
        <w:divId w:val="897936995"/>
        <w:rPr>
          <w:rFonts w:eastAsia="Times New Roman"/>
        </w:rPr>
      </w:pPr>
      <w:r>
        <w:rPr>
          <w:rFonts w:eastAsia="Times New Roman"/>
          <w:color w:val="000000"/>
          <w:sz w:val="20"/>
          <w:szCs w:val="20"/>
        </w:rPr>
        <w:t>To the extent we resume drug development activities, we will also be dependent on our continued ability to attract, retain and motivate highly qualified additional management and personnel. If we are not able to retain</w:t>
      </w:r>
      <w:r>
        <w:rPr>
          <w:rFonts w:eastAsia="Times New Roman"/>
          <w:color w:val="000000"/>
          <w:sz w:val="20"/>
          <w:szCs w:val="20"/>
        </w:rPr>
        <w:t xml:space="preserve"> our management and to attract, on acceptable terms, additional qualified personnel necessary for the continued development of our business, we may not be able to sustain our operations or grow.</w:t>
      </w:r>
    </w:p>
    <w:p w:rsidR="00000000" w:rsidRDefault="00DA1786">
      <w:pPr>
        <w:jc w:val="both"/>
        <w:divId w:val="128403755"/>
        <w:rPr>
          <w:rFonts w:eastAsia="Times New Roman"/>
        </w:rPr>
      </w:pPr>
      <w:r>
        <w:rPr>
          <w:rFonts w:eastAsia="Times New Roman"/>
          <w:color w:val="000000"/>
          <w:sz w:val="20"/>
          <w:szCs w:val="20"/>
        </w:rPr>
        <w:t>We may not be able to attract or retain qualified personnel i</w:t>
      </w:r>
      <w:r>
        <w:rPr>
          <w:rFonts w:eastAsia="Times New Roman"/>
          <w:color w:val="000000"/>
          <w:sz w:val="20"/>
          <w:szCs w:val="20"/>
        </w:rPr>
        <w:t xml:space="preserve">n the future due to the intense competition for qualified personnel among biotechnology, pharmaceutical and other businesses. Many of the other pharmaceutical companies that we compete against for qualified personnel and consultants have greater financial </w:t>
      </w:r>
      <w:r>
        <w:rPr>
          <w:rFonts w:eastAsia="Times New Roman"/>
          <w:color w:val="000000"/>
          <w:sz w:val="20"/>
          <w:szCs w:val="20"/>
        </w:rPr>
        <w:t>and other resources, different risk profiles, are located in geographies with a larger biotechnology industry presence and a longer history in the industry than we do. They also may provide more diverse opportunities and better chances for career advanceme</w:t>
      </w:r>
      <w:r>
        <w:rPr>
          <w:rFonts w:eastAsia="Times New Roman"/>
          <w:color w:val="000000"/>
          <w:sz w:val="20"/>
          <w:szCs w:val="20"/>
        </w:rPr>
        <w:t>nt. Some of these characteristics may be more appealing to high-quality candidates and consultants than what we have to offer. If we are unable to continue to attract, retain and motivate high-quality personnel and consultants to accomplish our business ob</w:t>
      </w:r>
      <w:r>
        <w:rPr>
          <w:rFonts w:eastAsia="Times New Roman"/>
          <w:color w:val="000000"/>
          <w:sz w:val="20"/>
          <w:szCs w:val="20"/>
        </w:rPr>
        <w:t>jectives, the rate and success at which we can discover and develop product candidates and our business will be limited and we may experience constraints on our development objectives.</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We have recently reduced the size of our organization, and we may enc</w:t>
      </w:r>
      <w:r>
        <w:rPr>
          <w:rFonts w:eastAsia="Times New Roman"/>
          <w:b/>
          <w:bCs/>
          <w:i/>
          <w:iCs/>
          <w:color w:val="000000"/>
          <w:sz w:val="20"/>
          <w:szCs w:val="20"/>
        </w:rPr>
        <w:t>ounter difficulties in managing our business as a result of this reduction, or the attrition that may occur following this reduction, which could disrupt our operations. In addition, we may not achieve anticipated benefits and savings from the reduction.</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January 2021, we began the implementation of a reduction in force that will reduce the number of our employees by up to 85 percent. The reduction in force, and the attrition thereafter, resulted in the loss of longer-term employees, the loss of institu</w:t>
      </w:r>
      <w:r>
        <w:rPr>
          <w:rFonts w:eastAsia="Times New Roman"/>
          <w:color w:val="000000"/>
          <w:sz w:val="20"/>
          <w:szCs w:val="20"/>
        </w:rPr>
        <w:t>tional knowledge and expertise and the reallocation and combination of certain of roles and responsibilities across the organization, all of which could adversely affect our operations. Given the complexity and nature of our business, we must continue to i</w:t>
      </w:r>
      <w:r>
        <w:rPr>
          <w:rFonts w:eastAsia="Times New Roman"/>
          <w:color w:val="000000"/>
          <w:sz w:val="20"/>
          <w:szCs w:val="20"/>
        </w:rPr>
        <w:t>mplement and improve our managerial, operational and financial systems, manage our facilities and continue to recruit and retain qualified personnel. This will be made more challenging given the reduction in force described above and additional measures we</w:t>
      </w:r>
      <w:r>
        <w:rPr>
          <w:rFonts w:eastAsia="Times New Roman"/>
          <w:color w:val="000000"/>
          <w:sz w:val="20"/>
          <w:szCs w:val="20"/>
        </w:rPr>
        <w:t xml:space="preserve"> may take to reduce costs. As a result, our management may need to divert a disproportionate amount of its attention away from our day-to-day strategic and operational activities, and devote a substantial amount of time to managing these organizational cha</w:t>
      </w:r>
      <w:r>
        <w:rPr>
          <w:rFonts w:eastAsia="Times New Roman"/>
          <w:color w:val="000000"/>
          <w:sz w:val="20"/>
          <w:szCs w:val="20"/>
        </w:rPr>
        <w:t xml:space="preserve">nges. Further, the restructuring and possible additional cost containment measures may yield unintended consequences, such as attrition beyond our intended reduction in force and reduced employee morale. In addition, employees who were not affected by the </w:t>
      </w:r>
      <w:r>
        <w:rPr>
          <w:rFonts w:eastAsia="Times New Roman"/>
          <w:color w:val="000000"/>
          <w:sz w:val="20"/>
          <w:szCs w:val="20"/>
        </w:rPr>
        <w:t>reduction in force may seek alternate employment which would result in us seeking contract support at unplanned additional expense. In addition, we may not achieve anticipated benefits from the reduction in force. Due to our limited resources, we may not b</w:t>
      </w:r>
      <w:r>
        <w:rPr>
          <w:rFonts w:eastAsia="Times New Roman"/>
          <w:color w:val="000000"/>
          <w:sz w:val="20"/>
          <w:szCs w:val="20"/>
        </w:rPr>
        <w:t>e able to effectively manage our operations or recruit and retain qualified personnel, which may result in weaknesses in our infrastructure and operations, risks that we may not be able to comply with legal and regulatory requirements, loss of business opp</w:t>
      </w:r>
      <w:r>
        <w:rPr>
          <w:rFonts w:eastAsia="Times New Roman"/>
          <w:color w:val="000000"/>
          <w:sz w:val="20"/>
          <w:szCs w:val="20"/>
        </w:rPr>
        <w:t>ortunities, loss of employees and reduced productivity among remaining employees. If our management is unable to effectively manage this transition and reduction in force and additional cost containment measures, our expenses may be more than expected, and</w:t>
      </w:r>
      <w:r>
        <w:rPr>
          <w:rFonts w:eastAsia="Times New Roman"/>
          <w:color w:val="000000"/>
          <w:sz w:val="20"/>
          <w:szCs w:val="20"/>
        </w:rPr>
        <w:t xml:space="preserve"> we may not be able to implement our business strategy.</w:t>
      </w:r>
    </w:p>
    <w:p w:rsidR="00000000" w:rsidRDefault="00DA1786">
      <w:pPr>
        <w:jc w:val="both"/>
        <w:divId w:val="468740595"/>
        <w:rPr>
          <w:rFonts w:eastAsia="Times New Roman"/>
        </w:rPr>
      </w:pPr>
      <w:r>
        <w:rPr>
          <w:rFonts w:eastAsia="Times New Roman"/>
          <w:b/>
          <w:bCs/>
          <w:i/>
          <w:iCs/>
          <w:color w:val="000000"/>
          <w:sz w:val="20"/>
          <w:szCs w:val="20"/>
        </w:rPr>
        <w:t>Our employees, independent contractors, principal investigators, consultants, commercial collaborators, service providers and other vendors may engage in misconduct or other improper activities, inclu</w:t>
      </w:r>
      <w:r>
        <w:rPr>
          <w:rFonts w:eastAsia="Times New Roman"/>
          <w:b/>
          <w:bCs/>
          <w:i/>
          <w:iCs/>
          <w:color w:val="000000"/>
          <w:sz w:val="20"/>
          <w:szCs w:val="20"/>
        </w:rPr>
        <w:t>ding historical noncompliance with regulatory standards and requirements, which could have an adverse effect on our results of operations.</w:t>
      </w:r>
    </w:p>
    <w:p w:rsidR="00000000" w:rsidRDefault="00DA1786">
      <w:pPr>
        <w:jc w:val="both"/>
        <w:divId w:val="986979895"/>
        <w:rPr>
          <w:rFonts w:eastAsia="Times New Roman"/>
        </w:rPr>
      </w:pPr>
      <w:r>
        <w:rPr>
          <w:rFonts w:eastAsia="Times New Roman"/>
          <w:color w:val="000000"/>
          <w:sz w:val="20"/>
          <w:szCs w:val="20"/>
        </w:rPr>
        <w:t>We are exposed to the risk of fraud or other misconduct by our employees, principal investigators, consultants and co</w:t>
      </w:r>
      <w:r>
        <w:rPr>
          <w:rFonts w:eastAsia="Times New Roman"/>
          <w:color w:val="000000"/>
          <w:sz w:val="20"/>
          <w:szCs w:val="20"/>
        </w:rPr>
        <w:t>mmercial partners. Misconduct by these parties could include intentional failures to comply with FDA regulations or the regulations applicable in other jurisdictions, provide accurate information to the FDA and other regulatory authorities, comply with hea</w:t>
      </w:r>
      <w:r>
        <w:rPr>
          <w:rFonts w:eastAsia="Times New Roman"/>
          <w:color w:val="000000"/>
          <w:sz w:val="20"/>
          <w:szCs w:val="20"/>
        </w:rPr>
        <w:t>lthcare fraud and abuse laws and regulations in the United States and abroad, report financial information or data accurately or disclose unauthorized activities to us. In particular, sales, marketing and business arrangements in the healthcare industry ar</w:t>
      </w:r>
      <w:r>
        <w:rPr>
          <w:rFonts w:eastAsia="Times New Roman"/>
          <w:color w:val="000000"/>
          <w:sz w:val="20"/>
          <w:szCs w:val="20"/>
        </w:rPr>
        <w:t>e subject to extensive laws and regulations intended to prevent fraud, misconduct, kickbacks, self-dealing and other abusive practices. These laws and regulations restrict or prohibit a wide range of pricing, discounting, marketing and promotion, sales com</w:t>
      </w:r>
      <w:r>
        <w:rPr>
          <w:rFonts w:eastAsia="Times New Roman"/>
          <w:color w:val="000000"/>
          <w:sz w:val="20"/>
          <w:szCs w:val="20"/>
        </w:rPr>
        <w:t>mission, customer incentive programs and other business arrangements. Such misconduct also could involve the improper use of information obtained in the course of clinical trials or interactions with the FDA or other regulatory authorities, which could res</w:t>
      </w:r>
      <w:r>
        <w:rPr>
          <w:rFonts w:eastAsia="Times New Roman"/>
          <w:color w:val="000000"/>
          <w:sz w:val="20"/>
          <w:szCs w:val="20"/>
        </w:rPr>
        <w:t>ult in regulatory sanctions and cause serious harm to our reputation. It is not always possible to identify and deter employee misconduct, and the precautions we take to detect and prevent this activity may not be effective in controlling unknown or unmana</w:t>
      </w:r>
      <w:r>
        <w:rPr>
          <w:rFonts w:eastAsia="Times New Roman"/>
          <w:color w:val="000000"/>
          <w:sz w:val="20"/>
          <w:szCs w:val="20"/>
        </w:rPr>
        <w:t>ged risks or losses or in protecting us from government investigations or other actions or lawsuits stemming from a failure to comply with these laws or regulations. If any such actions are instituted against us and we are not successful in defending itsel</w:t>
      </w:r>
      <w:r>
        <w:rPr>
          <w:rFonts w:eastAsia="Times New Roman"/>
          <w:color w:val="000000"/>
          <w:sz w:val="20"/>
          <w:szCs w:val="20"/>
        </w:rPr>
        <w:t>f or asserting our rights, those actions could have a negative impact on our business, financial condition and results of operations, including the imposition of significant fines or other sanctions.</w:t>
      </w:r>
    </w:p>
    <w:p w:rsidR="00000000" w:rsidRDefault="00DA1786">
      <w:pPr>
        <w:jc w:val="both"/>
        <w:divId w:val="991443312"/>
        <w:rPr>
          <w:rFonts w:eastAsia="Times New Roman"/>
        </w:rPr>
      </w:pPr>
      <w:r>
        <w:rPr>
          <w:rFonts w:eastAsia="Times New Roman"/>
          <w:b/>
          <w:bCs/>
          <w:i/>
          <w:iCs/>
          <w:color w:val="000000"/>
          <w:sz w:val="20"/>
          <w:szCs w:val="20"/>
        </w:rPr>
        <w:t>We may be delayed in our receipt of certain tax benefits</w:t>
      </w:r>
      <w:r>
        <w:rPr>
          <w:rFonts w:eastAsia="Times New Roman"/>
          <w:b/>
          <w:bCs/>
          <w:i/>
          <w:iCs/>
          <w:color w:val="000000"/>
          <w:sz w:val="20"/>
          <w:szCs w:val="20"/>
        </w:rPr>
        <w:t xml:space="preserve"> that Alizé historically received as a French technology company.</w:t>
      </w:r>
    </w:p>
    <w:p w:rsidR="00000000" w:rsidRDefault="00DA1786">
      <w:pPr>
        <w:jc w:val="both"/>
        <w:divId w:val="428738057"/>
        <w:rPr>
          <w:rFonts w:eastAsia="Times New Roman"/>
        </w:rPr>
      </w:pPr>
      <w:r>
        <w:rPr>
          <w:rFonts w:eastAsia="Times New Roman"/>
          <w:color w:val="000000"/>
          <w:sz w:val="20"/>
          <w:szCs w:val="20"/>
        </w:rPr>
        <w:t xml:space="preserve">As a French technology company, Alizé historically benefited from certain tax advantages, including the French research tax </w:t>
      </w:r>
    </w:p>
    <w:p w:rsidR="00000000" w:rsidRDefault="00DA1786">
      <w:pPr>
        <w:ind w:firstLine="720"/>
        <w:jc w:val="center"/>
        <w:divId w:val="322900112"/>
        <w:rPr>
          <w:rFonts w:eastAsia="Times New Roman"/>
        </w:rPr>
      </w:pPr>
      <w:r>
        <w:rPr>
          <w:rFonts w:eastAsia="Times New Roman"/>
          <w:color w:val="000000"/>
          <w:sz w:val="20"/>
          <w:szCs w:val="20"/>
        </w:rPr>
        <w:t>32</w:t>
      </w:r>
    </w:p>
    <w:p w:rsidR="00000000" w:rsidRDefault="00DA1786">
      <w:pPr>
        <w:rPr>
          <w:rFonts w:eastAsia="Times New Roman"/>
        </w:rPr>
      </w:pPr>
      <w:r>
        <w:rPr>
          <w:rFonts w:eastAsia="Times New Roman"/>
        </w:rPr>
        <w:pict>
          <v:rect id="_x0000_i1057" style="width:0;height:1.5pt" o:hralign="center" o:hrstd="t" o:hr="t" fillcolor="#a0a0a0" stroked="f"/>
        </w:pict>
      </w:r>
    </w:p>
    <w:p w:rsidR="00000000" w:rsidRDefault="00DA1786">
      <w:pPr>
        <w:divId w:val="1345203308"/>
        <w:rPr>
          <w:rFonts w:eastAsia="Times New Roman"/>
        </w:rPr>
      </w:pPr>
    </w:p>
    <w:p w:rsidR="00000000" w:rsidRDefault="00DA1786">
      <w:pPr>
        <w:jc w:val="both"/>
        <w:divId w:val="1023437852"/>
        <w:rPr>
          <w:rFonts w:eastAsia="Times New Roman"/>
        </w:rPr>
      </w:pPr>
      <w:r>
        <w:rPr>
          <w:rFonts w:eastAsia="Times New Roman"/>
          <w:color w:val="000000"/>
          <w:sz w:val="20"/>
          <w:szCs w:val="20"/>
        </w:rPr>
        <w:t>credit (</w:t>
      </w:r>
      <w:r>
        <w:rPr>
          <w:rFonts w:eastAsia="Times New Roman"/>
          <w:i/>
          <w:iCs/>
          <w:color w:val="000000"/>
          <w:sz w:val="20"/>
          <w:szCs w:val="20"/>
        </w:rPr>
        <w:t>credit d’</w:t>
      </w:r>
      <w:r>
        <w:rPr>
          <w:rFonts w:eastAsia="Times New Roman"/>
          <w:i/>
          <w:iCs/>
          <w:color w:val="000000"/>
          <w:sz w:val="20"/>
          <w:szCs w:val="20"/>
        </w:rPr>
        <w:t>impot recherche</w:t>
      </w:r>
      <w:r>
        <w:rPr>
          <w:rFonts w:eastAsia="Times New Roman"/>
          <w:color w:val="000000"/>
          <w:sz w:val="20"/>
          <w:szCs w:val="20"/>
        </w:rPr>
        <w:t>) (“CIR”). The CIR is a French tax credit aimed at stimulating research and development and can offset French corporate income tax due. Alizé has historically received CIR reimbursements promptly following filing for such reimbursements with</w:t>
      </w:r>
      <w:r>
        <w:rPr>
          <w:rFonts w:eastAsia="Times New Roman"/>
          <w:color w:val="000000"/>
          <w:sz w:val="20"/>
          <w:szCs w:val="20"/>
        </w:rPr>
        <w:t xml:space="preserve"> applicable French taxing authorities. For the year ended December 31, 2018, claims were made totaling $1.3 million, which we received in the third quarter of 2019. For the year ended December 31, 2019, claims were made totaling $1.3 million, which we rece</w:t>
      </w:r>
      <w:r>
        <w:rPr>
          <w:rFonts w:eastAsia="Times New Roman"/>
          <w:color w:val="000000"/>
          <w:sz w:val="20"/>
          <w:szCs w:val="20"/>
        </w:rPr>
        <w:t>ived in the second quarter of 2020. In the future, we may no longer qualify as a French small or medium size enterprise, and, accordingly, we may be subject to a three-year waiting period for reimbursement of CIRs, which could adversely affect the combined</w:t>
      </w:r>
      <w:r>
        <w:rPr>
          <w:rFonts w:eastAsia="Times New Roman"/>
          <w:color w:val="000000"/>
          <w:sz w:val="20"/>
          <w:szCs w:val="20"/>
        </w:rPr>
        <w:t xml:space="preserve"> business’s results of operations and cash flows. In addition, the amount of CIR received is, among other factors, dependent upon incurring qualified research and development expenses and maintaining a certain level of employee salaries and other personnel</w:t>
      </w:r>
      <w:r>
        <w:rPr>
          <w:rFonts w:eastAsia="Times New Roman"/>
          <w:color w:val="000000"/>
          <w:sz w:val="20"/>
          <w:szCs w:val="20"/>
        </w:rPr>
        <w:t xml:space="preserve"> costs in France. The number of our research and development employees in France decreased during the year ended December 31, 2020 and we experienced a decrease in qualified research and development expenses for the year ended December 31, 2020 due to the </w:t>
      </w:r>
      <w:r>
        <w:rPr>
          <w:rFonts w:eastAsia="Times New Roman"/>
          <w:color w:val="000000"/>
          <w:sz w:val="20"/>
          <w:szCs w:val="20"/>
        </w:rPr>
        <w:t>discontinuation of our livoletide program. We plan to dissolve our subsidiary in France.</w:t>
      </w:r>
    </w:p>
    <w:p w:rsidR="00000000" w:rsidRDefault="00DA1786">
      <w:pPr>
        <w:jc w:val="both"/>
        <w:divId w:val="71246255"/>
        <w:rPr>
          <w:rFonts w:eastAsia="Times New Roman"/>
        </w:rPr>
      </w:pPr>
      <w:r>
        <w:rPr>
          <w:rFonts w:eastAsia="Times New Roman"/>
          <w:b/>
          <w:bCs/>
          <w:i/>
          <w:iCs/>
          <w:color w:val="000000"/>
          <w:sz w:val="20"/>
          <w:szCs w:val="20"/>
        </w:rPr>
        <w:t>Our internal computer systems, or those of our collaborators or other contractors or consultants, may fail or suffer security breaches, which could result in a materia</w:t>
      </w:r>
      <w:r>
        <w:rPr>
          <w:rFonts w:eastAsia="Times New Roman"/>
          <w:b/>
          <w:bCs/>
          <w:i/>
          <w:iCs/>
          <w:color w:val="000000"/>
          <w:sz w:val="20"/>
          <w:szCs w:val="20"/>
        </w:rPr>
        <w:t>l disruption of our product development programs.</w:t>
      </w:r>
    </w:p>
    <w:p w:rsidR="00000000" w:rsidRDefault="00DA1786">
      <w:pPr>
        <w:jc w:val="both"/>
        <w:divId w:val="1538617736"/>
        <w:rPr>
          <w:rFonts w:eastAsia="Times New Roman"/>
        </w:rPr>
      </w:pPr>
      <w:r>
        <w:rPr>
          <w:rFonts w:eastAsia="Times New Roman"/>
          <w:color w:val="000000"/>
          <w:sz w:val="20"/>
          <w:szCs w:val="20"/>
        </w:rPr>
        <w:t>Our internal computer systems and those of our current and any future collaborators and other contractors or consultants are vulnerable to damage from computer viruses, unauthorized access, natural disaster</w:t>
      </w:r>
      <w:r>
        <w:rPr>
          <w:rFonts w:eastAsia="Times New Roman"/>
          <w:color w:val="000000"/>
          <w:sz w:val="20"/>
          <w:szCs w:val="20"/>
        </w:rPr>
        <w:t>s, terrorism, war and telecommunication and electrical failures. While we are not aware of any such material system failure, accident or security breach to date, if such an event were to occur and cause interruptions in our operations, it could result in a</w:t>
      </w:r>
      <w:r>
        <w:rPr>
          <w:rFonts w:eastAsia="Times New Roman"/>
          <w:color w:val="000000"/>
          <w:sz w:val="20"/>
          <w:szCs w:val="20"/>
        </w:rPr>
        <w:t xml:space="preserve"> material disruption of our development programs and our business operations, whether due to a loss of our trade secrets or other proprietary information or other similar disruptions. For example, the loss of clinical trial data from completed or future cl</w:t>
      </w:r>
      <w:r>
        <w:rPr>
          <w:rFonts w:eastAsia="Times New Roman"/>
          <w:color w:val="000000"/>
          <w:sz w:val="20"/>
          <w:szCs w:val="20"/>
        </w:rPr>
        <w:t>inical trials could result in delays in our regulatory approval efforts and significantly increase our costs to recover or reproduce the data. To the extent that any disruption or security breach were to result in a loss of, or damage to, our data or appli</w:t>
      </w:r>
      <w:r>
        <w:rPr>
          <w:rFonts w:eastAsia="Times New Roman"/>
          <w:color w:val="000000"/>
          <w:sz w:val="20"/>
          <w:szCs w:val="20"/>
        </w:rPr>
        <w:t>cations, or inappropriate disclosure of confidential or proprietary information, we could incur liability, our competitive position could be harmed and the further development and commercialization of our product candidates could be delayed.</w:t>
      </w:r>
    </w:p>
    <w:p w:rsidR="00000000" w:rsidRDefault="00DA1786">
      <w:pPr>
        <w:jc w:val="both"/>
        <w:divId w:val="420301472"/>
        <w:rPr>
          <w:rFonts w:eastAsia="Times New Roman"/>
        </w:rPr>
      </w:pPr>
      <w:r>
        <w:rPr>
          <w:rFonts w:eastAsia="Times New Roman"/>
          <w:b/>
          <w:bCs/>
          <w:i/>
          <w:iCs/>
          <w:color w:val="000000"/>
          <w:sz w:val="20"/>
          <w:szCs w:val="20"/>
        </w:rPr>
        <w:t>We may be expo</w:t>
      </w:r>
      <w:r>
        <w:rPr>
          <w:rFonts w:eastAsia="Times New Roman"/>
          <w:b/>
          <w:bCs/>
          <w:i/>
          <w:iCs/>
          <w:color w:val="000000"/>
          <w:sz w:val="20"/>
          <w:szCs w:val="20"/>
        </w:rPr>
        <w:t>sed to significant foreign exchange risk.</w:t>
      </w:r>
    </w:p>
    <w:p w:rsidR="00000000" w:rsidRDefault="00DA1786">
      <w:pPr>
        <w:jc w:val="both"/>
        <w:divId w:val="1852795174"/>
        <w:rPr>
          <w:rFonts w:eastAsia="Times New Roman"/>
        </w:rPr>
      </w:pPr>
      <w:r>
        <w:rPr>
          <w:rFonts w:eastAsia="Times New Roman"/>
          <w:color w:val="000000"/>
          <w:sz w:val="20"/>
          <w:szCs w:val="20"/>
        </w:rPr>
        <w:t>We incur portions of our expenses, and may in the future derive revenue, in currencies other than the U.S. dollar, in particular, the euro. As a result, we are exposed to foreign currency exchange risk as our resul</w:t>
      </w:r>
      <w:r>
        <w:rPr>
          <w:rFonts w:eastAsia="Times New Roman"/>
          <w:color w:val="000000"/>
          <w:sz w:val="20"/>
          <w:szCs w:val="20"/>
        </w:rPr>
        <w:t xml:space="preserve">ts of operations and cash flows are subject to fluctuations in foreign currency exchange rates. Any fluctuation in the exchange rate of these foreign currencies may negatively impact our business, financial condition and operating results. Global economic </w:t>
      </w:r>
      <w:r>
        <w:rPr>
          <w:rFonts w:eastAsia="Times New Roman"/>
          <w:color w:val="000000"/>
          <w:sz w:val="20"/>
          <w:szCs w:val="20"/>
        </w:rPr>
        <w:t>events, such as the COVID-19 pandemic, have and may continue to significantly impact local economies and the foreign exchange markets, which may increase the risks associated with sales denominated in foreign currencies. We currently do not engage in hedgi</w:t>
      </w:r>
      <w:r>
        <w:rPr>
          <w:rFonts w:eastAsia="Times New Roman"/>
          <w:color w:val="000000"/>
          <w:sz w:val="20"/>
          <w:szCs w:val="20"/>
        </w:rPr>
        <w:t xml:space="preserve">ng transactions to protect against uncertainty in future exchange rates between particular foreign currencies and the euro. Therefore, for example, an increase in the value of the euro against the U.S. dollar could be expected to have a negative impact on </w:t>
      </w:r>
      <w:r>
        <w:rPr>
          <w:rFonts w:eastAsia="Times New Roman"/>
          <w:color w:val="000000"/>
          <w:sz w:val="20"/>
          <w:szCs w:val="20"/>
        </w:rPr>
        <w:t>our operating expenses as euro denominated expenses, if any, would be translated into U.S. dollars at an increased value. We cannot predict the impact of foreign currency fluctuations, and foreign currency fluctuations in the future may adversely affect ou</w:t>
      </w:r>
      <w:r>
        <w:rPr>
          <w:rFonts w:eastAsia="Times New Roman"/>
          <w:color w:val="000000"/>
          <w:sz w:val="20"/>
          <w:szCs w:val="20"/>
        </w:rPr>
        <w:t>r financial condition, results of operations and cash flows.</w:t>
      </w:r>
    </w:p>
    <w:p w:rsidR="00000000" w:rsidRDefault="00DA1786">
      <w:pPr>
        <w:jc w:val="both"/>
        <w:divId w:val="146284736"/>
        <w:rPr>
          <w:rFonts w:eastAsia="Times New Roman"/>
        </w:rPr>
      </w:pPr>
      <w:r>
        <w:rPr>
          <w:rFonts w:eastAsia="Times New Roman"/>
          <w:b/>
          <w:bCs/>
          <w:i/>
          <w:iCs/>
          <w:color w:val="000000"/>
          <w:sz w:val="20"/>
          <w:szCs w:val="20"/>
        </w:rPr>
        <w:t>The risks arising with respect to the historic OvaScience business and operations may be different from what we anticipate, which could lead to significant, unexpected costs and liabilities and c</w:t>
      </w:r>
      <w:r>
        <w:rPr>
          <w:rFonts w:eastAsia="Times New Roman"/>
          <w:b/>
          <w:bCs/>
          <w:i/>
          <w:iCs/>
          <w:color w:val="000000"/>
          <w:sz w:val="20"/>
          <w:szCs w:val="20"/>
        </w:rPr>
        <w:t>ould materially and adversely affect our business going forward.</w:t>
      </w:r>
    </w:p>
    <w:p w:rsidR="00000000" w:rsidRDefault="00DA1786">
      <w:pPr>
        <w:jc w:val="both"/>
        <w:divId w:val="93137254"/>
        <w:rPr>
          <w:rFonts w:eastAsia="Times New Roman"/>
        </w:rPr>
      </w:pPr>
      <w:r>
        <w:rPr>
          <w:rFonts w:eastAsia="Times New Roman"/>
          <w:color w:val="000000"/>
          <w:sz w:val="20"/>
          <w:szCs w:val="20"/>
        </w:rPr>
        <w:t>It is possible that we may not have fully anticipated the extent of the risks associated with the OvaScience Merger we completed with OvaScience in 2018. After the OvaScience Merger, OvaScien</w:t>
      </w:r>
      <w:r>
        <w:rPr>
          <w:rFonts w:eastAsia="Times New Roman"/>
          <w:color w:val="000000"/>
          <w:sz w:val="20"/>
          <w:szCs w:val="20"/>
        </w:rPr>
        <w:t>ce’s historic business was discontinued, but prior to the transaction OvaScience had a significant operating history. As a consequence, we may be subject to claims, demands for payment, regulatory issues, costs and liabilities that were not and are not cur</w:t>
      </w:r>
      <w:r>
        <w:rPr>
          <w:rFonts w:eastAsia="Times New Roman"/>
          <w:color w:val="000000"/>
          <w:sz w:val="20"/>
          <w:szCs w:val="20"/>
        </w:rPr>
        <w:t>rently expected or anticipated. Notwithstanding our exercise of due diligence pre-transaction and winding down of the OvaScience business post-transaction, the risks involved with taking over a business with a significant operating history and the costs an</w:t>
      </w:r>
      <w:r>
        <w:rPr>
          <w:rFonts w:eastAsia="Times New Roman"/>
          <w:color w:val="000000"/>
          <w:sz w:val="20"/>
          <w:szCs w:val="20"/>
        </w:rPr>
        <w:t>d liabilities associated with these risks may be greater than we anticipate. We may not be able to contain or control the costs or liabilities associated with OvaScience’s historic business, which could materially and adversely affect our business, liquidi</w:t>
      </w:r>
      <w:r>
        <w:rPr>
          <w:rFonts w:eastAsia="Times New Roman"/>
          <w:color w:val="000000"/>
          <w:sz w:val="20"/>
          <w:szCs w:val="20"/>
        </w:rPr>
        <w:t>ty, capital resources or results of operation.</w:t>
      </w:r>
    </w:p>
    <w:p w:rsidR="00000000" w:rsidRDefault="00DA1786">
      <w:pPr>
        <w:ind w:firstLine="720"/>
        <w:jc w:val="center"/>
        <w:divId w:val="928658466"/>
        <w:rPr>
          <w:rFonts w:eastAsia="Times New Roman"/>
        </w:rPr>
      </w:pPr>
      <w:r>
        <w:rPr>
          <w:rFonts w:eastAsia="Times New Roman"/>
          <w:color w:val="000000"/>
          <w:sz w:val="20"/>
          <w:szCs w:val="20"/>
        </w:rPr>
        <w:t>33</w:t>
      </w:r>
    </w:p>
    <w:p w:rsidR="00000000" w:rsidRDefault="00DA1786">
      <w:pPr>
        <w:rPr>
          <w:rFonts w:eastAsia="Times New Roman"/>
        </w:rPr>
      </w:pPr>
      <w:r>
        <w:rPr>
          <w:rFonts w:eastAsia="Times New Roman"/>
        </w:rPr>
        <w:pict>
          <v:rect id="_x0000_i1058" style="width:0;height:1.5pt" o:hralign="center" o:hrstd="t" o:hr="t" fillcolor="#a0a0a0" stroked="f"/>
        </w:pict>
      </w:r>
    </w:p>
    <w:p w:rsidR="00000000" w:rsidRDefault="00DA1786">
      <w:pPr>
        <w:divId w:val="2001155266"/>
        <w:rPr>
          <w:rFonts w:eastAsia="Times New Roman"/>
        </w:rPr>
      </w:pPr>
    </w:p>
    <w:p w:rsidR="00000000" w:rsidRDefault="00DA1786">
      <w:pPr>
        <w:jc w:val="both"/>
        <w:divId w:val="1400061036"/>
        <w:rPr>
          <w:rFonts w:eastAsia="Times New Roman"/>
        </w:rPr>
      </w:pPr>
      <w:r>
        <w:rPr>
          <w:rFonts w:eastAsia="Times New Roman"/>
          <w:b/>
          <w:bCs/>
          <w:color w:val="000000"/>
          <w:sz w:val="20"/>
          <w:szCs w:val="20"/>
        </w:rPr>
        <w:t>Risks Related to Ownership of Our Common Stock and Our Status as a Public Company</w:t>
      </w:r>
    </w:p>
    <w:p w:rsidR="00000000" w:rsidRDefault="00DA1786">
      <w:pPr>
        <w:jc w:val="both"/>
        <w:divId w:val="459691512"/>
        <w:rPr>
          <w:rFonts w:eastAsia="Times New Roman"/>
        </w:rPr>
      </w:pPr>
      <w:r>
        <w:rPr>
          <w:rFonts w:eastAsia="Times New Roman"/>
          <w:b/>
          <w:bCs/>
          <w:i/>
          <w:iCs/>
          <w:color w:val="000000"/>
          <w:sz w:val="20"/>
          <w:szCs w:val="20"/>
        </w:rPr>
        <w:t>The trading price of the shares of our common stock has been and is likely to continue</w:t>
      </w:r>
      <w:r>
        <w:rPr>
          <w:rFonts w:eastAsia="Times New Roman"/>
          <w:b/>
          <w:bCs/>
          <w:i/>
          <w:iCs/>
          <w:color w:val="000000"/>
          <w:sz w:val="20"/>
          <w:szCs w:val="20"/>
        </w:rPr>
        <w:t xml:space="preserve"> to be volatile, and purchasers of our common stock could incur substantial losses.</w:t>
      </w:r>
    </w:p>
    <w:p w:rsidR="00000000" w:rsidRDefault="00DA1786">
      <w:pPr>
        <w:jc w:val="both"/>
        <w:divId w:val="457525636"/>
        <w:rPr>
          <w:rFonts w:eastAsia="Times New Roman"/>
        </w:rPr>
      </w:pPr>
      <w:r>
        <w:rPr>
          <w:rFonts w:eastAsia="Times New Roman"/>
          <w:color w:val="000000"/>
          <w:sz w:val="20"/>
          <w:szCs w:val="20"/>
        </w:rPr>
        <w:t xml:space="preserve">The market price of our common stock has been and is likely to continue to be highly volatile and could be subject to wide fluctuations in price in response to various factors. A number of factors could influence the volatility in the trading price of our </w:t>
      </w:r>
      <w:r>
        <w:rPr>
          <w:rFonts w:eastAsia="Times New Roman"/>
          <w:color w:val="000000"/>
          <w:sz w:val="20"/>
          <w:szCs w:val="20"/>
        </w:rPr>
        <w:t xml:space="preserve">common stock, including changes in the economy or in the financial markets, including recently in connection with the ongoing COVID-19 pandemic, industry-related developments, and the impact of material events and changes in our operations, including as a </w:t>
      </w:r>
      <w:r>
        <w:rPr>
          <w:rFonts w:eastAsia="Times New Roman"/>
          <w:color w:val="000000"/>
          <w:sz w:val="20"/>
          <w:szCs w:val="20"/>
        </w:rPr>
        <w:t>result of our recent announcements that we have discontinued our livoletide program in PWS and ceased investing in our nevanimibe program and our MLE-301 program. Worsening economic conditions and other adverse effects or developments relating to our busin</w:t>
      </w:r>
      <w:r>
        <w:rPr>
          <w:rFonts w:eastAsia="Times New Roman"/>
          <w:color w:val="000000"/>
          <w:sz w:val="20"/>
          <w:szCs w:val="20"/>
        </w:rPr>
        <w:t>ess or the ongoing COVID-19 pandemic may negatively affect the market price of our common stock. The market price for our common stock is likely to continue to be volatile, particularly due to the ongoing COVID-19 pandemic, and subject to significant price</w:t>
      </w:r>
      <w:r>
        <w:rPr>
          <w:rFonts w:eastAsia="Times New Roman"/>
          <w:color w:val="000000"/>
          <w:sz w:val="20"/>
          <w:szCs w:val="20"/>
        </w:rPr>
        <w:t xml:space="preserve"> and volume fluctuations in response to market, industry and other factors, including the risk factors described in this “Risk Factors” section. As a result of this volatility, investors may not be able to sell their common stock at or above the price paid</w:t>
      </w:r>
      <w:r>
        <w:rPr>
          <w:rFonts w:eastAsia="Times New Roman"/>
          <w:color w:val="000000"/>
          <w:sz w:val="20"/>
          <w:szCs w:val="20"/>
        </w:rPr>
        <w:t xml:space="preserve"> for the shares. The market price for our common stock may be influenced by many factors, including:</w:t>
      </w:r>
    </w:p>
    <w:p w:rsidR="00000000" w:rsidRDefault="00DA1786">
      <w:pPr>
        <w:ind w:hanging="360"/>
        <w:jc w:val="both"/>
        <w:divId w:val="1845172069"/>
        <w:rPr>
          <w:rFonts w:eastAsia="Times New Roman"/>
        </w:rPr>
      </w:pPr>
      <w:r>
        <w:rPr>
          <w:rFonts w:eastAsia="Times New Roman"/>
          <w:color w:val="000000"/>
          <w:sz w:val="20"/>
          <w:szCs w:val="20"/>
        </w:rPr>
        <w:t>•announcements and market perceptions related to the Merger;</w:t>
      </w:r>
    </w:p>
    <w:p w:rsidR="00000000" w:rsidRDefault="00DA1786">
      <w:pPr>
        <w:ind w:hanging="360"/>
        <w:jc w:val="both"/>
        <w:divId w:val="2037077048"/>
        <w:rPr>
          <w:rFonts w:eastAsia="Times New Roman"/>
        </w:rPr>
      </w:pPr>
      <w:r>
        <w:rPr>
          <w:rFonts w:eastAsia="Times New Roman"/>
          <w:color w:val="000000"/>
          <w:sz w:val="20"/>
          <w:szCs w:val="20"/>
        </w:rPr>
        <w:t>•changes in financial estimates by us or by any securities analysts who might cover our stock;</w:t>
      </w:r>
    </w:p>
    <w:p w:rsidR="00000000" w:rsidRDefault="00DA1786">
      <w:pPr>
        <w:ind w:hanging="360"/>
        <w:jc w:val="both"/>
        <w:divId w:val="2012290948"/>
        <w:rPr>
          <w:rFonts w:eastAsia="Times New Roman"/>
        </w:rPr>
      </w:pPr>
      <w:r>
        <w:rPr>
          <w:rFonts w:eastAsia="Times New Roman"/>
          <w:color w:val="000000"/>
          <w:sz w:val="20"/>
          <w:szCs w:val="20"/>
        </w:rPr>
        <w:t>•conditions or trends in our industry;</w:t>
      </w:r>
    </w:p>
    <w:p w:rsidR="00000000" w:rsidRDefault="00DA1786">
      <w:pPr>
        <w:ind w:hanging="360"/>
        <w:jc w:val="both"/>
        <w:divId w:val="480194255"/>
        <w:rPr>
          <w:rFonts w:eastAsia="Times New Roman"/>
        </w:rPr>
      </w:pPr>
      <w:r>
        <w:rPr>
          <w:rFonts w:eastAsia="Times New Roman"/>
          <w:color w:val="000000"/>
          <w:sz w:val="20"/>
          <w:szCs w:val="20"/>
        </w:rPr>
        <w:t>•changes in the market valuations of similar companies;</w:t>
      </w:r>
    </w:p>
    <w:p w:rsidR="00000000" w:rsidRDefault="00DA1786">
      <w:pPr>
        <w:ind w:hanging="360"/>
        <w:jc w:val="both"/>
        <w:divId w:val="1159997846"/>
        <w:rPr>
          <w:rFonts w:eastAsia="Times New Roman"/>
        </w:rPr>
      </w:pPr>
      <w:r>
        <w:rPr>
          <w:rFonts w:eastAsia="Times New Roman"/>
          <w:color w:val="000000"/>
          <w:sz w:val="20"/>
          <w:szCs w:val="20"/>
        </w:rPr>
        <w:t>•stock market price and volume fluctuations of comparable companies and, in particular, those that operate in the biopharmaceutical industry;</w:t>
      </w:r>
    </w:p>
    <w:p w:rsidR="00000000" w:rsidRDefault="00DA1786">
      <w:pPr>
        <w:ind w:hanging="360"/>
        <w:jc w:val="both"/>
        <w:divId w:val="2134398223"/>
        <w:rPr>
          <w:rFonts w:eastAsia="Times New Roman"/>
        </w:rPr>
      </w:pPr>
      <w:r>
        <w:rPr>
          <w:rFonts w:eastAsia="Times New Roman"/>
          <w:color w:val="000000"/>
          <w:sz w:val="20"/>
          <w:szCs w:val="20"/>
        </w:rPr>
        <w:t>•publication of re</w:t>
      </w:r>
      <w:r>
        <w:rPr>
          <w:rFonts w:eastAsia="Times New Roman"/>
          <w:color w:val="000000"/>
          <w:sz w:val="20"/>
          <w:szCs w:val="20"/>
        </w:rPr>
        <w:t>search reports about us or our industry or positive or negative recommendations or withdrawal of research coverage by securities analysts;</w:t>
      </w:r>
    </w:p>
    <w:p w:rsidR="00000000" w:rsidRDefault="00DA1786">
      <w:pPr>
        <w:ind w:hanging="360"/>
        <w:jc w:val="both"/>
        <w:divId w:val="880480273"/>
        <w:rPr>
          <w:rFonts w:eastAsia="Times New Roman"/>
        </w:rPr>
      </w:pPr>
      <w:r>
        <w:rPr>
          <w:rFonts w:eastAsia="Times New Roman"/>
          <w:color w:val="000000"/>
          <w:sz w:val="20"/>
          <w:szCs w:val="20"/>
        </w:rPr>
        <w:t>•announcements by us or our competitors of significant acquisitions, strategic partnerships or divestitures;</w:t>
      </w:r>
    </w:p>
    <w:p w:rsidR="00000000" w:rsidRDefault="00DA1786">
      <w:pPr>
        <w:ind w:hanging="360"/>
        <w:jc w:val="both"/>
        <w:divId w:val="1795514565"/>
        <w:rPr>
          <w:rFonts w:eastAsia="Times New Roman"/>
        </w:rPr>
      </w:pPr>
      <w:r>
        <w:rPr>
          <w:rFonts w:eastAsia="Times New Roman"/>
          <w:color w:val="000000"/>
          <w:sz w:val="20"/>
          <w:szCs w:val="20"/>
        </w:rPr>
        <w:t>•announc</w:t>
      </w:r>
      <w:r>
        <w:rPr>
          <w:rFonts w:eastAsia="Times New Roman"/>
          <w:color w:val="000000"/>
          <w:sz w:val="20"/>
          <w:szCs w:val="20"/>
        </w:rPr>
        <w:t>ements of investigations or regulatory scrutiny of our operations or lawsuits filed against us;</w:t>
      </w:r>
    </w:p>
    <w:p w:rsidR="00000000" w:rsidRDefault="00DA1786">
      <w:pPr>
        <w:ind w:hanging="360"/>
        <w:jc w:val="both"/>
        <w:divId w:val="234315636"/>
        <w:rPr>
          <w:rFonts w:eastAsia="Times New Roman"/>
        </w:rPr>
      </w:pPr>
      <w:r>
        <w:rPr>
          <w:rFonts w:eastAsia="Times New Roman"/>
          <w:color w:val="000000"/>
          <w:sz w:val="20"/>
          <w:szCs w:val="20"/>
        </w:rPr>
        <w:t>•investors’ general perception of our company and our business;</w:t>
      </w:r>
    </w:p>
    <w:p w:rsidR="00000000" w:rsidRDefault="00DA1786">
      <w:pPr>
        <w:ind w:hanging="360"/>
        <w:jc w:val="both"/>
        <w:divId w:val="30039180"/>
        <w:rPr>
          <w:rFonts w:eastAsia="Times New Roman"/>
        </w:rPr>
      </w:pPr>
      <w:r>
        <w:rPr>
          <w:rFonts w:eastAsia="Times New Roman"/>
          <w:color w:val="000000"/>
          <w:sz w:val="20"/>
          <w:szCs w:val="20"/>
        </w:rPr>
        <w:t>•recruitment or departure of key personnel;</w:t>
      </w:r>
    </w:p>
    <w:p w:rsidR="00000000" w:rsidRDefault="00DA1786">
      <w:pPr>
        <w:ind w:hanging="360"/>
        <w:jc w:val="both"/>
        <w:divId w:val="373702033"/>
        <w:rPr>
          <w:rFonts w:eastAsia="Times New Roman"/>
        </w:rPr>
      </w:pPr>
      <w:r>
        <w:rPr>
          <w:rFonts w:eastAsia="Times New Roman"/>
          <w:color w:val="000000"/>
          <w:sz w:val="20"/>
          <w:szCs w:val="20"/>
        </w:rPr>
        <w:t>•overall performance of the equity markets;</w:t>
      </w:r>
    </w:p>
    <w:p w:rsidR="00000000" w:rsidRDefault="00DA1786">
      <w:pPr>
        <w:ind w:hanging="360"/>
        <w:jc w:val="both"/>
        <w:divId w:val="191387020"/>
        <w:rPr>
          <w:rFonts w:eastAsia="Times New Roman"/>
        </w:rPr>
      </w:pPr>
      <w:r>
        <w:rPr>
          <w:rFonts w:eastAsia="Times New Roman"/>
          <w:color w:val="000000"/>
          <w:sz w:val="20"/>
          <w:szCs w:val="20"/>
        </w:rPr>
        <w:t>•trading</w:t>
      </w:r>
      <w:r>
        <w:rPr>
          <w:rFonts w:eastAsia="Times New Roman"/>
          <w:color w:val="000000"/>
          <w:sz w:val="20"/>
          <w:szCs w:val="20"/>
        </w:rPr>
        <w:t xml:space="preserve"> volume of our common stock;</w:t>
      </w:r>
    </w:p>
    <w:p w:rsidR="00000000" w:rsidRDefault="00DA1786">
      <w:pPr>
        <w:ind w:hanging="360"/>
        <w:jc w:val="both"/>
        <w:divId w:val="2130202333"/>
        <w:rPr>
          <w:rFonts w:eastAsia="Times New Roman"/>
        </w:rPr>
      </w:pPr>
      <w:r>
        <w:rPr>
          <w:rFonts w:eastAsia="Times New Roman"/>
          <w:color w:val="000000"/>
          <w:sz w:val="20"/>
          <w:szCs w:val="20"/>
        </w:rPr>
        <w:t>•disputes or other developments relating to proprietary rights, including patents, litigation matters and our ability to obtain patent protection for our technologies;</w:t>
      </w:r>
    </w:p>
    <w:p w:rsidR="00000000" w:rsidRDefault="00DA1786">
      <w:pPr>
        <w:ind w:hanging="360"/>
        <w:jc w:val="both"/>
        <w:divId w:val="555122500"/>
        <w:rPr>
          <w:rFonts w:eastAsia="Times New Roman"/>
        </w:rPr>
      </w:pPr>
      <w:r>
        <w:rPr>
          <w:rFonts w:eastAsia="Times New Roman"/>
          <w:color w:val="000000"/>
          <w:sz w:val="20"/>
          <w:szCs w:val="20"/>
        </w:rPr>
        <w:t>•significant lawsuits, including patent or stockholder liti</w:t>
      </w:r>
      <w:r>
        <w:rPr>
          <w:rFonts w:eastAsia="Times New Roman"/>
          <w:color w:val="000000"/>
          <w:sz w:val="20"/>
          <w:szCs w:val="20"/>
        </w:rPr>
        <w:t>gation;</w:t>
      </w:r>
    </w:p>
    <w:p w:rsidR="00000000" w:rsidRDefault="00DA1786">
      <w:pPr>
        <w:ind w:hanging="360"/>
        <w:jc w:val="both"/>
        <w:divId w:val="170996540"/>
        <w:rPr>
          <w:rFonts w:eastAsia="Times New Roman"/>
        </w:rPr>
      </w:pPr>
      <w:r>
        <w:rPr>
          <w:rFonts w:eastAsia="Times New Roman"/>
          <w:color w:val="000000"/>
          <w:sz w:val="20"/>
          <w:szCs w:val="20"/>
        </w:rPr>
        <w:t>•general political and economic conditions; and</w:t>
      </w:r>
    </w:p>
    <w:p w:rsidR="00000000" w:rsidRDefault="00DA1786">
      <w:pPr>
        <w:ind w:hanging="360"/>
        <w:jc w:val="both"/>
        <w:divId w:val="441072090"/>
        <w:rPr>
          <w:rFonts w:eastAsia="Times New Roman"/>
        </w:rPr>
      </w:pPr>
      <w:r>
        <w:rPr>
          <w:rFonts w:eastAsia="Times New Roman"/>
          <w:color w:val="000000"/>
          <w:sz w:val="20"/>
          <w:szCs w:val="20"/>
        </w:rPr>
        <w:t>•other events or factors, many of which are beyond our control.</w:t>
      </w:r>
    </w:p>
    <w:p w:rsidR="00000000" w:rsidRDefault="00DA1786">
      <w:pPr>
        <w:jc w:val="both"/>
        <w:divId w:val="1966695203"/>
        <w:rPr>
          <w:rFonts w:eastAsia="Times New Roman"/>
        </w:rPr>
      </w:pPr>
      <w:r>
        <w:rPr>
          <w:rFonts w:eastAsia="Times New Roman"/>
          <w:color w:val="000000"/>
          <w:sz w:val="20"/>
          <w:szCs w:val="20"/>
        </w:rPr>
        <w:t>In addition, in the past, stockholders have initiated class action lawsuits against pharmaceutical and biotechnology companies following</w:t>
      </w:r>
      <w:r>
        <w:rPr>
          <w:rFonts w:eastAsia="Times New Roman"/>
          <w:color w:val="000000"/>
          <w:sz w:val="20"/>
          <w:szCs w:val="20"/>
        </w:rPr>
        <w:t xml:space="preserve"> periods of volatility in the market prices of these companies’ stock. Such litigation, if instituted against us, could cause us to incur substantial costs and divert management’s attention and resources from our business.</w:t>
      </w:r>
    </w:p>
    <w:p w:rsidR="00000000" w:rsidRDefault="00DA1786">
      <w:pPr>
        <w:ind w:firstLine="720"/>
        <w:jc w:val="center"/>
        <w:divId w:val="1519812508"/>
        <w:rPr>
          <w:rFonts w:eastAsia="Times New Roman"/>
        </w:rPr>
      </w:pPr>
      <w:r>
        <w:rPr>
          <w:rFonts w:eastAsia="Times New Roman"/>
          <w:color w:val="000000"/>
          <w:sz w:val="20"/>
          <w:szCs w:val="20"/>
        </w:rPr>
        <w:t>34</w:t>
      </w:r>
    </w:p>
    <w:p w:rsidR="00000000" w:rsidRDefault="00DA1786">
      <w:pPr>
        <w:rPr>
          <w:rFonts w:eastAsia="Times New Roman"/>
        </w:rPr>
      </w:pPr>
      <w:r>
        <w:rPr>
          <w:rFonts w:eastAsia="Times New Roman"/>
        </w:rPr>
        <w:pict>
          <v:rect id="_x0000_i1059" style="width:0;height:1.5pt" o:hralign="center" o:hrstd="t" o:hr="t" fillcolor="#a0a0a0" stroked="f"/>
        </w:pict>
      </w:r>
    </w:p>
    <w:p w:rsidR="00000000" w:rsidRDefault="00DA1786">
      <w:pPr>
        <w:divId w:val="804352345"/>
        <w:rPr>
          <w:rFonts w:eastAsia="Times New Roman"/>
        </w:rPr>
      </w:pPr>
    </w:p>
    <w:p w:rsidR="00000000" w:rsidRDefault="00DA1786">
      <w:pPr>
        <w:jc w:val="both"/>
        <w:divId w:val="1673752430"/>
        <w:rPr>
          <w:rFonts w:eastAsia="Times New Roman"/>
        </w:rPr>
      </w:pPr>
      <w:r>
        <w:rPr>
          <w:rFonts w:eastAsia="Times New Roman"/>
          <w:b/>
          <w:bCs/>
          <w:i/>
          <w:iCs/>
          <w:color w:val="000000"/>
          <w:sz w:val="20"/>
          <w:szCs w:val="20"/>
        </w:rPr>
        <w:t>Future sales of our common stock in the public market could cause our share price to decline.</w:t>
      </w:r>
    </w:p>
    <w:p w:rsidR="00000000" w:rsidRDefault="00DA1786">
      <w:pPr>
        <w:jc w:val="both"/>
        <w:divId w:val="1984390102"/>
        <w:rPr>
          <w:rFonts w:eastAsia="Times New Roman"/>
        </w:rPr>
      </w:pPr>
      <w:r>
        <w:rPr>
          <w:rFonts w:eastAsia="Times New Roman"/>
          <w:color w:val="000000"/>
          <w:sz w:val="20"/>
          <w:szCs w:val="20"/>
        </w:rPr>
        <w:t>Sales of a substantial number of shares of our common stock in the public market could occur at any time, subject to the restrictions and limitations desc</w:t>
      </w:r>
      <w:r>
        <w:rPr>
          <w:rFonts w:eastAsia="Times New Roman"/>
          <w:color w:val="000000"/>
          <w:sz w:val="20"/>
          <w:szCs w:val="20"/>
        </w:rPr>
        <w:t>ribed below. If our stockholders sell, or the market perceives that our stockholders intend to sell, substantial amounts of our common stock in the public market, the market price of our common stock could decline significantly and could impair our ability</w:t>
      </w:r>
      <w:r>
        <w:rPr>
          <w:rFonts w:eastAsia="Times New Roman"/>
          <w:color w:val="000000"/>
          <w:sz w:val="20"/>
          <w:szCs w:val="20"/>
        </w:rPr>
        <w:t xml:space="preserve"> to raise capital through the sale of additional equity securities. We are unable to predict the effect that sales, particularly sales by our directors, executive officers, and significant stockholders, may have on the prevailing market price of our common</w:t>
      </w:r>
      <w:r>
        <w:rPr>
          <w:rFonts w:eastAsia="Times New Roman"/>
          <w:color w:val="000000"/>
          <w:sz w:val="20"/>
          <w:szCs w:val="20"/>
        </w:rPr>
        <w:t xml:space="preserve"> stock. As of December 31, 2020, we had 18,999,701 shares of common stock outstanding. All of our outstanding shares of common stock are available for sale in the public market, subject only to the restrictions of Rule 144 under the Securities Act. In addi</w:t>
      </w:r>
      <w:r>
        <w:rPr>
          <w:rFonts w:eastAsia="Times New Roman"/>
          <w:color w:val="000000"/>
          <w:sz w:val="20"/>
          <w:szCs w:val="20"/>
        </w:rPr>
        <w:t>tion, the shares of common stock subject to outstanding options under our equity incentive plans and the shares reserved for future issuance under our equity incentive plans will become eligible for sale in the public market in the future, subject to certa</w:t>
      </w:r>
      <w:r>
        <w:rPr>
          <w:rFonts w:eastAsia="Times New Roman"/>
          <w:color w:val="000000"/>
          <w:sz w:val="20"/>
          <w:szCs w:val="20"/>
        </w:rPr>
        <w:t xml:space="preserve">in legal and contractual limitations. In addition, certain holders of our common stock have the right, subject to various conditions and limitations, to request we include their shares of our common stock in registration statements we may file relating to </w:t>
      </w:r>
      <w:r>
        <w:rPr>
          <w:rFonts w:eastAsia="Times New Roman"/>
          <w:color w:val="000000"/>
          <w:sz w:val="20"/>
          <w:szCs w:val="20"/>
        </w:rPr>
        <w:t>our securities.</w:t>
      </w:r>
    </w:p>
    <w:p w:rsidR="00000000" w:rsidRDefault="00DA1786">
      <w:pPr>
        <w:jc w:val="both"/>
        <w:divId w:val="708990824"/>
        <w:rPr>
          <w:rFonts w:eastAsia="Times New Roman"/>
        </w:rPr>
      </w:pPr>
      <w:r>
        <w:rPr>
          <w:rFonts w:eastAsia="Times New Roman"/>
          <w:b/>
          <w:bCs/>
          <w:i/>
          <w:iCs/>
          <w:color w:val="000000"/>
          <w:sz w:val="20"/>
          <w:szCs w:val="20"/>
        </w:rPr>
        <w:t>Provisions in our certificate of incorporation and by-laws and under Delaware law could make an acquisition of us, which may be beneficial to our stockholders, more difficult and may prevent attempts by our stockholders to replace or remove our current man</w:t>
      </w:r>
      <w:r>
        <w:rPr>
          <w:rFonts w:eastAsia="Times New Roman"/>
          <w:b/>
          <w:bCs/>
          <w:i/>
          <w:iCs/>
          <w:color w:val="000000"/>
          <w:sz w:val="20"/>
          <w:szCs w:val="20"/>
        </w:rPr>
        <w:t>agement.</w:t>
      </w:r>
    </w:p>
    <w:p w:rsidR="00000000" w:rsidRDefault="00DA1786">
      <w:pPr>
        <w:jc w:val="both"/>
        <w:divId w:val="1326126406"/>
        <w:rPr>
          <w:rFonts w:eastAsia="Times New Roman"/>
        </w:rPr>
      </w:pPr>
      <w:r>
        <w:rPr>
          <w:rFonts w:eastAsia="Times New Roman"/>
          <w:color w:val="000000"/>
          <w:sz w:val="20"/>
          <w:szCs w:val="20"/>
        </w:rPr>
        <w:t>Provisions in our certificate of incorporation and by-laws may discourage, delay or prevent a merger, acquisition or other change in control of us that stockholders may consider favorable, including transactions in which our common stockholders mi</w:t>
      </w:r>
      <w:r>
        <w:rPr>
          <w:rFonts w:eastAsia="Times New Roman"/>
          <w:color w:val="000000"/>
          <w:sz w:val="20"/>
          <w:szCs w:val="20"/>
        </w:rPr>
        <w:t>ght otherwise receive a premium price for their shares. These provisions could also limit the price that investors might be willing to pay in the future for shares of our common stock, thereby depressing the market price of our common stock. In addition, b</w:t>
      </w:r>
      <w:r>
        <w:rPr>
          <w:rFonts w:eastAsia="Times New Roman"/>
          <w:color w:val="000000"/>
          <w:sz w:val="20"/>
          <w:szCs w:val="20"/>
        </w:rPr>
        <w:t>ecause our board of directors is responsible for appointing the members of our management team, these provisions may frustrate or prevent any attempts by our stockholders to replace or remove our current management by making it more difficult for stockhold</w:t>
      </w:r>
      <w:r>
        <w:rPr>
          <w:rFonts w:eastAsia="Times New Roman"/>
          <w:color w:val="000000"/>
          <w:sz w:val="20"/>
          <w:szCs w:val="20"/>
        </w:rPr>
        <w:t>ers to replace members of our board of directors. Among other things, these provisions:</w:t>
      </w:r>
    </w:p>
    <w:p w:rsidR="00000000" w:rsidRDefault="00DA1786">
      <w:pPr>
        <w:ind w:hanging="360"/>
        <w:jc w:val="both"/>
        <w:divId w:val="1028599273"/>
        <w:rPr>
          <w:rFonts w:eastAsia="Times New Roman"/>
        </w:rPr>
      </w:pPr>
      <w:r>
        <w:rPr>
          <w:rFonts w:eastAsia="Times New Roman"/>
          <w:color w:val="000000"/>
          <w:sz w:val="20"/>
          <w:szCs w:val="20"/>
        </w:rPr>
        <w:t>•establish a classified board of directors such that not all members of the board are elected at one time;</w:t>
      </w:r>
    </w:p>
    <w:p w:rsidR="00000000" w:rsidRDefault="00DA1786">
      <w:pPr>
        <w:ind w:hanging="360"/>
        <w:jc w:val="both"/>
        <w:divId w:val="1444152121"/>
        <w:rPr>
          <w:rFonts w:eastAsia="Times New Roman"/>
        </w:rPr>
      </w:pPr>
      <w:r>
        <w:rPr>
          <w:rFonts w:eastAsia="Times New Roman"/>
          <w:color w:val="000000"/>
          <w:sz w:val="20"/>
          <w:szCs w:val="20"/>
        </w:rPr>
        <w:t>•</w:t>
      </w:r>
      <w:r>
        <w:rPr>
          <w:rFonts w:eastAsia="Times New Roman"/>
          <w:color w:val="000000"/>
          <w:sz w:val="20"/>
          <w:szCs w:val="20"/>
        </w:rPr>
        <w:t>allow the authorized number of our directors to be changed only by resolution of our board of directors;</w:t>
      </w:r>
    </w:p>
    <w:p w:rsidR="00000000" w:rsidRDefault="00DA1786">
      <w:pPr>
        <w:ind w:hanging="360"/>
        <w:jc w:val="both"/>
        <w:divId w:val="683482680"/>
        <w:rPr>
          <w:rFonts w:eastAsia="Times New Roman"/>
        </w:rPr>
      </w:pPr>
      <w:r>
        <w:rPr>
          <w:rFonts w:eastAsia="Times New Roman"/>
          <w:color w:val="000000"/>
          <w:sz w:val="20"/>
          <w:szCs w:val="20"/>
        </w:rPr>
        <w:t>•limit the manner in which stockholders can remove directors from the board;</w:t>
      </w:r>
    </w:p>
    <w:p w:rsidR="00000000" w:rsidRDefault="00DA1786">
      <w:pPr>
        <w:ind w:hanging="360"/>
        <w:jc w:val="both"/>
        <w:divId w:val="1389845040"/>
        <w:rPr>
          <w:rFonts w:eastAsia="Times New Roman"/>
        </w:rPr>
      </w:pPr>
      <w:r>
        <w:rPr>
          <w:rFonts w:eastAsia="Times New Roman"/>
          <w:color w:val="000000"/>
          <w:sz w:val="20"/>
          <w:szCs w:val="20"/>
        </w:rPr>
        <w:t xml:space="preserve">•establish advance notice requirements for stockholder proposals that can </w:t>
      </w:r>
      <w:r>
        <w:rPr>
          <w:rFonts w:eastAsia="Times New Roman"/>
          <w:color w:val="000000"/>
          <w:sz w:val="20"/>
          <w:szCs w:val="20"/>
        </w:rPr>
        <w:t>be acted on at stockholder meetings and for nominations to our board of directors;</w:t>
      </w:r>
    </w:p>
    <w:p w:rsidR="00000000" w:rsidRDefault="00DA1786">
      <w:pPr>
        <w:ind w:hanging="360"/>
        <w:jc w:val="both"/>
        <w:divId w:val="1941720442"/>
        <w:rPr>
          <w:rFonts w:eastAsia="Times New Roman"/>
        </w:rPr>
      </w:pPr>
      <w:r>
        <w:rPr>
          <w:rFonts w:eastAsia="Times New Roman"/>
          <w:color w:val="000000"/>
          <w:sz w:val="20"/>
          <w:szCs w:val="20"/>
        </w:rPr>
        <w:t>•limit who may call stockholder meetings;</w:t>
      </w:r>
    </w:p>
    <w:p w:rsidR="00000000" w:rsidRDefault="00DA1786">
      <w:pPr>
        <w:ind w:hanging="360"/>
        <w:jc w:val="both"/>
        <w:divId w:val="1911841328"/>
        <w:rPr>
          <w:rFonts w:eastAsia="Times New Roman"/>
        </w:rPr>
      </w:pPr>
      <w:r>
        <w:rPr>
          <w:rFonts w:eastAsia="Times New Roman"/>
          <w:color w:val="000000"/>
          <w:sz w:val="20"/>
          <w:szCs w:val="20"/>
        </w:rPr>
        <w:t>•prohibit actions by our stockholders by written consent;</w:t>
      </w:r>
    </w:p>
    <w:p w:rsidR="00000000" w:rsidRDefault="00DA1786">
      <w:pPr>
        <w:ind w:hanging="360"/>
        <w:jc w:val="both"/>
        <w:divId w:val="1958676624"/>
        <w:rPr>
          <w:rFonts w:eastAsia="Times New Roman"/>
        </w:rPr>
      </w:pPr>
      <w:r>
        <w:rPr>
          <w:rFonts w:eastAsia="Times New Roman"/>
          <w:color w:val="000000"/>
          <w:sz w:val="20"/>
          <w:szCs w:val="20"/>
        </w:rPr>
        <w:t>•require that stockholder actions be effected at a duly called stockholde</w:t>
      </w:r>
      <w:r>
        <w:rPr>
          <w:rFonts w:eastAsia="Times New Roman"/>
          <w:color w:val="000000"/>
          <w:sz w:val="20"/>
          <w:szCs w:val="20"/>
        </w:rPr>
        <w:t>rs meeting;</w:t>
      </w:r>
    </w:p>
    <w:p w:rsidR="00000000" w:rsidRDefault="00DA1786">
      <w:pPr>
        <w:ind w:hanging="360"/>
        <w:jc w:val="both"/>
        <w:divId w:val="2111274856"/>
        <w:rPr>
          <w:rFonts w:eastAsia="Times New Roman"/>
        </w:rPr>
      </w:pPr>
      <w:r>
        <w:rPr>
          <w:rFonts w:eastAsia="Times New Roman"/>
          <w:color w:val="000000"/>
          <w:sz w:val="20"/>
          <w:szCs w:val="20"/>
        </w:rPr>
        <w:t>•authorize our board of directors to issue preferred stock without stockholder approval, which could be used to institute a “poison pill” that would work to dilute the stock ownership of a potential hostile acquirer, effectively preventing acqu</w:t>
      </w:r>
      <w:r>
        <w:rPr>
          <w:rFonts w:eastAsia="Times New Roman"/>
          <w:color w:val="000000"/>
          <w:sz w:val="20"/>
          <w:szCs w:val="20"/>
        </w:rPr>
        <w:t>isitions that have not been approved by our board of directors; and</w:t>
      </w:r>
    </w:p>
    <w:p w:rsidR="00000000" w:rsidRDefault="00DA1786">
      <w:pPr>
        <w:ind w:hanging="360"/>
        <w:jc w:val="both"/>
        <w:divId w:val="1561283899"/>
        <w:rPr>
          <w:rFonts w:eastAsia="Times New Roman"/>
        </w:rPr>
      </w:pPr>
      <w:r>
        <w:rPr>
          <w:rFonts w:eastAsia="Times New Roman"/>
          <w:color w:val="000000"/>
          <w:sz w:val="20"/>
          <w:szCs w:val="20"/>
        </w:rPr>
        <w:t>•require the approval of the holders of at least 75 percent of the votes that all our stockholders would be entitled to cast to amend or repeal certain provisions of our certificate of inc</w:t>
      </w:r>
      <w:r>
        <w:rPr>
          <w:rFonts w:eastAsia="Times New Roman"/>
          <w:color w:val="000000"/>
          <w:sz w:val="20"/>
          <w:szCs w:val="20"/>
        </w:rPr>
        <w:t>orporation or by-laws.</w:t>
      </w:r>
    </w:p>
    <w:p w:rsidR="00000000" w:rsidRDefault="00DA1786">
      <w:pPr>
        <w:jc w:val="both"/>
        <w:divId w:val="2083016203"/>
        <w:rPr>
          <w:rFonts w:eastAsia="Times New Roman"/>
        </w:rPr>
      </w:pPr>
      <w:r>
        <w:rPr>
          <w:rFonts w:eastAsia="Times New Roman"/>
          <w:color w:val="000000"/>
          <w:sz w:val="20"/>
          <w:szCs w:val="20"/>
        </w:rPr>
        <w:t>Moreover, because we are incorporated in Delaware, we are governed by the provisions of Section 203 of the Delaware General Corporation Law, which prohibits a person who owns 15 percent or more of our outstanding voting stock from me</w:t>
      </w:r>
      <w:r>
        <w:rPr>
          <w:rFonts w:eastAsia="Times New Roman"/>
          <w:color w:val="000000"/>
          <w:sz w:val="20"/>
          <w:szCs w:val="20"/>
        </w:rPr>
        <w:t>rging or combining with us for a period of three years after the date of the transaction in which the person acquired 15 percent or more of our outstanding voting stock, unless the merger or combination is approved in a manner prescribed by the statute.</w:t>
      </w:r>
    </w:p>
    <w:p w:rsidR="00000000" w:rsidRDefault="00DA1786">
      <w:pPr>
        <w:jc w:val="both"/>
        <w:divId w:val="302661797"/>
        <w:rPr>
          <w:rFonts w:eastAsia="Times New Roman"/>
        </w:rPr>
      </w:pPr>
      <w:r>
        <w:rPr>
          <w:rFonts w:eastAsia="Times New Roman"/>
          <w:b/>
          <w:bCs/>
          <w:i/>
          <w:iCs/>
          <w:color w:val="000000"/>
          <w:sz w:val="20"/>
          <w:szCs w:val="20"/>
        </w:rPr>
        <w:t>Co</w:t>
      </w:r>
      <w:r>
        <w:rPr>
          <w:rFonts w:eastAsia="Times New Roman"/>
          <w:b/>
          <w:bCs/>
          <w:i/>
          <w:iCs/>
          <w:color w:val="000000"/>
          <w:sz w:val="20"/>
          <w:szCs w:val="20"/>
        </w:rPr>
        <w:t>ncentration of ownership of our common stock among our existing executive officers, directors and principal stockholders may prevent our other stockholders from influencing significant corporate decisions.</w:t>
      </w:r>
    </w:p>
    <w:p w:rsidR="00000000" w:rsidRDefault="00DA1786">
      <w:pPr>
        <w:jc w:val="both"/>
        <w:divId w:val="565074668"/>
        <w:rPr>
          <w:rFonts w:eastAsia="Times New Roman"/>
        </w:rPr>
      </w:pPr>
      <w:r>
        <w:rPr>
          <w:rFonts w:eastAsia="Times New Roman"/>
          <w:color w:val="000000"/>
          <w:sz w:val="20"/>
          <w:szCs w:val="20"/>
        </w:rPr>
        <w:t>As of March 1, 2021, our executive officers, direc</w:t>
      </w:r>
      <w:r>
        <w:rPr>
          <w:rFonts w:eastAsia="Times New Roman"/>
          <w:color w:val="000000"/>
          <w:sz w:val="20"/>
          <w:szCs w:val="20"/>
        </w:rPr>
        <w:t xml:space="preserve">tors and current beneficial owners of 5% or more of our common stock and their respective affiliates, in the aggregate, beneficially own approximately 34.5% of our outstanding common stock. As a </w:t>
      </w:r>
    </w:p>
    <w:p w:rsidR="00000000" w:rsidRDefault="00DA1786">
      <w:pPr>
        <w:ind w:firstLine="720"/>
        <w:jc w:val="center"/>
        <w:divId w:val="998264888"/>
        <w:rPr>
          <w:rFonts w:eastAsia="Times New Roman"/>
        </w:rPr>
      </w:pPr>
      <w:r>
        <w:rPr>
          <w:rFonts w:eastAsia="Times New Roman"/>
          <w:color w:val="000000"/>
          <w:sz w:val="20"/>
          <w:szCs w:val="20"/>
        </w:rPr>
        <w:t>35</w:t>
      </w:r>
    </w:p>
    <w:p w:rsidR="00000000" w:rsidRDefault="00DA1786">
      <w:pPr>
        <w:rPr>
          <w:rFonts w:eastAsia="Times New Roman"/>
        </w:rPr>
      </w:pPr>
      <w:r>
        <w:rPr>
          <w:rFonts w:eastAsia="Times New Roman"/>
        </w:rPr>
        <w:pict>
          <v:rect id="_x0000_i1060" style="width:0;height:1.5pt" o:hralign="center" o:hrstd="t" o:hr="t" fillcolor="#a0a0a0" stroked="f"/>
        </w:pict>
      </w:r>
    </w:p>
    <w:p w:rsidR="00000000" w:rsidRDefault="00DA1786">
      <w:pPr>
        <w:divId w:val="226458323"/>
        <w:rPr>
          <w:rFonts w:eastAsia="Times New Roman"/>
        </w:rPr>
      </w:pPr>
    </w:p>
    <w:p w:rsidR="00000000" w:rsidRDefault="00DA1786">
      <w:pPr>
        <w:jc w:val="both"/>
        <w:divId w:val="330260982"/>
        <w:rPr>
          <w:rFonts w:eastAsia="Times New Roman"/>
        </w:rPr>
      </w:pPr>
      <w:r>
        <w:rPr>
          <w:rFonts w:eastAsia="Times New Roman"/>
          <w:color w:val="000000"/>
          <w:sz w:val="20"/>
          <w:szCs w:val="20"/>
        </w:rPr>
        <w:t>result, these pers</w:t>
      </w:r>
      <w:r>
        <w:rPr>
          <w:rFonts w:eastAsia="Times New Roman"/>
          <w:color w:val="000000"/>
          <w:sz w:val="20"/>
          <w:szCs w:val="20"/>
        </w:rPr>
        <w:t>ons, acting together, can significantly influence all matters requiring stockholder approval, including the election and removal of directors, any merger, consolidation, sale of all or substantially all of our assets, or other significant corporate transac</w:t>
      </w:r>
      <w:r>
        <w:rPr>
          <w:rFonts w:eastAsia="Times New Roman"/>
          <w:color w:val="000000"/>
          <w:sz w:val="20"/>
          <w:szCs w:val="20"/>
        </w:rPr>
        <w:t>tions.</w:t>
      </w:r>
    </w:p>
    <w:p w:rsidR="00000000" w:rsidRDefault="00DA1786">
      <w:pPr>
        <w:jc w:val="both"/>
        <w:divId w:val="779881656"/>
        <w:rPr>
          <w:rFonts w:eastAsia="Times New Roman"/>
        </w:rPr>
      </w:pPr>
      <w:r>
        <w:rPr>
          <w:rFonts w:eastAsia="Times New Roman"/>
          <w:color w:val="000000"/>
          <w:sz w:val="20"/>
          <w:szCs w:val="20"/>
        </w:rPr>
        <w:t>Some of these persons or entities may have interests different than yours. For example, because many of these stockholders purchased their shares at prices substantially below the current market price of our common stock and have held their shares f</w:t>
      </w:r>
      <w:r>
        <w:rPr>
          <w:rFonts w:eastAsia="Times New Roman"/>
          <w:color w:val="000000"/>
          <w:sz w:val="20"/>
          <w:szCs w:val="20"/>
        </w:rPr>
        <w:t>or a longer period, they may be more interested in selling our company to an acquirer than other investors, or they may want us to pursue strategies that deviate from the interests of other stockholders.</w:t>
      </w:r>
    </w:p>
    <w:p w:rsidR="00000000" w:rsidRDefault="00DA1786">
      <w:pPr>
        <w:jc w:val="both"/>
        <w:divId w:val="1761289173"/>
        <w:rPr>
          <w:rFonts w:eastAsia="Times New Roman"/>
        </w:rPr>
      </w:pPr>
      <w:r>
        <w:rPr>
          <w:rFonts w:eastAsia="Times New Roman"/>
          <w:b/>
          <w:bCs/>
          <w:i/>
          <w:iCs/>
          <w:color w:val="000000"/>
          <w:sz w:val="20"/>
          <w:szCs w:val="20"/>
        </w:rPr>
        <w:t>We are at risk of securities class action and simila</w:t>
      </w:r>
      <w:r>
        <w:rPr>
          <w:rFonts w:eastAsia="Times New Roman"/>
          <w:b/>
          <w:bCs/>
          <w:i/>
          <w:iCs/>
          <w:color w:val="000000"/>
          <w:sz w:val="20"/>
          <w:szCs w:val="20"/>
        </w:rPr>
        <w:t>r litigation.</w:t>
      </w:r>
    </w:p>
    <w:p w:rsidR="00000000" w:rsidRDefault="00DA1786">
      <w:pPr>
        <w:jc w:val="both"/>
        <w:divId w:val="787893221"/>
        <w:rPr>
          <w:rFonts w:eastAsia="Times New Roman"/>
        </w:rPr>
      </w:pPr>
      <w:r>
        <w:rPr>
          <w:rFonts w:eastAsia="Times New Roman"/>
          <w:color w:val="000000"/>
          <w:sz w:val="20"/>
          <w:szCs w:val="20"/>
        </w:rPr>
        <w:t>In the past, securities class action litigation has often been brought against a company following a decline in the market price of our securities. This risk is especially relevant for us because biopharmaceutical companies have experienced s</w:t>
      </w:r>
      <w:r>
        <w:rPr>
          <w:rFonts w:eastAsia="Times New Roman"/>
          <w:color w:val="000000"/>
          <w:sz w:val="20"/>
          <w:szCs w:val="20"/>
        </w:rPr>
        <w:t>ignificant stock price volatility in recent years. We remain the subject of various securities class action lawsuits and shareholder derivative lawsuits that were filed against OvaScience and certain of its officer and directors, as described in more detai</w:t>
      </w:r>
      <w:r>
        <w:rPr>
          <w:rFonts w:eastAsia="Times New Roman"/>
          <w:color w:val="000000"/>
          <w:sz w:val="20"/>
          <w:szCs w:val="20"/>
        </w:rPr>
        <w:t>l in Item 3, Legal Proceedings. These lawsuits, as well as any similar lawsuits initiated in the future, could result in substantial cost and a diversion of management’s attention and resources, which could harm our business.</w:t>
      </w:r>
    </w:p>
    <w:p w:rsidR="00000000" w:rsidRDefault="00DA1786">
      <w:pPr>
        <w:jc w:val="both"/>
        <w:divId w:val="1046174911"/>
        <w:rPr>
          <w:rFonts w:eastAsia="Times New Roman"/>
        </w:rPr>
      </w:pPr>
      <w:r>
        <w:rPr>
          <w:rFonts w:eastAsia="Times New Roman"/>
          <w:b/>
          <w:bCs/>
          <w:i/>
          <w:iCs/>
          <w:color w:val="000000"/>
          <w:sz w:val="20"/>
          <w:szCs w:val="20"/>
        </w:rPr>
        <w:t xml:space="preserve">If we fail to maintain proper </w:t>
      </w:r>
      <w:r>
        <w:rPr>
          <w:rFonts w:eastAsia="Times New Roman"/>
          <w:b/>
          <w:bCs/>
          <w:i/>
          <w:iCs/>
          <w:color w:val="000000"/>
          <w:sz w:val="20"/>
          <w:szCs w:val="20"/>
        </w:rPr>
        <w:t>and effective internal controls, our ability to produce accurate financial statements on a timely basis could be impaired.</w:t>
      </w:r>
    </w:p>
    <w:p w:rsidR="00000000" w:rsidRDefault="00DA1786">
      <w:pPr>
        <w:jc w:val="both"/>
        <w:divId w:val="699162143"/>
        <w:rPr>
          <w:rFonts w:eastAsia="Times New Roman"/>
        </w:rPr>
      </w:pPr>
      <w:r>
        <w:rPr>
          <w:rFonts w:eastAsia="Times New Roman"/>
          <w:color w:val="000000"/>
          <w:sz w:val="20"/>
          <w:szCs w:val="20"/>
        </w:rPr>
        <w:t>We are subject to the reporting requirements of the Securities Exchange Act of 1934, as amended (the “Exchange Act”), The Sarbanes-Ox</w:t>
      </w:r>
      <w:r>
        <w:rPr>
          <w:rFonts w:eastAsia="Times New Roman"/>
          <w:color w:val="000000"/>
          <w:sz w:val="20"/>
          <w:szCs w:val="20"/>
        </w:rPr>
        <w:t>ley Act, the Dodd-Frank Wall Street Reform and Consumer Protection Act, and the rules and regulations of the stock market on which our common stock is listed. The Sarbanes-Oxley Act requires, among other things, that we maintain effective disclosure contro</w:t>
      </w:r>
      <w:r>
        <w:rPr>
          <w:rFonts w:eastAsia="Times New Roman"/>
          <w:color w:val="000000"/>
          <w:sz w:val="20"/>
          <w:szCs w:val="20"/>
        </w:rPr>
        <w:t>ls and procedures and internal control over financial reporting and that we</w:t>
      </w:r>
      <w:r>
        <w:rPr>
          <w:rFonts w:eastAsia="Times New Roman"/>
          <w:color w:val="000000"/>
          <w:sz w:val="20"/>
          <w:szCs w:val="20"/>
          <w:shd w:val="clear" w:color="auto" w:fill="FFFFFF"/>
        </w:rPr>
        <w:t xml:space="preserve"> furnish a report by management on, among other things, the effectiveness of our internal control over financial reporting. This assessment includes </w:t>
      </w:r>
      <w:r>
        <w:rPr>
          <w:rFonts w:eastAsia="Times New Roman"/>
          <w:color w:val="000000"/>
          <w:sz w:val="20"/>
          <w:szCs w:val="20"/>
        </w:rPr>
        <w:t>disclosure of any material weakn</w:t>
      </w:r>
      <w:r>
        <w:rPr>
          <w:rFonts w:eastAsia="Times New Roman"/>
          <w:color w:val="000000"/>
          <w:sz w:val="20"/>
          <w:szCs w:val="20"/>
        </w:rPr>
        <w:t>esses identified by our management in our internal control over financial reporting. However, due to recent changes in SEC rules related to smaller reporting companies, we are not required to have our auditors formally attest to the effectiveness of our in</w:t>
      </w:r>
      <w:r>
        <w:rPr>
          <w:rFonts w:eastAsia="Times New Roman"/>
          <w:color w:val="000000"/>
          <w:sz w:val="20"/>
          <w:szCs w:val="20"/>
        </w:rPr>
        <w:t xml:space="preserve">ternal control over financial reporting in connection with this Annual Report on Form 10-K for the year ended December 31, 2020. For the year ended December 31, 2018, we were unable to conduct the required assessment primarily due to the OvaScience Merger </w:t>
      </w:r>
      <w:r>
        <w:rPr>
          <w:rFonts w:eastAsia="Times New Roman"/>
          <w:color w:val="000000"/>
          <w:sz w:val="20"/>
          <w:szCs w:val="20"/>
        </w:rPr>
        <w:t xml:space="preserve">occurring in the fourth quarter of 2018 and the substantial change in operational focus, management and the internal control environment following the OvaScience Merger. As a result, we provided our first internal control assessment with our Annual Report </w:t>
      </w:r>
      <w:r>
        <w:rPr>
          <w:rFonts w:eastAsia="Times New Roman"/>
          <w:color w:val="000000"/>
          <w:sz w:val="20"/>
          <w:szCs w:val="20"/>
        </w:rPr>
        <w:t>on Form 10-K for the year ended December 31, 2019.</w:t>
      </w:r>
    </w:p>
    <w:p w:rsidR="00000000" w:rsidRDefault="00DA1786">
      <w:pPr>
        <w:jc w:val="both"/>
        <w:divId w:val="1750275301"/>
        <w:rPr>
          <w:rFonts w:eastAsia="Times New Roman"/>
        </w:rPr>
      </w:pPr>
      <w:r>
        <w:rPr>
          <w:rFonts w:eastAsia="Times New Roman"/>
          <w:color w:val="000000"/>
          <w:sz w:val="20"/>
          <w:szCs w:val="20"/>
        </w:rPr>
        <w:t>We may identify weaknesses in our system of internal financial and accounting controls and procedures that could result in a material misstatement of our financial statements. Our internal control over fin</w:t>
      </w:r>
      <w:r>
        <w:rPr>
          <w:rFonts w:eastAsia="Times New Roman"/>
          <w:color w:val="000000"/>
          <w:sz w:val="20"/>
          <w:szCs w:val="20"/>
        </w:rPr>
        <w:t>ancial reporting will not prevent or detect all errors and all fraud. A control system, no matter how well designed and operated, can provide only reasonable, not absolute, assurance that the control system’s objectives will be met. Because of the inherent</w:t>
      </w:r>
      <w:r>
        <w:rPr>
          <w:rFonts w:eastAsia="Times New Roman"/>
          <w:color w:val="000000"/>
          <w:sz w:val="20"/>
          <w:szCs w:val="20"/>
        </w:rPr>
        <w:t xml:space="preserve"> limitations in all control systems, no evaluation of controls can provide absolute assurance that misstatements due to error or fraud will not occur or that all control issues and instances of fraud will be detected.</w:t>
      </w:r>
    </w:p>
    <w:p w:rsidR="00000000" w:rsidRDefault="00DA1786">
      <w:pPr>
        <w:jc w:val="both"/>
        <w:divId w:val="902522490"/>
        <w:rPr>
          <w:rFonts w:eastAsia="Times New Roman"/>
        </w:rPr>
      </w:pPr>
      <w:r>
        <w:rPr>
          <w:rFonts w:eastAsia="Times New Roman"/>
          <w:color w:val="000000"/>
          <w:sz w:val="20"/>
          <w:szCs w:val="20"/>
        </w:rPr>
        <w:t xml:space="preserve">If we are not able to comply with the </w:t>
      </w:r>
      <w:r>
        <w:rPr>
          <w:rFonts w:eastAsia="Times New Roman"/>
          <w:color w:val="000000"/>
          <w:sz w:val="20"/>
          <w:szCs w:val="20"/>
        </w:rPr>
        <w:t>requirements of Section 404 of the Sarbanes-Oxley Act in a timely manner, or if we are unable to maintain proper and effective internal controls, we may not be able to produce timely and accurate financial statements. If that were to happen, the market pri</w:t>
      </w:r>
      <w:r>
        <w:rPr>
          <w:rFonts w:eastAsia="Times New Roman"/>
          <w:color w:val="000000"/>
          <w:sz w:val="20"/>
          <w:szCs w:val="20"/>
        </w:rPr>
        <w:t>ce of our stock could decline and we could be subject to sanctions or investigations by the stock exchange on which our common stock is listed, the Securities and Exchange Commission (“SEC”), or other regulatory authorities.</w:t>
      </w:r>
    </w:p>
    <w:p w:rsidR="00000000" w:rsidRDefault="00DA1786">
      <w:pPr>
        <w:jc w:val="both"/>
        <w:divId w:val="216745881"/>
        <w:rPr>
          <w:rFonts w:eastAsia="Times New Roman"/>
        </w:rPr>
      </w:pPr>
      <w:r>
        <w:rPr>
          <w:rFonts w:eastAsia="Times New Roman"/>
          <w:b/>
          <w:bCs/>
          <w:i/>
          <w:iCs/>
          <w:color w:val="000000"/>
          <w:sz w:val="20"/>
          <w:szCs w:val="20"/>
        </w:rPr>
        <w:t xml:space="preserve">We expect to continue to incur </w:t>
      </w:r>
      <w:r>
        <w:rPr>
          <w:rFonts w:eastAsia="Times New Roman"/>
          <w:b/>
          <w:bCs/>
          <w:i/>
          <w:iCs/>
          <w:color w:val="000000"/>
          <w:sz w:val="20"/>
          <w:szCs w:val="20"/>
        </w:rPr>
        <w:t>increased costs as a result of operating as a public company, and our management is required to devote substantial time to compliance with our public company responsibilities and corporate governance practices.</w:t>
      </w:r>
    </w:p>
    <w:p w:rsidR="00000000" w:rsidRDefault="00DA1786">
      <w:pPr>
        <w:jc w:val="both"/>
        <w:divId w:val="1168983799"/>
        <w:rPr>
          <w:rFonts w:eastAsia="Times New Roman"/>
        </w:rPr>
      </w:pPr>
      <w:r>
        <w:rPr>
          <w:rFonts w:eastAsia="Times New Roman"/>
          <w:color w:val="000000"/>
          <w:sz w:val="20"/>
          <w:szCs w:val="20"/>
        </w:rPr>
        <w:t>As a relatively new public company, we contin</w:t>
      </w:r>
      <w:r>
        <w:rPr>
          <w:rFonts w:eastAsia="Times New Roman"/>
          <w:color w:val="000000"/>
          <w:sz w:val="20"/>
          <w:szCs w:val="20"/>
        </w:rPr>
        <w:t xml:space="preserve">ue to incur significant legal, accounting and other expenses that we did not incur as a private company. The Sarbanes-Oxley Act, the Dodd-Frank Wall Street Reform and Consumer Protection Act, the listing requirements of the Nasdaq Capital Market and other </w:t>
      </w:r>
      <w:r>
        <w:rPr>
          <w:rFonts w:eastAsia="Times New Roman"/>
          <w:color w:val="000000"/>
          <w:sz w:val="20"/>
          <w:szCs w:val="20"/>
        </w:rPr>
        <w:t>applicable securities rules and regulations impose various requirements on public companies. Our management and other personnel need to devote a substantial amount of time to compliance with these requirements. Moreover, these rules and regulations increas</w:t>
      </w:r>
      <w:r>
        <w:rPr>
          <w:rFonts w:eastAsia="Times New Roman"/>
          <w:color w:val="000000"/>
          <w:sz w:val="20"/>
          <w:szCs w:val="20"/>
        </w:rPr>
        <w:t>e our legal and financial compliance costs and will make some activities more time-consuming and costly. For example, we expect that these rules and regulations may make it more difficult and more expensive for us to obtain directors’ and officers’ liabili</w:t>
      </w:r>
      <w:r>
        <w:rPr>
          <w:rFonts w:eastAsia="Times New Roman"/>
          <w:color w:val="000000"/>
          <w:sz w:val="20"/>
          <w:szCs w:val="20"/>
        </w:rPr>
        <w:t xml:space="preserve">ty insurance, compared to when we were a private company, which could make it more difficult for us to attract and retain qualified members of our board of directors. We cannot predict or </w:t>
      </w:r>
    </w:p>
    <w:p w:rsidR="00000000" w:rsidRDefault="00DA1786">
      <w:pPr>
        <w:ind w:firstLine="720"/>
        <w:jc w:val="center"/>
        <w:divId w:val="308749728"/>
        <w:rPr>
          <w:rFonts w:eastAsia="Times New Roman"/>
        </w:rPr>
      </w:pPr>
      <w:r>
        <w:rPr>
          <w:rFonts w:eastAsia="Times New Roman"/>
          <w:color w:val="000000"/>
          <w:sz w:val="20"/>
          <w:szCs w:val="20"/>
        </w:rPr>
        <w:t>36</w:t>
      </w:r>
    </w:p>
    <w:p w:rsidR="00000000" w:rsidRDefault="00DA1786">
      <w:pPr>
        <w:rPr>
          <w:rFonts w:eastAsia="Times New Roman"/>
        </w:rPr>
      </w:pPr>
      <w:r>
        <w:rPr>
          <w:rFonts w:eastAsia="Times New Roman"/>
        </w:rPr>
        <w:pict>
          <v:rect id="_x0000_i1061" style="width:0;height:1.5pt" o:hralign="center" o:hrstd="t" o:hr="t" fillcolor="#a0a0a0" stroked="f"/>
        </w:pict>
      </w:r>
    </w:p>
    <w:p w:rsidR="00000000" w:rsidRDefault="00DA1786">
      <w:pPr>
        <w:divId w:val="594019376"/>
        <w:rPr>
          <w:rFonts w:eastAsia="Times New Roman"/>
        </w:rPr>
      </w:pPr>
    </w:p>
    <w:p w:rsidR="00000000" w:rsidRDefault="00DA1786">
      <w:pPr>
        <w:jc w:val="both"/>
        <w:divId w:val="192960780"/>
        <w:rPr>
          <w:rFonts w:eastAsia="Times New Roman"/>
        </w:rPr>
      </w:pPr>
      <w:r>
        <w:rPr>
          <w:rFonts w:eastAsia="Times New Roman"/>
          <w:color w:val="000000"/>
          <w:sz w:val="20"/>
          <w:szCs w:val="20"/>
        </w:rPr>
        <w:t>estimate the amount of additional costs we will continue to incur as a public company or the timing of such costs.</w:t>
      </w:r>
    </w:p>
    <w:p w:rsidR="00000000" w:rsidRDefault="00DA1786">
      <w:pPr>
        <w:jc w:val="both"/>
        <w:divId w:val="1322083403"/>
        <w:rPr>
          <w:rFonts w:eastAsia="Times New Roman"/>
        </w:rPr>
      </w:pPr>
      <w:r>
        <w:rPr>
          <w:rFonts w:eastAsia="Times New Roman"/>
          <w:b/>
          <w:bCs/>
          <w:i/>
          <w:iCs/>
          <w:color w:val="000000"/>
          <w:sz w:val="20"/>
          <w:szCs w:val="20"/>
        </w:rPr>
        <w:t xml:space="preserve">Changes in tax laws or regulations could materially adversely affect our company. </w:t>
      </w:r>
    </w:p>
    <w:p w:rsidR="00000000" w:rsidRDefault="00DA1786">
      <w:pPr>
        <w:jc w:val="both"/>
        <w:divId w:val="1214733715"/>
        <w:rPr>
          <w:rFonts w:eastAsia="Times New Roman"/>
        </w:rPr>
      </w:pPr>
      <w:r>
        <w:rPr>
          <w:rFonts w:eastAsia="Times New Roman"/>
          <w:color w:val="000000"/>
          <w:sz w:val="20"/>
          <w:szCs w:val="20"/>
        </w:rPr>
        <w:t xml:space="preserve">New tax laws or regulations could be enacted at any time, </w:t>
      </w:r>
      <w:r>
        <w:rPr>
          <w:rFonts w:eastAsia="Times New Roman"/>
          <w:color w:val="000000"/>
          <w:sz w:val="20"/>
          <w:szCs w:val="20"/>
        </w:rPr>
        <w:t>and existing tax laws or regulations could be interpreted, modified or applied in a manner that is adverse to us, which could adversely affect our business and financial condition. For example, legislation enacted in 2017, informally titled the Tax Act, en</w:t>
      </w:r>
      <w:r>
        <w:rPr>
          <w:rFonts w:eastAsia="Times New Roman"/>
          <w:color w:val="000000"/>
          <w:sz w:val="20"/>
          <w:szCs w:val="20"/>
        </w:rPr>
        <w:t>acted many significant changes to the U.S. tax laws, including changes in corporate tax rates, the utilization of our NOLs and other deferred tax assets, the deductibility of expenses, and the taxation of foreign earnings. Future guidance from the Internal</w:t>
      </w:r>
      <w:r>
        <w:rPr>
          <w:rFonts w:eastAsia="Times New Roman"/>
          <w:color w:val="000000"/>
          <w:sz w:val="20"/>
          <w:szCs w:val="20"/>
        </w:rPr>
        <w:t xml:space="preserve"> Revenue Service and other tax authorities with respect to the Tax Act may affect us, and certain aspects of the Tax Act could be repealed or modified in future legislation. For example, the CARES Act modified certain provisions of the Tax Act. In addition</w:t>
      </w:r>
      <w:r>
        <w:rPr>
          <w:rFonts w:eastAsia="Times New Roman"/>
          <w:color w:val="000000"/>
          <w:sz w:val="20"/>
          <w:szCs w:val="20"/>
        </w:rPr>
        <w:t xml:space="preserve">, it is uncertain if and to what extent various states will conform to the Tax Act, the CARES Act, or any newly enacted federal tax legislation. The impact of changes under the Tax Act, the CARES Act, or future reform legislation could increase our future </w:t>
      </w:r>
      <w:r>
        <w:rPr>
          <w:rFonts w:eastAsia="Times New Roman"/>
          <w:color w:val="000000"/>
          <w:sz w:val="20"/>
          <w:szCs w:val="20"/>
        </w:rPr>
        <w:t>U.S. tax expense and could have a material adverse impact on our business and financial condition.</w:t>
      </w:r>
    </w:p>
    <w:p w:rsidR="00000000" w:rsidRDefault="00DA1786">
      <w:pPr>
        <w:jc w:val="both"/>
        <w:divId w:val="65342971"/>
        <w:rPr>
          <w:rFonts w:eastAsia="Times New Roman"/>
        </w:rPr>
      </w:pPr>
      <w:r>
        <w:rPr>
          <w:rFonts w:eastAsia="Times New Roman"/>
          <w:b/>
          <w:bCs/>
          <w:i/>
          <w:iCs/>
          <w:color w:val="000000"/>
          <w:sz w:val="20"/>
          <w:szCs w:val="20"/>
        </w:rPr>
        <w:t>Our effective tax rate may fluctuate, and we may incur obligations in tax jurisdictions in excess of accrued amounts.</w:t>
      </w:r>
    </w:p>
    <w:p w:rsidR="00000000" w:rsidRDefault="00DA1786">
      <w:pPr>
        <w:jc w:val="both"/>
        <w:divId w:val="1788424694"/>
        <w:rPr>
          <w:rFonts w:eastAsia="Times New Roman"/>
        </w:rPr>
      </w:pPr>
      <w:r>
        <w:rPr>
          <w:rFonts w:eastAsia="Times New Roman"/>
          <w:color w:val="000000"/>
          <w:sz w:val="20"/>
          <w:szCs w:val="20"/>
        </w:rPr>
        <w:t>We are subject to taxation in more than</w:t>
      </w:r>
      <w:r>
        <w:rPr>
          <w:rFonts w:eastAsia="Times New Roman"/>
          <w:color w:val="000000"/>
          <w:sz w:val="20"/>
          <w:szCs w:val="20"/>
        </w:rPr>
        <w:t xml:space="preserve"> one tax jurisdiction. As a result, our effective tax rate is derived from a combination of applicable tax rates in the various places that we operate. In preparing our financial statements, we estimate the amount of tax that will become payable in each of</w:t>
      </w:r>
      <w:r>
        <w:rPr>
          <w:rFonts w:eastAsia="Times New Roman"/>
          <w:color w:val="000000"/>
          <w:sz w:val="20"/>
          <w:szCs w:val="20"/>
        </w:rPr>
        <w:t xml:space="preserve"> such places. Nevertheless, our effective tax rate may be different than experienced in the past due to numerous factors, including passage of the newly enacted federal income tax law, changes in the mix of our profitability from jurisdiction to jurisdicti</w:t>
      </w:r>
      <w:r>
        <w:rPr>
          <w:rFonts w:eastAsia="Times New Roman"/>
          <w:color w:val="000000"/>
          <w:sz w:val="20"/>
          <w:szCs w:val="20"/>
        </w:rPr>
        <w:t xml:space="preserve">on, the results of examinations and audits of our tax filings, our inability to secure or sustain acceptable agreements with tax authorities, changes in accounting for income taxes, cash repatriation restrictions and possible withholding taxes and changes </w:t>
      </w:r>
      <w:r>
        <w:rPr>
          <w:rFonts w:eastAsia="Times New Roman"/>
          <w:color w:val="000000"/>
          <w:sz w:val="20"/>
          <w:szCs w:val="20"/>
        </w:rPr>
        <w:t>in tax laws. Any of these factors could cause us to experience an effective tax rate significantly different from previous periods or our current expectations and may result in tax obligations in excess of amounts accrued in our financial statements.</w:t>
      </w:r>
    </w:p>
    <w:p w:rsidR="00000000" w:rsidRDefault="00DA1786">
      <w:pPr>
        <w:jc w:val="both"/>
        <w:divId w:val="1363750304"/>
        <w:rPr>
          <w:rFonts w:eastAsia="Times New Roman"/>
        </w:rPr>
      </w:pPr>
      <w:r>
        <w:rPr>
          <w:rFonts w:eastAsia="Times New Roman"/>
          <w:b/>
          <w:bCs/>
          <w:i/>
          <w:iCs/>
          <w:color w:val="000000"/>
          <w:sz w:val="20"/>
          <w:szCs w:val="20"/>
        </w:rPr>
        <w:t>Our a</w:t>
      </w:r>
      <w:r>
        <w:rPr>
          <w:rFonts w:eastAsia="Times New Roman"/>
          <w:b/>
          <w:bCs/>
          <w:i/>
          <w:iCs/>
          <w:color w:val="000000"/>
          <w:sz w:val="20"/>
          <w:szCs w:val="20"/>
        </w:rPr>
        <w:t>bility to use net operating losses and certain other tax attributes to offset future taxable income may be subject to limitation.</w:t>
      </w:r>
    </w:p>
    <w:p w:rsidR="00000000" w:rsidRDefault="00DA1786">
      <w:pPr>
        <w:jc w:val="both"/>
        <w:divId w:val="1463621049"/>
        <w:rPr>
          <w:rFonts w:eastAsia="Times New Roman"/>
        </w:rPr>
      </w:pPr>
      <w:r>
        <w:rPr>
          <w:rFonts w:eastAsia="Times New Roman"/>
          <w:color w:val="000000"/>
          <w:sz w:val="20"/>
          <w:szCs w:val="20"/>
        </w:rPr>
        <w:t>As of December 31, 2020, we had federal and state net operating loss carryforwards (“NOLs”) of $330.8 million and $280.9 milli</w:t>
      </w:r>
      <w:r>
        <w:rPr>
          <w:rFonts w:eastAsia="Times New Roman"/>
          <w:color w:val="000000"/>
          <w:sz w:val="20"/>
          <w:szCs w:val="20"/>
        </w:rPr>
        <w:t>on, respectively. Our NOLs could expire unused and be unavailable to offset future income tax liabilities because of their limited duration or because of restrictions under U.S. tax law. Our NOLs generated in tax years ending on or prior to December 31, 20</w:t>
      </w:r>
      <w:r>
        <w:rPr>
          <w:rFonts w:eastAsia="Times New Roman"/>
          <w:color w:val="000000"/>
          <w:sz w:val="20"/>
          <w:szCs w:val="20"/>
        </w:rPr>
        <w:t>17 are permitted to be carried forward for only 20 years under applicable U.S. tax law. Our federal NOLs generated in tax years ending after December 31, 2017 may be carried forward indefinitely, but the deductibility of federal NOLs generated in tax years</w:t>
      </w:r>
      <w:r>
        <w:rPr>
          <w:rFonts w:eastAsia="Times New Roman"/>
          <w:color w:val="000000"/>
          <w:sz w:val="20"/>
          <w:szCs w:val="20"/>
        </w:rPr>
        <w:t xml:space="preserve"> beginning after December 31, 2020 is subject to certain limitations. It is uncertain if and to what extent various states will conform to the Tax Act. Our federal and state net operating loss carryforwards will begin to expire, if not utilized, by 2031. </w:t>
      </w:r>
    </w:p>
    <w:p w:rsidR="00000000" w:rsidRDefault="00DA1786">
      <w:pPr>
        <w:jc w:val="both"/>
        <w:divId w:val="1632514678"/>
        <w:rPr>
          <w:rFonts w:eastAsia="Times New Roman"/>
        </w:rPr>
      </w:pPr>
      <w:r>
        <w:rPr>
          <w:rFonts w:eastAsia="Times New Roman"/>
          <w:color w:val="000000"/>
          <w:sz w:val="20"/>
          <w:szCs w:val="20"/>
        </w:rPr>
        <w:t>In addition, under Section 382 and Section 383 of the Internal Revenue Code of 1986, as amended, and corresponding provisions of state law, if a corporation undergoes an “ownership change,” its ability to use its pre-change NOL carryforwards and other pre-</w:t>
      </w:r>
      <w:r>
        <w:rPr>
          <w:rFonts w:eastAsia="Times New Roman"/>
          <w:color w:val="000000"/>
          <w:sz w:val="20"/>
          <w:szCs w:val="20"/>
        </w:rPr>
        <w:t>change tax attributes (such as research tax credits) to offset its post-change income may be limited. A Section 382 “ownership change” generally occurs if one or more stockholders or groups of stockholders who own at least 5% of our stock increase their ow</w:t>
      </w:r>
      <w:r>
        <w:rPr>
          <w:rFonts w:eastAsia="Times New Roman"/>
          <w:color w:val="000000"/>
          <w:sz w:val="20"/>
          <w:szCs w:val="20"/>
        </w:rPr>
        <w:t xml:space="preserve">nership by more than 50 percentage points (by value) over their lowest ownership percentage over a rolling three-year period. We may have experienced ownership changes in the past and may experience ownership changes in the future as a result of shifts in </w:t>
      </w:r>
      <w:r>
        <w:rPr>
          <w:rFonts w:eastAsia="Times New Roman"/>
          <w:color w:val="000000"/>
          <w:sz w:val="20"/>
          <w:szCs w:val="20"/>
        </w:rPr>
        <w:t xml:space="preserve">our stock ownership, such as the Merger with Tempest, or other changes (some of which are outside our control). As a result, if we earn net taxable income, our ability to use our pre-change NOLs to offset such taxable income may be subject to limitations. </w:t>
      </w:r>
      <w:r>
        <w:rPr>
          <w:rFonts w:eastAsia="Times New Roman"/>
          <w:color w:val="000000"/>
          <w:sz w:val="20"/>
          <w:szCs w:val="20"/>
        </w:rPr>
        <w:t>Similar provisions of state tax law may also apply to limit our use of accumulated state tax attributes. In addition, at the state level, there may be periods during which the use of NOLs is suspended or otherwise limited, which could accelerate or permane</w:t>
      </w:r>
      <w:r>
        <w:rPr>
          <w:rFonts w:eastAsia="Times New Roman"/>
          <w:color w:val="000000"/>
          <w:sz w:val="20"/>
          <w:szCs w:val="20"/>
        </w:rPr>
        <w:t>ntly increase state taxes owed.</w:t>
      </w:r>
    </w:p>
    <w:p w:rsidR="00000000" w:rsidRDefault="00DA1786">
      <w:pPr>
        <w:jc w:val="both"/>
        <w:divId w:val="25102118"/>
        <w:rPr>
          <w:rFonts w:eastAsia="Times New Roman"/>
        </w:rPr>
      </w:pPr>
      <w:r>
        <w:rPr>
          <w:rFonts w:eastAsia="Times New Roman"/>
          <w:color w:val="000000"/>
          <w:sz w:val="20"/>
          <w:szCs w:val="20"/>
        </w:rPr>
        <w:t>Consequently, even if we achieve profitability, we may not be able to utilize a material portion of our net operating loss carryforwards and certain other tax attributes, which could have a material adverse effect on cash fl</w:t>
      </w:r>
      <w:r>
        <w:rPr>
          <w:rFonts w:eastAsia="Times New Roman"/>
          <w:color w:val="000000"/>
          <w:sz w:val="20"/>
          <w:szCs w:val="20"/>
        </w:rPr>
        <w:t>ow and results of operations.</w:t>
      </w:r>
    </w:p>
    <w:p w:rsidR="00000000" w:rsidRDefault="00DA1786">
      <w:pPr>
        <w:jc w:val="both"/>
        <w:divId w:val="1306620091"/>
        <w:rPr>
          <w:rFonts w:eastAsia="Times New Roman"/>
        </w:rPr>
      </w:pPr>
      <w:r>
        <w:rPr>
          <w:rFonts w:eastAsia="Times New Roman"/>
          <w:b/>
          <w:bCs/>
          <w:i/>
          <w:iCs/>
          <w:color w:val="000000"/>
          <w:sz w:val="20"/>
          <w:szCs w:val="20"/>
        </w:rPr>
        <w:t>We do not anticipate paying any cash dividends on our common stock in the foreseeable future.</w:t>
      </w:r>
    </w:p>
    <w:p w:rsidR="00000000" w:rsidRDefault="00DA1786">
      <w:pPr>
        <w:jc w:val="both"/>
        <w:divId w:val="1318680660"/>
        <w:rPr>
          <w:rFonts w:eastAsia="Times New Roman"/>
        </w:rPr>
      </w:pPr>
      <w:r>
        <w:rPr>
          <w:rFonts w:eastAsia="Times New Roman"/>
          <w:color w:val="000000"/>
          <w:sz w:val="20"/>
          <w:szCs w:val="20"/>
        </w:rPr>
        <w:t>You should not rely on an investment in our common stock to provide dividend income. We have not declared or paid cash dividends on our common stock to date. We currently intend to retain our future earnings, if any, to fund the development and growth of o</w:t>
      </w:r>
      <w:r>
        <w:rPr>
          <w:rFonts w:eastAsia="Times New Roman"/>
          <w:color w:val="000000"/>
          <w:sz w:val="20"/>
          <w:szCs w:val="20"/>
        </w:rPr>
        <w:t xml:space="preserve">ur business. In addition, the terms of any existing or future debt agreements may preclude us from paying dividends. </w:t>
      </w:r>
    </w:p>
    <w:p w:rsidR="00000000" w:rsidRDefault="00DA1786">
      <w:pPr>
        <w:ind w:firstLine="720"/>
        <w:jc w:val="center"/>
        <w:divId w:val="1340766992"/>
        <w:rPr>
          <w:rFonts w:eastAsia="Times New Roman"/>
        </w:rPr>
      </w:pPr>
      <w:r>
        <w:rPr>
          <w:rFonts w:eastAsia="Times New Roman"/>
          <w:color w:val="000000"/>
          <w:sz w:val="20"/>
          <w:szCs w:val="20"/>
        </w:rPr>
        <w:t>37</w:t>
      </w:r>
    </w:p>
    <w:p w:rsidR="00000000" w:rsidRDefault="00DA1786">
      <w:pPr>
        <w:rPr>
          <w:rFonts w:eastAsia="Times New Roman"/>
        </w:rPr>
      </w:pPr>
      <w:r>
        <w:rPr>
          <w:rFonts w:eastAsia="Times New Roman"/>
        </w:rPr>
        <w:pict>
          <v:rect id="_x0000_i1062" style="width:0;height:1.5pt" o:hralign="center" o:hrstd="t" o:hr="t" fillcolor="#a0a0a0" stroked="f"/>
        </w:pict>
      </w:r>
    </w:p>
    <w:p w:rsidR="00000000" w:rsidRDefault="00DA1786">
      <w:pPr>
        <w:divId w:val="1396467037"/>
        <w:rPr>
          <w:rFonts w:eastAsia="Times New Roman"/>
        </w:rPr>
      </w:pPr>
    </w:p>
    <w:p w:rsidR="00000000" w:rsidRDefault="00DA1786">
      <w:pPr>
        <w:jc w:val="both"/>
        <w:divId w:val="463936313"/>
        <w:rPr>
          <w:rFonts w:eastAsia="Times New Roman"/>
        </w:rPr>
      </w:pPr>
      <w:r>
        <w:rPr>
          <w:rFonts w:eastAsia="Times New Roman"/>
          <w:color w:val="000000"/>
          <w:sz w:val="20"/>
          <w:szCs w:val="20"/>
        </w:rPr>
        <w:t xml:space="preserve">As a result, capital appreciation, if any, of our common stock will be your sole source of gain </w:t>
      </w:r>
      <w:r>
        <w:rPr>
          <w:rFonts w:eastAsia="Times New Roman"/>
          <w:color w:val="000000"/>
          <w:sz w:val="20"/>
          <w:szCs w:val="20"/>
        </w:rPr>
        <w:t>for the foreseeable future. Investors seeking cash dividends should not purchase our common stock.</w:t>
      </w:r>
    </w:p>
    <w:p w:rsidR="00000000" w:rsidRDefault="00DA1786">
      <w:pPr>
        <w:jc w:val="both"/>
        <w:rPr>
          <w:rFonts w:eastAsia="Times New Roman"/>
        </w:rPr>
      </w:pPr>
    </w:p>
    <w:p w:rsidR="00000000" w:rsidRDefault="00DA1786">
      <w:pPr>
        <w:divId w:val="1697736522"/>
        <w:rPr>
          <w:rFonts w:eastAsia="Times New Roman"/>
        </w:rPr>
      </w:pPr>
      <w:r>
        <w:rPr>
          <w:rFonts w:eastAsia="Times New Roman"/>
          <w:b/>
          <w:bCs/>
          <w:color w:val="000000"/>
          <w:sz w:val="20"/>
          <w:szCs w:val="20"/>
        </w:rPr>
        <w:t>ITEM 1B. UNRESOLVED STAFF COMMENTS</w:t>
      </w:r>
    </w:p>
    <w:p w:rsidR="00000000" w:rsidRDefault="00DA1786">
      <w:pPr>
        <w:divId w:val="675310345"/>
        <w:rPr>
          <w:rFonts w:eastAsia="Times New Roman"/>
        </w:rPr>
      </w:pPr>
      <w:r>
        <w:rPr>
          <w:rFonts w:eastAsia="Times New Roman"/>
          <w:color w:val="000000"/>
          <w:sz w:val="20"/>
          <w:szCs w:val="20"/>
        </w:rPr>
        <w:t>None.</w:t>
      </w:r>
    </w:p>
    <w:p w:rsidR="00000000" w:rsidRDefault="00DA1786">
      <w:pPr>
        <w:divId w:val="1775442795"/>
        <w:rPr>
          <w:rFonts w:eastAsia="Times New Roman"/>
        </w:rPr>
      </w:pPr>
      <w:r>
        <w:rPr>
          <w:rFonts w:eastAsia="Times New Roman"/>
          <w:b/>
          <w:bCs/>
          <w:color w:val="000000"/>
          <w:sz w:val="20"/>
          <w:szCs w:val="20"/>
        </w:rPr>
        <w:t>ITEM 2. PROPERTIES</w:t>
      </w:r>
    </w:p>
    <w:p w:rsidR="00000000" w:rsidRDefault="00DA1786">
      <w:pPr>
        <w:jc w:val="both"/>
        <w:divId w:val="1637027669"/>
        <w:rPr>
          <w:rFonts w:eastAsia="Times New Roman"/>
        </w:rPr>
      </w:pPr>
      <w:r>
        <w:rPr>
          <w:rFonts w:eastAsia="Times New Roman"/>
          <w:color w:val="000000"/>
          <w:sz w:val="20"/>
          <w:szCs w:val="20"/>
        </w:rPr>
        <w:t>Our corporate headquarters are located at 110 Miller Avenue, Suite 100, Ann Arbor, Michigan, 48</w:t>
      </w:r>
      <w:r>
        <w:rPr>
          <w:rFonts w:eastAsia="Times New Roman"/>
          <w:color w:val="000000"/>
          <w:sz w:val="20"/>
          <w:szCs w:val="20"/>
        </w:rPr>
        <w:t xml:space="preserve">104, where we occupy approximately 21,000 square feet of office space under two separate leases. We lease approximately 10,000 square feet of third floor office space pursuant to a lease entered into in October 2018, which began on July 1, 2019 and is set </w:t>
      </w:r>
      <w:r>
        <w:rPr>
          <w:rFonts w:eastAsia="Times New Roman"/>
          <w:color w:val="000000"/>
          <w:sz w:val="20"/>
          <w:szCs w:val="20"/>
        </w:rPr>
        <w:t>to expire on June 30, 202</w:t>
      </w:r>
      <w:r>
        <w:rPr>
          <w:rFonts w:eastAsia="Times New Roman"/>
          <w:color w:val="000000"/>
          <w:sz w:val="20"/>
          <w:szCs w:val="20"/>
          <w:shd w:val="clear" w:color="auto" w:fill="FFFFFF"/>
        </w:rPr>
        <w:t xml:space="preserve">4. </w:t>
      </w:r>
      <w:r>
        <w:rPr>
          <w:rFonts w:eastAsia="Times New Roman"/>
          <w:color w:val="000000"/>
          <w:sz w:val="20"/>
          <w:szCs w:val="20"/>
        </w:rPr>
        <w:t>In addition, we lease approximately 11,000 square feet of first floor office space pursuant to a lease entered into in February 2019, which began on April 1, 2019 and is set to expire on March 31, 2024.</w:t>
      </w:r>
    </w:p>
    <w:p w:rsidR="00000000" w:rsidRDefault="00DA1786">
      <w:pPr>
        <w:divId w:val="760880534"/>
        <w:rPr>
          <w:rFonts w:eastAsia="Times New Roman"/>
        </w:rPr>
      </w:pPr>
      <w:r>
        <w:rPr>
          <w:rFonts w:eastAsia="Times New Roman"/>
          <w:b/>
          <w:bCs/>
          <w:color w:val="000000"/>
          <w:sz w:val="20"/>
          <w:szCs w:val="20"/>
        </w:rPr>
        <w:t>ITEM 3. LEGAL PROCEEDINGS</w:t>
      </w:r>
    </w:p>
    <w:p w:rsidR="00000000" w:rsidRDefault="00DA1786">
      <w:pPr>
        <w:divId w:val="645595193"/>
        <w:rPr>
          <w:rFonts w:eastAsia="Times New Roman"/>
        </w:rPr>
      </w:pPr>
      <w:r>
        <w:rPr>
          <w:rFonts w:eastAsia="Times New Roman"/>
          <w:b/>
          <w:bCs/>
          <w:color w:val="000000"/>
          <w:sz w:val="20"/>
          <w:szCs w:val="20"/>
        </w:rPr>
        <w:t>Item 3. Legal Proceedings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On November 9, 2016, a purported shareholder derivative action was filed in the Business Litigation Session of the Suffolk County Superior Court in the Commonwealth of Massachusetts (Cima v. Dipp, No. 16-3443-BLS1 (Mass. Sup. C</w:t>
      </w:r>
      <w:r>
        <w:rPr>
          <w:rFonts w:eastAsia="Times New Roman"/>
          <w:color w:val="000000"/>
          <w:sz w:val="20"/>
          <w:szCs w:val="20"/>
        </w:rPr>
        <w:t>t.)) against certain former officers and directors of OvaScience and one current director of the Company (a former director of OvaScience) and OvaScience as a nominal defendant alleging breach of fiduciary duties, unjust enrichment, abuse of control, gross</w:t>
      </w:r>
      <w:r>
        <w:rPr>
          <w:rFonts w:eastAsia="Times New Roman"/>
          <w:color w:val="000000"/>
          <w:sz w:val="20"/>
          <w:szCs w:val="20"/>
        </w:rPr>
        <w:t xml:space="preserve"> mismanagement and waste of corporate assets for purported actions related to OvaScience’s January 2015 follow-on public offering. On February 22, 2017, the court approved the parties’ joint stipulation to stay all proceedings in the action until further n</w:t>
      </w:r>
      <w:r>
        <w:rPr>
          <w:rFonts w:eastAsia="Times New Roman"/>
          <w:color w:val="000000"/>
          <w:sz w:val="20"/>
          <w:szCs w:val="20"/>
        </w:rPr>
        <w:t>otice. Following a status conference in December 2017, the stay was lifted. On January 25, 2018, at the parties’ request, the court entered a second order staying all proceedings in the action until further order of the court. On March 2, 2020, the parties</w:t>
      </w:r>
      <w:r>
        <w:rPr>
          <w:rFonts w:eastAsia="Times New Roman"/>
          <w:color w:val="000000"/>
          <w:sz w:val="20"/>
          <w:szCs w:val="20"/>
        </w:rPr>
        <w:t xml:space="preserve"> submitted a status report requesting that the court continue the stay. On March 5, 2020, the court entered an order continuing the stay and requiring that the parties file a further status report on or before June 30, 2020. On June 30, 2020, the parties f</w:t>
      </w:r>
      <w:r>
        <w:rPr>
          <w:rFonts w:eastAsia="Times New Roman"/>
          <w:color w:val="000000"/>
          <w:sz w:val="20"/>
          <w:szCs w:val="20"/>
        </w:rPr>
        <w:t xml:space="preserve">iled a further status report requesting that the court continue the stay. The court continued the stay until at least January 7, 2021. On January 7, 2021, the parties filed a further status report requesting that the court continue the stay until at least </w:t>
      </w:r>
      <w:r>
        <w:rPr>
          <w:rFonts w:eastAsia="Times New Roman"/>
          <w:color w:val="000000"/>
          <w:sz w:val="20"/>
          <w:szCs w:val="20"/>
        </w:rPr>
        <w:t>April 30, 2021. The case remains stayed until at least April 30, 2021, when the parties are due to file a further status report. The Company believes that the complaint is without merit and intends to defend against the litigation. There can be no assuranc</w:t>
      </w:r>
      <w:r>
        <w:rPr>
          <w:rFonts w:eastAsia="Times New Roman"/>
          <w:color w:val="000000"/>
          <w:sz w:val="20"/>
          <w:szCs w:val="20"/>
        </w:rPr>
        <w:t>e, however, that the Company will be successful. At present, the Company is unable to estimate potential losses, if any, related to the lawsuit.</w:t>
      </w:r>
    </w:p>
    <w:p w:rsidR="00000000" w:rsidRDefault="00DA1786">
      <w:pPr>
        <w:divId w:val="436408678"/>
        <w:rPr>
          <w:rFonts w:eastAsia="Times New Roman"/>
        </w:rPr>
      </w:pPr>
    </w:p>
    <w:p w:rsidR="00000000" w:rsidRDefault="00DA1786">
      <w:pPr>
        <w:jc w:val="both"/>
        <w:rPr>
          <w:rFonts w:eastAsia="Times New Roman"/>
        </w:rPr>
      </w:pPr>
      <w:r>
        <w:rPr>
          <w:rFonts w:eastAsia="Times New Roman"/>
          <w:color w:val="000000"/>
          <w:sz w:val="20"/>
          <w:szCs w:val="20"/>
        </w:rPr>
        <w:t xml:space="preserve">On March 24, 2017, a purported shareholder class action lawsuit was filed in the U.S. District Court for the </w:t>
      </w:r>
      <w:r>
        <w:rPr>
          <w:rFonts w:eastAsia="Times New Roman"/>
          <w:color w:val="000000"/>
          <w:sz w:val="20"/>
          <w:szCs w:val="20"/>
        </w:rPr>
        <w:t>District of Massachusetts (Dahhan v. OvaScience, Inc., No. 1:17-cv-10511-IT (D. Mass.)) against OvaScience and certain former officers of OvaScience alleging violations of Sections 10(b) and 20(a) of the Exchange Act (the “Dahhan Action”). On July 5, 2017,</w:t>
      </w:r>
      <w:r>
        <w:rPr>
          <w:rFonts w:eastAsia="Times New Roman"/>
          <w:color w:val="000000"/>
          <w:sz w:val="20"/>
          <w:szCs w:val="20"/>
        </w:rPr>
        <w:t xml:space="preserve"> the court entered an order approving the appointment of Freedman Family Investments LLC as lead plaintiff, the firm of Robins Geller Rudman &amp; Dowd LLP as lead counsel and the Law Office of Alan L. Kovacs as local counsel. Plaintiff filed an amended compla</w:t>
      </w:r>
      <w:r>
        <w:rPr>
          <w:rFonts w:eastAsia="Times New Roman"/>
          <w:color w:val="000000"/>
          <w:sz w:val="20"/>
          <w:szCs w:val="20"/>
        </w:rPr>
        <w:t>int on August 25, 2017. The Company filed a motion to dismiss the amended complaint, which the court denied on July 31, 2018. On August 14, 2018, the Company answered the amended complaint. On December 9, 2019, the court granted leave for the lead plaintif</w:t>
      </w:r>
      <w:r>
        <w:rPr>
          <w:rFonts w:eastAsia="Times New Roman"/>
          <w:color w:val="000000"/>
          <w:sz w:val="20"/>
          <w:szCs w:val="20"/>
        </w:rPr>
        <w:t>f to file a second amended complaint under seal and permitted the defendants to file a motion to strike the second amended complaint. On December 30, 2019, the court granted the parties’ joint motion to stay all proceedings in the case pending mediation. O</w:t>
      </w:r>
      <w:r>
        <w:rPr>
          <w:rFonts w:eastAsia="Times New Roman"/>
          <w:color w:val="000000"/>
          <w:sz w:val="20"/>
          <w:szCs w:val="20"/>
        </w:rPr>
        <w:t>n March 3, 2020, the parties conducted a mediation session. The mediation was unsuccessful. The Company filed a motion to strike the second amended complaint on May 1, 2020. The Company believes that the amended complaint and the second amended complaint a</w:t>
      </w:r>
      <w:r>
        <w:rPr>
          <w:rFonts w:eastAsia="Times New Roman"/>
          <w:color w:val="000000"/>
          <w:sz w:val="20"/>
          <w:szCs w:val="20"/>
        </w:rPr>
        <w:t>re without merit. On August 17, 2020, the court granted the parties’ joint motion to stay all proceedings in the case pending mediation. The parties agreed to participate in a second mediation session on November 10, 2020. On October 16, 2020, the court gr</w:t>
      </w:r>
      <w:r>
        <w:rPr>
          <w:rFonts w:eastAsia="Times New Roman"/>
          <w:color w:val="000000"/>
          <w:sz w:val="20"/>
          <w:szCs w:val="20"/>
        </w:rPr>
        <w:t>anted the parties’ joint request to extend the stay until November 16, 2020. On November 16, 2020, the parties filed a joint status report seeking to extend the stay for an additional thirty days. On November 17, 2020, the court ordered the parties to file</w:t>
      </w:r>
      <w:r>
        <w:rPr>
          <w:rFonts w:eastAsia="Times New Roman"/>
          <w:color w:val="000000"/>
          <w:sz w:val="20"/>
          <w:szCs w:val="20"/>
        </w:rPr>
        <w:t xml:space="preserve"> a supplemental joint status report clarifying whether they sought a continuance of the stay of all proceedings or instead, a partial lifting of the stay. On November 19, 2020, the parties filed a joint status report seeking to continue a partial stay of t</w:t>
      </w:r>
      <w:r>
        <w:rPr>
          <w:rFonts w:eastAsia="Times New Roman"/>
          <w:color w:val="000000"/>
          <w:sz w:val="20"/>
          <w:szCs w:val="20"/>
        </w:rPr>
        <w:t>he case while the parties engaged in additional settlement discussions, and a partial lifting of the stay to the extent required for the court to rule on the Company’s pending motion to strike and motions to dismiss filed by other defendants. Those motions</w:t>
      </w:r>
      <w:r>
        <w:rPr>
          <w:rFonts w:eastAsia="Times New Roman"/>
          <w:color w:val="000000"/>
          <w:sz w:val="20"/>
          <w:szCs w:val="20"/>
        </w:rPr>
        <w:t xml:space="preserve"> remain pending. A resolution of this lawsuit adverse to the Company or the other defendants could have a material effect on the Company's consolidated financial position and results of operations. At present, the Company is unable to estimate potential lo</w:t>
      </w:r>
      <w:r>
        <w:rPr>
          <w:rFonts w:eastAsia="Times New Roman"/>
          <w:color w:val="000000"/>
          <w:sz w:val="20"/>
          <w:szCs w:val="20"/>
        </w:rPr>
        <w:t>sses, if any, related to the lawsuit.</w:t>
      </w:r>
    </w:p>
    <w:p w:rsidR="00000000" w:rsidRDefault="00DA1786">
      <w:pPr>
        <w:ind w:firstLine="720"/>
        <w:jc w:val="center"/>
        <w:divId w:val="144977342"/>
        <w:rPr>
          <w:rFonts w:eastAsia="Times New Roman"/>
        </w:rPr>
      </w:pPr>
      <w:r>
        <w:rPr>
          <w:rFonts w:eastAsia="Times New Roman"/>
          <w:color w:val="000000"/>
          <w:sz w:val="20"/>
          <w:szCs w:val="20"/>
        </w:rPr>
        <w:t>38</w:t>
      </w:r>
    </w:p>
    <w:p w:rsidR="00000000" w:rsidRDefault="00DA1786">
      <w:pPr>
        <w:rPr>
          <w:rFonts w:eastAsia="Times New Roman"/>
        </w:rPr>
      </w:pPr>
      <w:r>
        <w:rPr>
          <w:rFonts w:eastAsia="Times New Roman"/>
        </w:rPr>
        <w:pict>
          <v:rect id="_x0000_i1063" style="width:0;height:1.5pt" o:hralign="center" o:hrstd="t" o:hr="t" fillcolor="#a0a0a0" stroked="f"/>
        </w:pict>
      </w:r>
    </w:p>
    <w:p w:rsidR="00000000" w:rsidRDefault="00DA1786">
      <w:pPr>
        <w:divId w:val="73863649"/>
        <w:rPr>
          <w:rFonts w:eastAsia="Times New Roman"/>
        </w:rPr>
      </w:pPr>
    </w:p>
    <w:p w:rsidR="00000000" w:rsidRDefault="00DA1786">
      <w:pPr>
        <w:divId w:val="635372465"/>
        <w:rPr>
          <w:rFonts w:eastAsia="Times New Roman"/>
        </w:rPr>
      </w:pPr>
    </w:p>
    <w:p w:rsidR="00000000" w:rsidRDefault="00DA1786">
      <w:pPr>
        <w:jc w:val="both"/>
        <w:rPr>
          <w:rFonts w:eastAsia="Times New Roman"/>
        </w:rPr>
      </w:pPr>
      <w:r>
        <w:rPr>
          <w:rFonts w:eastAsia="Times New Roman"/>
          <w:color w:val="000000"/>
          <w:sz w:val="20"/>
          <w:szCs w:val="20"/>
        </w:rPr>
        <w:t>On July 27, 2017, a purported shareholder derivative complaint was filed in the U.S. District Court for the District of Massachusetts (Chiu v. Dipp, No. 1:17-cv-11382-IT (D. Mass.)) against OvaScience as a nominal de</w:t>
      </w:r>
      <w:r>
        <w:rPr>
          <w:rFonts w:eastAsia="Times New Roman"/>
          <w:color w:val="000000"/>
          <w:sz w:val="20"/>
          <w:szCs w:val="20"/>
        </w:rPr>
        <w:t xml:space="preserve">fendant, certain former officers and directors of OvaScience and one current director of the Company (a former director of OvaScience) alleging breach of fiduciary duties, unjust enrichment and violations of Section 14(a) of the Exchange Act alleging that </w:t>
      </w:r>
      <w:r>
        <w:rPr>
          <w:rFonts w:eastAsia="Times New Roman"/>
          <w:color w:val="000000"/>
          <w:sz w:val="20"/>
          <w:szCs w:val="20"/>
        </w:rPr>
        <w:t>compensation awarded to the director defendants was excessive and seeking redress for purported actions related to OvaScience’s January 2015 follow-on public offering and other public statements concerning OvaScience’s AUGMENT treatment. On September 26, 2</w:t>
      </w:r>
      <w:r>
        <w:rPr>
          <w:rFonts w:eastAsia="Times New Roman"/>
          <w:color w:val="000000"/>
          <w:sz w:val="20"/>
          <w:szCs w:val="20"/>
        </w:rPr>
        <w:t>017, the plaintiff filed an amended complaint which eliminated all claims regarding allegedly excessive director pay and additionally alleged claims of abuse of control and waste of corporate assets. On October 27, 2017, the defendants filed a motion to di</w:t>
      </w:r>
      <w:r>
        <w:rPr>
          <w:rFonts w:eastAsia="Times New Roman"/>
          <w:color w:val="000000"/>
          <w:sz w:val="20"/>
          <w:szCs w:val="20"/>
        </w:rPr>
        <w:t xml:space="preserve">smiss the amended complaint. The court heard oral argument on the motion to dismiss on April 5, 2018. On April 13, 2018, the court granted the defendants’ motion to dismiss the amended complaint for failure to state a claim for relief under Section 14(a). </w:t>
      </w:r>
      <w:r>
        <w:rPr>
          <w:rFonts w:eastAsia="Times New Roman"/>
          <w:color w:val="000000"/>
          <w:sz w:val="20"/>
          <w:szCs w:val="20"/>
        </w:rPr>
        <w:t>The court also dismissed the plaintiffs’ pendent state law claims without prejudice, based on lack of subject matter jurisdiction. On April 25, 2018, the plaintiffs moved for leave to amend the complaint and to stay this case pending the outcome of the Dah</w:t>
      </w:r>
      <w:r>
        <w:rPr>
          <w:rFonts w:eastAsia="Times New Roman"/>
          <w:color w:val="000000"/>
          <w:sz w:val="20"/>
          <w:szCs w:val="20"/>
        </w:rPr>
        <w:t>han Action. The Company does not believe that the proposed amended complaint cures the defects in the current complaint, but informed plaintiffs’ counsel that, in the interest of judicial economy, defendants would not oppose the proposed amendment if the c</w:t>
      </w:r>
      <w:r>
        <w:rPr>
          <w:rFonts w:eastAsia="Times New Roman"/>
          <w:color w:val="000000"/>
          <w:sz w:val="20"/>
          <w:szCs w:val="20"/>
        </w:rPr>
        <w:t>ourt would consider staying the case pending the resolution of the Dahhan Action. On April 27, 2018, the court granted the plaintiffs’ motion for leave to amend the complaint and for a stay. On April 30, 2018, the plaintiffs filed their second amended comp</w:t>
      </w:r>
      <w:r>
        <w:rPr>
          <w:rFonts w:eastAsia="Times New Roman"/>
          <w:color w:val="000000"/>
          <w:sz w:val="20"/>
          <w:szCs w:val="20"/>
        </w:rPr>
        <w:t>laint. On May 23, 2018, the court entered an order staying this case pending the resolution of the Dahhan Action. The Company believes that the complaint is without merit and intends to defend against the litigation. There can be no assurance, however, tha</w:t>
      </w:r>
      <w:r>
        <w:rPr>
          <w:rFonts w:eastAsia="Times New Roman"/>
          <w:color w:val="000000"/>
          <w:sz w:val="20"/>
          <w:szCs w:val="20"/>
        </w:rPr>
        <w:t>t the Company will be successful. At present, the Company is unable to estimate potential losses, if any, related to the lawsuit.</w:t>
      </w:r>
    </w:p>
    <w:p w:rsidR="00000000" w:rsidRDefault="00DA1786">
      <w:pPr>
        <w:jc w:val="both"/>
        <w:divId w:val="936064602"/>
        <w:rPr>
          <w:rFonts w:eastAsia="Times New Roman"/>
        </w:rPr>
      </w:pPr>
      <w:r>
        <w:rPr>
          <w:rFonts w:eastAsia="Times New Roman"/>
          <w:color w:val="000000"/>
          <w:sz w:val="20"/>
          <w:szCs w:val="20"/>
        </w:rPr>
        <w:t>In addition to the matters described above, the Company may be a party to litigation and subject to claims incident to the ord</w:t>
      </w:r>
      <w:r>
        <w:rPr>
          <w:rFonts w:eastAsia="Times New Roman"/>
          <w:color w:val="000000"/>
          <w:sz w:val="20"/>
          <w:szCs w:val="20"/>
        </w:rPr>
        <w:t>inary course of business from time to time. Regardless of the outcome, litigation can have an adverse impact on the Company because of defense and settlement costs, and diversion of management resources.</w:t>
      </w:r>
    </w:p>
    <w:p w:rsidR="00000000" w:rsidRDefault="00DA1786">
      <w:pPr>
        <w:divId w:val="943995427"/>
        <w:rPr>
          <w:rFonts w:eastAsia="Times New Roman"/>
        </w:rPr>
      </w:pPr>
      <w:r>
        <w:rPr>
          <w:rFonts w:eastAsia="Times New Roman"/>
          <w:b/>
          <w:bCs/>
          <w:color w:val="000000"/>
          <w:sz w:val="20"/>
          <w:szCs w:val="20"/>
        </w:rPr>
        <w:t>ITEM 4. MINE SAFETY DISCLOSURES</w:t>
      </w:r>
    </w:p>
    <w:p w:rsidR="00000000" w:rsidRDefault="00DA1786">
      <w:pPr>
        <w:divId w:val="1865164761"/>
        <w:rPr>
          <w:rFonts w:eastAsia="Times New Roman"/>
        </w:rPr>
      </w:pPr>
      <w:r>
        <w:rPr>
          <w:rFonts w:eastAsia="Times New Roman"/>
          <w:color w:val="000000"/>
          <w:sz w:val="20"/>
          <w:szCs w:val="20"/>
        </w:rPr>
        <w:t>Not applicable.</w:t>
      </w:r>
    </w:p>
    <w:p w:rsidR="00000000" w:rsidRDefault="00DA1786">
      <w:pPr>
        <w:ind w:firstLine="720"/>
        <w:jc w:val="center"/>
        <w:divId w:val="949749586"/>
        <w:rPr>
          <w:rFonts w:eastAsia="Times New Roman"/>
        </w:rPr>
      </w:pPr>
      <w:r>
        <w:rPr>
          <w:rFonts w:eastAsia="Times New Roman"/>
          <w:color w:val="000000"/>
          <w:sz w:val="20"/>
          <w:szCs w:val="20"/>
        </w:rPr>
        <w:t>39</w:t>
      </w:r>
    </w:p>
    <w:p w:rsidR="00000000" w:rsidRDefault="00DA1786">
      <w:pPr>
        <w:rPr>
          <w:rFonts w:eastAsia="Times New Roman"/>
        </w:rPr>
      </w:pPr>
      <w:r>
        <w:rPr>
          <w:rFonts w:eastAsia="Times New Roman"/>
        </w:rPr>
        <w:pict>
          <v:rect id="_x0000_i1064" style="width:0;height:1.5pt" o:hralign="center" o:hrstd="t" o:hr="t" fillcolor="#a0a0a0" stroked="f"/>
        </w:pict>
      </w:r>
    </w:p>
    <w:p w:rsidR="00000000" w:rsidRDefault="00DA1786">
      <w:pPr>
        <w:divId w:val="1882673134"/>
        <w:rPr>
          <w:rFonts w:eastAsia="Times New Roman"/>
        </w:rPr>
      </w:pPr>
    </w:p>
    <w:p w:rsidR="00000000" w:rsidRDefault="00DA1786">
      <w:pPr>
        <w:jc w:val="center"/>
        <w:divId w:val="908003055"/>
        <w:rPr>
          <w:rFonts w:eastAsia="Times New Roman"/>
        </w:rPr>
      </w:pPr>
      <w:r>
        <w:rPr>
          <w:rFonts w:eastAsia="Times New Roman"/>
          <w:b/>
          <w:bCs/>
          <w:color w:val="000000"/>
          <w:sz w:val="20"/>
          <w:szCs w:val="20"/>
        </w:rPr>
        <w:t>PART II</w:t>
      </w:r>
    </w:p>
    <w:p w:rsidR="00000000" w:rsidRDefault="00DA1786">
      <w:pPr>
        <w:divId w:val="135227996"/>
        <w:rPr>
          <w:rFonts w:eastAsia="Times New Roman"/>
        </w:rPr>
      </w:pPr>
      <w:r>
        <w:rPr>
          <w:rFonts w:eastAsia="Times New Roman"/>
          <w:b/>
          <w:bCs/>
          <w:color w:val="000000"/>
          <w:sz w:val="20"/>
          <w:szCs w:val="20"/>
        </w:rPr>
        <w:t>ITEM 5. MARKET FOR REGISTRANT’S COMMON EQUITY, RELATED STOCKHOLDER MATTERS AND ISSUER PURCHASE OF EQUITY SECURITIES</w:t>
      </w:r>
    </w:p>
    <w:p w:rsidR="00000000" w:rsidRDefault="00DA1786">
      <w:pPr>
        <w:divId w:val="1692879715"/>
        <w:rPr>
          <w:rFonts w:eastAsia="Times New Roman"/>
        </w:rPr>
      </w:pPr>
      <w:r>
        <w:rPr>
          <w:rFonts w:eastAsia="Times New Roman"/>
          <w:b/>
          <w:bCs/>
          <w:color w:val="000000"/>
          <w:sz w:val="20"/>
          <w:szCs w:val="20"/>
        </w:rPr>
        <w:t>Market Information</w:t>
      </w:r>
    </w:p>
    <w:p w:rsidR="00000000" w:rsidRDefault="00DA1786">
      <w:pPr>
        <w:jc w:val="both"/>
        <w:divId w:val="985551909"/>
        <w:rPr>
          <w:rFonts w:eastAsia="Times New Roman"/>
        </w:rPr>
      </w:pPr>
      <w:r>
        <w:rPr>
          <w:rFonts w:eastAsia="Times New Roman"/>
          <w:color w:val="000000"/>
          <w:sz w:val="20"/>
          <w:szCs w:val="20"/>
        </w:rPr>
        <w:t>Our common stock has been traded on the Nasdaq Capital Market under the sym</w:t>
      </w:r>
      <w:r>
        <w:rPr>
          <w:rFonts w:eastAsia="Times New Roman"/>
          <w:color w:val="000000"/>
          <w:sz w:val="20"/>
          <w:szCs w:val="20"/>
        </w:rPr>
        <w:t xml:space="preserve">bol “MLND” since the closing of the OvaScience Merger on December 7, 2018. </w:t>
      </w:r>
    </w:p>
    <w:p w:rsidR="00000000" w:rsidRDefault="00DA1786">
      <w:pPr>
        <w:divId w:val="926502124"/>
        <w:rPr>
          <w:rFonts w:eastAsia="Times New Roman"/>
        </w:rPr>
      </w:pPr>
      <w:r>
        <w:rPr>
          <w:rFonts w:eastAsia="Times New Roman"/>
          <w:b/>
          <w:bCs/>
          <w:color w:val="000000"/>
          <w:sz w:val="20"/>
          <w:szCs w:val="20"/>
        </w:rPr>
        <w:t>Stockholders</w:t>
      </w:r>
    </w:p>
    <w:p w:rsidR="00000000" w:rsidRDefault="00DA1786">
      <w:pPr>
        <w:jc w:val="both"/>
        <w:divId w:val="176383784"/>
        <w:rPr>
          <w:rFonts w:eastAsia="Times New Roman"/>
        </w:rPr>
      </w:pPr>
      <w:r>
        <w:rPr>
          <w:rFonts w:eastAsia="Times New Roman"/>
          <w:color w:val="000000"/>
          <w:sz w:val="20"/>
          <w:szCs w:val="20"/>
        </w:rPr>
        <w:t>As of March 15, 2021, we ha</w:t>
      </w:r>
      <w:r>
        <w:rPr>
          <w:rFonts w:eastAsia="Times New Roman"/>
          <w:color w:val="000000"/>
          <w:sz w:val="20"/>
          <w:szCs w:val="20"/>
          <w:shd w:val="clear" w:color="auto" w:fill="FFFFFF"/>
        </w:rPr>
        <w:t>d 19,043,034 sha</w:t>
      </w:r>
      <w:r>
        <w:rPr>
          <w:rFonts w:eastAsia="Times New Roman"/>
          <w:color w:val="000000"/>
          <w:sz w:val="20"/>
          <w:szCs w:val="20"/>
        </w:rPr>
        <w:t xml:space="preserve">res of common stock outstanding held </w:t>
      </w:r>
      <w:r>
        <w:rPr>
          <w:rFonts w:eastAsia="Times New Roman"/>
          <w:color w:val="000000"/>
          <w:sz w:val="20"/>
          <w:szCs w:val="20"/>
          <w:shd w:val="clear" w:color="auto" w:fill="FFFFFF"/>
        </w:rPr>
        <w:t>by 76 ho</w:t>
      </w:r>
      <w:r>
        <w:rPr>
          <w:rFonts w:eastAsia="Times New Roman"/>
          <w:color w:val="000000"/>
          <w:sz w:val="20"/>
          <w:szCs w:val="20"/>
        </w:rPr>
        <w:t xml:space="preserve">lders of record. The actual number of stockholders is greater than this number </w:t>
      </w:r>
      <w:r>
        <w:rPr>
          <w:rFonts w:eastAsia="Times New Roman"/>
          <w:color w:val="000000"/>
          <w:sz w:val="20"/>
          <w:szCs w:val="20"/>
        </w:rPr>
        <w:t>of record holders and includes stockholders who are beneficial owners but whose shares are held in street name by brokers and other nominees. This number of holders of record also does not include stockholders whose shares may be held in trust by other ent</w:t>
      </w:r>
      <w:r>
        <w:rPr>
          <w:rFonts w:eastAsia="Times New Roman"/>
          <w:color w:val="000000"/>
          <w:sz w:val="20"/>
          <w:szCs w:val="20"/>
        </w:rPr>
        <w:t>ities.</w:t>
      </w:r>
    </w:p>
    <w:p w:rsidR="00000000" w:rsidRDefault="00DA1786">
      <w:pPr>
        <w:divId w:val="380835672"/>
        <w:rPr>
          <w:rFonts w:eastAsia="Times New Roman"/>
        </w:rPr>
      </w:pPr>
      <w:r>
        <w:rPr>
          <w:rFonts w:eastAsia="Times New Roman"/>
          <w:b/>
          <w:bCs/>
          <w:color w:val="000000"/>
          <w:sz w:val="20"/>
          <w:szCs w:val="20"/>
        </w:rPr>
        <w:t>Recent Sales of Unregistered Securities</w:t>
      </w:r>
    </w:p>
    <w:p w:rsidR="00000000" w:rsidRDefault="00DA1786">
      <w:pPr>
        <w:divId w:val="718286812"/>
        <w:rPr>
          <w:rFonts w:eastAsia="Times New Roman"/>
        </w:rPr>
      </w:pPr>
      <w:r>
        <w:rPr>
          <w:rFonts w:eastAsia="Times New Roman"/>
          <w:color w:val="000000"/>
          <w:sz w:val="20"/>
          <w:szCs w:val="20"/>
        </w:rPr>
        <w:t>None.</w:t>
      </w:r>
    </w:p>
    <w:p w:rsidR="00000000" w:rsidRDefault="00DA1786">
      <w:pPr>
        <w:divId w:val="267591626"/>
        <w:rPr>
          <w:rFonts w:eastAsia="Times New Roman"/>
        </w:rPr>
      </w:pPr>
      <w:r>
        <w:rPr>
          <w:rFonts w:eastAsia="Times New Roman"/>
          <w:b/>
          <w:bCs/>
          <w:color w:val="000000"/>
          <w:sz w:val="20"/>
          <w:szCs w:val="20"/>
        </w:rPr>
        <w:t>Purchases of Equity Securities by the Issuer and Affiliated Parties</w:t>
      </w:r>
    </w:p>
    <w:p w:rsidR="00000000" w:rsidRDefault="00DA1786">
      <w:pPr>
        <w:divId w:val="674304911"/>
        <w:rPr>
          <w:rFonts w:eastAsia="Times New Roman"/>
        </w:rPr>
      </w:pPr>
      <w:r>
        <w:rPr>
          <w:rFonts w:eastAsia="Times New Roman"/>
          <w:color w:val="000000"/>
          <w:sz w:val="20"/>
          <w:szCs w:val="20"/>
        </w:rPr>
        <w:t>None.</w:t>
      </w:r>
    </w:p>
    <w:p w:rsidR="00000000" w:rsidRDefault="00DA1786">
      <w:pPr>
        <w:divId w:val="1952321173"/>
        <w:rPr>
          <w:rFonts w:eastAsia="Times New Roman"/>
        </w:rPr>
      </w:pPr>
      <w:r>
        <w:rPr>
          <w:rFonts w:eastAsia="Times New Roman"/>
          <w:b/>
          <w:bCs/>
          <w:color w:val="000000"/>
          <w:sz w:val="20"/>
          <w:szCs w:val="20"/>
        </w:rPr>
        <w:t>ITEM 6. SELECTED FINANCIAL DATA</w:t>
      </w:r>
    </w:p>
    <w:p w:rsidR="00000000" w:rsidRDefault="00DA1786">
      <w:pPr>
        <w:divId w:val="82650741"/>
        <w:rPr>
          <w:rFonts w:eastAsia="Times New Roman"/>
        </w:rPr>
      </w:pPr>
      <w:r>
        <w:rPr>
          <w:rFonts w:eastAsia="Times New Roman"/>
          <w:color w:val="000000"/>
          <w:sz w:val="20"/>
          <w:szCs w:val="20"/>
        </w:rPr>
        <w:t>Not required for smaller reporting companies.</w:t>
      </w:r>
    </w:p>
    <w:p w:rsidR="00000000" w:rsidRDefault="00DA1786">
      <w:pPr>
        <w:divId w:val="2023359347"/>
        <w:rPr>
          <w:rFonts w:eastAsia="Times New Roman"/>
        </w:rPr>
      </w:pPr>
      <w:r>
        <w:rPr>
          <w:rFonts w:eastAsia="Times New Roman"/>
          <w:b/>
          <w:bCs/>
          <w:color w:val="000000"/>
          <w:sz w:val="20"/>
          <w:szCs w:val="20"/>
        </w:rPr>
        <w:t>ITEM 7. MANAGEMENT’</w:t>
      </w:r>
      <w:r>
        <w:rPr>
          <w:rFonts w:eastAsia="Times New Roman"/>
          <w:b/>
          <w:bCs/>
          <w:color w:val="000000"/>
          <w:sz w:val="20"/>
          <w:szCs w:val="20"/>
        </w:rPr>
        <w:t>S DISCUSSION AND ANALYSIS OF FINANCIAL CONDITION AND RESULTS OF OPERATIONS</w:t>
      </w:r>
    </w:p>
    <w:p w:rsidR="00000000" w:rsidRDefault="00DA1786">
      <w:pPr>
        <w:jc w:val="both"/>
        <w:divId w:val="1326128898"/>
        <w:rPr>
          <w:rFonts w:eastAsia="Times New Roman"/>
        </w:rPr>
      </w:pPr>
      <w:r>
        <w:rPr>
          <w:rFonts w:eastAsia="Times New Roman"/>
          <w:i/>
          <w:iCs/>
          <w:color w:val="000000"/>
          <w:sz w:val="20"/>
          <w:szCs w:val="20"/>
        </w:rPr>
        <w:t>You should read the following discussion and analysis of our financial condition and results of operations in conjunction with the financial statements and the related notes to thos</w:t>
      </w:r>
      <w:r>
        <w:rPr>
          <w:rFonts w:eastAsia="Times New Roman"/>
          <w:i/>
          <w:iCs/>
          <w:color w:val="000000"/>
          <w:sz w:val="20"/>
          <w:szCs w:val="20"/>
        </w:rPr>
        <w:t>e statements included later in this Annual Report. In addition to historical financial information, the following discussion contains forward-looking statements that reflect our plans, estimates, beliefs and expectations that involve risks and uncertaintie</w:t>
      </w:r>
      <w:r>
        <w:rPr>
          <w:rFonts w:eastAsia="Times New Roman"/>
          <w:i/>
          <w:iCs/>
          <w:color w:val="000000"/>
          <w:sz w:val="20"/>
          <w:szCs w:val="20"/>
        </w:rPr>
        <w:t xml:space="preserve">s. Our actual results and the timing of events could differ materially from those discussed in these forward-looking statements. Factors that could cause or contribute to these differences include those discussed below and elsewhere in this Annual Report, </w:t>
      </w:r>
      <w:r>
        <w:rPr>
          <w:rFonts w:eastAsia="Times New Roman"/>
          <w:i/>
          <w:iCs/>
          <w:color w:val="000000"/>
          <w:sz w:val="20"/>
          <w:szCs w:val="20"/>
        </w:rPr>
        <w:t>particularly in Item 1A. “Risk Factors” and “Special Note Regarding Forward-Looking Statements.”</w:t>
      </w:r>
    </w:p>
    <w:p w:rsidR="00000000" w:rsidRDefault="00DA1786">
      <w:pPr>
        <w:divId w:val="556206615"/>
        <w:rPr>
          <w:rFonts w:eastAsia="Times New Roman"/>
        </w:rPr>
      </w:pPr>
      <w:r>
        <w:rPr>
          <w:rFonts w:eastAsia="Times New Roman"/>
          <w:b/>
          <w:bCs/>
          <w:color w:val="000000"/>
          <w:sz w:val="20"/>
          <w:szCs w:val="20"/>
        </w:rPr>
        <w:t>Overview</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are a biopharmaceutical company that was previously primarily focused on developing novel treatments for endocrine diseases where current therapies do not exist or are insufficient. The endocrine system is a collection of glands that secrete hormones in</w:t>
      </w:r>
      <w:r>
        <w:rPr>
          <w:rFonts w:eastAsia="Times New Roman"/>
          <w:color w:val="000000"/>
          <w:sz w:val="20"/>
          <w:szCs w:val="20"/>
        </w:rPr>
        <w:t>to the blood stream to regulate a number of functions, including appetite, metabolism, growth, development and reproduction. Diseases of the endocrine system can cause multiple and varied symptoms, including appetite dysregulation, metabolic dysfunction, o</w:t>
      </w:r>
      <w:r>
        <w:rPr>
          <w:rFonts w:eastAsia="Times New Roman"/>
          <w:color w:val="000000"/>
          <w:sz w:val="20"/>
          <w:szCs w:val="20"/>
        </w:rPr>
        <w:t>besity, cardiovascular disease, menstrual irregularity, hirsutism, and infertility.</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had been developing livoletide (AZP-531) as a potential treatment for Prader-Willi syndrome (“PWS”), a rare and complex genetic endocrine disease characterized by hype</w:t>
      </w:r>
      <w:r>
        <w:rPr>
          <w:rFonts w:eastAsia="Times New Roman"/>
          <w:color w:val="000000"/>
          <w:sz w:val="20"/>
          <w:szCs w:val="20"/>
        </w:rPr>
        <w:t>rphagia, or insatiable hunger. As previously announced, we discontinued the development of livoletide as a potential treatment for PWS in April 2020, including the 9-month extension study and the initiation of the Phase 3 ZEPHYR trial. The decision to disc</w:t>
      </w:r>
      <w:r>
        <w:rPr>
          <w:rFonts w:eastAsia="Times New Roman"/>
          <w:color w:val="000000"/>
          <w:sz w:val="20"/>
          <w:szCs w:val="20"/>
        </w:rPr>
        <w:t>ontinue the PWS program was based on results from the Phase 2b ZEPHYR study, which showed that treatment with livoletide did not result in a statistically significant improvement in hyperphagia and food-related behaviors as measured by the Hyperphagia Ques</w:t>
      </w:r>
      <w:r>
        <w:rPr>
          <w:rFonts w:eastAsia="Times New Roman"/>
          <w:color w:val="000000"/>
          <w:sz w:val="20"/>
          <w:szCs w:val="20"/>
        </w:rPr>
        <w:t>tionnaire for Clinical Trials (HQ-CT) compared to placebo. We do not expect to incur future material expenses related to our livoletide program for the treatment of PWS.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 xml:space="preserve">In an effort to streamline costs after discontinuing our PWS program, we eliminated </w:t>
      </w:r>
      <w:r>
        <w:rPr>
          <w:rFonts w:eastAsia="Times New Roman"/>
          <w:color w:val="000000"/>
          <w:sz w:val="20"/>
          <w:szCs w:val="20"/>
        </w:rPr>
        <w:t xml:space="preserve">employee positions representing approximately 30% of our prior headcount, which were completed in the second quarter of 2020. We also began evaluating </w:t>
      </w:r>
    </w:p>
    <w:p w:rsidR="00000000" w:rsidRDefault="00DA1786">
      <w:pPr>
        <w:ind w:firstLine="720"/>
        <w:jc w:val="center"/>
        <w:divId w:val="506602852"/>
        <w:rPr>
          <w:rFonts w:eastAsia="Times New Roman"/>
        </w:rPr>
      </w:pPr>
      <w:r>
        <w:rPr>
          <w:rFonts w:eastAsia="Times New Roman"/>
          <w:color w:val="000000"/>
          <w:sz w:val="20"/>
          <w:szCs w:val="20"/>
        </w:rPr>
        <w:t>40</w:t>
      </w:r>
    </w:p>
    <w:p w:rsidR="00000000" w:rsidRDefault="00DA1786">
      <w:pPr>
        <w:rPr>
          <w:rFonts w:eastAsia="Times New Roman"/>
        </w:rPr>
      </w:pPr>
      <w:r>
        <w:rPr>
          <w:rFonts w:eastAsia="Times New Roman"/>
        </w:rPr>
        <w:pict>
          <v:rect id="_x0000_i1065" style="width:0;height:1.5pt" o:hralign="center" o:hrstd="t" o:hr="t" fillcolor="#a0a0a0" stroked="f"/>
        </w:pict>
      </w:r>
    </w:p>
    <w:p w:rsidR="00000000" w:rsidRDefault="00DA1786">
      <w:pPr>
        <w:divId w:val="670568420"/>
        <w:rPr>
          <w:rFonts w:eastAsia="Times New Roman"/>
        </w:rPr>
      </w:pPr>
    </w:p>
    <w:p w:rsidR="00000000" w:rsidRDefault="00DA1786">
      <w:pPr>
        <w:jc w:val="both"/>
        <w:rPr>
          <w:rFonts w:eastAsia="Times New Roman"/>
        </w:rPr>
      </w:pPr>
      <w:r>
        <w:rPr>
          <w:rFonts w:eastAsia="Times New Roman"/>
          <w:color w:val="000000"/>
          <w:sz w:val="20"/>
          <w:szCs w:val="20"/>
        </w:rPr>
        <w:t>corporate strategic plans to prioritize and allocate resources</w:t>
      </w:r>
      <w:r>
        <w:rPr>
          <w:rFonts w:eastAsia="Times New Roman"/>
          <w:color w:val="000000"/>
          <w:sz w:val="20"/>
          <w:szCs w:val="20"/>
        </w:rPr>
        <w:t xml:space="preserve"> to our remaining product candidates at the time and any future pipeline assets.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had also been developing nevanimibe (ATR-101) as a potential treatment for patients with classic congenital adrenal hyperplasia (“CAH”), a rare, monogenic adrenal diseas</w:t>
      </w:r>
      <w:r>
        <w:rPr>
          <w:rFonts w:eastAsia="Times New Roman"/>
          <w:color w:val="000000"/>
          <w:sz w:val="20"/>
          <w:szCs w:val="20"/>
        </w:rPr>
        <w:t>e that requires lifelong treatment with exogenous cortisol, often at high doses. As we previously announced, we elected to cease investing in the development of nevanimibe as a potential treatment for CAH in June 2020. The</w:t>
      </w:r>
      <w:r>
        <w:rPr>
          <w:rFonts w:eastAsia="Times New Roman"/>
          <w:color w:val="000000"/>
          <w:sz w:val="20"/>
          <w:szCs w:val="20"/>
          <w:shd w:val="clear" w:color="auto" w:fill="FFFFFF"/>
        </w:rPr>
        <w:t xml:space="preserve"> decision to cease investment in t</w:t>
      </w:r>
      <w:r>
        <w:rPr>
          <w:rFonts w:eastAsia="Times New Roman"/>
          <w:color w:val="000000"/>
          <w:sz w:val="20"/>
          <w:szCs w:val="20"/>
          <w:shd w:val="clear" w:color="auto" w:fill="FFFFFF"/>
        </w:rPr>
        <w:t xml:space="preserve">he CAH program was based on the interim review of results from the Phase 2b clinical study and the changing competitive environment. Results from </w:t>
      </w:r>
      <w:r>
        <w:rPr>
          <w:rFonts w:eastAsia="Times New Roman"/>
          <w:color w:val="000000"/>
          <w:sz w:val="20"/>
          <w:szCs w:val="20"/>
        </w:rPr>
        <w:t xml:space="preserve">10 subjects, nine from cohort 1 and one from cohort 2, with at least 12 weeks of treatment with nevanimibe in </w:t>
      </w:r>
      <w:r>
        <w:rPr>
          <w:rFonts w:eastAsia="Times New Roman"/>
          <w:color w:val="000000"/>
          <w:sz w:val="20"/>
          <w:szCs w:val="20"/>
        </w:rPr>
        <w:t xml:space="preserve">this open-label, continuous dose escalation study showed that one patient (10%) met the primary endpoint of achieving 17-hydroxyprogesterone (17-OHP) levels less than or equal to 2-times the upper limit of normal. Treatment under the amended protocol with </w:t>
      </w:r>
      <w:r>
        <w:rPr>
          <w:rFonts w:eastAsia="Times New Roman"/>
          <w:color w:val="000000"/>
          <w:sz w:val="20"/>
          <w:szCs w:val="20"/>
        </w:rPr>
        <w:t>dose titration starting at 500 mg BID improved tolerability of nevanimibe. We do not expect to incur future material expenses related to our nevanimibe program for the treatment of CAH as we are no longer developing this program.</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had also been develop</w:t>
      </w:r>
      <w:r>
        <w:rPr>
          <w:rFonts w:eastAsia="Times New Roman"/>
          <w:color w:val="000000"/>
          <w:sz w:val="20"/>
          <w:szCs w:val="20"/>
        </w:rPr>
        <w:t>ing a selective neurokinin 3-receptor (NK3R) antagonist (MLE-301) as a potential treatment of vasomotor symptoms (“VMS”), commonly known as hot flashes and night sweats, in menopausal women. As we previously announced, in January 2021, we discontinued furt</w:t>
      </w:r>
      <w:r>
        <w:rPr>
          <w:rFonts w:eastAsia="Times New Roman"/>
          <w:color w:val="000000"/>
          <w:sz w:val="20"/>
          <w:szCs w:val="20"/>
        </w:rPr>
        <w:t>her investment in MLE-301 for the treatment of VMS based on an analysis of the pharmacokinetic and pharmacodynamic data from the single ascending dose portion of the Phase 1 study. Given our limited expected financing options, we began exploring an expande</w:t>
      </w:r>
      <w:r>
        <w:rPr>
          <w:rFonts w:eastAsia="Times New Roman"/>
          <w:color w:val="000000"/>
          <w:sz w:val="20"/>
          <w:szCs w:val="20"/>
        </w:rPr>
        <w:t xml:space="preserve">d range of strategic alternatives that included, but was not limited to, the potential sale or merger of the Company or our assets.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January 2021, as a result of our decision to discontinue our investment in MLE-301, our Board also approved a corporat</w:t>
      </w:r>
      <w:r>
        <w:rPr>
          <w:rFonts w:eastAsia="Times New Roman"/>
          <w:color w:val="000000"/>
          <w:sz w:val="20"/>
          <w:szCs w:val="20"/>
        </w:rPr>
        <w:t>e restructuring plan (the “Plan”) furthering our ongoing efforts to align our resources with our current strategy and operations. In connection with the Plan, we plan to reduce our workforce by up to 85%, with the majority of the reduction in personnel exp</w:t>
      </w:r>
      <w:r>
        <w:rPr>
          <w:rFonts w:eastAsia="Times New Roman"/>
          <w:color w:val="000000"/>
          <w:sz w:val="20"/>
          <w:szCs w:val="20"/>
        </w:rPr>
        <w:t>ected to be completed by April 15, 2021. We initiated this reduction in force in January 2021 and expect to provide severance payments and continuation of group health insurance coverage for a specified period to the affected employees. We have also entere</w:t>
      </w:r>
      <w:r>
        <w:rPr>
          <w:rFonts w:eastAsia="Times New Roman"/>
          <w:color w:val="000000"/>
          <w:sz w:val="20"/>
          <w:szCs w:val="20"/>
        </w:rPr>
        <w:t>d into retention arrangements with employees who are expected to remain with the Company. We estimate that we will incur costs of approximately $5.5 million for termination benefits and retention arrangements related to the Plan, substantially all of which</w:t>
      </w:r>
      <w:r>
        <w:rPr>
          <w:rFonts w:eastAsia="Times New Roman"/>
          <w:color w:val="000000"/>
          <w:sz w:val="20"/>
          <w:szCs w:val="20"/>
        </w:rPr>
        <w:t xml:space="preserve"> will be cash expenditures.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We had also been investigating nevanimibe (ATR-101) as a potential treatment for patients with endogenous Cushing’s syndrome (“CS”), a rare endocrine disease characterized by excessive cortisol production from the adrenal glan</w:t>
      </w:r>
      <w:r>
        <w:rPr>
          <w:rFonts w:eastAsia="Times New Roman"/>
          <w:color w:val="000000"/>
          <w:sz w:val="20"/>
          <w:szCs w:val="20"/>
        </w:rPr>
        <w:t>ds. As a result of slower than anticipated enrollment in our CS Phase 2 clinical trial, we elected to discontinue the trial in August 2019 and are no longer developing nevanimibe for the treatment of CS.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 xml:space="preserve">In 2020, we undertook a strategic review process, </w:t>
      </w:r>
      <w:r>
        <w:rPr>
          <w:rFonts w:eastAsia="Times New Roman"/>
          <w:color w:val="000000"/>
          <w:sz w:val="20"/>
          <w:szCs w:val="20"/>
        </w:rPr>
        <w:t>which was intended to result in an actionable plan that leverages our assets, capital and capabilities to maximize stockholder value. Following an extensive process of evaluating strategic alternatives, including identifying and reviewing potential candida</w:t>
      </w:r>
      <w:r>
        <w:rPr>
          <w:rFonts w:eastAsia="Times New Roman"/>
          <w:color w:val="000000"/>
          <w:sz w:val="20"/>
          <w:szCs w:val="20"/>
        </w:rPr>
        <w:t>tes for a strategic acquisition or other transaction, on March 29, 2021, we entered into an Agreement and Plan of Merger (the “Merger Agreement”), with Tempest Therapeutics, Inc. (“Tempest”) under which the privately held Tempest will merge with a wholly o</w:t>
      </w:r>
      <w:r>
        <w:rPr>
          <w:rFonts w:eastAsia="Times New Roman"/>
          <w:color w:val="000000"/>
          <w:sz w:val="20"/>
          <w:szCs w:val="20"/>
        </w:rPr>
        <w:t>wned subsidiary of Millendo (the “Merger”). If the Merger is completed, the business of Tempest will continue as the business of the combined company.</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 xml:space="preserve">We expect to devote significant time and resources to the completion of the Merger. However, there can </w:t>
      </w:r>
      <w:r>
        <w:rPr>
          <w:rFonts w:eastAsia="Times New Roman"/>
          <w:color w:val="000000"/>
          <w:sz w:val="20"/>
          <w:szCs w:val="20"/>
        </w:rPr>
        <w:t>be no assurances that such activities will result in the completion of the Merger. Further, the completion of the Merger may ultimately not deliver the anticipated benefits or enhance shareholder value. If the Merger is not completed, we will reconsider ou</w:t>
      </w:r>
      <w:r>
        <w:rPr>
          <w:rFonts w:eastAsia="Times New Roman"/>
          <w:color w:val="000000"/>
          <w:sz w:val="20"/>
          <w:szCs w:val="20"/>
        </w:rPr>
        <w:t>r strategic alternatives. We consider one of the following courses of action to be the most likely alternatives if the Merger is not completed:</w:t>
      </w:r>
    </w:p>
    <w:p w:rsidR="00000000" w:rsidRDefault="00DA1786">
      <w:pPr>
        <w:jc w:val="both"/>
        <w:rPr>
          <w:rFonts w:eastAsia="Times New Roman"/>
        </w:rPr>
      </w:pPr>
    </w:p>
    <w:p w:rsidR="00000000" w:rsidRDefault="00DA1786">
      <w:pPr>
        <w:ind w:hanging="360"/>
        <w:jc w:val="both"/>
        <w:rPr>
          <w:rFonts w:eastAsia="Times New Roman"/>
        </w:rPr>
      </w:pPr>
      <w:r>
        <w:rPr>
          <w:rFonts w:ascii="Arial" w:eastAsia="Times New Roman" w:hAnsi="Arial" w:cs="Arial"/>
          <w:color w:val="000000"/>
        </w:rPr>
        <w:t>•</w:t>
      </w:r>
      <w:r>
        <w:rPr>
          <w:rFonts w:eastAsia="Times New Roman"/>
          <w:i/>
          <w:iCs/>
          <w:color w:val="000000"/>
          <w:sz w:val="20"/>
          <w:szCs w:val="20"/>
        </w:rPr>
        <w:t>Dissolve and liquidate our assets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If, for any reason, the Merger does not close, our Board may conclude that</w:t>
      </w:r>
      <w:r>
        <w:rPr>
          <w:rFonts w:eastAsia="Times New Roman"/>
          <w:color w:val="000000"/>
          <w:sz w:val="20"/>
          <w:szCs w:val="20"/>
        </w:rPr>
        <w:t xml:space="preserve"> it is in the best interest of stockholders to dissolve the Company and liquidate our assets. In that event, we would be required to pay all of our debts and contractual obligations, and to set aside certain reserves for potential future claims. There woul</w:t>
      </w:r>
      <w:r>
        <w:rPr>
          <w:rFonts w:eastAsia="Times New Roman"/>
          <w:color w:val="000000"/>
          <w:sz w:val="20"/>
          <w:szCs w:val="20"/>
        </w:rPr>
        <w:t>d be no assurances as to the amount or timing of available cash remaining to distribute to stockholders after paying our obligations and setting aside funds for reserves.</w:t>
      </w:r>
    </w:p>
    <w:p w:rsidR="00000000" w:rsidRDefault="00DA1786">
      <w:pPr>
        <w:divId w:val="499850625"/>
        <w:rPr>
          <w:rFonts w:eastAsia="Times New Roman"/>
        </w:rPr>
      </w:pPr>
    </w:p>
    <w:p w:rsidR="00000000" w:rsidRDefault="00DA1786">
      <w:pPr>
        <w:ind w:hanging="360"/>
        <w:jc w:val="both"/>
        <w:rPr>
          <w:rFonts w:eastAsia="Times New Roman"/>
        </w:rPr>
      </w:pPr>
      <w:r>
        <w:rPr>
          <w:rFonts w:eastAsia="Times New Roman"/>
          <w:color w:val="000000"/>
          <w:sz w:val="20"/>
          <w:szCs w:val="20"/>
        </w:rPr>
        <w:t>•</w:t>
      </w:r>
      <w:r>
        <w:rPr>
          <w:rFonts w:eastAsia="Times New Roman"/>
          <w:i/>
          <w:iCs/>
          <w:color w:val="000000"/>
          <w:sz w:val="20"/>
          <w:szCs w:val="20"/>
        </w:rPr>
        <w:t>Pursue another strategic transaction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We may resume the process of evaluating a po</w:t>
      </w:r>
      <w:r>
        <w:rPr>
          <w:rFonts w:eastAsia="Times New Roman"/>
          <w:color w:val="000000"/>
          <w:sz w:val="20"/>
          <w:szCs w:val="20"/>
        </w:rPr>
        <w:t>tential strategic transaction in order to attempt another strategic transaction like the Merger.</w:t>
      </w:r>
    </w:p>
    <w:p w:rsidR="00000000" w:rsidRDefault="00DA1786">
      <w:pPr>
        <w:jc w:val="both"/>
        <w:rPr>
          <w:rFonts w:eastAsia="Times New Roman"/>
        </w:rPr>
      </w:pPr>
    </w:p>
    <w:p w:rsidR="00000000" w:rsidRDefault="00DA1786">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Operate our business. </w:t>
      </w:r>
      <w:r>
        <w:rPr>
          <w:rFonts w:eastAsia="Times New Roman"/>
          <w:color w:val="000000"/>
          <w:sz w:val="20"/>
          <w:szCs w:val="20"/>
        </w:rPr>
        <w:t>Although less likely than the alternatives above, our Board may elect to seek new product candidates for development.</w:t>
      </w:r>
    </w:p>
    <w:p w:rsidR="00000000" w:rsidRDefault="00DA1786">
      <w:pPr>
        <w:ind w:firstLine="720"/>
        <w:jc w:val="center"/>
        <w:divId w:val="1765952586"/>
        <w:rPr>
          <w:rFonts w:eastAsia="Times New Roman"/>
        </w:rPr>
      </w:pPr>
      <w:r>
        <w:rPr>
          <w:rFonts w:eastAsia="Times New Roman"/>
          <w:color w:val="000000"/>
          <w:sz w:val="20"/>
          <w:szCs w:val="20"/>
        </w:rPr>
        <w:t>41</w:t>
      </w:r>
    </w:p>
    <w:p w:rsidR="00000000" w:rsidRDefault="00DA1786">
      <w:pPr>
        <w:rPr>
          <w:rFonts w:eastAsia="Times New Roman"/>
        </w:rPr>
      </w:pPr>
      <w:r>
        <w:rPr>
          <w:rFonts w:eastAsia="Times New Roman"/>
        </w:rPr>
        <w:pict>
          <v:rect id="_x0000_i1066" style="width:0;height:1.5pt" o:hralign="center" o:hrstd="t" o:hr="t" fillcolor="#a0a0a0" stroked="f"/>
        </w:pict>
      </w:r>
    </w:p>
    <w:p w:rsidR="00000000" w:rsidRDefault="00DA1786">
      <w:pPr>
        <w:divId w:val="900559902"/>
        <w:rPr>
          <w:rFonts w:eastAsia="Times New Roman"/>
        </w:rPr>
      </w:pPr>
    </w:p>
    <w:p w:rsidR="00000000" w:rsidRDefault="00DA1786">
      <w:pPr>
        <w:jc w:val="both"/>
        <w:rPr>
          <w:rFonts w:eastAsia="Times New Roman"/>
        </w:rPr>
      </w:pPr>
      <w:r>
        <w:rPr>
          <w:rFonts w:eastAsia="Times New Roman"/>
          <w:b/>
          <w:bCs/>
          <w:color w:val="000000"/>
          <w:sz w:val="20"/>
          <w:szCs w:val="20"/>
        </w:rPr>
        <w:t>Historical Business and Programs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Since our inception in January 2012, our operations have focu</w:t>
      </w:r>
      <w:r>
        <w:rPr>
          <w:rFonts w:eastAsia="Times New Roman"/>
          <w:color w:val="000000"/>
          <w:sz w:val="20"/>
          <w:szCs w:val="20"/>
        </w:rPr>
        <w:t>sed on conducting preclinical studies and clinical trials, acquiring technology and assets, organization and staffing, business planning, and raising capital. We have devoted substantial effort and resources to acquiring our previous four product candidate</w:t>
      </w:r>
      <w:r>
        <w:rPr>
          <w:rFonts w:eastAsia="Times New Roman"/>
          <w:color w:val="000000"/>
          <w:sz w:val="20"/>
          <w:szCs w:val="20"/>
        </w:rPr>
        <w:t>s, livoletide, nevanimibe, and MLE-301, as well as MLE4901, which we ceased developing in 2017. We acquired livoletide in connection with our acquisition of Alizé Pharma SAS, or Alizé, in December 2017. We in-licensed nevanimibe from the Regents of the Uni</w:t>
      </w:r>
      <w:r>
        <w:rPr>
          <w:rFonts w:eastAsia="Times New Roman"/>
          <w:color w:val="000000"/>
          <w:sz w:val="20"/>
          <w:szCs w:val="20"/>
        </w:rPr>
        <w:t>versity of Michigan, or the University of Michigan, in June 2013. We licensed MLE-301 from F. Hoffmann-La Roche Ltd and Hoffman-La Roche Inc. (collectively, “Roche”), in October 2018. We do not have any product candidates approved for sale and have not gen</w:t>
      </w:r>
      <w:r>
        <w:rPr>
          <w:rFonts w:eastAsia="Times New Roman"/>
          <w:color w:val="000000"/>
          <w:sz w:val="20"/>
          <w:szCs w:val="20"/>
        </w:rPr>
        <w:t>erated any revenue from product sales. We have funded our operations primarily through the sale and issuance of common stock, preferred stock and convertible promissory notes, proceeds received from the OvaScience Merger as well as borrowings under term lo</w:t>
      </w:r>
      <w:r>
        <w:rPr>
          <w:rFonts w:eastAsia="Times New Roman"/>
          <w:color w:val="000000"/>
          <w:sz w:val="20"/>
          <w:szCs w:val="20"/>
        </w:rPr>
        <w:t>ans.</w:t>
      </w:r>
    </w:p>
    <w:p w:rsidR="00000000" w:rsidRDefault="00DA1786">
      <w:pPr>
        <w:jc w:val="both"/>
        <w:divId w:val="620112057"/>
        <w:rPr>
          <w:rFonts w:eastAsia="Times New Roman"/>
        </w:rPr>
      </w:pPr>
      <w:r>
        <w:rPr>
          <w:rFonts w:eastAsia="Times New Roman"/>
          <w:color w:val="000000"/>
          <w:sz w:val="20"/>
          <w:szCs w:val="20"/>
        </w:rPr>
        <w:t>Since inception, we have incurred significant operating losses and negative operating cash flows and there is no assurance that we will ever achieve or sustain profitability. Our net losses were $36.4 million and $44.6 million for the years ended December </w:t>
      </w:r>
      <w:r>
        <w:rPr>
          <w:rFonts w:eastAsia="Times New Roman"/>
          <w:color w:val="000000"/>
          <w:sz w:val="20"/>
          <w:szCs w:val="20"/>
        </w:rPr>
        <w:t xml:space="preserve">31, 2020 and 2019, respectively. As of December 31, 2020, we had an accumulated deficit of $245.1 million. We expect to continue to incur significant expenses and operating losses for the foreseeable future. </w:t>
      </w:r>
    </w:p>
    <w:p w:rsidR="00000000" w:rsidRDefault="00DA1786">
      <w:pPr>
        <w:jc w:val="both"/>
        <w:rPr>
          <w:rFonts w:eastAsia="Times New Roman"/>
        </w:rPr>
      </w:pPr>
    </w:p>
    <w:p w:rsidR="00000000" w:rsidRDefault="00DA1786">
      <w:pPr>
        <w:jc w:val="both"/>
        <w:rPr>
          <w:rFonts w:eastAsia="Times New Roman"/>
        </w:rPr>
      </w:pPr>
      <w:r>
        <w:rPr>
          <w:rFonts w:eastAsia="Times New Roman"/>
          <w:b/>
          <w:bCs/>
          <w:color w:val="000000"/>
          <w:sz w:val="20"/>
          <w:szCs w:val="20"/>
        </w:rPr>
        <w:t>Merger Agreement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After conducting a diligen</w:t>
      </w:r>
      <w:r>
        <w:rPr>
          <w:rFonts w:eastAsia="Times New Roman"/>
          <w:color w:val="000000"/>
          <w:sz w:val="20"/>
          <w:szCs w:val="20"/>
        </w:rPr>
        <w:t>t and extensive process of evaluating strategic alternatives for the Company and identifying and reviewing potential candidates for a strategic acquisition or other transaction, which included the careful evaluation and consideration of proposals from inte</w:t>
      </w:r>
      <w:r>
        <w:rPr>
          <w:rFonts w:eastAsia="Times New Roman"/>
          <w:color w:val="000000"/>
          <w:sz w:val="20"/>
          <w:szCs w:val="20"/>
        </w:rPr>
        <w:t>rested parties, and following extensive negotiation with Tempest, on March 29, 2021, we, Mars Merger Corp. (“Merger Sub”), a wholly owned subsidiary of the Company, and Tempest entered into the Merger Agreement. Pursuant to the Merger Agreement, among othe</w:t>
      </w:r>
      <w:r>
        <w:rPr>
          <w:rFonts w:eastAsia="Times New Roman"/>
          <w:color w:val="000000"/>
          <w:sz w:val="20"/>
          <w:szCs w:val="20"/>
        </w:rPr>
        <w:t xml:space="preserve">r matters, and subject to the satisfaction or waiver of the conditions set forth in the Merger Agreement, Merger Sub will merge with and into Tempest, with Tempest continuing as a wholly owned subsidiary of the Company and the surviving corporation of the </w:t>
      </w:r>
      <w:r>
        <w:rPr>
          <w:rFonts w:eastAsia="Times New Roman"/>
          <w:color w:val="000000"/>
          <w:sz w:val="20"/>
          <w:szCs w:val="20"/>
        </w:rPr>
        <w:t>Merger.</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Subject to the terms and conditions of the Merger Agreement, at the closing of the Merger, (a) each outstanding share of Tempest common stock (including shares of Tempest common stock issued upon conversion of Tempest preferred stock and shares o</w:t>
      </w:r>
      <w:r>
        <w:rPr>
          <w:rFonts w:eastAsia="Times New Roman"/>
          <w:color w:val="000000"/>
          <w:sz w:val="20"/>
          <w:szCs w:val="20"/>
        </w:rPr>
        <w:t>f Tempest common stock issued in the financing transaction described below) will be converted into the right to receive a number of shares of Millendo common stock (subject to the payment of cash in lieu of fractional shares and after giving effect to a re</w:t>
      </w:r>
      <w:r>
        <w:rPr>
          <w:rFonts w:eastAsia="Times New Roman"/>
          <w:color w:val="000000"/>
          <w:sz w:val="20"/>
          <w:szCs w:val="20"/>
        </w:rPr>
        <w:t>verse stock split of Millendo common stock described below) calculated in accordance with the Merger Agreement (the “Exchange Ratio”) and (b) each then outstanding Tempest stock option and warrant to purchase Tempest common stock will be assumed by Millend</w:t>
      </w:r>
      <w:r>
        <w:rPr>
          <w:rFonts w:eastAsia="Times New Roman"/>
          <w:color w:val="000000"/>
          <w:sz w:val="20"/>
          <w:szCs w:val="20"/>
        </w:rPr>
        <w:t xml:space="preserve">o, subject to adjustment as set forth in the Merger Agreement. Under the terms of the Merger Agreement, the Millendo board of directors may accelerate the vesting of any Millendo stock options that are outstanding as of immediately prior to the closing of </w:t>
      </w:r>
      <w:r>
        <w:rPr>
          <w:rFonts w:eastAsia="Times New Roman"/>
          <w:color w:val="000000"/>
          <w:sz w:val="20"/>
          <w:szCs w:val="20"/>
        </w:rPr>
        <w:t xml:space="preserve">the Merger.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Under the Exchange Ratio formula in the Merger Agreement, upon the closing of the Merger, on a pro forma basis and based upon the number of shares of Millendo common stock expected to be issued in the Merger, pre-Merger Millendo shareholders</w:t>
      </w:r>
      <w:r>
        <w:rPr>
          <w:rFonts w:eastAsia="Times New Roman"/>
          <w:color w:val="000000"/>
          <w:sz w:val="20"/>
          <w:szCs w:val="20"/>
        </w:rPr>
        <w:t xml:space="preserve"> will own approximately 18.5% of the combined company and pre-Merger Tempest stockholders will own approximately 81.5% of the combined company (assuming the financing transaction described below results in gross proceeds of approximately $30 million). For </w:t>
      </w:r>
      <w:r>
        <w:rPr>
          <w:rFonts w:eastAsia="Times New Roman"/>
          <w:color w:val="000000"/>
          <w:sz w:val="20"/>
          <w:szCs w:val="20"/>
        </w:rPr>
        <w:t xml:space="preserve">purposes of calculating the Exchange Ratio, shares of Millendo common stock underlying Millendo stock options outstanding as of the immediately prior to the closing of the Merger with an exercise price per share of less than or equal to $5.00 (as adjusted </w:t>
      </w:r>
      <w:r>
        <w:rPr>
          <w:rFonts w:eastAsia="Times New Roman"/>
          <w:color w:val="000000"/>
          <w:sz w:val="20"/>
          <w:szCs w:val="20"/>
        </w:rPr>
        <w:t>for the reverse stock split described below) will be deemed to be outstanding and all shares of Tempest common stock underlying outstanding Tempest stock options, warrants and other derivative securities will be deemed to be outstanding. The Exchange Ratio</w:t>
      </w:r>
      <w:r>
        <w:rPr>
          <w:rFonts w:eastAsia="Times New Roman"/>
          <w:color w:val="000000"/>
          <w:sz w:val="20"/>
          <w:szCs w:val="20"/>
        </w:rPr>
        <w:t xml:space="preserve"> will be adjusted to the extent that Millendo’s net cash at closing is less than $15.3 million or greater than $18.7 million and based on the amount of the financing transaction described below, as further described in the Merger Agreement.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connection</w:t>
      </w:r>
      <w:r>
        <w:rPr>
          <w:rFonts w:eastAsia="Times New Roman"/>
          <w:color w:val="000000"/>
          <w:sz w:val="20"/>
          <w:szCs w:val="20"/>
        </w:rPr>
        <w:t xml:space="preserve"> with the Merger, Millendo will seek the approval of its stockholders to (a) issue the shares of Millendo common stock issuable in connection with the Merger under the rules of The Nasdaq Stock Market LLC (“Nasdaq”) and (b) amend its certificate of incorpo</w:t>
      </w:r>
      <w:r>
        <w:rPr>
          <w:rFonts w:eastAsia="Times New Roman"/>
          <w:color w:val="000000"/>
          <w:sz w:val="20"/>
          <w:szCs w:val="20"/>
        </w:rPr>
        <w:t>ration to effect a reverse split of Millendo common stock at a ratio of between 1:10 and 1:15, as determined by a committee of the Millendo board of directors prior to the closing of the Merger (the “Millendo Voting Proposals”).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Each of Millendo and Temp</w:t>
      </w:r>
      <w:r>
        <w:rPr>
          <w:rFonts w:eastAsia="Times New Roman"/>
          <w:color w:val="000000"/>
          <w:sz w:val="20"/>
          <w:szCs w:val="20"/>
        </w:rPr>
        <w:t>est has agreed to customary representations, warranties and covenants in the Merger Agreement, including, among others, covenants relating to (1) using reasonable best efforts to obtain the requisite approval of its stockholders, (2) non-solicitation of al</w:t>
      </w:r>
      <w:r>
        <w:rPr>
          <w:rFonts w:eastAsia="Times New Roman"/>
          <w:color w:val="000000"/>
          <w:sz w:val="20"/>
          <w:szCs w:val="20"/>
        </w:rPr>
        <w:t xml:space="preserve">ternative acquisition proposals, (3) the conduct of their respective businesses during the period between the date of signing the Merger Agreement and the closing of the Merger, (4) Millendo using reasonable best </w:t>
      </w:r>
    </w:p>
    <w:p w:rsidR="00000000" w:rsidRDefault="00DA1786">
      <w:pPr>
        <w:ind w:firstLine="720"/>
        <w:jc w:val="center"/>
        <w:divId w:val="1396780523"/>
        <w:rPr>
          <w:rFonts w:eastAsia="Times New Roman"/>
        </w:rPr>
      </w:pPr>
      <w:r>
        <w:rPr>
          <w:rFonts w:eastAsia="Times New Roman"/>
          <w:color w:val="000000"/>
          <w:sz w:val="20"/>
          <w:szCs w:val="20"/>
        </w:rPr>
        <w:t>42</w:t>
      </w:r>
    </w:p>
    <w:p w:rsidR="00000000" w:rsidRDefault="00DA1786">
      <w:pPr>
        <w:rPr>
          <w:rFonts w:eastAsia="Times New Roman"/>
        </w:rPr>
      </w:pPr>
      <w:r>
        <w:rPr>
          <w:rFonts w:eastAsia="Times New Roman"/>
        </w:rPr>
        <w:pict>
          <v:rect id="_x0000_i1067" style="width:0;height:1.5pt" o:hralign="center" o:hrstd="t" o:hr="t" fillcolor="#a0a0a0" stroked="f"/>
        </w:pict>
      </w:r>
    </w:p>
    <w:p w:rsidR="00000000" w:rsidRDefault="00DA1786">
      <w:pPr>
        <w:divId w:val="1955163548"/>
        <w:rPr>
          <w:rFonts w:eastAsia="Times New Roman"/>
        </w:rPr>
      </w:pPr>
    </w:p>
    <w:p w:rsidR="00000000" w:rsidRDefault="00DA1786">
      <w:pPr>
        <w:jc w:val="both"/>
        <w:rPr>
          <w:rFonts w:eastAsia="Times New Roman"/>
        </w:rPr>
      </w:pPr>
      <w:r>
        <w:rPr>
          <w:rFonts w:eastAsia="Times New Roman"/>
          <w:color w:val="000000"/>
          <w:sz w:val="20"/>
          <w:szCs w:val="20"/>
        </w:rPr>
        <w:t>efforts to maintain the existing listing of the Millendo common stock on Nasdaq and Millendo causing the shares of Millendo common stock to be issued in connection with the Merger to be approved for listing on Nasdaq prior to the closing of the Merger, and</w:t>
      </w:r>
      <w:r>
        <w:rPr>
          <w:rFonts w:eastAsia="Times New Roman"/>
          <w:color w:val="000000"/>
          <w:sz w:val="20"/>
          <w:szCs w:val="20"/>
        </w:rPr>
        <w:t xml:space="preserve"> (5) Millendo filing with the U.S. Securities and Exchange Commission (the “SEC”) and causing to become effective a registration statement to register the shares of Millendo common stock to be issued in connection with the Merger (the “Registration Stateme</w:t>
      </w:r>
      <w:r>
        <w:rPr>
          <w:rFonts w:eastAsia="Times New Roman"/>
          <w:color w:val="000000"/>
          <w:sz w:val="20"/>
          <w:szCs w:val="20"/>
        </w:rPr>
        <w:t>nt”).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Consummation of the Merger is subject to certain closing conditions, including, among other things, the (1) approval by Millendo stockholders of the Millendo Voting Proposals, (2) approval by the Tempest stockholders of the adoption of the Merger A</w:t>
      </w:r>
      <w:r>
        <w:rPr>
          <w:rFonts w:eastAsia="Times New Roman"/>
          <w:color w:val="000000"/>
          <w:sz w:val="20"/>
          <w:szCs w:val="20"/>
        </w:rPr>
        <w:t>greement, (3) Nasdaq’s approval of the listing of the shares of Millendo common stock to be issued in connection with the Merger, (4) the effectiveness of the Registration Statement, and (5) the determination of Millendo’s net cash in accordance with the M</w:t>
      </w:r>
      <w:r>
        <w:rPr>
          <w:rFonts w:eastAsia="Times New Roman"/>
          <w:color w:val="000000"/>
          <w:sz w:val="20"/>
          <w:szCs w:val="20"/>
        </w:rPr>
        <w:t xml:space="preserve">erger Agreement. Each party’s obligation to consummate the Merger is also subject to other specified customary conditions, including the representations and warranties of the other party being true and correct as of the date of the Merger Agreement and as </w:t>
      </w:r>
      <w:r>
        <w:rPr>
          <w:rFonts w:eastAsia="Times New Roman"/>
          <w:color w:val="000000"/>
          <w:sz w:val="20"/>
          <w:szCs w:val="20"/>
        </w:rPr>
        <w:t xml:space="preserve">of the closing date of the Merger, generally subject to an overall material adverse effect qualification, and the performance in all material respects by the other party of its obligations under the Merger Agreement required to be performed on or prior to </w:t>
      </w:r>
      <w:r>
        <w:rPr>
          <w:rFonts w:eastAsia="Times New Roman"/>
          <w:color w:val="000000"/>
          <w:sz w:val="20"/>
          <w:szCs w:val="20"/>
        </w:rPr>
        <w:t>the date of the closing of the Merger. Millendo’s obligation to consummate the Merger also is subject to the completion of at least $25.0 million of the financing transaction described below.</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Merger Agreement contains certain termination rights of each of Millendo and Tempest, including, subject to compliance with the applicable terms of the Merger Agreement, the right of each party to terminate the Merger Agreement to enter into a definiti</w:t>
      </w:r>
      <w:r>
        <w:rPr>
          <w:rFonts w:eastAsia="Times New Roman"/>
          <w:color w:val="000000"/>
          <w:sz w:val="20"/>
          <w:szCs w:val="20"/>
        </w:rPr>
        <w:t>ve agreement for a superior proposal. Upon termination of the Merger Agreement under specified circumstances, Millendo may be required to pay Tempest a termination fee of $1.4 million or reimburse Tempest’s expenses up to a maximum of $1.0 million and Temp</w:t>
      </w:r>
      <w:r>
        <w:rPr>
          <w:rFonts w:eastAsia="Times New Roman"/>
          <w:color w:val="000000"/>
          <w:sz w:val="20"/>
          <w:szCs w:val="20"/>
        </w:rPr>
        <w:t>est may be required to pay Millendo a termination fee of $2.8 million or reimburse Millendo’s expenses up to a maximum of $1.0 million.</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Concurrently with the execution of the Merger Agreement, (i) certain executive officers, directors and stockholders of</w:t>
      </w:r>
      <w:r>
        <w:rPr>
          <w:rFonts w:eastAsia="Times New Roman"/>
          <w:color w:val="000000"/>
          <w:sz w:val="20"/>
          <w:szCs w:val="20"/>
        </w:rPr>
        <w:t xml:space="preserve"> Tempest (solely in their respective capacities as Tempest stockholders) holding approximately 87% of the outstanding shares of Tempest capital stock have entered into support agreements with Millendo and Tempest to vote all of their shares of Tempest capi</w:t>
      </w:r>
      <w:r>
        <w:rPr>
          <w:rFonts w:eastAsia="Times New Roman"/>
          <w:color w:val="000000"/>
          <w:sz w:val="20"/>
          <w:szCs w:val="20"/>
        </w:rPr>
        <w:t>tal stock in favor of adoption of the Merger Agreement and against any alternative acquisition proposals (the “Tempest Support Agreements”) and (ii) certain executive officers, directors and stockholders of Millendo (solely in their respective capacities a</w:t>
      </w:r>
      <w:r>
        <w:rPr>
          <w:rFonts w:eastAsia="Times New Roman"/>
          <w:color w:val="000000"/>
          <w:sz w:val="20"/>
          <w:szCs w:val="20"/>
        </w:rPr>
        <w:t>s Millendo stockholders) holding approximately 16% of the outstanding shares of Millendo common stock have entered into support agreements with Millendo and Tempest to vote all of their shares of Millendo common stock in favor of the Millendo Voting Propos</w:t>
      </w:r>
      <w:r>
        <w:rPr>
          <w:rFonts w:eastAsia="Times New Roman"/>
          <w:color w:val="000000"/>
          <w:sz w:val="20"/>
          <w:szCs w:val="20"/>
        </w:rPr>
        <w:t xml:space="preserve">als and against any alternative acquisition proposals (the “Millendo Support Agreements”, and together with the Tempest Support Agreements, the “Support Agreements”).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Concurrently with the execution of the Merger Agreement, certain executive officers, d</w:t>
      </w:r>
      <w:r>
        <w:rPr>
          <w:rFonts w:eastAsia="Times New Roman"/>
          <w:color w:val="000000"/>
          <w:sz w:val="20"/>
          <w:szCs w:val="20"/>
        </w:rPr>
        <w:t xml:space="preserve">irectors and stockholders of Tempest have entered into lock-up agreements (the “Lock-Up Agreements”) pursuant to which, subject to specified exceptions, they agreed not to transfer their shares of Millendo common stock for the 180-day period following the </w:t>
      </w:r>
      <w:r>
        <w:rPr>
          <w:rFonts w:eastAsia="Times New Roman"/>
          <w:color w:val="000000"/>
          <w:sz w:val="20"/>
          <w:szCs w:val="20"/>
        </w:rPr>
        <w:t>closing of the Merger. In addition, each of Millendo and Tempest is obligated under the Merger Agreement to use reasonable best efforts prior to the closing of the Merger to obtain a Lock-Up Agreement from any person who will serve as a director or officer</w:t>
      </w:r>
      <w:r>
        <w:rPr>
          <w:rFonts w:eastAsia="Times New Roman"/>
          <w:color w:val="000000"/>
          <w:sz w:val="20"/>
          <w:szCs w:val="20"/>
        </w:rPr>
        <w:t xml:space="preserve"> of Millendo following completion of the Merger.</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At the effective time of the Merger, the Board of Directors of Millendo is expected to consist of seven members, six of whom will be designated by Tempest and one of whom will be designated by Millendo.</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Concurrently with the execution and delivery of the Merger Agreement, certain parties have entered into agreements with Tempest pursuant to which they have agreed, subject to the terms and conditions of such agreements, to purchase prior to the consummatio</w:t>
      </w:r>
      <w:r>
        <w:rPr>
          <w:rFonts w:eastAsia="Times New Roman"/>
          <w:color w:val="000000"/>
          <w:sz w:val="20"/>
          <w:szCs w:val="20"/>
        </w:rPr>
        <w:t>n of the Merger shares of Tempest common stock for an aggregate purchase price of approximately $30 million. The consummation of the transactions contemplated by such agreements is conditioned on the satisfaction or waiver of the conditions set forth in th</w:t>
      </w:r>
      <w:r>
        <w:rPr>
          <w:rFonts w:eastAsia="Times New Roman"/>
          <w:color w:val="000000"/>
          <w:sz w:val="20"/>
          <w:szCs w:val="20"/>
        </w:rPr>
        <w:t>e Merger Agreement. Shares of Tempest common stock issued pursuant to this financing transaction will be converted into shares of Millendo common stock in the Merger in accordance with the Exchange Ratio.</w:t>
      </w:r>
    </w:p>
    <w:p w:rsidR="00000000" w:rsidRDefault="00DA1786">
      <w:pPr>
        <w:jc w:val="both"/>
        <w:divId w:val="2056539949"/>
        <w:rPr>
          <w:rFonts w:eastAsia="Times New Roman"/>
        </w:rPr>
      </w:pPr>
      <w:r>
        <w:rPr>
          <w:rFonts w:eastAsia="Times New Roman"/>
          <w:b/>
          <w:bCs/>
          <w:i/>
          <w:iCs/>
          <w:color w:val="000000"/>
          <w:sz w:val="20"/>
          <w:szCs w:val="20"/>
        </w:rPr>
        <w:t>Financing</w:t>
      </w:r>
    </w:p>
    <w:p w:rsidR="00000000" w:rsidRDefault="00DA1786">
      <w:pPr>
        <w:jc w:val="both"/>
        <w:divId w:val="255018394"/>
        <w:rPr>
          <w:rFonts w:eastAsia="Times New Roman"/>
        </w:rPr>
      </w:pPr>
      <w:r>
        <w:rPr>
          <w:rFonts w:eastAsia="Times New Roman"/>
          <w:color w:val="000000"/>
          <w:sz w:val="20"/>
          <w:szCs w:val="20"/>
        </w:rPr>
        <w:t>In December 2019, we sold 4,791,667 share</w:t>
      </w:r>
      <w:r>
        <w:rPr>
          <w:rFonts w:eastAsia="Times New Roman"/>
          <w:color w:val="000000"/>
          <w:sz w:val="20"/>
          <w:szCs w:val="20"/>
        </w:rPr>
        <w:t xml:space="preserve">s of our common stock pursuant to an underwriting agreement (the “Underwriting Agreement”) with Citigroup Global Markets Inc. and SVB Leerink LLC, as representatives of the several underwriters named therein (the “Underwriters”), for net proceeds to us of </w:t>
      </w:r>
      <w:r>
        <w:rPr>
          <w:rFonts w:eastAsia="Times New Roman"/>
          <w:color w:val="000000"/>
          <w:sz w:val="20"/>
          <w:szCs w:val="20"/>
        </w:rPr>
        <w:t>approximately $26.5 million, after deducting underwriting discounts and commissions and other offering expenses payable by us. The price to the public in this offering was $6.00 per share and resulted in the sale of 4,166,667 shares of our common stock for</w:t>
      </w:r>
      <w:r>
        <w:rPr>
          <w:rFonts w:eastAsia="Times New Roman"/>
          <w:color w:val="000000"/>
          <w:sz w:val="20"/>
          <w:szCs w:val="20"/>
        </w:rPr>
        <w:t xml:space="preserve"> net proceeds to us of approximately $23.0 million, after deducting underwriting discounts and commissions and other offering expenses. In addition, the Underwriters purchased an </w:t>
      </w:r>
    </w:p>
    <w:p w:rsidR="00000000" w:rsidRDefault="00DA1786">
      <w:pPr>
        <w:ind w:firstLine="720"/>
        <w:jc w:val="center"/>
        <w:divId w:val="1053240010"/>
        <w:rPr>
          <w:rFonts w:eastAsia="Times New Roman"/>
        </w:rPr>
      </w:pPr>
      <w:r>
        <w:rPr>
          <w:rFonts w:eastAsia="Times New Roman"/>
          <w:color w:val="000000"/>
          <w:sz w:val="20"/>
          <w:szCs w:val="20"/>
        </w:rPr>
        <w:t>43</w:t>
      </w:r>
    </w:p>
    <w:p w:rsidR="00000000" w:rsidRDefault="00DA1786">
      <w:pPr>
        <w:rPr>
          <w:rFonts w:eastAsia="Times New Roman"/>
        </w:rPr>
      </w:pPr>
      <w:r>
        <w:rPr>
          <w:rFonts w:eastAsia="Times New Roman"/>
        </w:rPr>
        <w:pict>
          <v:rect id="_x0000_i1068" style="width:0;height:1.5pt" o:hralign="center" o:hrstd="t" o:hr="t" fillcolor="#a0a0a0" stroked="f"/>
        </w:pict>
      </w:r>
    </w:p>
    <w:p w:rsidR="00000000" w:rsidRDefault="00DA1786">
      <w:pPr>
        <w:divId w:val="902836916"/>
        <w:rPr>
          <w:rFonts w:eastAsia="Times New Roman"/>
        </w:rPr>
      </w:pPr>
    </w:p>
    <w:p w:rsidR="00000000" w:rsidRDefault="00DA1786">
      <w:pPr>
        <w:jc w:val="both"/>
        <w:divId w:val="917713666"/>
        <w:rPr>
          <w:rFonts w:eastAsia="Times New Roman"/>
        </w:rPr>
      </w:pPr>
      <w:r>
        <w:rPr>
          <w:rFonts w:eastAsia="Times New Roman"/>
          <w:color w:val="000000"/>
          <w:sz w:val="20"/>
          <w:szCs w:val="20"/>
        </w:rPr>
        <w:t>additional 625,000 shares of our c</w:t>
      </w:r>
      <w:r>
        <w:rPr>
          <w:rFonts w:eastAsia="Times New Roman"/>
          <w:color w:val="000000"/>
          <w:sz w:val="20"/>
          <w:szCs w:val="20"/>
        </w:rPr>
        <w:t>ommon stock at the public offering price of $6.00 per share pursuant to a purchase option granted to them under the Underwriting Agreement, resulting in net proceeds to us of approximately $3.5 million, after deducting underwriting discounts and commission</w:t>
      </w:r>
      <w:r>
        <w:rPr>
          <w:rFonts w:eastAsia="Times New Roman"/>
          <w:color w:val="000000"/>
          <w:sz w:val="20"/>
          <w:szCs w:val="20"/>
        </w:rPr>
        <w:t>s.</w:t>
      </w:r>
    </w:p>
    <w:p w:rsidR="00000000" w:rsidRDefault="00DA1786">
      <w:pPr>
        <w:jc w:val="both"/>
        <w:divId w:val="2096125467"/>
        <w:rPr>
          <w:rFonts w:eastAsia="Times New Roman"/>
        </w:rPr>
      </w:pPr>
      <w:r>
        <w:rPr>
          <w:rFonts w:eastAsia="Times New Roman"/>
          <w:color w:val="000000"/>
          <w:sz w:val="20"/>
          <w:szCs w:val="20"/>
        </w:rPr>
        <w:t>The offering was made pursuant to our registration statement on Form S-3 (Registration Statement No. 333-230749), which was declared effective by the Securities and Exchange Commission on April 18, 2019, and a prospectus supplement thereunder.</w:t>
      </w:r>
    </w:p>
    <w:p w:rsidR="00000000" w:rsidRDefault="00DA1786">
      <w:pPr>
        <w:jc w:val="both"/>
        <w:divId w:val="1525633691"/>
        <w:rPr>
          <w:rFonts w:eastAsia="Times New Roman"/>
        </w:rPr>
      </w:pPr>
      <w:r>
        <w:rPr>
          <w:rFonts w:eastAsia="Times New Roman"/>
          <w:b/>
          <w:bCs/>
          <w:i/>
          <w:iCs/>
          <w:color w:val="000000"/>
          <w:sz w:val="20"/>
          <w:szCs w:val="20"/>
        </w:rPr>
        <w:t>At-the-Ma</w:t>
      </w:r>
      <w:r>
        <w:rPr>
          <w:rFonts w:eastAsia="Times New Roman"/>
          <w:b/>
          <w:bCs/>
          <w:i/>
          <w:iCs/>
          <w:color w:val="000000"/>
          <w:sz w:val="20"/>
          <w:szCs w:val="20"/>
        </w:rPr>
        <w:t>rket Equity Distribution Agreement</w:t>
      </w:r>
    </w:p>
    <w:p w:rsidR="00000000" w:rsidRDefault="00DA1786">
      <w:pPr>
        <w:jc w:val="both"/>
        <w:divId w:val="522598302"/>
        <w:rPr>
          <w:rFonts w:eastAsia="Times New Roman"/>
        </w:rPr>
      </w:pPr>
      <w:r>
        <w:rPr>
          <w:rFonts w:eastAsia="Times New Roman"/>
          <w:color w:val="000000"/>
          <w:sz w:val="20"/>
          <w:szCs w:val="20"/>
        </w:rPr>
        <w:t>In April 2019, we entered into an "at-the-market" ("ATM") equity distribution agreement with Citigroup Global Markets Inc. acting as sole agent with an aggregate offering value of up to $50.0 million. Subject to the terms</w:t>
      </w:r>
      <w:r>
        <w:rPr>
          <w:rFonts w:eastAsia="Times New Roman"/>
          <w:color w:val="000000"/>
          <w:sz w:val="20"/>
          <w:szCs w:val="20"/>
        </w:rPr>
        <w:t xml:space="preserve"> of the ATM equity distribution agreement, we are able to determine, at our sole discretion, the timing and number of shares to be sold under this ATM facility. In March 2020, we amended and restated the equity distribution agreement to include SVB Leerink</w:t>
      </w:r>
      <w:r>
        <w:rPr>
          <w:rFonts w:eastAsia="Times New Roman"/>
          <w:color w:val="000000"/>
          <w:sz w:val="20"/>
          <w:szCs w:val="20"/>
        </w:rPr>
        <w:t xml:space="preserve"> LLC as an additional sales agent for the ATM. In March 2020, we sold 719,400 shares of our common stock under our ATM equity distribution agreement for net proceeds of approximately $5.5 million. We do not expect to sell additional shares under this ATM f</w:t>
      </w:r>
      <w:r>
        <w:rPr>
          <w:rFonts w:eastAsia="Times New Roman"/>
          <w:color w:val="000000"/>
          <w:sz w:val="20"/>
          <w:szCs w:val="20"/>
        </w:rPr>
        <w:t>acility.</w:t>
      </w:r>
    </w:p>
    <w:p w:rsidR="00000000" w:rsidRDefault="00DA1786">
      <w:pPr>
        <w:jc w:val="both"/>
        <w:divId w:val="988552353"/>
        <w:rPr>
          <w:rFonts w:eastAsia="Times New Roman"/>
        </w:rPr>
      </w:pPr>
      <w:r>
        <w:rPr>
          <w:rFonts w:eastAsia="Times New Roman"/>
          <w:color w:val="000000"/>
          <w:sz w:val="20"/>
          <w:szCs w:val="20"/>
        </w:rPr>
        <w:t>Sales of our common stock pursuant to the ATM have been made pursuant to our registration statement on Form S-3 (Registration Statement No. 333-230749), which was declared effective by the Securities and Exchange Commission on April 18, 2019.</w:t>
      </w:r>
    </w:p>
    <w:p w:rsidR="00000000" w:rsidRDefault="00DA1786">
      <w:pPr>
        <w:jc w:val="both"/>
        <w:divId w:val="1838645204"/>
        <w:rPr>
          <w:rFonts w:eastAsia="Times New Roman"/>
        </w:rPr>
      </w:pPr>
      <w:r>
        <w:rPr>
          <w:rFonts w:eastAsia="Times New Roman"/>
          <w:b/>
          <w:bCs/>
          <w:color w:val="000000"/>
          <w:sz w:val="20"/>
          <w:szCs w:val="20"/>
        </w:rPr>
        <w:t>COVI</w:t>
      </w:r>
      <w:r>
        <w:rPr>
          <w:rFonts w:eastAsia="Times New Roman"/>
          <w:b/>
          <w:bCs/>
          <w:color w:val="000000"/>
          <w:sz w:val="20"/>
          <w:szCs w:val="20"/>
        </w:rPr>
        <w:t>D-19 Business Update</w:t>
      </w:r>
    </w:p>
    <w:p w:rsidR="00000000" w:rsidRDefault="00DA1786">
      <w:pPr>
        <w:ind w:firstLine="720"/>
        <w:divId w:val="286354448"/>
        <w:rPr>
          <w:rFonts w:eastAsia="Times New Roman"/>
        </w:rPr>
      </w:pPr>
    </w:p>
    <w:p w:rsidR="00000000" w:rsidRDefault="00DA1786">
      <w:pPr>
        <w:jc w:val="both"/>
        <w:rPr>
          <w:rFonts w:eastAsia="Times New Roman"/>
        </w:rPr>
      </w:pPr>
      <w:r>
        <w:rPr>
          <w:rFonts w:eastAsia="Times New Roman"/>
          <w:color w:val="000000"/>
          <w:sz w:val="20"/>
          <w:szCs w:val="20"/>
        </w:rPr>
        <w:t>With the global impacts of the ongoing COVID-19 pandemic continuing in the fourth quarter of 2020, we are maintaining the business continuity plans we established and implemented in the first quarter of 2020, which are designed to ad</w:t>
      </w:r>
      <w:r>
        <w:rPr>
          <w:rFonts w:eastAsia="Times New Roman"/>
          <w:color w:val="000000"/>
          <w:sz w:val="20"/>
          <w:szCs w:val="20"/>
        </w:rPr>
        <w:t>dress and mitigate the impact of the COVID-19 pandemic on our employees, operations and our business. While we are experiencing limited financial impacts from the pandemic at this time, given the global economic slowdown, the overall disruption of global h</w:t>
      </w:r>
      <w:r>
        <w:rPr>
          <w:rFonts w:eastAsia="Times New Roman"/>
          <w:color w:val="000000"/>
          <w:sz w:val="20"/>
          <w:szCs w:val="20"/>
        </w:rPr>
        <w:t>ealthcare systems and the other risks and uncertainties associated with the pandemic, our business, financial condition, and results of operations, could be materially adversely affected. We continue to closely monitor the COVID-19 situation as we evolve o</w:t>
      </w:r>
      <w:r>
        <w:rPr>
          <w:rFonts w:eastAsia="Times New Roman"/>
          <w:color w:val="000000"/>
          <w:sz w:val="20"/>
          <w:szCs w:val="20"/>
        </w:rPr>
        <w:t>ur business continuity plans and response strategy. In March 2020, our global workforce transitioned to working remotely. Throughout the fourth quarter of 2020, we continued our plan to allow some employees to return to the office voluntarily, which was ba</w:t>
      </w:r>
      <w:r>
        <w:rPr>
          <w:rFonts w:eastAsia="Times New Roman"/>
          <w:color w:val="000000"/>
          <w:sz w:val="20"/>
          <w:szCs w:val="20"/>
        </w:rPr>
        <w:t>sed on a phased approach that is principles-based, flexible and local in design, with a focus on employee safety and optimal work environment. Our current plans remain fluid as federal, state and local guidelines, rules and regulations continue to evolve.</w:t>
      </w:r>
    </w:p>
    <w:p w:rsidR="00000000" w:rsidRDefault="00DA1786">
      <w:pPr>
        <w:jc w:val="both"/>
        <w:divId w:val="1390151465"/>
        <w:rPr>
          <w:rFonts w:eastAsia="Times New Roman"/>
        </w:rPr>
      </w:pPr>
      <w:r>
        <w:rPr>
          <w:rFonts w:eastAsia="Times New Roman"/>
          <w:b/>
          <w:bCs/>
          <w:i/>
          <w:iCs/>
          <w:color w:val="000000"/>
          <w:sz w:val="20"/>
          <w:szCs w:val="20"/>
        </w:rPr>
        <w:t>OvaScience Merger</w:t>
      </w:r>
    </w:p>
    <w:p w:rsidR="00000000" w:rsidRDefault="00DA1786">
      <w:pPr>
        <w:jc w:val="both"/>
        <w:divId w:val="1103382583"/>
        <w:rPr>
          <w:rFonts w:eastAsia="Times New Roman"/>
        </w:rPr>
      </w:pPr>
      <w:r>
        <w:rPr>
          <w:rFonts w:eastAsia="Times New Roman"/>
          <w:color w:val="000000"/>
          <w:sz w:val="20"/>
          <w:szCs w:val="20"/>
        </w:rPr>
        <w:t>On December 7, 2018, OvaScience, Inc., or OvaScience, now known as Millendo Therapeutics, Inc. completed its reverse merger or, the OvaScience Merger, with what was then known as “Millendo Therapeutics, Inc.,” or Private Millendo, in acco</w:t>
      </w:r>
      <w:r>
        <w:rPr>
          <w:rFonts w:eastAsia="Times New Roman"/>
          <w:color w:val="000000"/>
          <w:sz w:val="20"/>
          <w:szCs w:val="20"/>
        </w:rPr>
        <w:t>rdance with the terms of the Agreement and Plan of Merger and Reorganization dated as of August 8, 2018, as amended on September 25, 2018 and November 1, 2018, or the OvaScience Merger Agreement.  OvaScience’s shares of common stock listed on The Nasdaq Ca</w:t>
      </w:r>
      <w:r>
        <w:rPr>
          <w:rFonts w:eastAsia="Times New Roman"/>
          <w:color w:val="000000"/>
          <w:sz w:val="20"/>
          <w:szCs w:val="20"/>
        </w:rPr>
        <w:t>pital Market, previously trading through the close of business on Friday, December 7, 2018 under the ticker symbol “OVAS,” commenced trading on The Nasdaq Capital Market, under the ticker symbol “MLND,” on Monday, December 10, 2018.</w:t>
      </w:r>
    </w:p>
    <w:p w:rsidR="00000000" w:rsidRDefault="00DA1786">
      <w:pPr>
        <w:jc w:val="both"/>
        <w:divId w:val="97142148"/>
        <w:rPr>
          <w:rFonts w:eastAsia="Times New Roman"/>
        </w:rPr>
      </w:pPr>
      <w:r>
        <w:rPr>
          <w:rFonts w:eastAsia="Times New Roman"/>
          <w:color w:val="000000"/>
          <w:sz w:val="20"/>
          <w:szCs w:val="20"/>
        </w:rPr>
        <w:t>In August 2018, Private</w:t>
      </w:r>
      <w:r>
        <w:rPr>
          <w:rFonts w:eastAsia="Times New Roman"/>
          <w:color w:val="000000"/>
          <w:sz w:val="20"/>
          <w:szCs w:val="20"/>
        </w:rPr>
        <w:t xml:space="preserve"> Millendo issued convertible promissory notes, or the Notes, to several of its existing investors and received cash proceeds of $8.0 million. The Notes accrued simple interest of 6.0% per annum.  Additionally, immediately prior to the OvaScience Merger, Pr</w:t>
      </w:r>
      <w:r>
        <w:rPr>
          <w:rFonts w:eastAsia="Times New Roman"/>
          <w:color w:val="000000"/>
          <w:sz w:val="20"/>
          <w:szCs w:val="20"/>
        </w:rPr>
        <w:t>ivate Millendo issued and sold an aggregate of 1,320,129 shares of Private Millendo common stock for total net proceeds of approximately $20.1 million, or the Pre-Closing Financing, to certain existing stockholders of Private Millendo.</w:t>
      </w:r>
    </w:p>
    <w:p w:rsidR="00000000" w:rsidRDefault="00DA1786">
      <w:pPr>
        <w:jc w:val="both"/>
        <w:divId w:val="1831672769"/>
        <w:rPr>
          <w:rFonts w:eastAsia="Times New Roman"/>
        </w:rPr>
      </w:pPr>
      <w:r>
        <w:rPr>
          <w:rFonts w:eastAsia="Times New Roman"/>
          <w:color w:val="000000"/>
          <w:sz w:val="20"/>
          <w:szCs w:val="20"/>
        </w:rPr>
        <w:t>In connection with t</w:t>
      </w:r>
      <w:r>
        <w:rPr>
          <w:rFonts w:eastAsia="Times New Roman"/>
          <w:color w:val="000000"/>
          <w:sz w:val="20"/>
          <w:szCs w:val="20"/>
        </w:rPr>
        <w:t xml:space="preserve">he OvaScience Merger, each outstanding share of Private Millendo capital stock converted into shares of OvaScience’s common stock, and each outstanding option or warrant to purchase Private Millendo capital stock converted into the right to receive shares </w:t>
      </w:r>
      <w:r>
        <w:rPr>
          <w:rFonts w:eastAsia="Times New Roman"/>
          <w:color w:val="000000"/>
          <w:sz w:val="20"/>
          <w:szCs w:val="20"/>
        </w:rPr>
        <w:t>of OvaScience’s common stock.  At the Closing of the OvaScience Merger, Private Millendo stockholders received an aggregate of 8,789,628 shares of OvaScience common stock, which includes 1,320,129 shares of common stock issued to the investors in the Pre-C</w:t>
      </w:r>
      <w:r>
        <w:rPr>
          <w:rFonts w:eastAsia="Times New Roman"/>
          <w:color w:val="000000"/>
          <w:sz w:val="20"/>
          <w:szCs w:val="20"/>
        </w:rPr>
        <w:t>losing Financing, Private Millendo option holders received options to purchase 1,874,158 shares of OvaScience common stock and Private Millendo warrant holders received warrants to purchase 17,125 shares of OvaScience common stock.  In addition, upon the C</w:t>
      </w:r>
      <w:r>
        <w:rPr>
          <w:rFonts w:eastAsia="Times New Roman"/>
          <w:color w:val="000000"/>
          <w:sz w:val="20"/>
          <w:szCs w:val="20"/>
        </w:rPr>
        <w:t>losing of the OvaScience Merger, all principal and interest underlying the Notes converted into 499,504 shares of OvaScience common stock.</w:t>
      </w:r>
    </w:p>
    <w:p w:rsidR="00000000" w:rsidRDefault="00DA1786">
      <w:pPr>
        <w:ind w:firstLine="720"/>
        <w:jc w:val="center"/>
        <w:divId w:val="1392190599"/>
        <w:rPr>
          <w:rFonts w:eastAsia="Times New Roman"/>
        </w:rPr>
      </w:pPr>
      <w:r>
        <w:rPr>
          <w:rFonts w:eastAsia="Times New Roman"/>
          <w:color w:val="000000"/>
          <w:sz w:val="20"/>
          <w:szCs w:val="20"/>
        </w:rPr>
        <w:t>44</w:t>
      </w:r>
    </w:p>
    <w:p w:rsidR="00000000" w:rsidRDefault="00DA1786">
      <w:pPr>
        <w:rPr>
          <w:rFonts w:eastAsia="Times New Roman"/>
        </w:rPr>
      </w:pPr>
      <w:r>
        <w:rPr>
          <w:rFonts w:eastAsia="Times New Roman"/>
        </w:rPr>
        <w:pict>
          <v:rect id="_x0000_i1069" style="width:0;height:1.5pt" o:hralign="center" o:hrstd="t" o:hr="t" fillcolor="#a0a0a0" stroked="f"/>
        </w:pict>
      </w:r>
    </w:p>
    <w:p w:rsidR="00000000" w:rsidRDefault="00DA1786">
      <w:pPr>
        <w:divId w:val="1287151877"/>
        <w:rPr>
          <w:rFonts w:eastAsia="Times New Roman"/>
        </w:rPr>
      </w:pPr>
    </w:p>
    <w:p w:rsidR="00000000" w:rsidRDefault="00DA1786">
      <w:pPr>
        <w:jc w:val="both"/>
        <w:divId w:val="1242523386"/>
        <w:rPr>
          <w:rFonts w:eastAsia="Times New Roman"/>
        </w:rPr>
      </w:pPr>
      <w:r>
        <w:rPr>
          <w:rFonts w:eastAsia="Times New Roman"/>
          <w:color w:val="000000"/>
          <w:sz w:val="20"/>
          <w:szCs w:val="20"/>
        </w:rPr>
        <w:t>Immediately following the OvaScience Merger, Private Millendo became a wholly-owned subsidiary of OvaScience.  Upon consummation of the OvaScience Merger, or the Closing, OvaScience adopted the business plan of Private</w:t>
      </w:r>
      <w:r>
        <w:rPr>
          <w:rFonts w:eastAsia="Times New Roman"/>
          <w:color w:val="000000"/>
          <w:sz w:val="20"/>
          <w:szCs w:val="20"/>
        </w:rPr>
        <w:t xml:space="preserve"> Millendo and discontinued the pursuit of OvaScience’s business plan pre-Closing.  The OvaScience Merger was accounted for as a reverse recapitalization with Private Millendo as the accounting acquirer. On the OvaScience Merger date, the primary pre-combin</w:t>
      </w:r>
      <w:r>
        <w:rPr>
          <w:rFonts w:eastAsia="Times New Roman"/>
          <w:color w:val="000000"/>
          <w:sz w:val="20"/>
          <w:szCs w:val="20"/>
        </w:rPr>
        <w:t>ation assets of OvaScience was cash, cash equivalents and marketable securities.  At the time of the OvaScience Merger, OvaScience had net assets of $38.0 million, which was comprised primarily of cash, cash equivalents and marketable securities.</w:t>
      </w:r>
    </w:p>
    <w:p w:rsidR="00000000" w:rsidRDefault="00DA1786">
      <w:pPr>
        <w:jc w:val="both"/>
        <w:divId w:val="929971055"/>
        <w:rPr>
          <w:rFonts w:eastAsia="Times New Roman"/>
        </w:rPr>
      </w:pPr>
      <w:r>
        <w:rPr>
          <w:rFonts w:eastAsia="Times New Roman"/>
          <w:color w:val="000000"/>
          <w:sz w:val="20"/>
          <w:szCs w:val="20"/>
        </w:rPr>
        <w:t>Following</w:t>
      </w:r>
      <w:r>
        <w:rPr>
          <w:rFonts w:eastAsia="Times New Roman"/>
          <w:color w:val="000000"/>
          <w:sz w:val="20"/>
          <w:szCs w:val="20"/>
        </w:rPr>
        <w:t xml:space="preserve"> the Closing of the OvaScience Merger, on December 7, 2018, we issued and sold an aggregate of 1,230,158 shares of common stock to an institutional investor for $16.258065 per share, for total net proceeds of approximately $18.7 million.</w:t>
      </w:r>
    </w:p>
    <w:p w:rsidR="00000000" w:rsidRDefault="00DA1786">
      <w:pPr>
        <w:divId w:val="677854252"/>
        <w:rPr>
          <w:rFonts w:eastAsia="Times New Roman"/>
        </w:rPr>
      </w:pPr>
      <w:r>
        <w:rPr>
          <w:rFonts w:eastAsia="Times New Roman"/>
          <w:b/>
          <w:bCs/>
          <w:i/>
          <w:iCs/>
          <w:color w:val="000000"/>
          <w:sz w:val="20"/>
          <w:szCs w:val="20"/>
        </w:rPr>
        <w:t>Integration of Ova</w:t>
      </w:r>
      <w:r>
        <w:rPr>
          <w:rFonts w:eastAsia="Times New Roman"/>
          <w:b/>
          <w:bCs/>
          <w:i/>
          <w:iCs/>
          <w:color w:val="000000"/>
          <w:sz w:val="20"/>
          <w:szCs w:val="20"/>
        </w:rPr>
        <w:t>Science</w:t>
      </w:r>
    </w:p>
    <w:p w:rsidR="00000000" w:rsidRDefault="00DA1786">
      <w:pPr>
        <w:jc w:val="both"/>
        <w:divId w:val="272636363"/>
        <w:rPr>
          <w:rFonts w:eastAsia="Times New Roman"/>
        </w:rPr>
      </w:pPr>
      <w:r>
        <w:rPr>
          <w:rFonts w:eastAsia="Times New Roman"/>
          <w:color w:val="000000"/>
          <w:sz w:val="20"/>
          <w:szCs w:val="20"/>
        </w:rPr>
        <w:t>Leading up to the closing date of the OvaScience Merger, OvaScience had agreed to terminate, assign or otherwise fully discharge substantially all obligations under all contracts to which OvaScience or its subsidiaries were a party, wind-down the o</w:t>
      </w:r>
      <w:r>
        <w:rPr>
          <w:rFonts w:eastAsia="Times New Roman"/>
          <w:color w:val="000000"/>
          <w:sz w:val="20"/>
          <w:szCs w:val="20"/>
        </w:rPr>
        <w:t>perations, and dissolve certain subsidiaries. OvaScience has closed their offices and all employees were terminated or resigned prior to or at the closing. All operations are drawing to a close that were not already wound down prior to closing.</w:t>
      </w:r>
    </w:p>
    <w:p w:rsidR="00000000" w:rsidRDefault="00DA1786">
      <w:pPr>
        <w:divId w:val="2111579435"/>
        <w:rPr>
          <w:rFonts w:eastAsia="Times New Roman"/>
        </w:rPr>
      </w:pPr>
      <w:r>
        <w:rPr>
          <w:rFonts w:eastAsia="Times New Roman"/>
          <w:b/>
          <w:bCs/>
          <w:i/>
          <w:iCs/>
          <w:color w:val="000000"/>
          <w:sz w:val="20"/>
          <w:szCs w:val="20"/>
        </w:rPr>
        <w:t>Acquisition of Alizé</w:t>
      </w:r>
    </w:p>
    <w:p w:rsidR="00000000" w:rsidRDefault="00DA1786">
      <w:pPr>
        <w:jc w:val="both"/>
        <w:divId w:val="1891191600"/>
        <w:rPr>
          <w:rFonts w:eastAsia="Times New Roman"/>
        </w:rPr>
      </w:pPr>
      <w:r>
        <w:rPr>
          <w:rFonts w:eastAsia="Times New Roman"/>
          <w:color w:val="000000"/>
          <w:sz w:val="20"/>
          <w:szCs w:val="20"/>
        </w:rPr>
        <w:t>In December 2017, Private Millendo entered into agreements to acquire 100% of the outstanding ownership interests of Alizé, a privately held biotechnology company based in Lyon, France focused on the development of a treatment for pati</w:t>
      </w:r>
      <w:r>
        <w:rPr>
          <w:rFonts w:eastAsia="Times New Roman"/>
          <w:color w:val="000000"/>
          <w:sz w:val="20"/>
          <w:szCs w:val="20"/>
        </w:rPr>
        <w:t>ents with PWS, through its lead product candidate, livoletide.</w:t>
      </w:r>
    </w:p>
    <w:p w:rsidR="00000000" w:rsidRDefault="00DA1786">
      <w:pPr>
        <w:jc w:val="both"/>
        <w:divId w:val="2080251867"/>
        <w:rPr>
          <w:rFonts w:eastAsia="Times New Roman"/>
        </w:rPr>
      </w:pPr>
      <w:r>
        <w:rPr>
          <w:rFonts w:eastAsia="Times New Roman"/>
          <w:color w:val="000000"/>
          <w:sz w:val="20"/>
          <w:szCs w:val="20"/>
        </w:rPr>
        <w:t>In December 2017, we acquired 83.6% of the issued and outstanding share capital of Alizé pursuant to a Share Sale and Contribution Agreement. The consideration included an upfront payment of $1</w:t>
      </w:r>
      <w:r>
        <w:rPr>
          <w:rFonts w:eastAsia="Times New Roman"/>
          <w:color w:val="000000"/>
          <w:sz w:val="20"/>
          <w:szCs w:val="20"/>
        </w:rPr>
        <w:t xml:space="preserve">.0 million, and the issuance of Private Millendo's Series A-1 preferred stock, Series B-1 preferred stock, and common-1 stock, which upon consummation of the OvaScience Merger were converted to shares of our common stock. In December 2018, we acquired the </w:t>
      </w:r>
      <w:r>
        <w:rPr>
          <w:rFonts w:eastAsia="Times New Roman"/>
          <w:color w:val="000000"/>
          <w:sz w:val="20"/>
          <w:szCs w:val="20"/>
        </w:rPr>
        <w:t>remaining 16.4% of Alizé's issued and outstanding share capital from Otonnale SAS, or Otonnale. The consideration included a cash payment of $0.8 million and the issuance of the 442,470 shares of our common stock.</w:t>
      </w:r>
    </w:p>
    <w:p w:rsidR="00000000" w:rsidRDefault="00DA1786">
      <w:pPr>
        <w:jc w:val="both"/>
        <w:divId w:val="482158576"/>
        <w:rPr>
          <w:rFonts w:eastAsia="Times New Roman"/>
        </w:rPr>
      </w:pPr>
      <w:r>
        <w:rPr>
          <w:rFonts w:eastAsia="Times New Roman"/>
          <w:color w:val="000000"/>
          <w:sz w:val="20"/>
          <w:szCs w:val="20"/>
        </w:rPr>
        <w:t xml:space="preserve">The Share and Contribution Agreement with </w:t>
      </w:r>
      <w:r>
        <w:rPr>
          <w:rFonts w:eastAsia="Times New Roman"/>
          <w:color w:val="000000"/>
          <w:sz w:val="20"/>
          <w:szCs w:val="20"/>
        </w:rPr>
        <w:t>Alizé was accounted for as an asset acquisition as substantially all of the fair value of the gross assets acquired was concentrated in the livoletide development program. The $63.8 million in estimated fair value allocated to livoletide was expensed, as w</w:t>
      </w:r>
      <w:r>
        <w:rPr>
          <w:rFonts w:eastAsia="Times New Roman"/>
          <w:color w:val="000000"/>
          <w:sz w:val="20"/>
          <w:szCs w:val="20"/>
        </w:rPr>
        <w:t>e determined the asset has no alternative future use. The total consideration given, net of cash acquired was $63.1 million. The assets acquired and liabilities assumed as of the acquisition date were $65.3 million and $2.2 million, respectively, for net a</w:t>
      </w:r>
      <w:r>
        <w:rPr>
          <w:rFonts w:eastAsia="Times New Roman"/>
          <w:color w:val="000000"/>
          <w:sz w:val="20"/>
          <w:szCs w:val="20"/>
        </w:rPr>
        <w:t>ssets acquired of $63.1 million.</w:t>
      </w:r>
    </w:p>
    <w:p w:rsidR="00000000" w:rsidRDefault="00DA1786">
      <w:pPr>
        <w:divId w:val="870459834"/>
        <w:rPr>
          <w:rFonts w:eastAsia="Times New Roman"/>
        </w:rPr>
      </w:pPr>
      <w:r>
        <w:rPr>
          <w:rFonts w:eastAsia="Times New Roman"/>
          <w:b/>
          <w:bCs/>
          <w:color w:val="000000"/>
          <w:sz w:val="20"/>
          <w:szCs w:val="20"/>
        </w:rPr>
        <w:t>Components of Results of Operations</w:t>
      </w:r>
    </w:p>
    <w:p w:rsidR="00000000" w:rsidRDefault="00DA1786">
      <w:pPr>
        <w:jc w:val="both"/>
        <w:divId w:val="1444109833"/>
        <w:rPr>
          <w:rFonts w:eastAsia="Times New Roman"/>
        </w:rPr>
      </w:pPr>
      <w:r>
        <w:rPr>
          <w:rFonts w:eastAsia="Times New Roman"/>
          <w:b/>
          <w:bCs/>
          <w:i/>
          <w:iCs/>
          <w:color w:val="000000"/>
          <w:sz w:val="20"/>
          <w:szCs w:val="20"/>
        </w:rPr>
        <w:t>Research and development expense</w:t>
      </w:r>
    </w:p>
    <w:p w:rsidR="00000000" w:rsidRDefault="00DA1786">
      <w:pPr>
        <w:jc w:val="both"/>
        <w:divId w:val="417212624"/>
        <w:rPr>
          <w:rFonts w:eastAsia="Times New Roman"/>
        </w:rPr>
      </w:pPr>
      <w:r>
        <w:rPr>
          <w:rFonts w:eastAsia="Times New Roman"/>
          <w:color w:val="000000"/>
          <w:sz w:val="20"/>
          <w:szCs w:val="20"/>
        </w:rPr>
        <w:t>Research and development expense consists primarily of costs incurred in connection with the development of our product candidates. We expense research an</w:t>
      </w:r>
      <w:r>
        <w:rPr>
          <w:rFonts w:eastAsia="Times New Roman"/>
          <w:color w:val="000000"/>
          <w:sz w:val="20"/>
          <w:szCs w:val="20"/>
        </w:rPr>
        <w:t>d development costs as incurred. These expenses include:</w:t>
      </w:r>
    </w:p>
    <w:p w:rsidR="00000000" w:rsidRDefault="00DA1786">
      <w:pPr>
        <w:ind w:hanging="360"/>
        <w:jc w:val="both"/>
        <w:divId w:val="1102144534"/>
        <w:rPr>
          <w:rFonts w:eastAsia="Times New Roman"/>
        </w:rPr>
      </w:pPr>
      <w:r>
        <w:rPr>
          <w:rFonts w:eastAsia="Times New Roman"/>
          <w:color w:val="000000"/>
          <w:sz w:val="20"/>
          <w:szCs w:val="20"/>
        </w:rPr>
        <w:t>•personnel expenses, including salaries, benefits and stock-based compensation expense;</w:t>
      </w:r>
    </w:p>
    <w:p w:rsidR="00000000" w:rsidRDefault="00DA1786">
      <w:pPr>
        <w:ind w:hanging="360"/>
        <w:jc w:val="both"/>
        <w:divId w:val="995493041"/>
        <w:rPr>
          <w:rFonts w:eastAsia="Times New Roman"/>
        </w:rPr>
      </w:pPr>
      <w:r>
        <w:rPr>
          <w:rFonts w:eastAsia="Times New Roman"/>
          <w:color w:val="000000"/>
          <w:sz w:val="20"/>
          <w:szCs w:val="20"/>
        </w:rPr>
        <w:t xml:space="preserve">•costs of funding research performed by third-parties, including pursuant to agreements with contract research </w:t>
      </w:r>
      <w:r>
        <w:rPr>
          <w:rFonts w:eastAsia="Times New Roman"/>
          <w:color w:val="000000"/>
          <w:sz w:val="20"/>
          <w:szCs w:val="20"/>
        </w:rPr>
        <w:t>organizations, (“CROs”), as well as investigative sites and consultants that conduct our preclinical studies and clinical trials;</w:t>
      </w:r>
    </w:p>
    <w:p w:rsidR="00000000" w:rsidRDefault="00DA1786">
      <w:pPr>
        <w:ind w:hanging="360"/>
        <w:jc w:val="both"/>
        <w:divId w:val="2094088468"/>
        <w:rPr>
          <w:rFonts w:eastAsia="Times New Roman"/>
        </w:rPr>
      </w:pPr>
      <w:r>
        <w:rPr>
          <w:rFonts w:eastAsia="Times New Roman"/>
          <w:color w:val="000000"/>
          <w:sz w:val="20"/>
          <w:szCs w:val="20"/>
        </w:rPr>
        <w:t>•expenses incurred under agreements with contract manufacturing organizations (“CMOs”), including manufacturing scale-up expen</w:t>
      </w:r>
      <w:r>
        <w:rPr>
          <w:rFonts w:eastAsia="Times New Roman"/>
          <w:color w:val="000000"/>
          <w:sz w:val="20"/>
          <w:szCs w:val="20"/>
        </w:rPr>
        <w:t>ses and the cost of acquiring and manufacturing preclinical study and clinical trial materials;</w:t>
      </w:r>
    </w:p>
    <w:p w:rsidR="00000000" w:rsidRDefault="00DA1786">
      <w:pPr>
        <w:ind w:hanging="360"/>
        <w:jc w:val="both"/>
        <w:divId w:val="1150367885"/>
        <w:rPr>
          <w:rFonts w:eastAsia="Times New Roman"/>
        </w:rPr>
      </w:pPr>
      <w:r>
        <w:rPr>
          <w:rFonts w:eastAsia="Times New Roman"/>
          <w:color w:val="000000"/>
          <w:sz w:val="20"/>
          <w:szCs w:val="20"/>
        </w:rPr>
        <w:t>•payments made under our third-party licensing agreements;</w:t>
      </w:r>
    </w:p>
    <w:p w:rsidR="00000000" w:rsidRDefault="00DA1786">
      <w:pPr>
        <w:ind w:hanging="360"/>
        <w:jc w:val="both"/>
        <w:divId w:val="616908648"/>
        <w:rPr>
          <w:rFonts w:eastAsia="Times New Roman"/>
        </w:rPr>
      </w:pPr>
      <w:r>
        <w:rPr>
          <w:rFonts w:eastAsia="Times New Roman"/>
          <w:color w:val="000000"/>
          <w:sz w:val="20"/>
          <w:szCs w:val="20"/>
        </w:rPr>
        <w:t>•consultant fees and expenses associated with outsourced professional scientific development services</w:t>
      </w:r>
      <w:r>
        <w:rPr>
          <w:rFonts w:eastAsia="Times New Roman"/>
          <w:color w:val="000000"/>
          <w:sz w:val="20"/>
          <w:szCs w:val="20"/>
        </w:rPr>
        <w:t>;</w:t>
      </w:r>
    </w:p>
    <w:p w:rsidR="00000000" w:rsidRDefault="00DA1786">
      <w:pPr>
        <w:ind w:hanging="360"/>
        <w:jc w:val="both"/>
        <w:divId w:val="19742324"/>
        <w:rPr>
          <w:rFonts w:eastAsia="Times New Roman"/>
        </w:rPr>
      </w:pPr>
      <w:r>
        <w:rPr>
          <w:rFonts w:eastAsia="Times New Roman"/>
          <w:color w:val="000000"/>
          <w:sz w:val="20"/>
          <w:szCs w:val="20"/>
        </w:rPr>
        <w:t>•expenses for regulatory activities, including filing fees paid to regulatory agencies; and</w:t>
      </w:r>
    </w:p>
    <w:p w:rsidR="00000000" w:rsidRDefault="00DA1786">
      <w:pPr>
        <w:ind w:hanging="360"/>
        <w:jc w:val="both"/>
        <w:divId w:val="110780453"/>
        <w:rPr>
          <w:rFonts w:eastAsia="Times New Roman"/>
        </w:rPr>
      </w:pPr>
      <w:r>
        <w:rPr>
          <w:rFonts w:eastAsia="Times New Roman"/>
          <w:color w:val="000000"/>
          <w:sz w:val="20"/>
          <w:szCs w:val="20"/>
        </w:rPr>
        <w:t>•allocated expenses for facility costs, including rent, utilities, depreciation and maintenance.</w:t>
      </w:r>
    </w:p>
    <w:p w:rsidR="00000000" w:rsidRDefault="00DA1786">
      <w:pPr>
        <w:ind w:firstLine="720"/>
        <w:jc w:val="center"/>
        <w:divId w:val="412705537"/>
        <w:rPr>
          <w:rFonts w:eastAsia="Times New Roman"/>
        </w:rPr>
      </w:pPr>
      <w:r>
        <w:rPr>
          <w:rFonts w:eastAsia="Times New Roman"/>
          <w:color w:val="000000"/>
          <w:sz w:val="20"/>
          <w:szCs w:val="20"/>
        </w:rPr>
        <w:t>45</w:t>
      </w:r>
    </w:p>
    <w:p w:rsidR="00000000" w:rsidRDefault="00DA1786">
      <w:pPr>
        <w:rPr>
          <w:rFonts w:eastAsia="Times New Roman"/>
        </w:rPr>
      </w:pPr>
      <w:r>
        <w:rPr>
          <w:rFonts w:eastAsia="Times New Roman"/>
        </w:rPr>
        <w:pict>
          <v:rect id="_x0000_i1070" style="width:0;height:1.5pt" o:hralign="center" o:hrstd="t" o:hr="t" fillcolor="#a0a0a0" stroked="f"/>
        </w:pict>
      </w:r>
    </w:p>
    <w:p w:rsidR="00000000" w:rsidRDefault="00DA1786">
      <w:pPr>
        <w:divId w:val="1391003791"/>
        <w:rPr>
          <w:rFonts w:eastAsia="Times New Roman"/>
        </w:rPr>
      </w:pPr>
    </w:p>
    <w:p w:rsidR="00000000" w:rsidRDefault="00DA1786">
      <w:pPr>
        <w:jc w:val="both"/>
        <w:divId w:val="710501295"/>
        <w:rPr>
          <w:rFonts w:eastAsia="Times New Roman"/>
        </w:rPr>
      </w:pPr>
      <w:r>
        <w:rPr>
          <w:rFonts w:eastAsia="Times New Roman"/>
          <w:color w:val="000000"/>
          <w:sz w:val="20"/>
          <w:szCs w:val="20"/>
        </w:rPr>
        <w:t>Milestone payment obliga</w:t>
      </w:r>
      <w:r>
        <w:rPr>
          <w:rFonts w:eastAsia="Times New Roman"/>
          <w:color w:val="000000"/>
          <w:sz w:val="20"/>
          <w:szCs w:val="20"/>
        </w:rPr>
        <w:t>tions incurred prior to regulatory approval of a product candidate, which are accrued when the event requiring payment of the milestone occurs are included in research and development expense.</w:t>
      </w:r>
    </w:p>
    <w:p w:rsidR="00000000" w:rsidRDefault="00DA1786">
      <w:pPr>
        <w:jc w:val="both"/>
        <w:divId w:val="1673029360"/>
        <w:rPr>
          <w:rFonts w:eastAsia="Times New Roman"/>
        </w:rPr>
      </w:pPr>
      <w:r>
        <w:rPr>
          <w:rFonts w:eastAsia="Times New Roman"/>
          <w:color w:val="000000"/>
          <w:sz w:val="20"/>
          <w:szCs w:val="20"/>
        </w:rPr>
        <w:t>We typically use our employee, consultant and infrastructure re</w:t>
      </w:r>
      <w:r>
        <w:rPr>
          <w:rFonts w:eastAsia="Times New Roman"/>
          <w:color w:val="000000"/>
          <w:sz w:val="20"/>
          <w:szCs w:val="20"/>
        </w:rPr>
        <w:t>sources across our development programs. We track certain outsourced development costs by product candidate, but do not allocate all personnel costs or other internal costs to specific product candidates.</w:t>
      </w:r>
    </w:p>
    <w:p w:rsidR="00000000" w:rsidRDefault="00DA1786">
      <w:pPr>
        <w:jc w:val="both"/>
        <w:divId w:val="510224888"/>
        <w:rPr>
          <w:rFonts w:eastAsia="Times New Roman"/>
        </w:rPr>
      </w:pPr>
      <w:r>
        <w:rPr>
          <w:rFonts w:eastAsia="Times New Roman"/>
          <w:color w:val="000000"/>
          <w:sz w:val="20"/>
          <w:szCs w:val="20"/>
        </w:rPr>
        <w:t>The following table summarizes our research and development expenses by product candidate, personnel expense and other expenses for the years ended December 31, 2020 and 2019, respectively:</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7"/>
        <w:gridCol w:w="120"/>
        <w:gridCol w:w="837"/>
        <w:gridCol w:w="36"/>
        <w:gridCol w:w="36"/>
        <w:gridCol w:w="36"/>
        <w:gridCol w:w="36"/>
        <w:gridCol w:w="120"/>
        <w:gridCol w:w="802"/>
        <w:gridCol w:w="36"/>
      </w:tblGrid>
      <w:tr w:rsidR="00000000">
        <w:trPr>
          <w:divId w:val="1452282581"/>
        </w:trPr>
        <w:tc>
          <w:tcPr>
            <w:tcW w:w="50" w:type="pct"/>
            <w:vAlign w:val="center"/>
            <w:hideMark/>
          </w:tcPr>
          <w:p w:rsidR="00000000" w:rsidRDefault="00DA1786">
            <w:pPr>
              <w:jc w:val="both"/>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452282581"/>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w:t>
            </w:r>
          </w:p>
          <w:p w:rsidR="00000000" w:rsidRDefault="00DA1786">
            <w:pPr>
              <w:jc w:val="center"/>
              <w:rPr>
                <w:rFonts w:eastAsia="Times New Roman"/>
              </w:rPr>
            </w:pPr>
            <w:r>
              <w:rPr>
                <w:rFonts w:eastAsia="Times New Roman"/>
                <w:b/>
                <w:bCs/>
                <w:color w:val="000000"/>
                <w:sz w:val="16"/>
                <w:szCs w:val="16"/>
              </w:rPr>
              <w:t>December 31,</w:t>
            </w:r>
          </w:p>
        </w:tc>
      </w:tr>
      <w:tr w:rsidR="00000000">
        <w:trPr>
          <w:divId w:val="1452282581"/>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1452282581"/>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(in thousands)</w:t>
            </w:r>
          </w:p>
        </w:tc>
      </w:tr>
      <w:tr w:rsidR="00000000">
        <w:trPr>
          <w:divId w:val="1452282581"/>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Livoletide expenses</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8,086 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14,702 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52282581"/>
        </w:trPr>
        <w:tc>
          <w:tcPr>
            <w:tcW w:w="0" w:type="auto"/>
            <w:gridSpan w:val="3"/>
            <w:shd w:val="clear" w:color="auto" w:fill="FFFF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Nevanimibe expenses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965 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2,899 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52282581"/>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MLE-301 expenses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5,211 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2,723 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52282581"/>
        </w:trPr>
        <w:tc>
          <w:tcPr>
            <w:tcW w:w="0" w:type="auto"/>
            <w:gridSpan w:val="3"/>
            <w:shd w:val="clear" w:color="auto" w:fill="FFFF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Personnel expenses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5,501 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6,559 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52282581"/>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Other expenses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960 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52282581"/>
        </w:trPr>
        <w:tc>
          <w:tcPr>
            <w:tcW w:w="0" w:type="auto"/>
            <w:gridSpan w:val="3"/>
            <w:shd w:val="clear" w:color="auto" w:fill="FFFF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20,374 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27,843 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both"/>
        <w:divId w:val="1895776555"/>
        <w:rPr>
          <w:rFonts w:eastAsia="Times New Roman"/>
        </w:rPr>
      </w:pPr>
      <w:r>
        <w:rPr>
          <w:rFonts w:eastAsia="Times New Roman"/>
          <w:color w:val="000000"/>
          <w:sz w:val="20"/>
          <w:szCs w:val="20"/>
        </w:rPr>
        <w:t xml:space="preserve">Our research and development costs related to livoletide and nevanimibe have decreased significantly due to our decision to discontinue the livoletide and nevanimibe programs based on results from the Phase 2b ZEPHYR study in PWS and the Phase 2b clinical </w:t>
      </w:r>
      <w:r>
        <w:rPr>
          <w:rFonts w:eastAsia="Times New Roman"/>
          <w:color w:val="000000"/>
          <w:sz w:val="20"/>
          <w:szCs w:val="20"/>
        </w:rPr>
        <w:t>study in CAH, respectively. All costs, including estimated program closeout costs associated with these programs, were primarily recognized during the second quarter of 2020. Any revisions to estimated program closeout costs have been recognized as of Dece</w:t>
      </w:r>
      <w:r>
        <w:rPr>
          <w:rFonts w:eastAsia="Times New Roman"/>
          <w:color w:val="000000"/>
          <w:sz w:val="20"/>
          <w:szCs w:val="20"/>
        </w:rPr>
        <w:t>mber 31, 2020. Future expenses may be recorded as a result of changes to these estimated costs as closeout activities continue. Our research and development costs related to MLE-301 increased significantly due to preclinical studies and clinical trials dur</w:t>
      </w:r>
      <w:r>
        <w:rPr>
          <w:rFonts w:eastAsia="Times New Roman"/>
          <w:color w:val="000000"/>
          <w:sz w:val="20"/>
          <w:szCs w:val="20"/>
        </w:rPr>
        <w:t xml:space="preserve">ing 2020, however, we expect future costs to decrease significantly due to our decision in January 2021 to discontinue the MLE-301 program based on the data from the single ascending dose portion of the Phase 1 study. </w:t>
      </w:r>
    </w:p>
    <w:p w:rsidR="00000000" w:rsidRDefault="00DA1786">
      <w:pPr>
        <w:jc w:val="both"/>
        <w:divId w:val="918637445"/>
        <w:rPr>
          <w:rFonts w:eastAsia="Times New Roman"/>
        </w:rPr>
      </w:pPr>
      <w:r>
        <w:rPr>
          <w:rFonts w:eastAsia="Times New Roman"/>
          <w:color w:val="000000"/>
          <w:sz w:val="20"/>
          <w:szCs w:val="20"/>
        </w:rPr>
        <w:t>If we decide to resume product candid</w:t>
      </w:r>
      <w:r>
        <w:rPr>
          <w:rFonts w:eastAsia="Times New Roman"/>
          <w:color w:val="000000"/>
          <w:sz w:val="20"/>
          <w:szCs w:val="20"/>
        </w:rPr>
        <w:t>ate development, the successful development of any future product candidates would be highly uncertain. We are also unable to predict when, if ever, material net cash inflows would commence from sales of any future product candidates that we may develop du</w:t>
      </w:r>
      <w:r>
        <w:rPr>
          <w:rFonts w:eastAsia="Times New Roman"/>
          <w:color w:val="000000"/>
          <w:sz w:val="20"/>
          <w:szCs w:val="20"/>
        </w:rPr>
        <w:t>e to the numerous risks and uncertainties associated with clinical development, including risks and uncertainties related to:</w:t>
      </w:r>
    </w:p>
    <w:p w:rsidR="00000000" w:rsidRDefault="00DA1786">
      <w:pPr>
        <w:ind w:hanging="360"/>
        <w:jc w:val="both"/>
        <w:divId w:val="1554459528"/>
        <w:rPr>
          <w:rFonts w:eastAsia="Times New Roman"/>
        </w:rPr>
      </w:pPr>
      <w:r>
        <w:rPr>
          <w:rFonts w:eastAsia="Times New Roman"/>
          <w:color w:val="000000"/>
          <w:sz w:val="20"/>
          <w:szCs w:val="20"/>
        </w:rPr>
        <w:t>•</w:t>
      </w:r>
      <w:r>
        <w:rPr>
          <w:rFonts w:eastAsia="Times New Roman"/>
          <w:color w:val="000000"/>
          <w:sz w:val="20"/>
          <w:szCs w:val="20"/>
        </w:rPr>
        <w:t>the ongoing COVID-19 pandemic, including the potential impact on various aspects and stages of the clinical development process;</w:t>
      </w:r>
    </w:p>
    <w:p w:rsidR="00000000" w:rsidRDefault="00DA1786">
      <w:pPr>
        <w:ind w:hanging="360"/>
        <w:jc w:val="both"/>
        <w:divId w:val="414279033"/>
        <w:rPr>
          <w:rFonts w:eastAsia="Times New Roman"/>
        </w:rPr>
      </w:pPr>
      <w:r>
        <w:rPr>
          <w:rFonts w:eastAsia="Times New Roman"/>
          <w:color w:val="000000"/>
          <w:sz w:val="20"/>
          <w:szCs w:val="20"/>
        </w:rPr>
        <w:t>•the number of clinical sites included in the trials;</w:t>
      </w:r>
    </w:p>
    <w:p w:rsidR="00000000" w:rsidRDefault="00DA1786">
      <w:pPr>
        <w:ind w:hanging="360"/>
        <w:jc w:val="both"/>
        <w:divId w:val="66349197"/>
        <w:rPr>
          <w:rFonts w:eastAsia="Times New Roman"/>
        </w:rPr>
      </w:pPr>
      <w:r>
        <w:rPr>
          <w:rFonts w:eastAsia="Times New Roman"/>
          <w:color w:val="000000"/>
          <w:sz w:val="20"/>
          <w:szCs w:val="20"/>
        </w:rPr>
        <w:t>•the length of time required to enroll suitable patients;</w:t>
      </w:r>
    </w:p>
    <w:p w:rsidR="00000000" w:rsidRDefault="00DA1786">
      <w:pPr>
        <w:ind w:hanging="360"/>
        <w:jc w:val="both"/>
        <w:divId w:val="404953924"/>
        <w:rPr>
          <w:rFonts w:eastAsia="Times New Roman"/>
        </w:rPr>
      </w:pPr>
      <w:r>
        <w:rPr>
          <w:rFonts w:eastAsia="Times New Roman"/>
          <w:color w:val="000000"/>
          <w:sz w:val="20"/>
          <w:szCs w:val="20"/>
        </w:rPr>
        <w:t xml:space="preserve">•the number of </w:t>
      </w:r>
      <w:r>
        <w:rPr>
          <w:rFonts w:eastAsia="Times New Roman"/>
          <w:color w:val="000000"/>
          <w:sz w:val="20"/>
          <w:szCs w:val="20"/>
        </w:rPr>
        <w:t>patients that ultimately participate in the trials;</w:t>
      </w:r>
    </w:p>
    <w:p w:rsidR="00000000" w:rsidRDefault="00DA1786">
      <w:pPr>
        <w:ind w:hanging="360"/>
        <w:jc w:val="both"/>
        <w:divId w:val="126628704"/>
        <w:rPr>
          <w:rFonts w:eastAsia="Times New Roman"/>
        </w:rPr>
      </w:pPr>
      <w:r>
        <w:rPr>
          <w:rFonts w:eastAsia="Times New Roman"/>
          <w:color w:val="000000"/>
          <w:sz w:val="20"/>
          <w:szCs w:val="20"/>
        </w:rPr>
        <w:t>•the number of doses patients receive;</w:t>
      </w:r>
    </w:p>
    <w:p w:rsidR="00000000" w:rsidRDefault="00DA1786">
      <w:pPr>
        <w:ind w:hanging="360"/>
        <w:jc w:val="both"/>
        <w:divId w:val="244192860"/>
        <w:rPr>
          <w:rFonts w:eastAsia="Times New Roman"/>
        </w:rPr>
      </w:pPr>
      <w:r>
        <w:rPr>
          <w:rFonts w:eastAsia="Times New Roman"/>
          <w:color w:val="000000"/>
          <w:sz w:val="20"/>
          <w:szCs w:val="20"/>
        </w:rPr>
        <w:t>•the duration of patient follow-up and number of patient visits;</w:t>
      </w:r>
    </w:p>
    <w:p w:rsidR="00000000" w:rsidRDefault="00DA1786">
      <w:pPr>
        <w:ind w:hanging="360"/>
        <w:jc w:val="both"/>
        <w:divId w:val="1135412792"/>
        <w:rPr>
          <w:rFonts w:eastAsia="Times New Roman"/>
        </w:rPr>
      </w:pPr>
      <w:r>
        <w:rPr>
          <w:rFonts w:eastAsia="Times New Roman"/>
          <w:color w:val="000000"/>
          <w:sz w:val="20"/>
          <w:szCs w:val="20"/>
        </w:rPr>
        <w:t>•the results of our clinical trials;</w:t>
      </w:r>
    </w:p>
    <w:p w:rsidR="00000000" w:rsidRDefault="00DA1786">
      <w:pPr>
        <w:ind w:hanging="360"/>
        <w:jc w:val="both"/>
        <w:divId w:val="659193654"/>
        <w:rPr>
          <w:rFonts w:eastAsia="Times New Roman"/>
        </w:rPr>
      </w:pPr>
      <w:r>
        <w:rPr>
          <w:rFonts w:eastAsia="Times New Roman"/>
          <w:color w:val="000000"/>
          <w:sz w:val="20"/>
          <w:szCs w:val="20"/>
        </w:rPr>
        <w:t>•the establishment of commercial manufacturing capabilities;</w:t>
      </w:r>
    </w:p>
    <w:p w:rsidR="00000000" w:rsidRDefault="00DA1786">
      <w:pPr>
        <w:ind w:hanging="360"/>
        <w:jc w:val="both"/>
        <w:divId w:val="1952931397"/>
        <w:rPr>
          <w:rFonts w:eastAsia="Times New Roman"/>
        </w:rPr>
      </w:pPr>
      <w:r>
        <w:rPr>
          <w:rFonts w:eastAsia="Times New Roman"/>
          <w:color w:val="000000"/>
          <w:sz w:val="20"/>
          <w:szCs w:val="20"/>
        </w:rPr>
        <w:t>•t</w:t>
      </w:r>
      <w:r>
        <w:rPr>
          <w:rFonts w:eastAsia="Times New Roman"/>
          <w:color w:val="000000"/>
          <w:sz w:val="20"/>
          <w:szCs w:val="20"/>
        </w:rPr>
        <w:t>he receipt of marketing approvals; and</w:t>
      </w:r>
    </w:p>
    <w:p w:rsidR="00000000" w:rsidRDefault="00DA1786">
      <w:pPr>
        <w:ind w:hanging="360"/>
        <w:jc w:val="both"/>
        <w:divId w:val="456993217"/>
        <w:rPr>
          <w:rFonts w:eastAsia="Times New Roman"/>
        </w:rPr>
      </w:pPr>
      <w:r>
        <w:rPr>
          <w:rFonts w:eastAsia="Times New Roman"/>
          <w:color w:val="000000"/>
          <w:sz w:val="20"/>
          <w:szCs w:val="20"/>
        </w:rPr>
        <w:t>•the commercialization of product candidates.</w:t>
      </w:r>
    </w:p>
    <w:p w:rsidR="00000000" w:rsidRDefault="00DA1786">
      <w:pPr>
        <w:jc w:val="both"/>
        <w:divId w:val="1849051980"/>
        <w:rPr>
          <w:rFonts w:eastAsia="Times New Roman"/>
        </w:rPr>
      </w:pPr>
      <w:r>
        <w:rPr>
          <w:rFonts w:eastAsia="Times New Roman"/>
          <w:color w:val="000000"/>
          <w:sz w:val="20"/>
          <w:szCs w:val="20"/>
        </w:rPr>
        <w:t>We may never succeed in obtaining regulatory approval for any future product candidates we may develop.</w:t>
      </w:r>
    </w:p>
    <w:p w:rsidR="00000000" w:rsidRDefault="00DA1786">
      <w:pPr>
        <w:jc w:val="both"/>
        <w:divId w:val="1120294517"/>
        <w:rPr>
          <w:rFonts w:eastAsia="Times New Roman"/>
        </w:rPr>
      </w:pPr>
      <w:r>
        <w:rPr>
          <w:rFonts w:eastAsia="Times New Roman"/>
          <w:b/>
          <w:bCs/>
          <w:i/>
          <w:iCs/>
          <w:color w:val="000000"/>
          <w:sz w:val="20"/>
          <w:szCs w:val="20"/>
        </w:rPr>
        <w:t>General and administrative expense</w:t>
      </w:r>
    </w:p>
    <w:p w:rsidR="00000000" w:rsidRDefault="00DA1786">
      <w:pPr>
        <w:jc w:val="both"/>
        <w:divId w:val="1841771279"/>
        <w:rPr>
          <w:rFonts w:eastAsia="Times New Roman"/>
        </w:rPr>
      </w:pPr>
      <w:r>
        <w:rPr>
          <w:rFonts w:eastAsia="Times New Roman"/>
          <w:color w:val="000000"/>
          <w:sz w:val="20"/>
          <w:szCs w:val="20"/>
        </w:rPr>
        <w:t>General and administrative expen</w:t>
      </w:r>
      <w:r>
        <w:rPr>
          <w:rFonts w:eastAsia="Times New Roman"/>
          <w:color w:val="000000"/>
          <w:sz w:val="20"/>
          <w:szCs w:val="20"/>
        </w:rPr>
        <w:t>se consists primarily of personnel expenses, including salaries, benefits and stock-based compensation expense, for employees in executive, finance, accounting, business development, legal and human resource functions. General and administrative expense al</w:t>
      </w:r>
      <w:r>
        <w:rPr>
          <w:rFonts w:eastAsia="Times New Roman"/>
          <w:color w:val="000000"/>
          <w:sz w:val="20"/>
          <w:szCs w:val="20"/>
        </w:rPr>
        <w:t xml:space="preserve">so includes corporate facility costs, including rent, utilities, depreciation and </w:t>
      </w:r>
    </w:p>
    <w:p w:rsidR="00000000" w:rsidRDefault="00DA1786">
      <w:pPr>
        <w:ind w:firstLine="720"/>
        <w:jc w:val="center"/>
        <w:divId w:val="1450274588"/>
        <w:rPr>
          <w:rFonts w:eastAsia="Times New Roman"/>
        </w:rPr>
      </w:pPr>
      <w:r>
        <w:rPr>
          <w:rFonts w:eastAsia="Times New Roman"/>
          <w:color w:val="000000"/>
          <w:sz w:val="20"/>
          <w:szCs w:val="20"/>
        </w:rPr>
        <w:t>46</w:t>
      </w:r>
    </w:p>
    <w:p w:rsidR="00000000" w:rsidRDefault="00DA1786">
      <w:pPr>
        <w:rPr>
          <w:rFonts w:eastAsia="Times New Roman"/>
        </w:rPr>
      </w:pPr>
      <w:r>
        <w:rPr>
          <w:rFonts w:eastAsia="Times New Roman"/>
        </w:rPr>
        <w:pict>
          <v:rect id="_x0000_i1071" style="width:0;height:1.5pt" o:hralign="center" o:hrstd="t" o:hr="t" fillcolor="#a0a0a0" stroked="f"/>
        </w:pict>
      </w:r>
    </w:p>
    <w:p w:rsidR="00000000" w:rsidRDefault="00DA1786">
      <w:pPr>
        <w:divId w:val="1969555259"/>
        <w:rPr>
          <w:rFonts w:eastAsia="Times New Roman"/>
        </w:rPr>
      </w:pPr>
    </w:p>
    <w:p w:rsidR="00000000" w:rsidRDefault="00DA1786">
      <w:pPr>
        <w:jc w:val="both"/>
        <w:divId w:val="216011311"/>
        <w:rPr>
          <w:rFonts w:eastAsia="Times New Roman"/>
        </w:rPr>
      </w:pPr>
      <w:r>
        <w:rPr>
          <w:rFonts w:eastAsia="Times New Roman"/>
          <w:color w:val="000000"/>
          <w:sz w:val="20"/>
          <w:szCs w:val="20"/>
        </w:rPr>
        <w:t xml:space="preserve">maintenance, not otherwise included in research and development expense, as well as legal fees related to intellectual property and </w:t>
      </w:r>
      <w:r>
        <w:rPr>
          <w:rFonts w:eastAsia="Times New Roman"/>
          <w:color w:val="000000"/>
          <w:sz w:val="20"/>
          <w:szCs w:val="20"/>
        </w:rPr>
        <w:t>corporate matters and fees for accounting, recruiting and consulting services. We expect our general and administrative expenses to increase during the first half of 2021 due to our corporate restructuring plan and the proposed Merger.</w:t>
      </w:r>
    </w:p>
    <w:p w:rsidR="00000000" w:rsidRDefault="00DA1786">
      <w:pPr>
        <w:jc w:val="both"/>
        <w:divId w:val="827358713"/>
        <w:rPr>
          <w:rFonts w:eastAsia="Times New Roman"/>
        </w:rPr>
      </w:pPr>
      <w:r>
        <w:rPr>
          <w:rFonts w:eastAsia="Times New Roman"/>
          <w:b/>
          <w:bCs/>
          <w:i/>
          <w:iCs/>
          <w:color w:val="000000"/>
          <w:sz w:val="20"/>
          <w:szCs w:val="20"/>
        </w:rPr>
        <w:t>Interest income, net</w:t>
      </w:r>
    </w:p>
    <w:p w:rsidR="00000000" w:rsidRDefault="00DA1786">
      <w:pPr>
        <w:jc w:val="both"/>
        <w:divId w:val="1766422102"/>
        <w:rPr>
          <w:rFonts w:eastAsia="Times New Roman"/>
        </w:rPr>
      </w:pPr>
      <w:r>
        <w:rPr>
          <w:rFonts w:eastAsia="Times New Roman"/>
          <w:color w:val="000000"/>
          <w:sz w:val="20"/>
          <w:szCs w:val="20"/>
        </w:rPr>
        <w:t>Interest income represents amounts earned on our cash, cash equivalents and restricted cash balances.</w:t>
      </w:r>
    </w:p>
    <w:p w:rsidR="00000000" w:rsidRDefault="00DA1786">
      <w:pPr>
        <w:jc w:val="both"/>
        <w:divId w:val="1809130557"/>
        <w:rPr>
          <w:rFonts w:eastAsia="Times New Roman"/>
        </w:rPr>
      </w:pPr>
      <w:r>
        <w:rPr>
          <w:rFonts w:eastAsia="Times New Roman"/>
          <w:b/>
          <w:bCs/>
          <w:i/>
          <w:iCs/>
          <w:color w:val="000000"/>
          <w:sz w:val="20"/>
          <w:szCs w:val="20"/>
        </w:rPr>
        <w:t>Results of operations</w:t>
      </w:r>
    </w:p>
    <w:p w:rsidR="00000000" w:rsidRDefault="00DA1786">
      <w:pPr>
        <w:divId w:val="1012027902"/>
        <w:rPr>
          <w:rFonts w:eastAsia="Times New Roman"/>
        </w:rPr>
      </w:pPr>
      <w:r>
        <w:rPr>
          <w:rFonts w:eastAsia="Times New Roman"/>
          <w:b/>
          <w:bCs/>
          <w:i/>
          <w:iCs/>
          <w:color w:val="000000"/>
          <w:sz w:val="20"/>
          <w:szCs w:val="20"/>
        </w:rPr>
        <w:t>Comparison of the years ended December 31, 2020 and 2019</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8"/>
        <w:gridCol w:w="120"/>
        <w:gridCol w:w="836"/>
        <w:gridCol w:w="36"/>
        <w:gridCol w:w="36"/>
        <w:gridCol w:w="36"/>
        <w:gridCol w:w="36"/>
        <w:gridCol w:w="120"/>
        <w:gridCol w:w="802"/>
        <w:gridCol w:w="36"/>
      </w:tblGrid>
      <w:tr w:rsidR="00000000">
        <w:trPr>
          <w:divId w:val="849686914"/>
        </w:trPr>
        <w:tc>
          <w:tcPr>
            <w:tcW w:w="50" w:type="pct"/>
            <w:vAlign w:val="center"/>
            <w:hideMark/>
          </w:tcPr>
          <w:p w:rsidR="00000000" w:rsidRDefault="00DA1786">
            <w:pPr>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849686914"/>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w:t>
            </w:r>
          </w:p>
          <w:p w:rsidR="00000000" w:rsidRDefault="00DA1786">
            <w:pPr>
              <w:jc w:val="center"/>
              <w:rPr>
                <w:rFonts w:eastAsia="Times New Roman"/>
              </w:rPr>
            </w:pPr>
            <w:r>
              <w:rPr>
                <w:rFonts w:eastAsia="Times New Roman"/>
                <w:b/>
                <w:bCs/>
                <w:color w:val="000000"/>
                <w:sz w:val="16"/>
                <w:szCs w:val="16"/>
              </w:rPr>
              <w:t>December 31,</w:t>
            </w:r>
          </w:p>
        </w:tc>
      </w:tr>
      <w:tr w:rsidR="00000000">
        <w:trPr>
          <w:divId w:val="849686914"/>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849686914"/>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(in thousands)</w:t>
            </w:r>
          </w:p>
        </w:tc>
      </w:tr>
      <w:tr w:rsidR="00000000">
        <w:trPr>
          <w:divId w:val="849686914"/>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849686914"/>
        </w:trPr>
        <w:tc>
          <w:tcPr>
            <w:tcW w:w="0" w:type="auto"/>
            <w:gridSpan w:val="3"/>
            <w:shd w:val="clear" w:color="auto" w:fill="FFFF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Research and development</w:t>
            </w: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20,374 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27,843 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849686914"/>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15,598 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17,556 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849686914"/>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849686914"/>
        </w:trPr>
        <w:tc>
          <w:tcPr>
            <w:tcW w:w="0" w:type="auto"/>
            <w:gridSpan w:val="3"/>
            <w:shd w:val="clear" w:color="auto" w:fill="FFFF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35,972 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45,399 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849686914"/>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Other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849686914"/>
        </w:trPr>
        <w:tc>
          <w:tcPr>
            <w:tcW w:w="0" w:type="auto"/>
            <w:gridSpan w:val="3"/>
            <w:shd w:val="clear" w:color="auto" w:fill="FFFF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Interest income, net</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849686914"/>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Other loss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589 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849686914"/>
        </w:trPr>
        <w:tc>
          <w:tcPr>
            <w:tcW w:w="0" w:type="auto"/>
            <w:gridSpan w:val="3"/>
            <w:shd w:val="clear" w:color="auto" w:fill="FFFF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36,406 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44,568 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divId w:val="1461530306"/>
        <w:rPr>
          <w:rFonts w:eastAsia="Times New Roman"/>
        </w:rPr>
      </w:pPr>
      <w:r>
        <w:rPr>
          <w:rFonts w:eastAsia="Times New Roman"/>
          <w:b/>
          <w:bCs/>
          <w:i/>
          <w:iCs/>
          <w:color w:val="000000"/>
          <w:sz w:val="20"/>
          <w:szCs w:val="20"/>
        </w:rPr>
        <w:t>Research and development expense</w:t>
      </w:r>
    </w:p>
    <w:p w:rsidR="00000000" w:rsidRDefault="00DA1786">
      <w:pPr>
        <w:jc w:val="both"/>
        <w:divId w:val="1534466380"/>
        <w:rPr>
          <w:rFonts w:eastAsia="Times New Roman"/>
        </w:rPr>
      </w:pPr>
      <w:r>
        <w:rPr>
          <w:rFonts w:eastAsia="Times New Roman"/>
          <w:color w:val="000000"/>
          <w:sz w:val="20"/>
          <w:szCs w:val="20"/>
        </w:rPr>
        <w:t>Research and development expense decreased by $7.5 million to $20.4 million for the year ended December 31, 2020 from $27.8 million for the year ended December 31, 2019. The following table summarizes our research and development expenses for the years end</w:t>
      </w:r>
      <w:r>
        <w:rPr>
          <w:rFonts w:eastAsia="Times New Roman"/>
          <w:color w:val="000000"/>
          <w:sz w:val="20"/>
          <w:szCs w:val="20"/>
        </w:rPr>
        <w:t>ed December 31, 2020 and 2019:</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7"/>
        <w:gridCol w:w="120"/>
        <w:gridCol w:w="837"/>
        <w:gridCol w:w="36"/>
        <w:gridCol w:w="36"/>
        <w:gridCol w:w="36"/>
        <w:gridCol w:w="36"/>
        <w:gridCol w:w="120"/>
        <w:gridCol w:w="802"/>
        <w:gridCol w:w="36"/>
      </w:tblGrid>
      <w:tr w:rsidR="00000000">
        <w:trPr>
          <w:divId w:val="1628117925"/>
        </w:trPr>
        <w:tc>
          <w:tcPr>
            <w:tcW w:w="50" w:type="pct"/>
            <w:vAlign w:val="center"/>
            <w:hideMark/>
          </w:tcPr>
          <w:p w:rsidR="00000000" w:rsidRDefault="00DA1786">
            <w:pPr>
              <w:jc w:val="both"/>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628117925"/>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 xml:space="preserve">Year Ended </w:t>
            </w:r>
          </w:p>
          <w:p w:rsidR="00000000" w:rsidRDefault="00DA1786">
            <w:pPr>
              <w:jc w:val="center"/>
              <w:rPr>
                <w:rFonts w:eastAsia="Times New Roman"/>
              </w:rPr>
            </w:pPr>
            <w:r>
              <w:rPr>
                <w:rFonts w:eastAsia="Times New Roman"/>
                <w:b/>
                <w:bCs/>
                <w:color w:val="000000"/>
                <w:sz w:val="16"/>
                <w:szCs w:val="16"/>
              </w:rPr>
              <w:t xml:space="preserve">December 31, </w:t>
            </w:r>
          </w:p>
        </w:tc>
      </w:tr>
      <w:tr w:rsidR="00000000">
        <w:trPr>
          <w:divId w:val="1628117925"/>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1628117925"/>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(in thousands)</w:t>
            </w:r>
          </w:p>
        </w:tc>
      </w:tr>
      <w:tr w:rsidR="00000000">
        <w:trPr>
          <w:divId w:val="1628117925"/>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Preclinical and clinical development expense</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14,262 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20,324 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28117925"/>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Compensation expense, other than stock-based compensation</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4,524 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5,260 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28117925"/>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977 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1,299 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28117925"/>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Other expenses</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611 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960 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28117925"/>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Total research and development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27,843 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divId w:val="151138318"/>
        <w:rPr>
          <w:rFonts w:eastAsia="Times New Roman"/>
        </w:rPr>
      </w:pPr>
      <w:r>
        <w:rPr>
          <w:rFonts w:eastAsia="Times New Roman"/>
          <w:color w:val="000000"/>
          <w:sz w:val="20"/>
          <w:szCs w:val="20"/>
        </w:rPr>
        <w:t>The increase in total research and development expense is attributable to:</w:t>
      </w:r>
    </w:p>
    <w:p w:rsidR="00000000" w:rsidRDefault="00DA1786">
      <w:pPr>
        <w:ind w:hanging="360"/>
        <w:jc w:val="both"/>
        <w:divId w:val="536160963"/>
        <w:rPr>
          <w:rFonts w:eastAsia="Times New Roman"/>
        </w:rPr>
      </w:pPr>
      <w:r>
        <w:rPr>
          <w:rFonts w:eastAsia="Times New Roman"/>
          <w:color w:val="000000"/>
          <w:sz w:val="20"/>
          <w:szCs w:val="20"/>
        </w:rPr>
        <w:t>•a $6.1 million decrease in preclinical and clinical development expense primarily related to decrease spend due to discontinuing our development of the livoletide and nevanimibe pr</w:t>
      </w:r>
      <w:r>
        <w:rPr>
          <w:rFonts w:eastAsia="Times New Roman"/>
          <w:color w:val="000000"/>
          <w:sz w:val="20"/>
          <w:szCs w:val="20"/>
        </w:rPr>
        <w:t>ograms offset by increased spend on MLE-301;</w:t>
      </w:r>
    </w:p>
    <w:p w:rsidR="00000000" w:rsidRDefault="00DA1786">
      <w:pPr>
        <w:ind w:hanging="360"/>
        <w:jc w:val="both"/>
        <w:divId w:val="14119668"/>
        <w:rPr>
          <w:rFonts w:eastAsia="Times New Roman"/>
        </w:rPr>
      </w:pPr>
      <w:r>
        <w:rPr>
          <w:rFonts w:eastAsia="Times New Roman"/>
          <w:color w:val="000000"/>
          <w:sz w:val="20"/>
          <w:szCs w:val="20"/>
        </w:rPr>
        <w:t>•</w:t>
      </w:r>
      <w:r>
        <w:rPr>
          <w:rFonts w:eastAsia="Times New Roman"/>
          <w:color w:val="000000"/>
          <w:sz w:val="20"/>
          <w:szCs w:val="20"/>
        </w:rPr>
        <w:t xml:space="preserve">a $1.1 million decrease in compensation and stock-based compensation expenses primarily due to the reduction in force completed in the second quarter of 2020, as a result of the discontinuance of our livoletide program; and </w:t>
      </w:r>
    </w:p>
    <w:p w:rsidR="00000000" w:rsidRDefault="00DA1786">
      <w:pPr>
        <w:ind w:hanging="360"/>
        <w:jc w:val="both"/>
        <w:divId w:val="570506068"/>
        <w:rPr>
          <w:rFonts w:eastAsia="Times New Roman"/>
        </w:rPr>
      </w:pPr>
      <w:r>
        <w:rPr>
          <w:rFonts w:eastAsia="Times New Roman"/>
          <w:color w:val="000000"/>
          <w:sz w:val="20"/>
          <w:szCs w:val="20"/>
        </w:rPr>
        <w:t>•a $0.3 million decrease in oth</w:t>
      </w:r>
      <w:r>
        <w:rPr>
          <w:rFonts w:eastAsia="Times New Roman"/>
          <w:color w:val="000000"/>
          <w:sz w:val="20"/>
          <w:szCs w:val="20"/>
        </w:rPr>
        <w:t>er expenses mainly related to a reduction in travel in connection with the COVID-19 pandemic and allocated overhead due to fewer research and development personnel.</w:t>
      </w:r>
    </w:p>
    <w:p w:rsidR="00000000" w:rsidRDefault="00DA1786">
      <w:pPr>
        <w:divId w:val="794182604"/>
        <w:rPr>
          <w:rFonts w:eastAsia="Times New Roman"/>
        </w:rPr>
      </w:pPr>
      <w:r>
        <w:rPr>
          <w:rFonts w:eastAsia="Times New Roman"/>
          <w:b/>
          <w:bCs/>
          <w:i/>
          <w:iCs/>
          <w:color w:val="000000"/>
          <w:sz w:val="20"/>
          <w:szCs w:val="20"/>
        </w:rPr>
        <w:t>General and administrative expense</w:t>
      </w:r>
    </w:p>
    <w:p w:rsidR="00000000" w:rsidRDefault="00DA1786">
      <w:pPr>
        <w:jc w:val="both"/>
        <w:divId w:val="2041778362"/>
        <w:rPr>
          <w:rFonts w:eastAsia="Times New Roman"/>
        </w:rPr>
      </w:pPr>
      <w:r>
        <w:rPr>
          <w:rFonts w:eastAsia="Times New Roman"/>
          <w:color w:val="000000"/>
          <w:sz w:val="20"/>
          <w:szCs w:val="20"/>
        </w:rPr>
        <w:t>General and administrative expense decreased by $2.0 mil</w:t>
      </w:r>
      <w:r>
        <w:rPr>
          <w:rFonts w:eastAsia="Times New Roman"/>
          <w:color w:val="000000"/>
          <w:sz w:val="20"/>
          <w:szCs w:val="20"/>
        </w:rPr>
        <w:t>lion to $15.6 million for the year ended December 31, 2020 from $17.6 million for the year ended December 31, 2019. The decrease was primarily due to lower professional fees and travel costs. Professional fees decreased $2.9 million mainly as a result of l</w:t>
      </w:r>
      <w:r>
        <w:rPr>
          <w:rFonts w:eastAsia="Times New Roman"/>
          <w:color w:val="000000"/>
          <w:sz w:val="20"/>
          <w:szCs w:val="20"/>
        </w:rPr>
        <w:t xml:space="preserve">ower legal, accounting and consulting fees incurred as compared to the prior period. The decrease in these fees was due to lower expenditures on preparations for certain public </w:t>
      </w:r>
    </w:p>
    <w:p w:rsidR="00000000" w:rsidRDefault="00DA1786">
      <w:pPr>
        <w:ind w:firstLine="720"/>
        <w:jc w:val="center"/>
        <w:divId w:val="1187254460"/>
        <w:rPr>
          <w:rFonts w:eastAsia="Times New Roman"/>
        </w:rPr>
      </w:pPr>
      <w:r>
        <w:rPr>
          <w:rFonts w:eastAsia="Times New Roman"/>
          <w:color w:val="000000"/>
          <w:sz w:val="20"/>
          <w:szCs w:val="20"/>
        </w:rPr>
        <w:t>47</w:t>
      </w:r>
    </w:p>
    <w:p w:rsidR="00000000" w:rsidRDefault="00DA1786">
      <w:pPr>
        <w:rPr>
          <w:rFonts w:eastAsia="Times New Roman"/>
        </w:rPr>
      </w:pPr>
      <w:r>
        <w:rPr>
          <w:rFonts w:eastAsia="Times New Roman"/>
        </w:rPr>
        <w:pict>
          <v:rect id="_x0000_i1072" style="width:0;height:1.5pt" o:hralign="center" o:hrstd="t" o:hr="t" fillcolor="#a0a0a0" stroked="f"/>
        </w:pict>
      </w:r>
    </w:p>
    <w:p w:rsidR="00000000" w:rsidRDefault="00DA1786">
      <w:pPr>
        <w:divId w:val="926646095"/>
        <w:rPr>
          <w:rFonts w:eastAsia="Times New Roman"/>
        </w:rPr>
      </w:pPr>
    </w:p>
    <w:p w:rsidR="00000000" w:rsidRDefault="00DA1786">
      <w:pPr>
        <w:jc w:val="both"/>
        <w:divId w:val="1831173426"/>
        <w:rPr>
          <w:rFonts w:eastAsia="Times New Roman"/>
        </w:rPr>
      </w:pPr>
      <w:r>
        <w:rPr>
          <w:rFonts w:eastAsia="Times New Roman"/>
          <w:color w:val="000000"/>
          <w:sz w:val="20"/>
          <w:szCs w:val="20"/>
        </w:rPr>
        <w:t>reporting requirements in 2020 as co</w:t>
      </w:r>
      <w:r>
        <w:rPr>
          <w:rFonts w:eastAsia="Times New Roman"/>
          <w:color w:val="000000"/>
          <w:sz w:val="20"/>
          <w:szCs w:val="20"/>
        </w:rPr>
        <w:t>mpared to 2019, as well as lower consulting fees incurred related to assessing market opportunities for previous product candidates. Travel costs decreased $0.3 million as a result of a reduction in business travel in connection with the COVID-19 pandemic.</w:t>
      </w:r>
      <w:r>
        <w:rPr>
          <w:rFonts w:eastAsia="Times New Roman"/>
          <w:color w:val="000000"/>
          <w:sz w:val="20"/>
          <w:szCs w:val="20"/>
        </w:rPr>
        <w:t xml:space="preserve"> These decreases were partially offset by increases in compensation expenses, including stock-based compensation, as well as increases in insurance, rent and facility related expenses. Compensation and stock-based compensation increased by $0.8 million as </w:t>
      </w:r>
      <w:r>
        <w:rPr>
          <w:rFonts w:eastAsia="Times New Roman"/>
          <w:color w:val="000000"/>
          <w:sz w:val="20"/>
          <w:szCs w:val="20"/>
        </w:rPr>
        <w:t>a result of termination benefits paid in connection with our reduction in force in the second quarter of 2020 and additional options granted in 2020. Insurance, rent and facility related expenses increased $0.4 million. These increases were due to higher i</w:t>
      </w:r>
      <w:r>
        <w:rPr>
          <w:rFonts w:eastAsia="Times New Roman"/>
          <w:color w:val="000000"/>
          <w:sz w:val="20"/>
          <w:szCs w:val="20"/>
        </w:rPr>
        <w:t>nsurance premiums and costs for additional leased office space compared to the prior period.</w:t>
      </w:r>
    </w:p>
    <w:p w:rsidR="00000000" w:rsidRDefault="00DA1786">
      <w:pPr>
        <w:jc w:val="both"/>
        <w:divId w:val="48699832"/>
        <w:rPr>
          <w:rFonts w:eastAsia="Times New Roman"/>
        </w:rPr>
      </w:pPr>
      <w:r>
        <w:rPr>
          <w:rFonts w:eastAsia="Times New Roman"/>
          <w:b/>
          <w:bCs/>
          <w:i/>
          <w:iCs/>
          <w:color w:val="000000"/>
          <w:sz w:val="20"/>
          <w:szCs w:val="20"/>
        </w:rPr>
        <w:t>Interest income, net</w:t>
      </w:r>
    </w:p>
    <w:p w:rsidR="00000000" w:rsidRDefault="00DA1786">
      <w:pPr>
        <w:jc w:val="both"/>
        <w:divId w:val="1022247361"/>
        <w:rPr>
          <w:rFonts w:eastAsia="Times New Roman"/>
        </w:rPr>
      </w:pPr>
      <w:r>
        <w:rPr>
          <w:rFonts w:eastAsia="Times New Roman"/>
          <w:color w:val="000000"/>
          <w:sz w:val="20"/>
          <w:szCs w:val="20"/>
        </w:rPr>
        <w:t xml:space="preserve">Interest income, net decreased by $0.9 million to $0.2 million net interest income for the year ended December 31, 2020 from $1.0 million net </w:t>
      </w:r>
      <w:r>
        <w:rPr>
          <w:rFonts w:eastAsia="Times New Roman"/>
          <w:color w:val="000000"/>
          <w:sz w:val="20"/>
          <w:szCs w:val="20"/>
        </w:rPr>
        <w:t>interest income for the year ended December 31, 2019. The change was primarily due to lower interest income received as a result of lower cash, cash equivalent and restricted cash balances and lower interest rates.</w:t>
      </w:r>
    </w:p>
    <w:p w:rsidR="00000000" w:rsidRDefault="00DA1786">
      <w:pPr>
        <w:jc w:val="both"/>
        <w:divId w:val="608053070"/>
        <w:rPr>
          <w:rFonts w:eastAsia="Times New Roman"/>
        </w:rPr>
      </w:pPr>
      <w:r>
        <w:rPr>
          <w:rFonts w:eastAsia="Times New Roman"/>
          <w:b/>
          <w:bCs/>
          <w:i/>
          <w:iCs/>
          <w:color w:val="000000"/>
          <w:sz w:val="20"/>
          <w:szCs w:val="20"/>
        </w:rPr>
        <w:t>Other loss</w:t>
      </w:r>
    </w:p>
    <w:p w:rsidR="00000000" w:rsidRDefault="00DA1786">
      <w:pPr>
        <w:jc w:val="both"/>
        <w:divId w:val="1848130295"/>
        <w:rPr>
          <w:rFonts w:eastAsia="Times New Roman"/>
        </w:rPr>
      </w:pPr>
      <w:r>
        <w:rPr>
          <w:rFonts w:eastAsia="Times New Roman"/>
          <w:color w:val="000000"/>
          <w:sz w:val="20"/>
          <w:szCs w:val="20"/>
        </w:rPr>
        <w:t>Other loss increased by $0.4 m</w:t>
      </w:r>
      <w:r>
        <w:rPr>
          <w:rFonts w:eastAsia="Times New Roman"/>
          <w:color w:val="000000"/>
          <w:sz w:val="20"/>
          <w:szCs w:val="20"/>
        </w:rPr>
        <w:t>illion to $0.6 million for the year ended December 31, 2020 from $0.2 million for the year ended December 31, 2019. The increase was due to higher foreign currency losses as a result of exchange rate fluctuations on transactions denominated in a currency o</w:t>
      </w:r>
      <w:r>
        <w:rPr>
          <w:rFonts w:eastAsia="Times New Roman"/>
          <w:color w:val="000000"/>
          <w:sz w:val="20"/>
          <w:szCs w:val="20"/>
        </w:rPr>
        <w:t>ther than our functional currency.</w:t>
      </w:r>
    </w:p>
    <w:p w:rsidR="00000000" w:rsidRDefault="00DA1786">
      <w:pPr>
        <w:divId w:val="711004505"/>
        <w:rPr>
          <w:rFonts w:eastAsia="Times New Roman"/>
        </w:rPr>
      </w:pPr>
      <w:r>
        <w:rPr>
          <w:rFonts w:eastAsia="Times New Roman"/>
          <w:b/>
          <w:bCs/>
          <w:color w:val="000000"/>
          <w:sz w:val="20"/>
          <w:szCs w:val="20"/>
        </w:rPr>
        <w:t>Liquidity and Capital Resources</w:t>
      </w:r>
    </w:p>
    <w:p w:rsidR="00000000" w:rsidRDefault="00DA1786">
      <w:pPr>
        <w:divId w:val="240718691"/>
        <w:rPr>
          <w:rFonts w:eastAsia="Times New Roman"/>
        </w:rPr>
      </w:pPr>
      <w:r>
        <w:rPr>
          <w:rFonts w:eastAsia="Times New Roman"/>
          <w:color w:val="000000"/>
          <w:sz w:val="20"/>
          <w:szCs w:val="20"/>
        </w:rPr>
        <w:t>The following table sets forth the primary uses of cash and cash equivalents for each year set forth below:</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7"/>
        <w:gridCol w:w="120"/>
        <w:gridCol w:w="837"/>
        <w:gridCol w:w="36"/>
        <w:gridCol w:w="36"/>
        <w:gridCol w:w="36"/>
        <w:gridCol w:w="36"/>
        <w:gridCol w:w="120"/>
        <w:gridCol w:w="802"/>
        <w:gridCol w:w="36"/>
      </w:tblGrid>
      <w:tr w:rsidR="00000000">
        <w:trPr>
          <w:divId w:val="1635867537"/>
        </w:trPr>
        <w:tc>
          <w:tcPr>
            <w:tcW w:w="50" w:type="pct"/>
            <w:vAlign w:val="center"/>
            <w:hideMark/>
          </w:tcPr>
          <w:p w:rsidR="00000000" w:rsidRDefault="00DA1786">
            <w:pPr>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635867537"/>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w:t>
            </w:r>
          </w:p>
          <w:p w:rsidR="00000000" w:rsidRDefault="00DA1786">
            <w:pPr>
              <w:jc w:val="center"/>
              <w:rPr>
                <w:rFonts w:eastAsia="Times New Roman"/>
              </w:rPr>
            </w:pPr>
            <w:r>
              <w:rPr>
                <w:rFonts w:eastAsia="Times New Roman"/>
                <w:b/>
                <w:bCs/>
                <w:color w:val="000000"/>
                <w:sz w:val="16"/>
                <w:szCs w:val="16"/>
              </w:rPr>
              <w:t>December 31,</w:t>
            </w:r>
          </w:p>
        </w:tc>
      </w:tr>
      <w:tr w:rsidR="00000000">
        <w:trPr>
          <w:divId w:val="1635867537"/>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1635867537"/>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(in thousands)</w:t>
            </w:r>
          </w:p>
        </w:tc>
      </w:tr>
      <w:tr w:rsidR="00000000">
        <w:trPr>
          <w:divId w:val="1635867537"/>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Net cash used in operating activities</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(30,435)</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(41,222)</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35867537"/>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Net cash (used in) provided by investing activities</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(26)</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3,988 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35867537"/>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Net cash 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5,386 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26,943 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35867537"/>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Effect of foreign currency exchange rate changes on cash</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221 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33 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635867537"/>
        </w:trPr>
        <w:tc>
          <w:tcPr>
            <w:tcW w:w="0" w:type="auto"/>
            <w:gridSpan w:val="3"/>
            <w:shd w:val="clear" w:color="auto" w:fill="CCEEFF"/>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Net decrease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(24,854)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(10,258)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both"/>
        <w:divId w:val="1659650816"/>
        <w:rPr>
          <w:rFonts w:eastAsia="Times New Roman"/>
        </w:rPr>
      </w:pPr>
      <w:r>
        <w:rPr>
          <w:rFonts w:eastAsia="Times New Roman"/>
          <w:b/>
          <w:bCs/>
          <w:i/>
          <w:iCs/>
          <w:color w:val="000000"/>
          <w:sz w:val="20"/>
          <w:szCs w:val="20"/>
        </w:rPr>
        <w:t>Uses of funds</w:t>
      </w:r>
    </w:p>
    <w:p w:rsidR="00000000" w:rsidRDefault="00DA1786">
      <w:pPr>
        <w:jc w:val="both"/>
        <w:divId w:val="1979991618"/>
        <w:rPr>
          <w:rFonts w:eastAsia="Times New Roman"/>
        </w:rPr>
      </w:pPr>
      <w:r>
        <w:rPr>
          <w:rFonts w:eastAsia="Times New Roman"/>
          <w:i/>
          <w:iCs/>
          <w:color w:val="000000"/>
          <w:sz w:val="20"/>
          <w:szCs w:val="20"/>
        </w:rPr>
        <w:t>Operating activities</w:t>
      </w:r>
    </w:p>
    <w:p w:rsidR="00000000" w:rsidRDefault="00DA1786">
      <w:pPr>
        <w:jc w:val="both"/>
        <w:divId w:val="2085956206"/>
        <w:rPr>
          <w:rFonts w:eastAsia="Times New Roman"/>
        </w:rPr>
      </w:pPr>
      <w:r>
        <w:rPr>
          <w:rFonts w:eastAsia="Times New Roman"/>
          <w:color w:val="000000"/>
          <w:sz w:val="20"/>
          <w:szCs w:val="20"/>
        </w:rPr>
        <w:t>During the year ended December 31, 2020, we used $30.4 million of cash to fund operating activities. During the year ended December 31, 2020, cash used in operating activities reflected our net loss of $36.4 million offset by non-cash charges of $5.7 milli</w:t>
      </w:r>
      <w:r>
        <w:rPr>
          <w:rFonts w:eastAsia="Times New Roman"/>
          <w:color w:val="000000"/>
          <w:sz w:val="20"/>
          <w:szCs w:val="20"/>
        </w:rPr>
        <w:t>on, principally related to stock-based compensation, amortization of our right-of-use assets and the foreign currency remeasurement loss and a net change in operating assets and liabilities of $0.3 million.</w:t>
      </w:r>
    </w:p>
    <w:p w:rsidR="00000000" w:rsidRDefault="00DA1786">
      <w:pPr>
        <w:jc w:val="both"/>
        <w:divId w:val="1166048067"/>
        <w:rPr>
          <w:rFonts w:eastAsia="Times New Roman"/>
        </w:rPr>
      </w:pPr>
      <w:r>
        <w:rPr>
          <w:rFonts w:eastAsia="Times New Roman"/>
          <w:color w:val="000000"/>
          <w:sz w:val="20"/>
          <w:szCs w:val="20"/>
        </w:rPr>
        <w:t xml:space="preserve">During the year ended December 31, 2019, we used </w:t>
      </w:r>
      <w:r>
        <w:rPr>
          <w:rFonts w:eastAsia="Times New Roman"/>
          <w:color w:val="000000"/>
          <w:sz w:val="20"/>
          <w:szCs w:val="20"/>
        </w:rPr>
        <w:t xml:space="preserve">$41.2 million of cash to fund operating activities. During the year ended December 31, 2019, cash used in operating activities reflected our net loss of $44.6 million and a net change in operating assets and liabilities of $2.0 million, offset by non-cash </w:t>
      </w:r>
      <w:r>
        <w:rPr>
          <w:rFonts w:eastAsia="Times New Roman"/>
          <w:color w:val="000000"/>
          <w:sz w:val="20"/>
          <w:szCs w:val="20"/>
        </w:rPr>
        <w:t>charges of $5.4 million, principally related to stock-based compensation.</w:t>
      </w:r>
    </w:p>
    <w:p w:rsidR="00000000" w:rsidRDefault="00DA1786">
      <w:pPr>
        <w:jc w:val="both"/>
        <w:divId w:val="1729718296"/>
        <w:rPr>
          <w:rFonts w:eastAsia="Times New Roman"/>
        </w:rPr>
      </w:pPr>
      <w:r>
        <w:rPr>
          <w:rFonts w:eastAsia="Times New Roman"/>
          <w:i/>
          <w:iCs/>
          <w:color w:val="000000"/>
          <w:sz w:val="20"/>
          <w:szCs w:val="20"/>
        </w:rPr>
        <w:t>Investing activities</w:t>
      </w:r>
    </w:p>
    <w:p w:rsidR="00000000" w:rsidRDefault="00DA1786">
      <w:pPr>
        <w:jc w:val="both"/>
        <w:divId w:val="2075616470"/>
        <w:rPr>
          <w:rFonts w:eastAsia="Times New Roman"/>
        </w:rPr>
      </w:pPr>
      <w:r>
        <w:rPr>
          <w:rFonts w:eastAsia="Times New Roman"/>
          <w:color w:val="000000"/>
          <w:sz w:val="20"/>
          <w:szCs w:val="20"/>
        </w:rPr>
        <w:t>During the year ended December 31 2020, we paid $26,000 in purchases of property and equipment. During the year ended December 31, 2019, we received $4.4 million</w:t>
      </w:r>
      <w:r>
        <w:rPr>
          <w:rFonts w:eastAsia="Times New Roman"/>
          <w:color w:val="000000"/>
          <w:sz w:val="20"/>
          <w:szCs w:val="20"/>
        </w:rPr>
        <w:t xml:space="preserve"> in net proceeds from the sale of marketable securities offset by $0.4 million in purchases of property and equipment.</w:t>
      </w:r>
    </w:p>
    <w:p w:rsidR="00000000" w:rsidRDefault="00DA1786">
      <w:pPr>
        <w:jc w:val="both"/>
        <w:divId w:val="379134172"/>
        <w:rPr>
          <w:rFonts w:eastAsia="Times New Roman"/>
        </w:rPr>
      </w:pPr>
      <w:r>
        <w:rPr>
          <w:rFonts w:eastAsia="Times New Roman"/>
          <w:i/>
          <w:iCs/>
          <w:color w:val="000000"/>
          <w:sz w:val="20"/>
          <w:szCs w:val="20"/>
        </w:rPr>
        <w:t>Financing activities</w:t>
      </w:r>
    </w:p>
    <w:p w:rsidR="00000000" w:rsidRDefault="00DA1786">
      <w:pPr>
        <w:jc w:val="both"/>
        <w:divId w:val="486477006"/>
        <w:rPr>
          <w:rFonts w:eastAsia="Times New Roman"/>
        </w:rPr>
      </w:pPr>
      <w:r>
        <w:rPr>
          <w:rFonts w:eastAsia="Times New Roman"/>
          <w:color w:val="000000"/>
          <w:sz w:val="20"/>
          <w:szCs w:val="20"/>
        </w:rPr>
        <w:t>During the year ended December 31, 2020, we received proceeds of $5.5 million received from the issuance of common s</w:t>
      </w:r>
      <w:r>
        <w:rPr>
          <w:rFonts w:eastAsia="Times New Roman"/>
          <w:color w:val="000000"/>
          <w:sz w:val="20"/>
          <w:szCs w:val="20"/>
        </w:rPr>
        <w:t>tock, net of issuance costs paid. See Note 1 of our Consolidated Financial Statements for additional information related to the issuance of common stock.</w:t>
      </w:r>
    </w:p>
    <w:p w:rsidR="00000000" w:rsidRDefault="00DA1786">
      <w:pPr>
        <w:ind w:firstLine="720"/>
        <w:jc w:val="center"/>
        <w:divId w:val="1204295945"/>
        <w:rPr>
          <w:rFonts w:eastAsia="Times New Roman"/>
        </w:rPr>
      </w:pPr>
      <w:r>
        <w:rPr>
          <w:rFonts w:eastAsia="Times New Roman"/>
          <w:color w:val="000000"/>
          <w:sz w:val="20"/>
          <w:szCs w:val="20"/>
        </w:rPr>
        <w:t>48</w:t>
      </w:r>
    </w:p>
    <w:p w:rsidR="00000000" w:rsidRDefault="00DA1786">
      <w:pPr>
        <w:rPr>
          <w:rFonts w:eastAsia="Times New Roman"/>
        </w:rPr>
      </w:pPr>
      <w:r>
        <w:rPr>
          <w:rFonts w:eastAsia="Times New Roman"/>
        </w:rPr>
        <w:pict>
          <v:rect id="_x0000_i1073" style="width:0;height:1.5pt" o:hralign="center" o:hrstd="t" o:hr="t" fillcolor="#a0a0a0" stroked="f"/>
        </w:pict>
      </w:r>
    </w:p>
    <w:p w:rsidR="00000000" w:rsidRDefault="00DA1786">
      <w:pPr>
        <w:divId w:val="711000579"/>
        <w:rPr>
          <w:rFonts w:eastAsia="Times New Roman"/>
        </w:rPr>
      </w:pPr>
    </w:p>
    <w:p w:rsidR="00000000" w:rsidRDefault="00DA1786">
      <w:pPr>
        <w:jc w:val="both"/>
        <w:divId w:val="1246305642"/>
        <w:rPr>
          <w:rFonts w:eastAsia="Times New Roman"/>
        </w:rPr>
      </w:pPr>
      <w:r>
        <w:rPr>
          <w:rFonts w:eastAsia="Times New Roman"/>
          <w:color w:val="000000"/>
          <w:sz w:val="20"/>
          <w:szCs w:val="20"/>
        </w:rPr>
        <w:t>During the year ended December 31, 2019, we received proceed</w:t>
      </w:r>
      <w:r>
        <w:rPr>
          <w:rFonts w:eastAsia="Times New Roman"/>
          <w:color w:val="000000"/>
          <w:sz w:val="20"/>
          <w:szCs w:val="20"/>
        </w:rPr>
        <w:t>s of $0.5 million from the exercise of options and warrants, and $26.7 million in proceeds received from the issuance of common stock, net of issuance costs paid. See Note 1 of our Consolidated Financial Statements for additional information related to the</w:t>
      </w:r>
      <w:r>
        <w:rPr>
          <w:rFonts w:eastAsia="Times New Roman"/>
          <w:color w:val="000000"/>
          <w:sz w:val="20"/>
          <w:szCs w:val="20"/>
        </w:rPr>
        <w:t xml:space="preserve"> issuance of common stock. These proceeds were offset by $0.2 million for the repayment of debt.</w:t>
      </w:r>
    </w:p>
    <w:p w:rsidR="00000000" w:rsidRDefault="00DA1786">
      <w:pPr>
        <w:jc w:val="both"/>
        <w:divId w:val="1848593121"/>
        <w:rPr>
          <w:rFonts w:eastAsia="Times New Roman"/>
        </w:rPr>
      </w:pPr>
      <w:r>
        <w:rPr>
          <w:rFonts w:eastAsia="Times New Roman"/>
          <w:b/>
          <w:bCs/>
          <w:i/>
          <w:iCs/>
          <w:color w:val="000000"/>
          <w:sz w:val="20"/>
          <w:szCs w:val="20"/>
        </w:rPr>
        <w:t>Funding requirements</w:t>
      </w:r>
    </w:p>
    <w:p w:rsidR="00000000" w:rsidRDefault="00DA1786">
      <w:pPr>
        <w:jc w:val="both"/>
        <w:divId w:val="786002034"/>
        <w:rPr>
          <w:rFonts w:eastAsia="Times New Roman"/>
        </w:rPr>
      </w:pPr>
      <w:r>
        <w:rPr>
          <w:rFonts w:eastAsia="Times New Roman"/>
          <w:color w:val="000000"/>
          <w:sz w:val="20"/>
          <w:szCs w:val="20"/>
        </w:rPr>
        <w:t>We expect our expenses to decrease as a result of our discontinuing the development of livoletide, nevanimibe and MLE-301 as compared to p</w:t>
      </w:r>
      <w:r>
        <w:rPr>
          <w:rFonts w:eastAsia="Times New Roman"/>
          <w:color w:val="000000"/>
          <w:sz w:val="20"/>
          <w:szCs w:val="20"/>
        </w:rPr>
        <w:t>revious operations. However, we expect to continue to incur costs associated with operating as a public company. Accordingly, we will need to obtain substantial additional funding in connection with our continuing operations. If we are unable to raise capi</w:t>
      </w:r>
      <w:r>
        <w:rPr>
          <w:rFonts w:eastAsia="Times New Roman"/>
          <w:color w:val="000000"/>
          <w:sz w:val="20"/>
          <w:szCs w:val="20"/>
        </w:rPr>
        <w:t>tal when needed or on attractive terms, we may be forced to liquidate our assets. The COVID-19 pandemic continues to rapidly evolve and has already resulted in a significant disruption of global financial markets. If the disruption persists and deepens, we</w:t>
      </w:r>
      <w:r>
        <w:rPr>
          <w:rFonts w:eastAsia="Times New Roman"/>
          <w:color w:val="000000"/>
          <w:sz w:val="20"/>
          <w:szCs w:val="20"/>
        </w:rPr>
        <w:t xml:space="preserve"> could experience an inability to access additional capital, which could in the future negatively affect our operations.</w:t>
      </w:r>
    </w:p>
    <w:p w:rsidR="00000000" w:rsidRDefault="00DA1786">
      <w:pPr>
        <w:jc w:val="both"/>
        <w:divId w:val="1880048827"/>
        <w:rPr>
          <w:rFonts w:eastAsia="Times New Roman"/>
        </w:rPr>
      </w:pPr>
      <w:r>
        <w:rPr>
          <w:rFonts w:eastAsia="Times New Roman"/>
          <w:color w:val="000000"/>
          <w:sz w:val="20"/>
          <w:szCs w:val="20"/>
        </w:rPr>
        <w:t>In April 2019, we entered into an "at-the-market" ("ATM") equity distribution agreement with Citigroup Global Markets Inc. acting as so</w:t>
      </w:r>
      <w:r>
        <w:rPr>
          <w:rFonts w:eastAsia="Times New Roman"/>
          <w:color w:val="000000"/>
          <w:sz w:val="20"/>
          <w:szCs w:val="20"/>
        </w:rPr>
        <w:t xml:space="preserve">le agent with an aggregate offering value of up to $50.0 million. Subject to the terms of the ATM equity distribution agreement, we are able to determine, at our sole discretion, the timing and number of shares to be sold under this ATM facility. In March </w:t>
      </w:r>
      <w:r>
        <w:rPr>
          <w:rFonts w:eastAsia="Times New Roman"/>
          <w:color w:val="000000"/>
          <w:sz w:val="20"/>
          <w:szCs w:val="20"/>
        </w:rPr>
        <w:t>2020, we amended and restated the equity distribution agreement to include SVB Leerink LLC as an additional sales agent for the ATM. In March 2020, we sold 719,400 shares of our common stock under our ATM equity distribution agreement for net proceeds of a</w:t>
      </w:r>
      <w:r>
        <w:rPr>
          <w:rFonts w:eastAsia="Times New Roman"/>
          <w:color w:val="000000"/>
          <w:sz w:val="20"/>
          <w:szCs w:val="20"/>
        </w:rPr>
        <w:t>pproximately $5.5 million. We do not expect to sell additional shares under this ATM facility.</w:t>
      </w:r>
    </w:p>
    <w:p w:rsidR="00000000" w:rsidRDefault="00DA1786">
      <w:pPr>
        <w:jc w:val="both"/>
        <w:divId w:val="1631671530"/>
        <w:rPr>
          <w:rFonts w:eastAsia="Times New Roman"/>
        </w:rPr>
      </w:pPr>
      <w:r>
        <w:rPr>
          <w:rFonts w:eastAsia="Times New Roman"/>
          <w:color w:val="000000"/>
          <w:sz w:val="20"/>
          <w:szCs w:val="20"/>
        </w:rPr>
        <w:t>As of December 31, 2020, we had cash, cash equivalents and restricted cash of $38.7 million, which we believe are sufficient to fund our planned operations throu</w:t>
      </w:r>
      <w:r>
        <w:rPr>
          <w:rFonts w:eastAsia="Times New Roman"/>
          <w:color w:val="000000"/>
          <w:sz w:val="20"/>
          <w:szCs w:val="20"/>
        </w:rPr>
        <w:t>gh at least the next 12 months.</w:t>
      </w:r>
    </w:p>
    <w:p w:rsidR="00000000" w:rsidRDefault="00DA1786">
      <w:pPr>
        <w:jc w:val="both"/>
        <w:divId w:val="752162861"/>
        <w:rPr>
          <w:rFonts w:eastAsia="Times New Roman"/>
        </w:rPr>
      </w:pPr>
      <w:r>
        <w:rPr>
          <w:rFonts w:eastAsia="Times New Roman"/>
          <w:color w:val="000000"/>
          <w:sz w:val="20"/>
          <w:szCs w:val="20"/>
        </w:rPr>
        <w:t>Our future capital requirements will depend on the results of our ongoing strategic evaluation, including whether we complete the Merger with Tempest. If the Merger is not completed, we will reconsider our strategic alternat</w:t>
      </w:r>
      <w:r>
        <w:rPr>
          <w:rFonts w:eastAsia="Times New Roman"/>
          <w:color w:val="000000"/>
          <w:sz w:val="20"/>
          <w:szCs w:val="20"/>
        </w:rPr>
        <w:t>ives which may include a dissolution of the company, pursuit of another strategic transaction or the continued operation of product development. In the event we resume product candidate development, our future capital requirements will depend on many facto</w:t>
      </w:r>
      <w:r>
        <w:rPr>
          <w:rFonts w:eastAsia="Times New Roman"/>
          <w:color w:val="000000"/>
          <w:sz w:val="20"/>
          <w:szCs w:val="20"/>
        </w:rPr>
        <w:t>rs, including:</w:t>
      </w:r>
    </w:p>
    <w:p w:rsidR="00000000" w:rsidRDefault="00DA1786">
      <w:pPr>
        <w:ind w:hanging="360"/>
        <w:jc w:val="both"/>
        <w:divId w:val="6565842"/>
        <w:rPr>
          <w:rFonts w:eastAsia="Times New Roman"/>
        </w:rPr>
      </w:pPr>
      <w:r>
        <w:rPr>
          <w:rFonts w:eastAsia="Times New Roman"/>
          <w:color w:val="000000"/>
          <w:sz w:val="20"/>
          <w:szCs w:val="20"/>
        </w:rPr>
        <w:t>•the scope, progress, results and costs of any future preclinical studies and clinical trials;</w:t>
      </w:r>
    </w:p>
    <w:p w:rsidR="00000000" w:rsidRDefault="00DA1786">
      <w:pPr>
        <w:ind w:hanging="360"/>
        <w:jc w:val="both"/>
        <w:divId w:val="319428331"/>
        <w:rPr>
          <w:rFonts w:eastAsia="Times New Roman"/>
        </w:rPr>
      </w:pPr>
      <w:r>
        <w:rPr>
          <w:rFonts w:eastAsia="Times New Roman"/>
          <w:color w:val="000000"/>
          <w:sz w:val="20"/>
          <w:szCs w:val="20"/>
        </w:rPr>
        <w:t>•the scope, prioritization and number of any future research and development programs;</w:t>
      </w:r>
    </w:p>
    <w:p w:rsidR="00000000" w:rsidRDefault="00DA1786">
      <w:pPr>
        <w:ind w:hanging="360"/>
        <w:jc w:val="both"/>
        <w:divId w:val="1096055532"/>
        <w:rPr>
          <w:rFonts w:eastAsia="Times New Roman"/>
        </w:rPr>
      </w:pPr>
      <w:r>
        <w:rPr>
          <w:rFonts w:eastAsia="Times New Roman"/>
          <w:color w:val="000000"/>
          <w:sz w:val="20"/>
          <w:szCs w:val="20"/>
        </w:rPr>
        <w:t xml:space="preserve">•the costs, timing and outcome of regulatory review of any </w:t>
      </w:r>
      <w:r>
        <w:rPr>
          <w:rFonts w:eastAsia="Times New Roman"/>
          <w:color w:val="000000"/>
          <w:sz w:val="20"/>
          <w:szCs w:val="20"/>
        </w:rPr>
        <w:t>future product candidates;</w:t>
      </w:r>
    </w:p>
    <w:p w:rsidR="00000000" w:rsidRDefault="00DA1786">
      <w:pPr>
        <w:ind w:hanging="360"/>
        <w:jc w:val="both"/>
        <w:divId w:val="1488326706"/>
        <w:rPr>
          <w:rFonts w:eastAsia="Times New Roman"/>
        </w:rPr>
      </w:pPr>
      <w:r>
        <w:rPr>
          <w:rFonts w:eastAsia="Times New Roman"/>
          <w:color w:val="000000"/>
          <w:sz w:val="20"/>
          <w:szCs w:val="20"/>
        </w:rPr>
        <w:t>•our ability to establish and maintain any future collaborations on favorable terms, if at all;</w:t>
      </w:r>
    </w:p>
    <w:p w:rsidR="00000000" w:rsidRDefault="00DA1786">
      <w:pPr>
        <w:ind w:hanging="360"/>
        <w:jc w:val="both"/>
        <w:divId w:val="1259480190"/>
        <w:rPr>
          <w:rFonts w:eastAsia="Times New Roman"/>
        </w:rPr>
      </w:pPr>
      <w:r>
        <w:rPr>
          <w:rFonts w:eastAsia="Times New Roman"/>
          <w:color w:val="000000"/>
          <w:sz w:val="20"/>
          <w:szCs w:val="20"/>
        </w:rPr>
        <w:t xml:space="preserve">•the extent to which we are obligated to reimburse, or entitled to reimbursement of, clinical trial costs under future collaboration </w:t>
      </w:r>
      <w:r>
        <w:rPr>
          <w:rFonts w:eastAsia="Times New Roman"/>
          <w:color w:val="000000"/>
          <w:sz w:val="20"/>
          <w:szCs w:val="20"/>
        </w:rPr>
        <w:t>agreements, if any;</w:t>
      </w:r>
    </w:p>
    <w:p w:rsidR="00000000" w:rsidRDefault="00DA1786">
      <w:pPr>
        <w:ind w:hanging="360"/>
        <w:jc w:val="both"/>
        <w:divId w:val="2055351158"/>
        <w:rPr>
          <w:rFonts w:eastAsia="Times New Roman"/>
        </w:rPr>
      </w:pPr>
      <w:r>
        <w:rPr>
          <w:rFonts w:eastAsia="Times New Roman"/>
          <w:color w:val="000000"/>
          <w:sz w:val="20"/>
          <w:szCs w:val="20"/>
        </w:rPr>
        <w:t>•the costs of preparing, filing and prosecuting patent applications, maintaining and enforcing any future intellectual property rights and defending intellectual property-related claims;</w:t>
      </w:r>
    </w:p>
    <w:p w:rsidR="00000000" w:rsidRDefault="00DA1786">
      <w:pPr>
        <w:ind w:hanging="360"/>
        <w:jc w:val="both"/>
        <w:divId w:val="1970210690"/>
        <w:rPr>
          <w:rFonts w:eastAsia="Times New Roman"/>
        </w:rPr>
      </w:pPr>
      <w:r>
        <w:rPr>
          <w:rFonts w:eastAsia="Times New Roman"/>
          <w:color w:val="000000"/>
          <w:sz w:val="20"/>
          <w:szCs w:val="20"/>
        </w:rPr>
        <w:t>•the extent to which we acquire or in-license oth</w:t>
      </w:r>
      <w:r>
        <w:rPr>
          <w:rFonts w:eastAsia="Times New Roman"/>
          <w:color w:val="000000"/>
          <w:sz w:val="20"/>
          <w:szCs w:val="20"/>
        </w:rPr>
        <w:t>er product candidates and technologies;</w:t>
      </w:r>
    </w:p>
    <w:p w:rsidR="00000000" w:rsidRDefault="00DA1786">
      <w:pPr>
        <w:ind w:hanging="360"/>
        <w:jc w:val="both"/>
        <w:divId w:val="547690686"/>
        <w:rPr>
          <w:rFonts w:eastAsia="Times New Roman"/>
        </w:rPr>
      </w:pPr>
      <w:r>
        <w:rPr>
          <w:rFonts w:eastAsia="Times New Roman"/>
          <w:color w:val="000000"/>
          <w:sz w:val="20"/>
          <w:szCs w:val="20"/>
        </w:rPr>
        <w:t>•the costs of securing manufacturing arrangements for commercial production; and</w:t>
      </w:r>
    </w:p>
    <w:p w:rsidR="00000000" w:rsidRDefault="00DA1786">
      <w:pPr>
        <w:ind w:hanging="360"/>
        <w:jc w:val="both"/>
        <w:divId w:val="1350718830"/>
        <w:rPr>
          <w:rFonts w:eastAsia="Times New Roman"/>
        </w:rPr>
      </w:pPr>
      <w:r>
        <w:rPr>
          <w:rFonts w:eastAsia="Times New Roman"/>
          <w:color w:val="000000"/>
          <w:sz w:val="20"/>
          <w:szCs w:val="20"/>
        </w:rPr>
        <w:t>•the costs of establishing or contracting for sales and marketing capabilities if we obtain regulatory approvals to market any future p</w:t>
      </w:r>
      <w:r>
        <w:rPr>
          <w:rFonts w:eastAsia="Times New Roman"/>
          <w:color w:val="000000"/>
          <w:sz w:val="20"/>
          <w:szCs w:val="20"/>
        </w:rPr>
        <w:t>roduct candidates.</w:t>
      </w:r>
    </w:p>
    <w:p w:rsidR="00000000" w:rsidRDefault="00DA1786">
      <w:pPr>
        <w:jc w:val="both"/>
        <w:divId w:val="1844008556"/>
        <w:rPr>
          <w:rFonts w:eastAsia="Times New Roman"/>
        </w:rPr>
      </w:pPr>
      <w:r>
        <w:rPr>
          <w:rFonts w:eastAsia="Times New Roman"/>
          <w:color w:val="000000"/>
          <w:sz w:val="20"/>
          <w:szCs w:val="20"/>
        </w:rPr>
        <w:t>Identifying potential product candidates and conducting preclinical studies and clinical trials is a time-consuming, expensive and uncertain process that takes many years to complete, and we may never generate the necessary data or resul</w:t>
      </w:r>
      <w:r>
        <w:rPr>
          <w:rFonts w:eastAsia="Times New Roman"/>
          <w:color w:val="000000"/>
          <w:sz w:val="20"/>
          <w:szCs w:val="20"/>
        </w:rPr>
        <w:t>ts required to obtain marketing approval and achieve product sales. In addition, any future product candidates, if approved, may not achieve commercial success.</w:t>
      </w:r>
    </w:p>
    <w:p w:rsidR="00000000" w:rsidRDefault="00DA1786">
      <w:pPr>
        <w:jc w:val="both"/>
        <w:divId w:val="479805234"/>
        <w:rPr>
          <w:rFonts w:eastAsia="Times New Roman"/>
        </w:rPr>
      </w:pPr>
      <w:r>
        <w:rPr>
          <w:rFonts w:eastAsia="Times New Roman"/>
          <w:color w:val="000000"/>
          <w:sz w:val="20"/>
          <w:szCs w:val="20"/>
        </w:rPr>
        <w:t>If we elect to resume product candidate development, we expect to finance our cash needs through a combination of equity offerings, debt financings, collaborations, strategic alliances and licensing arrangements. To the extent that we raise additional capi</w:t>
      </w:r>
      <w:r>
        <w:rPr>
          <w:rFonts w:eastAsia="Times New Roman"/>
          <w:color w:val="000000"/>
          <w:sz w:val="20"/>
          <w:szCs w:val="20"/>
        </w:rPr>
        <w:t xml:space="preserve">tal through the sale of equity or convertible debt securities, your ownership interest will be diluted, and the terms of these </w:t>
      </w:r>
    </w:p>
    <w:p w:rsidR="00000000" w:rsidRDefault="00DA1786">
      <w:pPr>
        <w:ind w:firstLine="720"/>
        <w:jc w:val="center"/>
        <w:divId w:val="233784692"/>
        <w:rPr>
          <w:rFonts w:eastAsia="Times New Roman"/>
        </w:rPr>
      </w:pPr>
      <w:r>
        <w:rPr>
          <w:rFonts w:eastAsia="Times New Roman"/>
          <w:color w:val="000000"/>
          <w:sz w:val="20"/>
          <w:szCs w:val="20"/>
        </w:rPr>
        <w:t>49</w:t>
      </w:r>
    </w:p>
    <w:p w:rsidR="00000000" w:rsidRDefault="00DA1786">
      <w:pPr>
        <w:rPr>
          <w:rFonts w:eastAsia="Times New Roman"/>
        </w:rPr>
      </w:pPr>
      <w:r>
        <w:rPr>
          <w:rFonts w:eastAsia="Times New Roman"/>
        </w:rPr>
        <w:pict>
          <v:rect id="_x0000_i1074" style="width:0;height:1.5pt" o:hralign="center" o:hrstd="t" o:hr="t" fillcolor="#a0a0a0" stroked="f"/>
        </w:pict>
      </w:r>
    </w:p>
    <w:p w:rsidR="00000000" w:rsidRDefault="00DA1786">
      <w:pPr>
        <w:divId w:val="1795708291"/>
        <w:rPr>
          <w:rFonts w:eastAsia="Times New Roman"/>
        </w:rPr>
      </w:pPr>
    </w:p>
    <w:p w:rsidR="00000000" w:rsidRDefault="00DA1786">
      <w:pPr>
        <w:jc w:val="both"/>
        <w:divId w:val="727000395"/>
        <w:rPr>
          <w:rFonts w:eastAsia="Times New Roman"/>
        </w:rPr>
      </w:pPr>
      <w:r>
        <w:rPr>
          <w:rFonts w:eastAsia="Times New Roman"/>
          <w:color w:val="000000"/>
          <w:sz w:val="20"/>
          <w:szCs w:val="20"/>
        </w:rPr>
        <w:t>securities may include liquidation or other preferences that adversely affect your rights as a common stockholder. Debt financing, if available, may involve agreements that include covenants limiting or restricting our</w:t>
      </w:r>
      <w:r>
        <w:rPr>
          <w:rFonts w:eastAsia="Times New Roman"/>
          <w:color w:val="000000"/>
          <w:sz w:val="20"/>
          <w:szCs w:val="20"/>
        </w:rPr>
        <w:t xml:space="preserve"> ability to take specific actions, such as incurring additional debt, making capital expenditures or declaring dividends.</w:t>
      </w:r>
    </w:p>
    <w:p w:rsidR="00000000" w:rsidRDefault="00DA1786">
      <w:pPr>
        <w:jc w:val="both"/>
        <w:divId w:val="1246840323"/>
        <w:rPr>
          <w:rFonts w:eastAsia="Times New Roman"/>
        </w:rPr>
      </w:pPr>
      <w:r>
        <w:rPr>
          <w:rFonts w:eastAsia="Times New Roman"/>
          <w:color w:val="000000"/>
          <w:sz w:val="20"/>
          <w:szCs w:val="20"/>
        </w:rPr>
        <w:t xml:space="preserve">If we raise funds through additional collaborations, strategic alliances or licensing arrangements with third-parties, we may have to </w:t>
      </w:r>
      <w:r>
        <w:rPr>
          <w:rFonts w:eastAsia="Times New Roman"/>
          <w:color w:val="000000"/>
          <w:sz w:val="20"/>
          <w:szCs w:val="20"/>
        </w:rPr>
        <w:t>relinquish valuable rights to our technologies, future revenue streams, research programs or product candidates or to grant licenses on terms that may not be favorable to us. If we are unable to raise additional funds through equity or debt financings when</w:t>
      </w:r>
      <w:r>
        <w:rPr>
          <w:rFonts w:eastAsia="Times New Roman"/>
          <w:color w:val="000000"/>
          <w:sz w:val="20"/>
          <w:szCs w:val="20"/>
        </w:rPr>
        <w:t xml:space="preserve"> needed, we may be required to delay, limit, reduce or terminate our product development or future commercialization efforts or grant rights to develop and market product candidates that we would otherwise prefer to develop and market ourselves.</w:t>
      </w:r>
    </w:p>
    <w:p w:rsidR="00000000" w:rsidRDefault="00DA1786">
      <w:pPr>
        <w:divId w:val="137504477"/>
        <w:rPr>
          <w:rFonts w:eastAsia="Times New Roman"/>
        </w:rPr>
      </w:pPr>
      <w:r>
        <w:rPr>
          <w:rFonts w:eastAsia="Times New Roman"/>
          <w:b/>
          <w:bCs/>
          <w:color w:val="000000"/>
          <w:sz w:val="20"/>
          <w:szCs w:val="20"/>
        </w:rPr>
        <w:t>Contractua</w:t>
      </w:r>
      <w:r>
        <w:rPr>
          <w:rFonts w:eastAsia="Times New Roman"/>
          <w:b/>
          <w:bCs/>
          <w:color w:val="000000"/>
          <w:sz w:val="20"/>
          <w:szCs w:val="20"/>
        </w:rPr>
        <w:t>l Obligations and Commitments</w:t>
      </w:r>
    </w:p>
    <w:p w:rsidR="00000000" w:rsidRDefault="00DA1786">
      <w:pPr>
        <w:divId w:val="201871526"/>
        <w:rPr>
          <w:rFonts w:eastAsia="Times New Roman"/>
        </w:rPr>
      </w:pPr>
      <w:r>
        <w:rPr>
          <w:rFonts w:eastAsia="Times New Roman"/>
          <w:color w:val="000000"/>
          <w:sz w:val="20"/>
          <w:szCs w:val="20"/>
        </w:rPr>
        <w:t>The following table summarizes our commitments to settle contractual obligations at December 31, 2020:</w:t>
      </w:r>
    </w:p>
    <w:tbl>
      <w:tblPr>
        <w:tblW w:w="4970" w:type="pct"/>
        <w:tblCellMar>
          <w:top w:w="15" w:type="dxa"/>
          <w:left w:w="15" w:type="dxa"/>
          <w:bottom w:w="15" w:type="dxa"/>
          <w:right w:w="15" w:type="dxa"/>
        </w:tblCellMar>
        <w:tblLook w:val="04A0" w:firstRow="1" w:lastRow="0" w:firstColumn="1" w:lastColumn="0" w:noHBand="0" w:noVBand="1"/>
      </w:tblPr>
      <w:tblGrid>
        <w:gridCol w:w="38"/>
        <w:gridCol w:w="3200"/>
        <w:gridCol w:w="37"/>
        <w:gridCol w:w="120"/>
        <w:gridCol w:w="740"/>
        <w:gridCol w:w="36"/>
        <w:gridCol w:w="36"/>
        <w:gridCol w:w="36"/>
        <w:gridCol w:w="36"/>
        <w:gridCol w:w="120"/>
        <w:gridCol w:w="694"/>
        <w:gridCol w:w="36"/>
        <w:gridCol w:w="36"/>
        <w:gridCol w:w="36"/>
        <w:gridCol w:w="36"/>
        <w:gridCol w:w="120"/>
        <w:gridCol w:w="694"/>
        <w:gridCol w:w="36"/>
        <w:gridCol w:w="36"/>
        <w:gridCol w:w="36"/>
        <w:gridCol w:w="36"/>
        <w:gridCol w:w="121"/>
        <w:gridCol w:w="694"/>
        <w:gridCol w:w="36"/>
        <w:gridCol w:w="36"/>
        <w:gridCol w:w="36"/>
        <w:gridCol w:w="36"/>
        <w:gridCol w:w="120"/>
        <w:gridCol w:w="694"/>
        <w:gridCol w:w="36"/>
        <w:gridCol w:w="37"/>
        <w:gridCol w:w="179"/>
        <w:gridCol w:w="36"/>
      </w:tblGrid>
      <w:tr w:rsidR="00000000">
        <w:trPr>
          <w:divId w:val="881403046"/>
        </w:trPr>
        <w:tc>
          <w:tcPr>
            <w:tcW w:w="50" w:type="pct"/>
            <w:vAlign w:val="center"/>
            <w:hideMark/>
          </w:tcPr>
          <w:p w:rsidR="00000000" w:rsidRDefault="00DA1786">
            <w:pPr>
              <w:rPr>
                <w:rFonts w:eastAsia="Times New Roman"/>
              </w:rPr>
            </w:pPr>
          </w:p>
        </w:tc>
        <w:tc>
          <w:tcPr>
            <w:tcW w:w="1974"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8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8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8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8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8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2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881403046"/>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0"/>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 December 31 2020,</w:t>
            </w:r>
          </w:p>
        </w:tc>
      </w:tr>
      <w:tr w:rsidR="00000000">
        <w:trPr>
          <w:divId w:val="881403046"/>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Less than 1</w:t>
            </w:r>
          </w:p>
          <w:p w:rsidR="00000000" w:rsidRDefault="00DA1786">
            <w:pPr>
              <w:jc w:val="center"/>
              <w:rPr>
                <w:rFonts w:eastAsia="Times New Roman"/>
              </w:rPr>
            </w:pPr>
            <w:r>
              <w:rPr>
                <w:rFonts w:eastAsia="Times New Roman"/>
                <w:b/>
                <w:bCs/>
                <w:color w:val="000000"/>
                <w:sz w:val="16"/>
                <w:szCs w:val="16"/>
              </w:rPr>
              <w:t>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1 to 3</w:t>
            </w:r>
          </w:p>
          <w:p w:rsidR="00000000" w:rsidRDefault="00DA1786">
            <w:pPr>
              <w:jc w:val="center"/>
              <w:rPr>
                <w:rFonts w:eastAsia="Times New Roman"/>
              </w:rPr>
            </w:pPr>
            <w:r>
              <w:rPr>
                <w:rFonts w:eastAsia="Times New Roman"/>
                <w:b/>
                <w:bCs/>
                <w:color w:val="000000"/>
                <w:sz w:val="16"/>
                <w:szCs w:val="16"/>
              </w:rP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3 to 5</w:t>
            </w:r>
          </w:p>
          <w:p w:rsidR="00000000" w:rsidRDefault="00DA1786">
            <w:pPr>
              <w:jc w:val="center"/>
              <w:rPr>
                <w:rFonts w:eastAsia="Times New Roman"/>
              </w:rPr>
            </w:pPr>
            <w:r>
              <w:rPr>
                <w:rFonts w:eastAsia="Times New Roman"/>
                <w:b/>
                <w:bCs/>
                <w:color w:val="000000"/>
                <w:sz w:val="16"/>
                <w:szCs w:val="16"/>
              </w:rP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More than</w:t>
            </w:r>
          </w:p>
          <w:p w:rsidR="00000000" w:rsidRDefault="00DA1786">
            <w:pPr>
              <w:jc w:val="center"/>
              <w:rPr>
                <w:rFonts w:eastAsia="Times New Roman"/>
              </w:rPr>
            </w:pPr>
            <w:r>
              <w:rPr>
                <w:rFonts w:eastAsia="Times New Roman"/>
                <w:b/>
                <w:bCs/>
                <w:color w:val="000000"/>
                <w:sz w:val="16"/>
                <w:szCs w:val="16"/>
              </w:rP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r>
      <w:tr w:rsidR="00000000">
        <w:trPr>
          <w:divId w:val="881403046"/>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r>
      <w:tr w:rsidR="00000000">
        <w:trPr>
          <w:divId w:val="881403046"/>
        </w:trPr>
        <w:tc>
          <w:tcPr>
            <w:tcW w:w="0" w:type="auto"/>
            <w:gridSpan w:val="3"/>
            <w:shd w:val="clear" w:color="auto" w:fill="CCEEFF"/>
            <w:tcMar>
              <w:top w:w="30" w:type="dxa"/>
              <w:left w:w="20" w:type="dxa"/>
              <w:bottom w:w="30" w:type="dxa"/>
              <w:right w:w="20" w:type="dxa"/>
            </w:tcMar>
            <w:vAlign w:val="bottom"/>
            <w:hideMark/>
          </w:tcPr>
          <w:p w:rsidR="00000000" w:rsidRDefault="00DA1786">
            <w:pPr>
              <w:divId w:val="577061288"/>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760 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1,589 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2,651 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r>
      <w:tr w:rsidR="00000000">
        <w:trPr>
          <w:divId w:val="881403046"/>
        </w:trPr>
        <w:tc>
          <w:tcPr>
            <w:tcW w:w="0" w:type="auto"/>
            <w:gridSpan w:val="3"/>
            <w:tcMar>
              <w:top w:w="30" w:type="dxa"/>
              <w:left w:w="20" w:type="dxa"/>
              <w:bottom w:w="30" w:type="dxa"/>
              <w:right w:w="20" w:type="dxa"/>
            </w:tcMar>
            <w:vAlign w:val="bottom"/>
            <w:hideMark/>
          </w:tcPr>
          <w:p w:rsidR="00000000" w:rsidRDefault="00DA1786">
            <w:pPr>
              <w:divId w:val="1651903548"/>
              <w:rPr>
                <w:rFonts w:eastAsia="Times New Roman"/>
              </w:rPr>
            </w:pPr>
            <w:r>
              <w:rPr>
                <w:rFonts w:eastAsia="Times New Roman"/>
                <w:color w:val="000000"/>
                <w:sz w:val="20"/>
                <w:szCs w:val="20"/>
              </w:rPr>
              <w:t>Long-term debt</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239 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61 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300 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r>
      <w:tr w:rsidR="00000000">
        <w:trPr>
          <w:divId w:val="881403046"/>
        </w:trPr>
        <w:tc>
          <w:tcPr>
            <w:tcW w:w="0" w:type="auto"/>
            <w:gridSpan w:val="3"/>
            <w:shd w:val="clear" w:color="auto" w:fill="CCEEFF"/>
            <w:tcMar>
              <w:top w:w="30" w:type="dxa"/>
              <w:left w:w="20" w:type="dxa"/>
              <w:bottom w:w="30" w:type="dxa"/>
              <w:right w:w="20" w:type="dxa"/>
            </w:tcMar>
            <w:vAlign w:val="bottom"/>
            <w:hideMark/>
          </w:tcPr>
          <w:p w:rsidR="00000000" w:rsidRDefault="00DA1786">
            <w:pPr>
              <w:divId w:val="1842499601"/>
              <w:rPr>
                <w:rFonts w:eastAsia="Times New Roman"/>
              </w:rPr>
            </w:pPr>
            <w:r>
              <w:rPr>
                <w:rFonts w:eastAsia="Times New Roman"/>
                <w:color w:val="000000"/>
                <w:sz w:val="20"/>
                <w:szCs w:val="20"/>
              </w:rPr>
              <w:t>Licensing arrangements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A1786">
            <w:pPr>
              <w:divId w:val="730929300"/>
              <w:rPr>
                <w:rFonts w:eastAsia="Times New Roman"/>
              </w:rPr>
            </w:pPr>
            <w:r>
              <w:rPr>
                <w:rFonts w:eastAsia="Times New Roman"/>
                <w:color w:val="000000"/>
                <w:sz w:val="13"/>
                <w:szCs w:val="13"/>
              </w:rPr>
              <w:t>(4</w:t>
            </w:r>
            <w:r>
              <w:rPr>
                <w:rFonts w:eastAsia="Times New Roman"/>
                <w:color w:val="000000"/>
                <w:sz w:val="13"/>
                <w:szCs w:val="13"/>
              </w:rPr>
              <w:t>)</w:t>
            </w:r>
          </w:p>
        </w:tc>
      </w:tr>
      <w:tr w:rsidR="00000000">
        <w:trPr>
          <w:divId w:val="881403046"/>
        </w:trPr>
        <w:tc>
          <w:tcPr>
            <w:tcW w:w="0" w:type="auto"/>
            <w:gridSpan w:val="3"/>
            <w:tcMar>
              <w:top w:w="30" w:type="dxa"/>
              <w:left w:w="20" w:type="dxa"/>
              <w:bottom w:w="30" w:type="dxa"/>
              <w:right w:w="20" w:type="dxa"/>
            </w:tcMar>
            <w:hideMark/>
          </w:tcPr>
          <w:p w:rsidR="00000000" w:rsidRDefault="00DA1786">
            <w:pPr>
              <w:divId w:val="1740207662"/>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1,650 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2,971 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A1786">
            <w:pPr>
              <w:divId w:val="1531719281"/>
              <w:rPr>
                <w:rFonts w:eastAsia="Times New Roman"/>
              </w:rPr>
            </w:pPr>
            <w:r>
              <w:rPr>
                <w:rFonts w:eastAsia="Times New Roman"/>
                <w:color w:val="000000"/>
                <w:sz w:val="13"/>
                <w:szCs w:val="13"/>
              </w:rPr>
              <w:t>(4</w:t>
            </w:r>
            <w:r>
              <w:rPr>
                <w:rFonts w:eastAsia="Times New Roman"/>
                <w:color w:val="000000"/>
                <w:sz w:val="13"/>
                <w:szCs w:val="13"/>
              </w:rPr>
              <w:t>)</w:t>
            </w:r>
          </w:p>
        </w:tc>
      </w:tr>
    </w:tbl>
    <w:p w:rsidR="00000000" w:rsidRDefault="00DA1786">
      <w:pPr>
        <w:divId w:val="1999307070"/>
        <w:rPr>
          <w:rFonts w:eastAsia="Times New Roman"/>
        </w:rPr>
      </w:pPr>
      <w:r>
        <w:rPr>
          <w:rFonts w:eastAsia="Times New Roman"/>
          <w:b/>
          <w:bCs/>
          <w:color w:val="000000"/>
          <w:sz w:val="20"/>
          <w:szCs w:val="20"/>
        </w:rPr>
        <w:t>__________________________</w:t>
      </w:r>
    </w:p>
    <w:p w:rsidR="00000000" w:rsidRDefault="00DA1786">
      <w:pPr>
        <w:ind w:hanging="360"/>
        <w:jc w:val="both"/>
        <w:divId w:val="802042575"/>
        <w:rPr>
          <w:rFonts w:eastAsia="Times New Roman"/>
        </w:rPr>
      </w:pPr>
      <w:r>
        <w:rPr>
          <w:rFonts w:eastAsia="Times New Roman"/>
          <w:color w:val="000000"/>
          <w:sz w:val="20"/>
          <w:szCs w:val="20"/>
        </w:rPr>
        <w:t>(1)Reflects obligations pursuant to our office leases in Ann Arbor, Michigan.</w:t>
      </w:r>
    </w:p>
    <w:p w:rsidR="00000000" w:rsidRDefault="00DA1786">
      <w:pPr>
        <w:ind w:hanging="360"/>
        <w:jc w:val="both"/>
        <w:divId w:val="1287004666"/>
        <w:rPr>
          <w:rFonts w:eastAsia="Times New Roman"/>
        </w:rPr>
      </w:pPr>
      <w:r>
        <w:rPr>
          <w:rFonts w:eastAsia="Times New Roman"/>
          <w:color w:val="000000"/>
          <w:sz w:val="20"/>
          <w:szCs w:val="20"/>
        </w:rPr>
        <w:t>(2)Reflects obligations pursuant to our advance agreement with Bpifrance Financing. In December 2017, in</w:t>
      </w:r>
      <w:r>
        <w:rPr>
          <w:rFonts w:eastAsia="Times New Roman"/>
          <w:color w:val="000000"/>
          <w:sz w:val="20"/>
          <w:szCs w:val="20"/>
        </w:rPr>
        <w:t xml:space="preserve"> connection with our acquisition of Alizé, we assumed €0.7 million of debt that Alizé had outstanding with Bpifrance Financing. No interest is charged or accrued with respect to the debt. We are required to make quarterly principal payments between €17,500</w:t>
      </w:r>
      <w:r>
        <w:rPr>
          <w:rFonts w:eastAsia="Times New Roman"/>
          <w:color w:val="000000"/>
          <w:sz w:val="20"/>
          <w:szCs w:val="20"/>
        </w:rPr>
        <w:t xml:space="preserve"> to €50,000 per quarter through maturity. In addition to the quarterly payments, we could be obligated to pay, if applicable, no later than March 31 of each year starting from January 1, 2016, a reimbursement annuity equal to 20% of the proceeds generated </w:t>
      </w:r>
      <w:r>
        <w:rPr>
          <w:rFonts w:eastAsia="Times New Roman"/>
          <w:color w:val="000000"/>
          <w:sz w:val="20"/>
          <w:szCs w:val="20"/>
        </w:rPr>
        <w:t>by us from license, assignment or revenue-generating use of the livoletide program. We are permitted to repay the debt at any time.</w:t>
      </w:r>
    </w:p>
    <w:p w:rsidR="00000000" w:rsidRDefault="00DA1786">
      <w:pPr>
        <w:ind w:hanging="360"/>
        <w:jc w:val="both"/>
        <w:divId w:val="2005820032"/>
        <w:rPr>
          <w:rFonts w:eastAsia="Times New Roman"/>
        </w:rPr>
      </w:pPr>
      <w:r>
        <w:rPr>
          <w:rFonts w:eastAsia="Times New Roman"/>
          <w:color w:val="000000"/>
          <w:sz w:val="20"/>
          <w:szCs w:val="20"/>
        </w:rPr>
        <w:t>(3)Reflects obligations pursuant to our license agreements with the University of Michigan, other than contingent obligation</w:t>
      </w:r>
      <w:r>
        <w:rPr>
          <w:rFonts w:eastAsia="Times New Roman"/>
          <w:color w:val="000000"/>
          <w:sz w:val="20"/>
          <w:szCs w:val="20"/>
        </w:rPr>
        <w:t xml:space="preserve">s to make milestone and royalty payments where the amount, likelihood and timing of such payments are not fixed or determinable. Contingent payments pursuant to our license agreements with Erasmus University Medical Center and Roche are also excluded from </w:t>
      </w:r>
      <w:r>
        <w:rPr>
          <w:rFonts w:eastAsia="Times New Roman"/>
          <w:color w:val="000000"/>
          <w:sz w:val="20"/>
          <w:szCs w:val="20"/>
        </w:rPr>
        <w:t>the above table.</w:t>
      </w:r>
    </w:p>
    <w:p w:rsidR="00000000" w:rsidRDefault="00DA1786">
      <w:pPr>
        <w:ind w:hanging="360"/>
        <w:jc w:val="both"/>
        <w:divId w:val="2059862617"/>
        <w:rPr>
          <w:rFonts w:eastAsia="Times New Roman"/>
        </w:rPr>
      </w:pPr>
      <w:r>
        <w:rPr>
          <w:rFonts w:eastAsia="Times New Roman"/>
          <w:color w:val="000000"/>
          <w:sz w:val="20"/>
          <w:szCs w:val="20"/>
        </w:rPr>
        <w:t>(4)We are obligated to pay the University of Michigan minimum royalties of $20,000 per year from 2020 to 2023 and $0.2 million per year beginning in 2024 through expiration of the term of the license agreement. All such amounts due after D</w:t>
      </w:r>
      <w:r>
        <w:rPr>
          <w:rFonts w:eastAsia="Times New Roman"/>
          <w:color w:val="000000"/>
          <w:sz w:val="20"/>
          <w:szCs w:val="20"/>
        </w:rPr>
        <w:t>ecember 31, 2023 are excluded from the table above because the duration of the license agreement is not determinable. On March 5, 2021, we notified the University of Michigan of our decision to terminate the UM License Agreement, which termination shall be</w:t>
      </w:r>
      <w:r>
        <w:rPr>
          <w:rFonts w:eastAsia="Times New Roman"/>
          <w:color w:val="000000"/>
          <w:sz w:val="20"/>
          <w:szCs w:val="20"/>
        </w:rPr>
        <w:t xml:space="preserve"> effective as of April 30, 2021, as agreed with the University of Michigan. As a result, we expect our expenditures under this agreement to decrease in the year ending December 31, 2021.</w:t>
      </w:r>
    </w:p>
    <w:p w:rsidR="00000000" w:rsidRDefault="00DA1786">
      <w:pPr>
        <w:jc w:val="both"/>
        <w:divId w:val="135949176"/>
        <w:rPr>
          <w:rFonts w:eastAsia="Times New Roman"/>
        </w:rPr>
      </w:pPr>
      <w:r>
        <w:rPr>
          <w:rFonts w:eastAsia="Times New Roman"/>
          <w:color w:val="000000"/>
          <w:sz w:val="20"/>
          <w:szCs w:val="20"/>
        </w:rPr>
        <w:t>The commitment amounts in the table above are associated with contrac</w:t>
      </w:r>
      <w:r>
        <w:rPr>
          <w:rFonts w:eastAsia="Times New Roman"/>
          <w:color w:val="000000"/>
          <w:sz w:val="20"/>
          <w:szCs w:val="20"/>
        </w:rPr>
        <w:t>ts that are enforceable and legally binding and that specify all significant terms, including fixed or minimum services to be used, fixed, minimum or variable price provisions, and the approximate timing of the actions under the contracts. The table does n</w:t>
      </w:r>
      <w:r>
        <w:rPr>
          <w:rFonts w:eastAsia="Times New Roman"/>
          <w:color w:val="000000"/>
          <w:sz w:val="20"/>
          <w:szCs w:val="20"/>
        </w:rPr>
        <w:t>ot include obligations under agreements that we can cancel without a significant penalty.</w:t>
      </w:r>
    </w:p>
    <w:p w:rsidR="00000000" w:rsidRDefault="00DA1786">
      <w:pPr>
        <w:jc w:val="both"/>
        <w:divId w:val="256642092"/>
        <w:rPr>
          <w:rFonts w:eastAsia="Times New Roman"/>
        </w:rPr>
      </w:pPr>
      <w:r>
        <w:rPr>
          <w:rFonts w:eastAsia="Times New Roman"/>
          <w:b/>
          <w:bCs/>
          <w:color w:val="000000"/>
          <w:sz w:val="20"/>
          <w:szCs w:val="20"/>
        </w:rPr>
        <w:t>Off-Balance Sheet Arrangements</w:t>
      </w:r>
    </w:p>
    <w:p w:rsidR="00000000" w:rsidRDefault="00DA1786">
      <w:pPr>
        <w:jc w:val="both"/>
        <w:divId w:val="139614638"/>
        <w:rPr>
          <w:rFonts w:eastAsia="Times New Roman"/>
        </w:rPr>
      </w:pPr>
      <w:r>
        <w:rPr>
          <w:rFonts w:eastAsia="Times New Roman"/>
          <w:color w:val="000000"/>
          <w:sz w:val="20"/>
          <w:szCs w:val="20"/>
        </w:rPr>
        <w:t>We do not have any relationships with unconsolidated entities or financial partnerships, including entities sometimes referred to as structured finance or special purpose entities that were established for the purpose of facilitating off-balance sheet arra</w:t>
      </w:r>
      <w:r>
        <w:rPr>
          <w:rFonts w:eastAsia="Times New Roman"/>
          <w:color w:val="000000"/>
          <w:sz w:val="20"/>
          <w:szCs w:val="20"/>
        </w:rPr>
        <w:t>ngements or other contractually narrow or limited purposes. We do not engage in off-balance sheet financing arrangements. In addition, we do not engage in trading activities involving non-exchange traded contracts. We therefore believe that we are not mate</w:t>
      </w:r>
      <w:r>
        <w:rPr>
          <w:rFonts w:eastAsia="Times New Roman"/>
          <w:color w:val="000000"/>
          <w:sz w:val="20"/>
          <w:szCs w:val="20"/>
        </w:rPr>
        <w:t>rially exposed to any financing, liquidity, market or credit risk that could arise if we had engaged in these relationships.</w:t>
      </w:r>
    </w:p>
    <w:p w:rsidR="00000000" w:rsidRDefault="00DA1786">
      <w:pPr>
        <w:ind w:firstLine="720"/>
        <w:jc w:val="center"/>
        <w:divId w:val="309604538"/>
        <w:rPr>
          <w:rFonts w:eastAsia="Times New Roman"/>
        </w:rPr>
      </w:pPr>
      <w:r>
        <w:rPr>
          <w:rFonts w:eastAsia="Times New Roman"/>
          <w:color w:val="000000"/>
          <w:sz w:val="20"/>
          <w:szCs w:val="20"/>
        </w:rPr>
        <w:t>50</w:t>
      </w:r>
    </w:p>
    <w:p w:rsidR="00000000" w:rsidRDefault="00DA1786">
      <w:pPr>
        <w:rPr>
          <w:rFonts w:eastAsia="Times New Roman"/>
        </w:rPr>
      </w:pPr>
      <w:r>
        <w:rPr>
          <w:rFonts w:eastAsia="Times New Roman"/>
        </w:rPr>
        <w:pict>
          <v:rect id="_x0000_i1075" style="width:0;height:1.5pt" o:hralign="center" o:hrstd="t" o:hr="t" fillcolor="#a0a0a0" stroked="f"/>
        </w:pict>
      </w:r>
    </w:p>
    <w:p w:rsidR="00000000" w:rsidRDefault="00DA1786">
      <w:pPr>
        <w:divId w:val="989359294"/>
        <w:rPr>
          <w:rFonts w:eastAsia="Times New Roman"/>
        </w:rPr>
      </w:pPr>
    </w:p>
    <w:p w:rsidR="00000000" w:rsidRDefault="00DA1786">
      <w:pPr>
        <w:divId w:val="912354937"/>
        <w:rPr>
          <w:rFonts w:eastAsia="Times New Roman"/>
        </w:rPr>
      </w:pPr>
      <w:r>
        <w:rPr>
          <w:rFonts w:eastAsia="Times New Roman"/>
          <w:b/>
          <w:bCs/>
          <w:color w:val="000000"/>
          <w:sz w:val="20"/>
          <w:szCs w:val="20"/>
        </w:rPr>
        <w:t>Critical Accounting Policies</w:t>
      </w:r>
    </w:p>
    <w:p w:rsidR="00000000" w:rsidRDefault="00DA1786">
      <w:pPr>
        <w:jc w:val="both"/>
        <w:divId w:val="1101027191"/>
        <w:rPr>
          <w:rFonts w:eastAsia="Times New Roman"/>
        </w:rPr>
      </w:pPr>
      <w:r>
        <w:rPr>
          <w:rFonts w:eastAsia="Times New Roman"/>
          <w:color w:val="000000"/>
          <w:sz w:val="20"/>
          <w:szCs w:val="20"/>
        </w:rPr>
        <w:t>Our Consolidated Financial Statements are prepared in accorda</w:t>
      </w:r>
      <w:r>
        <w:rPr>
          <w:rFonts w:eastAsia="Times New Roman"/>
          <w:color w:val="000000"/>
          <w:sz w:val="20"/>
          <w:szCs w:val="20"/>
        </w:rPr>
        <w:t>nce with U.S. GAAP. The preparation of our Consolidated Financial Statements requires us to make estimates and judgments that affect the reported amounts of assets and liabilities, disclosure of contingent assets and liabilities at the date of the Consolid</w:t>
      </w:r>
      <w:r>
        <w:rPr>
          <w:rFonts w:eastAsia="Times New Roman"/>
          <w:color w:val="000000"/>
          <w:sz w:val="20"/>
          <w:szCs w:val="20"/>
        </w:rPr>
        <w:t>ated Financial Statements and the reported amounts of expenses during the reported period. We base our estimates on historical experience, known trends and events and various other factors that we believe to be reasonable under the circumstances, the resul</w:t>
      </w:r>
      <w:r>
        <w:rPr>
          <w:rFonts w:eastAsia="Times New Roman"/>
          <w:color w:val="000000"/>
          <w:sz w:val="20"/>
          <w:szCs w:val="20"/>
        </w:rPr>
        <w:t>ts of which form the basis for making judgments about the carrying values of assets and liabilities that are not readily apparent from other sources. We evaluate our estimates and assumptions on an ongoing basis. Our actual results may differ from these es</w:t>
      </w:r>
      <w:r>
        <w:rPr>
          <w:rFonts w:eastAsia="Times New Roman"/>
          <w:color w:val="000000"/>
          <w:sz w:val="20"/>
          <w:szCs w:val="20"/>
        </w:rPr>
        <w:t>timates under different assumptions and conditions.</w:t>
      </w:r>
    </w:p>
    <w:p w:rsidR="00000000" w:rsidRDefault="00DA1786">
      <w:pPr>
        <w:jc w:val="both"/>
        <w:divId w:val="598369613"/>
        <w:rPr>
          <w:rFonts w:eastAsia="Times New Roman"/>
        </w:rPr>
      </w:pPr>
      <w:r>
        <w:rPr>
          <w:rFonts w:eastAsia="Times New Roman"/>
          <w:b/>
          <w:bCs/>
          <w:i/>
          <w:iCs/>
          <w:color w:val="000000"/>
          <w:sz w:val="20"/>
          <w:szCs w:val="20"/>
        </w:rPr>
        <w:t>Research and development expenses</w:t>
      </w:r>
    </w:p>
    <w:p w:rsidR="00000000" w:rsidRDefault="00DA1786">
      <w:pPr>
        <w:jc w:val="both"/>
        <w:divId w:val="1396973194"/>
        <w:rPr>
          <w:rFonts w:eastAsia="Times New Roman"/>
        </w:rPr>
      </w:pPr>
      <w:r>
        <w:rPr>
          <w:rFonts w:eastAsia="Times New Roman"/>
          <w:color w:val="000000"/>
          <w:sz w:val="20"/>
          <w:szCs w:val="20"/>
        </w:rPr>
        <w:t>Research and development expense consists primarily of costs incurred in connection with the development of our product candidates. We expense research and development co</w:t>
      </w:r>
      <w:r>
        <w:rPr>
          <w:rFonts w:eastAsia="Times New Roman"/>
          <w:color w:val="000000"/>
          <w:sz w:val="20"/>
          <w:szCs w:val="20"/>
        </w:rPr>
        <w:t>sts as incurred.</w:t>
      </w:r>
    </w:p>
    <w:p w:rsidR="00000000" w:rsidRDefault="00DA1786">
      <w:pPr>
        <w:jc w:val="both"/>
        <w:divId w:val="837038575"/>
        <w:rPr>
          <w:rFonts w:eastAsia="Times New Roman"/>
        </w:rPr>
      </w:pPr>
      <w:r>
        <w:rPr>
          <w:rFonts w:eastAsia="Times New Roman"/>
          <w:color w:val="000000"/>
          <w:sz w:val="20"/>
          <w:szCs w:val="20"/>
        </w:rPr>
        <w:t>At the end of each reporting period, we compare payments made to third-party service providers to the estimated progress toward completion of the applicable research or development objectives. Such estimates are subject to change as additi</w:t>
      </w:r>
      <w:r>
        <w:rPr>
          <w:rFonts w:eastAsia="Times New Roman"/>
          <w:color w:val="000000"/>
          <w:sz w:val="20"/>
          <w:szCs w:val="20"/>
        </w:rPr>
        <w:t>onal information becomes available. Depending on the timing of payments to the service providers and the progress that we estimate has been made as a result of the service provided, we may record net prepaid or accrued expense relating to these costs. As o</w:t>
      </w:r>
      <w:r>
        <w:rPr>
          <w:rFonts w:eastAsia="Times New Roman"/>
          <w:color w:val="000000"/>
          <w:sz w:val="20"/>
          <w:szCs w:val="20"/>
        </w:rPr>
        <w:t>f December 31, 2020, we had not made any material adjustments to our prior estimates of accrued research and development expenses.</w:t>
      </w:r>
    </w:p>
    <w:p w:rsidR="00000000" w:rsidRDefault="00DA1786">
      <w:pPr>
        <w:jc w:val="both"/>
        <w:divId w:val="777799545"/>
        <w:rPr>
          <w:rFonts w:eastAsia="Times New Roman"/>
        </w:rPr>
      </w:pPr>
      <w:r>
        <w:rPr>
          <w:rFonts w:eastAsia="Times New Roman"/>
          <w:b/>
          <w:bCs/>
          <w:i/>
          <w:iCs/>
          <w:color w:val="000000"/>
          <w:sz w:val="20"/>
          <w:szCs w:val="20"/>
        </w:rPr>
        <w:t>Stock-based compensation</w:t>
      </w:r>
    </w:p>
    <w:p w:rsidR="00000000" w:rsidRDefault="00DA1786">
      <w:pPr>
        <w:jc w:val="both"/>
        <w:divId w:val="354817625"/>
        <w:rPr>
          <w:rFonts w:eastAsia="Times New Roman"/>
        </w:rPr>
      </w:pPr>
      <w:r>
        <w:rPr>
          <w:rFonts w:eastAsia="Times New Roman"/>
          <w:color w:val="000000"/>
          <w:sz w:val="20"/>
          <w:szCs w:val="20"/>
        </w:rPr>
        <w:t>We measure expense for all stock options based on the estimated fair market value of the award on th</w:t>
      </w:r>
      <w:r>
        <w:rPr>
          <w:rFonts w:eastAsia="Times New Roman"/>
          <w:color w:val="000000"/>
          <w:sz w:val="20"/>
          <w:szCs w:val="20"/>
        </w:rPr>
        <w:t>e grant date. We use the Black-Scholes option pricing model to value our stock option awards. We recognize compensation expense on a straight-line basis over the requisite service period, which is generally the vesting period of the award. We have issued a</w:t>
      </w:r>
      <w:r>
        <w:rPr>
          <w:rFonts w:eastAsia="Times New Roman"/>
          <w:color w:val="000000"/>
          <w:sz w:val="20"/>
          <w:szCs w:val="20"/>
        </w:rPr>
        <w:t>wards where vesting is subject to a performance condition and the recognition is based on the derived service period. Expense for awards with performance conditions would be estimated and adjusted on a quarterly basis based upon our assessment of the proba</w:t>
      </w:r>
      <w:r>
        <w:rPr>
          <w:rFonts w:eastAsia="Times New Roman"/>
          <w:color w:val="000000"/>
          <w:sz w:val="20"/>
          <w:szCs w:val="20"/>
        </w:rPr>
        <w:t>bility that the performance condition will be met. We have not issued awards where vesting is subject to a market condition. The fair market value of our common stock is determined based on the closing price of our common stock on the Nasdaq Capital Market</w:t>
      </w:r>
      <w:r>
        <w:rPr>
          <w:rFonts w:eastAsia="Times New Roman"/>
          <w:color w:val="000000"/>
          <w:sz w:val="20"/>
          <w:szCs w:val="20"/>
        </w:rPr>
        <w:t>.</w:t>
      </w:r>
    </w:p>
    <w:p w:rsidR="00000000" w:rsidRDefault="00DA1786">
      <w:pPr>
        <w:divId w:val="1654875677"/>
        <w:rPr>
          <w:rFonts w:eastAsia="Times New Roman"/>
        </w:rPr>
      </w:pPr>
      <w:r>
        <w:rPr>
          <w:rFonts w:eastAsia="Times New Roman"/>
          <w:b/>
          <w:bCs/>
          <w:color w:val="000000"/>
          <w:sz w:val="20"/>
          <w:szCs w:val="20"/>
        </w:rPr>
        <w:t>Recent Accounting Pronouncements</w:t>
      </w:r>
    </w:p>
    <w:p w:rsidR="00000000" w:rsidRDefault="00DA1786">
      <w:pPr>
        <w:jc w:val="both"/>
        <w:divId w:val="257056469"/>
        <w:rPr>
          <w:rFonts w:eastAsia="Times New Roman"/>
        </w:rPr>
      </w:pPr>
      <w:r>
        <w:rPr>
          <w:rFonts w:eastAsia="Times New Roman"/>
          <w:color w:val="000000"/>
          <w:sz w:val="20"/>
          <w:szCs w:val="20"/>
        </w:rPr>
        <w:t>See Note 2 to our Consolidated Financial Statements for a description of recent accounting pronouncements applicable to its Consolidated Financial Statements.</w:t>
      </w:r>
    </w:p>
    <w:p w:rsidR="00000000" w:rsidRDefault="00DA1786">
      <w:pPr>
        <w:divId w:val="953680471"/>
        <w:rPr>
          <w:rFonts w:eastAsia="Times New Roman"/>
        </w:rPr>
      </w:pPr>
      <w:r>
        <w:rPr>
          <w:rFonts w:eastAsia="Times New Roman"/>
          <w:b/>
          <w:bCs/>
          <w:color w:val="000000"/>
          <w:sz w:val="20"/>
          <w:szCs w:val="20"/>
        </w:rPr>
        <w:t>ITEM 7A. QUANTITATIVE AND QUALITATIVE DISCLOSURES ABOUT MARKET</w:t>
      </w:r>
      <w:r>
        <w:rPr>
          <w:rFonts w:eastAsia="Times New Roman"/>
          <w:b/>
          <w:bCs/>
          <w:color w:val="000000"/>
          <w:sz w:val="20"/>
          <w:szCs w:val="20"/>
        </w:rPr>
        <w:t xml:space="preserve"> RISK</w:t>
      </w:r>
    </w:p>
    <w:p w:rsidR="00000000" w:rsidRDefault="00DA1786">
      <w:pPr>
        <w:jc w:val="both"/>
        <w:divId w:val="1316646196"/>
        <w:rPr>
          <w:rFonts w:eastAsia="Times New Roman"/>
        </w:rPr>
      </w:pPr>
      <w:r>
        <w:rPr>
          <w:rFonts w:eastAsia="Times New Roman"/>
          <w:color w:val="000000"/>
          <w:sz w:val="20"/>
          <w:szCs w:val="20"/>
        </w:rPr>
        <w:t>Not required for smaller reporting companies.</w:t>
      </w:r>
    </w:p>
    <w:p w:rsidR="00000000" w:rsidRDefault="00DA1786">
      <w:pPr>
        <w:ind w:firstLine="720"/>
        <w:jc w:val="center"/>
        <w:divId w:val="290138019"/>
        <w:rPr>
          <w:rFonts w:eastAsia="Times New Roman"/>
        </w:rPr>
      </w:pPr>
      <w:r>
        <w:rPr>
          <w:rFonts w:eastAsia="Times New Roman"/>
          <w:color w:val="000000"/>
          <w:sz w:val="20"/>
          <w:szCs w:val="20"/>
        </w:rPr>
        <w:t>51</w:t>
      </w:r>
    </w:p>
    <w:p w:rsidR="00000000" w:rsidRDefault="00DA1786">
      <w:pPr>
        <w:rPr>
          <w:rFonts w:eastAsia="Times New Roman"/>
        </w:rPr>
      </w:pPr>
      <w:r>
        <w:rPr>
          <w:rFonts w:eastAsia="Times New Roman"/>
        </w:rPr>
        <w:pict>
          <v:rect id="_x0000_i1076" style="width:0;height:1.5pt" o:hralign="center" o:hrstd="t" o:hr="t" fillcolor="#a0a0a0" stroked="f"/>
        </w:pict>
      </w:r>
    </w:p>
    <w:p w:rsidR="00000000" w:rsidRDefault="00DA1786">
      <w:pPr>
        <w:divId w:val="2122340069"/>
        <w:rPr>
          <w:rFonts w:eastAsia="Times New Roman"/>
        </w:rPr>
      </w:pPr>
    </w:p>
    <w:p w:rsidR="00000000" w:rsidRDefault="00DA1786">
      <w:pPr>
        <w:divId w:val="1472868333"/>
        <w:rPr>
          <w:rFonts w:eastAsia="Times New Roman"/>
        </w:rPr>
      </w:pPr>
      <w:r>
        <w:rPr>
          <w:rFonts w:eastAsia="Times New Roman"/>
          <w:b/>
          <w:bCs/>
          <w:color w:val="000000"/>
          <w:sz w:val="20"/>
          <w:szCs w:val="20"/>
        </w:rPr>
        <w:t>ITEM 8. FINANCIAL STATEMENTS AND SUPPLEMENTARY DATA</w:t>
      </w:r>
    </w:p>
    <w:p w:rsidR="00000000" w:rsidRDefault="00DA1786">
      <w:pPr>
        <w:jc w:val="center"/>
        <w:divId w:val="690422305"/>
        <w:rPr>
          <w:rFonts w:eastAsia="Times New Roman"/>
        </w:rPr>
      </w:pPr>
      <w:r>
        <w:rPr>
          <w:rFonts w:eastAsia="Times New Roman"/>
          <w:b/>
          <w:bCs/>
          <w:color w:val="000000"/>
          <w:sz w:val="20"/>
          <w:szCs w:val="20"/>
        </w:rPr>
        <w:t>MILLENDO THERAPEUTICS, INC.</w:t>
      </w:r>
    </w:p>
    <w:p w:rsidR="00000000" w:rsidRDefault="00DA1786">
      <w:pPr>
        <w:jc w:val="center"/>
        <w:rPr>
          <w:rFonts w:eastAsia="Times New Roman"/>
        </w:rPr>
      </w:pPr>
      <w:r>
        <w:rPr>
          <w:rFonts w:eastAsia="Times New Roman"/>
          <w:b/>
          <w:bCs/>
          <w:color w:val="000000"/>
          <w:sz w:val="20"/>
          <w:szCs w:val="20"/>
        </w:rPr>
        <w:t>INDEX TO CONSOLIDATED FINANCIAL STATEMENTS</w:t>
      </w:r>
    </w:p>
    <w:tbl>
      <w:tblPr>
        <w:tblW w:w="4985" w:type="pct"/>
        <w:tblCellMar>
          <w:top w:w="15" w:type="dxa"/>
          <w:left w:w="15" w:type="dxa"/>
          <w:bottom w:w="15" w:type="dxa"/>
          <w:right w:w="15" w:type="dxa"/>
        </w:tblCellMar>
        <w:tblLook w:val="04A0" w:firstRow="1" w:lastRow="0" w:firstColumn="1" w:lastColumn="0" w:noHBand="0" w:noVBand="1"/>
      </w:tblPr>
      <w:tblGrid>
        <w:gridCol w:w="68"/>
        <w:gridCol w:w="7776"/>
        <w:gridCol w:w="38"/>
        <w:gridCol w:w="69"/>
        <w:gridCol w:w="294"/>
        <w:gridCol w:w="36"/>
      </w:tblGrid>
      <w:tr w:rsidR="00000000">
        <w:trPr>
          <w:divId w:val="2048529408"/>
        </w:trPr>
        <w:tc>
          <w:tcPr>
            <w:tcW w:w="50" w:type="pct"/>
            <w:vAlign w:val="center"/>
            <w:hideMark/>
          </w:tcPr>
          <w:p w:rsidR="00000000" w:rsidRDefault="00DA1786">
            <w:pPr>
              <w:jc w:val="center"/>
              <w:rPr>
                <w:rFonts w:eastAsia="Times New Roman"/>
              </w:rPr>
            </w:pPr>
          </w:p>
        </w:tc>
        <w:tc>
          <w:tcPr>
            <w:tcW w:w="4703"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8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2048529408"/>
        </w:trPr>
        <w:tc>
          <w:tcPr>
            <w:tcW w:w="0" w:type="auto"/>
            <w:gridSpan w:val="3"/>
            <w:tcMar>
              <w:top w:w="30" w:type="dxa"/>
              <w:left w:w="20" w:type="dxa"/>
              <w:bottom w:w="30" w:type="dxa"/>
              <w:right w:w="20" w:type="dxa"/>
            </w:tcMar>
            <w:vAlign w:val="bottom"/>
            <w:hideMark/>
          </w:tcPr>
          <w:p w:rsidR="00000000" w:rsidRDefault="00DA1786">
            <w:pPr>
              <w:divId w:val="753867528"/>
              <w:rPr>
                <w:rFonts w:eastAsia="Times New Roman"/>
              </w:rPr>
            </w:pPr>
            <w:hyperlink w:anchor="i1e5d551bc54544d38669f82744b9ba4b_79" w:history="1">
              <w:r>
                <w:rPr>
                  <w:rStyle w:val="a3"/>
                  <w:rFonts w:eastAsia="Times New Roman"/>
                  <w:color w:val="0E32E1"/>
                  <w:sz w:val="20"/>
                  <w:szCs w:val="20"/>
                </w:rPr>
                <w:t>Report of Independent Registe</w:t>
              </w:r>
              <w:r>
                <w:rPr>
                  <w:rStyle w:val="a3"/>
                  <w:rFonts w:eastAsia="Times New Roman"/>
                  <w:color w:val="0E32E1"/>
                  <w:sz w:val="20"/>
                  <w:szCs w:val="20"/>
                </w:rPr>
                <w:t>red Public Accounting Firm</w:t>
              </w:r>
            </w:hyperlink>
          </w:p>
        </w:tc>
        <w:tc>
          <w:tcPr>
            <w:tcW w:w="0" w:type="auto"/>
            <w:gridSpan w:val="3"/>
            <w:tcMar>
              <w:top w:w="30" w:type="dxa"/>
              <w:left w:w="20" w:type="dxa"/>
              <w:bottom w:w="30" w:type="dxa"/>
              <w:right w:w="20" w:type="dxa"/>
            </w:tcMar>
            <w:vAlign w:val="bottom"/>
            <w:hideMark/>
          </w:tcPr>
          <w:p w:rsidR="00000000" w:rsidRDefault="00DA1786">
            <w:pPr>
              <w:jc w:val="right"/>
              <w:rPr>
                <w:rFonts w:eastAsia="Times New Roman"/>
              </w:rPr>
            </w:pPr>
            <w:hyperlink w:anchor="i1e5d551bc54544d38669f82744b9ba4b_79" w:history="1">
              <w:r>
                <w:rPr>
                  <w:rStyle w:val="a3"/>
                  <w:rFonts w:eastAsia="Times New Roman"/>
                  <w:color w:val="0E32E1"/>
                  <w:sz w:val="20"/>
                  <w:szCs w:val="20"/>
                </w:rPr>
                <w:t>53</w:t>
              </w:r>
            </w:hyperlink>
          </w:p>
        </w:tc>
      </w:tr>
      <w:tr w:rsidR="00000000">
        <w:trPr>
          <w:divId w:val="2048529408"/>
        </w:trPr>
        <w:tc>
          <w:tcPr>
            <w:tcW w:w="0" w:type="auto"/>
            <w:gridSpan w:val="3"/>
            <w:tcMar>
              <w:top w:w="30" w:type="dxa"/>
              <w:left w:w="20" w:type="dxa"/>
              <w:bottom w:w="30" w:type="dxa"/>
              <w:right w:w="20" w:type="dxa"/>
            </w:tcMar>
            <w:vAlign w:val="bottom"/>
            <w:hideMark/>
          </w:tcPr>
          <w:p w:rsidR="00000000" w:rsidRDefault="00DA1786">
            <w:pPr>
              <w:divId w:val="172454019"/>
              <w:rPr>
                <w:rFonts w:eastAsia="Times New Roman"/>
              </w:rPr>
            </w:pPr>
            <w:hyperlink w:anchor="i1e5d551bc54544d38669f82744b9ba4b_82" w:history="1">
              <w:r>
                <w:rPr>
                  <w:rStyle w:val="a3"/>
                  <w:rFonts w:eastAsia="Times New Roman"/>
                  <w:color w:val="0E32E1"/>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DA1786">
            <w:pPr>
              <w:jc w:val="right"/>
              <w:rPr>
                <w:rFonts w:eastAsia="Times New Roman"/>
              </w:rPr>
            </w:pPr>
            <w:hyperlink w:anchor="i1e5d551bc54544d38669f82744b9ba4b_82" w:history="1">
              <w:r>
                <w:rPr>
                  <w:rStyle w:val="a3"/>
                  <w:rFonts w:eastAsia="Times New Roman"/>
                  <w:color w:val="0E32E1"/>
                  <w:sz w:val="20"/>
                  <w:szCs w:val="20"/>
                </w:rPr>
                <w:t>55</w:t>
              </w:r>
            </w:hyperlink>
          </w:p>
        </w:tc>
      </w:tr>
      <w:tr w:rsidR="00000000">
        <w:trPr>
          <w:divId w:val="2048529408"/>
        </w:trPr>
        <w:tc>
          <w:tcPr>
            <w:tcW w:w="0" w:type="auto"/>
            <w:gridSpan w:val="3"/>
            <w:tcMar>
              <w:top w:w="30" w:type="dxa"/>
              <w:left w:w="20" w:type="dxa"/>
              <w:bottom w:w="30" w:type="dxa"/>
              <w:right w:w="20" w:type="dxa"/>
            </w:tcMar>
            <w:vAlign w:val="bottom"/>
            <w:hideMark/>
          </w:tcPr>
          <w:p w:rsidR="00000000" w:rsidRDefault="00DA1786">
            <w:pPr>
              <w:divId w:val="2059161224"/>
              <w:rPr>
                <w:rFonts w:eastAsia="Times New Roman"/>
              </w:rPr>
            </w:pPr>
            <w:hyperlink w:anchor="i1e5d551bc54544d38669f82744b9ba4b_85" w:history="1">
              <w:r>
                <w:rPr>
                  <w:rStyle w:val="a3"/>
                  <w:rFonts w:eastAsia="Times New Roman"/>
                  <w:color w:val="0E32E1"/>
                  <w:sz w:val="20"/>
                  <w:szCs w:val="20"/>
                </w:rPr>
                <w:t>Consolidated Statements of Operations and Comprehensive Loss</w:t>
              </w:r>
            </w:hyperlink>
          </w:p>
        </w:tc>
        <w:tc>
          <w:tcPr>
            <w:tcW w:w="0" w:type="auto"/>
            <w:gridSpan w:val="3"/>
            <w:tcMar>
              <w:top w:w="30" w:type="dxa"/>
              <w:left w:w="20" w:type="dxa"/>
              <w:bottom w:w="30" w:type="dxa"/>
              <w:right w:w="20" w:type="dxa"/>
            </w:tcMar>
            <w:vAlign w:val="bottom"/>
            <w:hideMark/>
          </w:tcPr>
          <w:p w:rsidR="00000000" w:rsidRDefault="00DA1786">
            <w:pPr>
              <w:jc w:val="right"/>
              <w:rPr>
                <w:rFonts w:eastAsia="Times New Roman"/>
              </w:rPr>
            </w:pPr>
            <w:hyperlink w:anchor="i1e5d551bc54544d38669f82744b9ba4b_85" w:history="1">
              <w:r>
                <w:rPr>
                  <w:rStyle w:val="a3"/>
                  <w:rFonts w:eastAsia="Times New Roman"/>
                  <w:color w:val="0E32E1"/>
                  <w:sz w:val="20"/>
                  <w:szCs w:val="20"/>
                </w:rPr>
                <w:t>56</w:t>
              </w:r>
            </w:hyperlink>
          </w:p>
        </w:tc>
      </w:tr>
      <w:tr w:rsidR="00000000">
        <w:trPr>
          <w:divId w:val="2048529408"/>
        </w:trPr>
        <w:tc>
          <w:tcPr>
            <w:tcW w:w="0" w:type="auto"/>
            <w:gridSpan w:val="3"/>
            <w:tcMar>
              <w:top w:w="30" w:type="dxa"/>
              <w:left w:w="20" w:type="dxa"/>
              <w:bottom w:w="30" w:type="dxa"/>
              <w:right w:w="20" w:type="dxa"/>
            </w:tcMar>
            <w:vAlign w:val="bottom"/>
            <w:hideMark/>
          </w:tcPr>
          <w:p w:rsidR="00000000" w:rsidRDefault="00DA1786">
            <w:pPr>
              <w:divId w:val="1595212231"/>
              <w:rPr>
                <w:rFonts w:eastAsia="Times New Roman"/>
              </w:rPr>
            </w:pPr>
            <w:hyperlink w:anchor="i1e5d551bc54544d38669f82744b9ba4b_88" w:history="1">
              <w:r>
                <w:rPr>
                  <w:rStyle w:val="a3"/>
                  <w:rFonts w:eastAsia="Times New Roman"/>
                  <w:color w:val="0E32E1"/>
                  <w:sz w:val="20"/>
                  <w:szCs w:val="20"/>
                </w:rPr>
                <w:t>Consolidated Statements of</w:t>
              </w:r>
            </w:hyperlink>
            <w:hyperlink w:anchor="i1e5d551bc54544d38669f82744b9ba4b_88" w:history="1">
              <w:r>
                <w:rPr>
                  <w:rStyle w:val="a3"/>
                  <w:rFonts w:eastAsia="Times New Roman"/>
                  <w:color w:val="0E32E1"/>
                  <w:sz w:val="20"/>
                  <w:szCs w:val="20"/>
                </w:rPr>
                <w:t xml:space="preserve"> Stockholders’ Equity (Deficit)</w:t>
              </w:r>
            </w:hyperlink>
          </w:p>
        </w:tc>
        <w:tc>
          <w:tcPr>
            <w:tcW w:w="0" w:type="auto"/>
            <w:gridSpan w:val="3"/>
            <w:tcMar>
              <w:top w:w="30" w:type="dxa"/>
              <w:left w:w="20" w:type="dxa"/>
              <w:bottom w:w="30" w:type="dxa"/>
              <w:right w:w="20" w:type="dxa"/>
            </w:tcMar>
            <w:vAlign w:val="bottom"/>
            <w:hideMark/>
          </w:tcPr>
          <w:p w:rsidR="00000000" w:rsidRDefault="00DA1786">
            <w:pPr>
              <w:jc w:val="right"/>
              <w:rPr>
                <w:rFonts w:eastAsia="Times New Roman"/>
              </w:rPr>
            </w:pPr>
            <w:hyperlink w:anchor="i1e5d551bc54544d38669f82744b9ba4b_88" w:history="1">
              <w:r>
                <w:rPr>
                  <w:rStyle w:val="a3"/>
                  <w:rFonts w:eastAsia="Times New Roman"/>
                  <w:color w:val="0E32E1"/>
                  <w:sz w:val="20"/>
                  <w:szCs w:val="20"/>
                </w:rPr>
                <w:t>57</w:t>
              </w:r>
            </w:hyperlink>
          </w:p>
        </w:tc>
      </w:tr>
      <w:tr w:rsidR="00000000">
        <w:trPr>
          <w:divId w:val="2048529408"/>
        </w:trPr>
        <w:tc>
          <w:tcPr>
            <w:tcW w:w="0" w:type="auto"/>
            <w:gridSpan w:val="3"/>
            <w:tcMar>
              <w:top w:w="30" w:type="dxa"/>
              <w:left w:w="20" w:type="dxa"/>
              <w:bottom w:w="30" w:type="dxa"/>
              <w:right w:w="20" w:type="dxa"/>
            </w:tcMar>
            <w:vAlign w:val="bottom"/>
            <w:hideMark/>
          </w:tcPr>
          <w:p w:rsidR="00000000" w:rsidRDefault="00DA1786">
            <w:pPr>
              <w:divId w:val="1184319239"/>
              <w:rPr>
                <w:rFonts w:eastAsia="Times New Roman"/>
              </w:rPr>
            </w:pPr>
            <w:hyperlink w:anchor="i1e5d551bc54544d38669f82744b9ba4b_91" w:history="1">
              <w:r>
                <w:rPr>
                  <w:rStyle w:val="a3"/>
                  <w:rFonts w:eastAsia="Times New Roman"/>
                  <w:color w:val="0E32E1"/>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DA1786">
            <w:pPr>
              <w:jc w:val="right"/>
              <w:rPr>
                <w:rFonts w:eastAsia="Times New Roman"/>
              </w:rPr>
            </w:pPr>
            <w:hyperlink w:anchor="i1e5d551bc54544d38669f82744b9ba4b_91" w:history="1">
              <w:r>
                <w:rPr>
                  <w:rStyle w:val="a3"/>
                  <w:rFonts w:eastAsia="Times New Roman"/>
                  <w:color w:val="0E32E1"/>
                  <w:sz w:val="20"/>
                  <w:szCs w:val="20"/>
                </w:rPr>
                <w:t>58</w:t>
              </w:r>
            </w:hyperlink>
          </w:p>
        </w:tc>
      </w:tr>
      <w:tr w:rsidR="00000000">
        <w:trPr>
          <w:divId w:val="2048529408"/>
        </w:trPr>
        <w:tc>
          <w:tcPr>
            <w:tcW w:w="0" w:type="auto"/>
            <w:gridSpan w:val="3"/>
            <w:tcMar>
              <w:top w:w="30" w:type="dxa"/>
              <w:left w:w="20" w:type="dxa"/>
              <w:bottom w:w="30" w:type="dxa"/>
              <w:right w:w="20" w:type="dxa"/>
            </w:tcMar>
            <w:vAlign w:val="bottom"/>
            <w:hideMark/>
          </w:tcPr>
          <w:p w:rsidR="00000000" w:rsidRDefault="00DA1786">
            <w:pPr>
              <w:divId w:val="2073195303"/>
              <w:rPr>
                <w:rFonts w:eastAsia="Times New Roman"/>
              </w:rPr>
            </w:pPr>
            <w:hyperlink w:anchor="i1e5d551bc54544d38669f82744b9ba4b_94" w:history="1">
              <w:r>
                <w:rPr>
                  <w:rStyle w:val="a3"/>
                  <w:rFonts w:eastAsia="Times New Roman"/>
                  <w:color w:val="0E32E1"/>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DA1786">
            <w:pPr>
              <w:jc w:val="right"/>
              <w:rPr>
                <w:rFonts w:eastAsia="Times New Roman"/>
              </w:rPr>
            </w:pPr>
            <w:hyperlink w:anchor="i1e5d551bc54544d38669f82744b9ba4b_94" w:history="1">
              <w:r>
                <w:rPr>
                  <w:rStyle w:val="a3"/>
                  <w:rFonts w:eastAsia="Times New Roman"/>
                  <w:color w:val="0E32E1"/>
                  <w:sz w:val="20"/>
                  <w:szCs w:val="20"/>
                </w:rPr>
                <w:t>59</w:t>
              </w:r>
            </w:hyperlink>
          </w:p>
        </w:tc>
      </w:tr>
    </w:tbl>
    <w:p w:rsidR="00000000" w:rsidRDefault="00DA1786">
      <w:pPr>
        <w:divId w:val="1228495584"/>
        <w:rPr>
          <w:rFonts w:eastAsia="Times New Roman"/>
        </w:rPr>
      </w:pPr>
    </w:p>
    <w:p w:rsidR="00000000" w:rsidRDefault="00DA1786">
      <w:pPr>
        <w:ind w:firstLine="720"/>
        <w:jc w:val="center"/>
        <w:divId w:val="1783567873"/>
        <w:rPr>
          <w:rFonts w:eastAsia="Times New Roman"/>
        </w:rPr>
      </w:pPr>
      <w:r>
        <w:rPr>
          <w:rFonts w:eastAsia="Times New Roman"/>
          <w:color w:val="000000"/>
          <w:sz w:val="20"/>
          <w:szCs w:val="20"/>
        </w:rPr>
        <w:t>52</w:t>
      </w:r>
    </w:p>
    <w:p w:rsidR="00000000" w:rsidRDefault="00DA1786">
      <w:pPr>
        <w:rPr>
          <w:rFonts w:eastAsia="Times New Roman"/>
        </w:rPr>
      </w:pPr>
      <w:r>
        <w:rPr>
          <w:rFonts w:eastAsia="Times New Roman"/>
        </w:rPr>
        <w:pict>
          <v:rect id="_x0000_i1077" style="width:0;height:1.5pt" o:hralign="center" o:hrstd="t" o:hr="t" fillcolor="#a0a0a0" stroked="f"/>
        </w:pict>
      </w:r>
    </w:p>
    <w:p w:rsidR="00000000" w:rsidRDefault="00DA1786">
      <w:pPr>
        <w:divId w:val="649746588"/>
        <w:rPr>
          <w:rFonts w:eastAsia="Times New Roman"/>
        </w:rPr>
      </w:pPr>
    </w:p>
    <w:p w:rsidR="00000000" w:rsidRDefault="00DA1786">
      <w:pPr>
        <w:jc w:val="center"/>
        <w:rPr>
          <w:rFonts w:eastAsia="Times New Roman"/>
        </w:rPr>
      </w:pPr>
      <w:r>
        <w:rPr>
          <w:rFonts w:eastAsia="Times New Roman"/>
          <w:b/>
          <w:bCs/>
          <w:color w:val="000000"/>
          <w:sz w:val="20"/>
          <w:szCs w:val="20"/>
        </w:rPr>
        <w:t>Report of Independent Registered Public Accounting Firm</w:t>
      </w:r>
    </w:p>
    <w:p w:rsidR="00000000" w:rsidRDefault="00DA1786">
      <w:pPr>
        <w:divId w:val="1107502967"/>
        <w:rPr>
          <w:rFonts w:eastAsia="Times New Roman"/>
        </w:rPr>
      </w:pPr>
    </w:p>
    <w:p w:rsidR="00000000" w:rsidRDefault="00DA1786">
      <w:pPr>
        <w:jc w:val="both"/>
        <w:rPr>
          <w:rFonts w:eastAsia="Times New Roman"/>
        </w:rPr>
      </w:pPr>
      <w:r>
        <w:rPr>
          <w:rFonts w:eastAsia="Times New Roman"/>
          <w:color w:val="000000"/>
          <w:sz w:val="20"/>
          <w:szCs w:val="20"/>
        </w:rPr>
        <w:t xml:space="preserve">To the Stockholders and the Board of Directors of Millendo Therapeutics, Inc. </w:t>
      </w:r>
    </w:p>
    <w:p w:rsidR="00000000" w:rsidRDefault="00DA1786">
      <w:pPr>
        <w:divId w:val="16809558"/>
        <w:rPr>
          <w:rFonts w:eastAsia="Times New Roman"/>
        </w:rPr>
      </w:pPr>
    </w:p>
    <w:p w:rsidR="00000000" w:rsidRDefault="00DA1786">
      <w:pPr>
        <w:jc w:val="both"/>
        <w:rPr>
          <w:rFonts w:eastAsia="Times New Roman"/>
        </w:rPr>
      </w:pPr>
      <w:r>
        <w:rPr>
          <w:rFonts w:eastAsia="Times New Roman"/>
          <w:b/>
          <w:bCs/>
          <w:color w:val="000000"/>
          <w:sz w:val="20"/>
          <w:szCs w:val="20"/>
        </w:rPr>
        <w:t>Opinion on the Financial Statements</w:t>
      </w:r>
    </w:p>
    <w:p w:rsidR="00000000" w:rsidRDefault="00DA1786">
      <w:pPr>
        <w:divId w:val="1195001415"/>
        <w:rPr>
          <w:rFonts w:eastAsia="Times New Roman"/>
        </w:rPr>
      </w:pPr>
    </w:p>
    <w:p w:rsidR="00000000" w:rsidRDefault="00DA1786">
      <w:pPr>
        <w:jc w:val="both"/>
        <w:rPr>
          <w:rFonts w:eastAsia="Times New Roman"/>
        </w:rPr>
      </w:pPr>
      <w:r>
        <w:rPr>
          <w:rFonts w:eastAsia="Times New Roman"/>
          <w:color w:val="000000"/>
          <w:sz w:val="20"/>
          <w:szCs w:val="20"/>
        </w:rPr>
        <w:t>We have audited the accompanying consolid</w:t>
      </w:r>
      <w:r>
        <w:rPr>
          <w:rFonts w:eastAsia="Times New Roman"/>
          <w:color w:val="000000"/>
          <w:sz w:val="20"/>
          <w:szCs w:val="20"/>
        </w:rPr>
        <w:t>ated balance sheets of Millendo Therapeutics, Inc. (the Company) as of December 31, 2020 and 2019, the related consolidated statements of operations and comprehensive loss, stockholders’ equity (deficit) and cash flows for each of the two years in the peri</w:t>
      </w:r>
      <w:r>
        <w:rPr>
          <w:rFonts w:eastAsia="Times New Roman"/>
          <w:color w:val="000000"/>
          <w:sz w:val="20"/>
          <w:szCs w:val="20"/>
        </w:rPr>
        <w:t>od ended December 31, 2020, and the related notes (collectively referred to as the “consolidated financial statements”). In our opinion, the consolidated financial statements present fairly, in all material respects, the financial position of the Company a</w:t>
      </w:r>
      <w:r>
        <w:rPr>
          <w:rFonts w:eastAsia="Times New Roman"/>
          <w:color w:val="000000"/>
          <w:sz w:val="20"/>
          <w:szCs w:val="20"/>
        </w:rPr>
        <w:t>t December 31, 2020 and 2019, and the results of its operations and its cash flows for each of the two years in the period ended December 31, 2020, in conformity with U.S. generally accepted accounting principles.</w:t>
      </w:r>
    </w:p>
    <w:p w:rsidR="00000000" w:rsidRDefault="00DA1786">
      <w:pPr>
        <w:divId w:val="954484808"/>
        <w:rPr>
          <w:rFonts w:eastAsia="Times New Roman"/>
        </w:rPr>
      </w:pPr>
    </w:p>
    <w:p w:rsidR="00000000" w:rsidRDefault="00DA1786">
      <w:pPr>
        <w:jc w:val="both"/>
        <w:rPr>
          <w:rFonts w:eastAsia="Times New Roman"/>
        </w:rPr>
      </w:pPr>
      <w:r>
        <w:rPr>
          <w:rFonts w:eastAsia="Times New Roman"/>
          <w:b/>
          <w:bCs/>
          <w:color w:val="000000"/>
          <w:sz w:val="20"/>
          <w:szCs w:val="20"/>
        </w:rPr>
        <w:t>Basis for Opinion</w:t>
      </w:r>
    </w:p>
    <w:p w:rsidR="00000000" w:rsidRDefault="00DA1786">
      <w:pPr>
        <w:divId w:val="2118405978"/>
        <w:rPr>
          <w:rFonts w:eastAsia="Times New Roman"/>
        </w:rPr>
      </w:pPr>
    </w:p>
    <w:p w:rsidR="00000000" w:rsidRDefault="00DA1786">
      <w:pPr>
        <w:jc w:val="both"/>
        <w:rPr>
          <w:rFonts w:eastAsia="Times New Roman"/>
        </w:rPr>
      </w:pPr>
      <w:r>
        <w:rPr>
          <w:rFonts w:eastAsia="Times New Roman"/>
          <w:color w:val="000000"/>
          <w:sz w:val="20"/>
          <w:szCs w:val="20"/>
        </w:rPr>
        <w:t>These financial stat</w:t>
      </w:r>
      <w:r>
        <w:rPr>
          <w:rFonts w:eastAsia="Times New Roman"/>
          <w:color w:val="000000"/>
          <w:sz w:val="20"/>
          <w:szCs w:val="20"/>
        </w:rPr>
        <w:t xml:space="preserve">ements are the responsibility of the Company's management. Our responsibility is to express an opinion on the Company’s financial statements based on our audits. We are a public accounting firm registered with the Public Company Accounting Oversight Board </w:t>
      </w:r>
      <w:r>
        <w:rPr>
          <w:rFonts w:eastAsia="Times New Roman"/>
          <w:color w:val="000000"/>
          <w:sz w:val="20"/>
          <w:szCs w:val="20"/>
        </w:rPr>
        <w:t>(United States) (PCAOB) and are required to be independent with respect to the Company in accordance with the U.S. federal securities laws and the applicable rules and regulations of the Securities and Exchange Commission and the PCAOB.</w:t>
      </w:r>
    </w:p>
    <w:p w:rsidR="00000000" w:rsidRDefault="00DA1786">
      <w:pPr>
        <w:divId w:val="1510488008"/>
        <w:rPr>
          <w:rFonts w:eastAsia="Times New Roman"/>
        </w:rPr>
      </w:pPr>
    </w:p>
    <w:p w:rsidR="00000000" w:rsidRDefault="00DA1786">
      <w:pPr>
        <w:jc w:val="both"/>
        <w:rPr>
          <w:rFonts w:eastAsia="Times New Roman"/>
        </w:rPr>
      </w:pPr>
      <w:r>
        <w:rPr>
          <w:rFonts w:eastAsia="Times New Roman"/>
          <w:color w:val="000000"/>
          <w:sz w:val="20"/>
          <w:szCs w:val="20"/>
        </w:rPr>
        <w:t xml:space="preserve">We conducted our </w:t>
      </w:r>
      <w:r>
        <w:rPr>
          <w:rFonts w:eastAsia="Times New Roman"/>
          <w:color w:val="000000"/>
          <w:sz w:val="20"/>
          <w:szCs w:val="20"/>
        </w:rPr>
        <w:t>audits in accordance with the standards of the PCAOB. Those standards require that we plan and perform the audit to obtain reasonable assurance about whether the financial statements are free of material misstatement, whether due to error or fraud. The Com</w:t>
      </w:r>
      <w:r>
        <w:rPr>
          <w:rFonts w:eastAsia="Times New Roman"/>
          <w:color w:val="000000"/>
          <w:sz w:val="20"/>
          <w:szCs w:val="20"/>
        </w:rPr>
        <w:t>pany is not required to have, nor were we engaged to perform, an audit of its internal control over financial reporting. As part of our audits we are required to obtain an understanding of internal control over financial reporting but not for the purpose o</w:t>
      </w:r>
      <w:r>
        <w:rPr>
          <w:rFonts w:eastAsia="Times New Roman"/>
          <w:color w:val="000000"/>
          <w:sz w:val="20"/>
          <w:szCs w:val="20"/>
        </w:rPr>
        <w:t>f expressing an opinion on the effectiveness of the Company's internal control over financial reporting. Accordingly, we express no such opinion.</w:t>
      </w:r>
    </w:p>
    <w:p w:rsidR="00000000" w:rsidRDefault="00DA1786">
      <w:pPr>
        <w:divId w:val="2092770253"/>
        <w:rPr>
          <w:rFonts w:eastAsia="Times New Roman"/>
        </w:rPr>
      </w:pPr>
    </w:p>
    <w:p w:rsidR="00000000" w:rsidRDefault="00DA1786">
      <w:pPr>
        <w:jc w:val="both"/>
        <w:rPr>
          <w:rFonts w:eastAsia="Times New Roman"/>
        </w:rPr>
      </w:pPr>
      <w:r>
        <w:rPr>
          <w:rFonts w:eastAsia="Times New Roman"/>
          <w:color w:val="000000"/>
          <w:sz w:val="20"/>
          <w:szCs w:val="20"/>
        </w:rPr>
        <w:t>Our audits included performing procedures to assess the risks of material misstatement of the financial stat</w:t>
      </w:r>
      <w:r>
        <w:rPr>
          <w:rFonts w:eastAsia="Times New Roman"/>
          <w:color w:val="000000"/>
          <w:sz w:val="20"/>
          <w:szCs w:val="20"/>
        </w:rPr>
        <w:t>ements, whether due to error or fraud, and performing procedures that respond to those risks. Such procedures included examining, on a test basis, evidence regarding the amounts and disclosures in the financial statements. Our audits also included evaluati</w:t>
      </w:r>
      <w:r>
        <w:rPr>
          <w:rFonts w:eastAsia="Times New Roman"/>
          <w:color w:val="000000"/>
          <w:sz w:val="20"/>
          <w:szCs w:val="20"/>
        </w:rPr>
        <w:t>ng the accounting principles used and significant estimates made by management, as well as evaluating the overall presentation of the financial statements. We believe that our audits provide a reasonable basis for our opinion.</w:t>
      </w:r>
    </w:p>
    <w:p w:rsidR="00000000" w:rsidRDefault="00DA1786">
      <w:pPr>
        <w:divId w:val="1871995603"/>
        <w:rPr>
          <w:rFonts w:eastAsia="Times New Roman"/>
        </w:rPr>
      </w:pPr>
    </w:p>
    <w:p w:rsidR="00000000" w:rsidRDefault="00DA1786">
      <w:pPr>
        <w:jc w:val="both"/>
        <w:rPr>
          <w:rFonts w:eastAsia="Times New Roman"/>
        </w:rPr>
      </w:pPr>
      <w:r>
        <w:rPr>
          <w:rFonts w:eastAsia="Times New Roman"/>
          <w:b/>
          <w:bCs/>
          <w:color w:val="000000"/>
          <w:sz w:val="20"/>
          <w:szCs w:val="20"/>
        </w:rPr>
        <w:t>Critical Audit Matter</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w:t>
      </w:r>
      <w:r>
        <w:rPr>
          <w:rFonts w:eastAsia="Times New Roman"/>
          <w:color w:val="000000"/>
          <w:sz w:val="20"/>
          <w:szCs w:val="20"/>
        </w:rPr>
        <w:t xml:space="preserve"> critical audit matter communicated below is a matter arising from the current period audit of the financial statements that was communicated or required to be communicated to the audit committee and that: (1) relates to accounts or disclosures that are ma</w:t>
      </w:r>
      <w:r>
        <w:rPr>
          <w:rFonts w:eastAsia="Times New Roman"/>
          <w:color w:val="000000"/>
          <w:sz w:val="20"/>
          <w:szCs w:val="20"/>
        </w:rPr>
        <w:t>terial to the financial statements and (2) involved our especially challenging, subjective, or complex judgments. The communication of the critical audit matter does not alter in any way our opinion on the consolidated financial statements, taken as a whol</w:t>
      </w:r>
      <w:r>
        <w:rPr>
          <w:rFonts w:eastAsia="Times New Roman"/>
          <w:color w:val="000000"/>
          <w:sz w:val="20"/>
          <w:szCs w:val="20"/>
        </w:rPr>
        <w:t>e, and we are not, by communicating the critical audit matter below, providing a separate opinion on the critical audit matter or on the accounts or disclosures to which it relates.</w:t>
      </w:r>
    </w:p>
    <w:p w:rsidR="00000000" w:rsidRDefault="00DA1786">
      <w:pPr>
        <w:jc w:val="both"/>
        <w:rPr>
          <w:rFonts w:eastAsia="Times New Roman"/>
        </w:rPr>
      </w:pPr>
    </w:p>
    <w:p w:rsidR="00000000" w:rsidRDefault="00DA1786">
      <w:pPr>
        <w:jc w:val="both"/>
        <w:rPr>
          <w:rFonts w:eastAsia="Times New Roman"/>
        </w:rPr>
      </w:pPr>
    </w:p>
    <w:p w:rsidR="00000000" w:rsidRDefault="00DA1786">
      <w:pPr>
        <w:ind w:firstLine="720"/>
        <w:jc w:val="center"/>
        <w:divId w:val="1297370218"/>
        <w:rPr>
          <w:rFonts w:eastAsia="Times New Roman"/>
        </w:rPr>
      </w:pPr>
      <w:r>
        <w:rPr>
          <w:rFonts w:eastAsia="Times New Roman"/>
          <w:color w:val="000000"/>
          <w:sz w:val="20"/>
          <w:szCs w:val="20"/>
        </w:rPr>
        <w:t>53</w:t>
      </w:r>
    </w:p>
    <w:p w:rsidR="00000000" w:rsidRDefault="00DA1786">
      <w:pPr>
        <w:rPr>
          <w:rFonts w:eastAsia="Times New Roman"/>
        </w:rPr>
      </w:pPr>
      <w:r>
        <w:rPr>
          <w:rFonts w:eastAsia="Times New Roman"/>
        </w:rPr>
        <w:pict>
          <v:rect id="_x0000_i1078" style="width:0;height:1.5pt" o:hralign="center" o:hrstd="t" o:hr="t" fillcolor="#a0a0a0" stroked="f"/>
        </w:pict>
      </w:r>
    </w:p>
    <w:p w:rsidR="00000000" w:rsidRDefault="00DA1786">
      <w:pPr>
        <w:divId w:val="178507193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1"/>
        <w:gridCol w:w="1045"/>
        <w:gridCol w:w="36"/>
        <w:gridCol w:w="69"/>
        <w:gridCol w:w="7048"/>
        <w:gridCol w:w="37"/>
      </w:tblGrid>
      <w:tr w:rsidR="00000000">
        <w:trPr>
          <w:divId w:val="1558129637"/>
        </w:trPr>
        <w:tc>
          <w:tcPr>
            <w:tcW w:w="50" w:type="pct"/>
            <w:vAlign w:val="center"/>
            <w:hideMark/>
          </w:tcPr>
          <w:p w:rsidR="00000000" w:rsidRDefault="00DA1786">
            <w:pPr>
              <w:rPr>
                <w:rFonts w:eastAsia="Times New Roman"/>
              </w:rPr>
            </w:pPr>
          </w:p>
        </w:tc>
        <w:tc>
          <w:tcPr>
            <w:tcW w:w="63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50"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558129637"/>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b/>
                <w:bCs/>
                <w:i/>
                <w:iCs/>
                <w:color w:val="000000"/>
                <w:sz w:val="20"/>
                <w:szCs w:val="20"/>
              </w:rPr>
              <w:t>Accrued preclinical and clinical costs</w:t>
            </w:r>
          </w:p>
        </w:tc>
      </w:tr>
      <w:tr w:rsidR="00000000">
        <w:trPr>
          <w:divId w:val="1558129637"/>
          <w:trHeight w:val="2880"/>
        </w:trPr>
        <w:tc>
          <w:tcPr>
            <w:tcW w:w="0" w:type="auto"/>
            <w:gridSpan w:val="3"/>
            <w:vMerge w:val="restart"/>
            <w:tcMar>
              <w:top w:w="30" w:type="dxa"/>
              <w:left w:w="20" w:type="dxa"/>
              <w:bottom w:w="30" w:type="dxa"/>
              <w:right w:w="20" w:type="dxa"/>
            </w:tcMar>
            <w:hideMark/>
          </w:tcPr>
          <w:p w:rsidR="00000000" w:rsidRDefault="00DA1786">
            <w:pPr>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As described in Note 2 to the consolidated financial statements under the caption “Research and development expenses”, and within Note 6, the Company records the cost of research and dev</w:t>
            </w:r>
            <w:r>
              <w:rPr>
                <w:rFonts w:eastAsia="Times New Roman"/>
                <w:color w:val="000000"/>
                <w:sz w:val="20"/>
                <w:szCs w:val="20"/>
              </w:rPr>
              <w:t>elopment activities as they are incurred. These include, among others, costs of funding research performed by third parties, amounts due under agreements with contract manufacturing organizations and outsourced professional scientific development services.</w:t>
            </w:r>
            <w:r>
              <w:rPr>
                <w:rFonts w:eastAsia="Times New Roman"/>
                <w:color w:val="000000"/>
                <w:sz w:val="20"/>
                <w:szCs w:val="20"/>
              </w:rPr>
              <w:t xml:space="preserve"> The amounts recorded include an estimate of progress toward the completion of the applicable research or development objectives. The Company compares payments made to third-party service providers to the estimated progress toward completion of the applica</w:t>
            </w:r>
            <w:r>
              <w:rPr>
                <w:rFonts w:eastAsia="Times New Roman"/>
                <w:color w:val="000000"/>
                <w:sz w:val="20"/>
                <w:szCs w:val="20"/>
              </w:rPr>
              <w:t xml:space="preserve">ble research or development objectives. Such estimates are subject to change as additional information becomes available. Depending on the timing of payments to the service providers and the progress that the Company estimates has been made as a result of </w:t>
            </w:r>
            <w:r>
              <w:rPr>
                <w:rFonts w:eastAsia="Times New Roman"/>
                <w:color w:val="000000"/>
                <w:sz w:val="20"/>
                <w:szCs w:val="20"/>
              </w:rPr>
              <w:t>the service provided, the Company may record net prepaid or accrued expense relating to these costs. As of December 31, 2020, the Company’s accrual for preclinical and clinical costs was $1 million.</w:t>
            </w:r>
          </w:p>
        </w:tc>
      </w:tr>
      <w:tr w:rsidR="00000000">
        <w:trPr>
          <w:divId w:val="1558129637"/>
          <w:trHeight w:val="240"/>
        </w:trPr>
        <w:tc>
          <w:tcPr>
            <w:tcW w:w="0" w:type="auto"/>
            <w:gridSpan w:val="3"/>
            <w:vMerge/>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558129637"/>
          <w:trHeight w:val="1480"/>
        </w:trPr>
        <w:tc>
          <w:tcPr>
            <w:tcW w:w="0" w:type="auto"/>
            <w:gridSpan w:val="3"/>
            <w:vMerge/>
            <w:vAlign w:val="center"/>
            <w:hideMark/>
          </w:tcPr>
          <w:p w:rsidR="00000000" w:rsidRDefault="00DA1786">
            <w:pP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Auditing the Company’</w:t>
            </w:r>
            <w:r>
              <w:rPr>
                <w:rFonts w:eastAsia="Times New Roman"/>
                <w:color w:val="000000"/>
                <w:sz w:val="20"/>
                <w:szCs w:val="20"/>
              </w:rPr>
              <w:t>s accrual for preclinical and clinical costs was challenging because information necessary to estimate the accruals was accumulated from multiple sources. In addition, in certain circumstances, the determination of the nature and level of services that hav</w:t>
            </w:r>
            <w:r>
              <w:rPr>
                <w:rFonts w:eastAsia="Times New Roman"/>
                <w:color w:val="000000"/>
                <w:sz w:val="20"/>
                <w:szCs w:val="20"/>
              </w:rPr>
              <w:t>e been received during the reporting period requires judgment because the timing and pattern of vendor invoicing did not correspond to the level of services provided and invoicing from clinical study sites and other vendors may not yet be available to mana</w:t>
            </w:r>
            <w:r>
              <w:rPr>
                <w:rFonts w:eastAsia="Times New Roman"/>
                <w:color w:val="000000"/>
                <w:sz w:val="20"/>
                <w:szCs w:val="20"/>
              </w:rPr>
              <w:t>gement.</w:t>
            </w:r>
          </w:p>
        </w:tc>
      </w:tr>
      <w:tr w:rsidR="00000000">
        <w:trPr>
          <w:divId w:val="1558129637"/>
          <w:trHeight w:val="300"/>
        </w:trPr>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558129637"/>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 xml:space="preserve">To test the accrued preclinical and clinical costs, our audit procedures included, among others, testing the completeness and accuracy of the underlying data used in the estimate, including, but </w:t>
            </w:r>
            <w:r>
              <w:rPr>
                <w:rFonts w:eastAsia="Times New Roman"/>
                <w:color w:val="000000"/>
                <w:sz w:val="20"/>
                <w:szCs w:val="20"/>
              </w:rPr>
              <w:t xml:space="preserve">not limited to, estimated project duration, research and manufacturing services incurred to date and terms of contractual arrangements. To assess the reasonableness of the data, we corroborated the progress of the clinical trials with Company research and </w:t>
            </w:r>
            <w:r>
              <w:rPr>
                <w:rFonts w:eastAsia="Times New Roman"/>
                <w:color w:val="000000"/>
                <w:sz w:val="20"/>
                <w:szCs w:val="20"/>
              </w:rPr>
              <w:t>development personnel and obtained third-party evidence supporting the activities performed to date. We recalculated the accrual based on executed contracts with the clinical research organizations, contract manufacturing organizations and clinical study s</w:t>
            </w:r>
            <w:r>
              <w:rPr>
                <w:rFonts w:eastAsia="Times New Roman"/>
                <w:color w:val="000000"/>
                <w:sz w:val="20"/>
                <w:szCs w:val="20"/>
              </w:rPr>
              <w:t>ites. We also tested subsequent invoicing received from third parties and any pending change orders to assess the impact to the accrual through the balance sheet date and compared that to the Company’s estimates.</w:t>
            </w:r>
          </w:p>
        </w:tc>
      </w:tr>
    </w:tbl>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/s/ Ernst &amp; Young LLP</w:t>
      </w:r>
    </w:p>
    <w:p w:rsidR="00000000" w:rsidRDefault="00DA1786">
      <w:pPr>
        <w:divId w:val="341665161"/>
        <w:rPr>
          <w:rFonts w:eastAsia="Times New Roman"/>
        </w:rPr>
      </w:pPr>
    </w:p>
    <w:p w:rsidR="00000000" w:rsidRDefault="00DA1786">
      <w:pPr>
        <w:jc w:val="both"/>
        <w:rPr>
          <w:rFonts w:eastAsia="Times New Roman"/>
        </w:rPr>
      </w:pPr>
      <w:r>
        <w:rPr>
          <w:rFonts w:eastAsia="Times New Roman"/>
          <w:color w:val="000000"/>
          <w:sz w:val="20"/>
          <w:szCs w:val="20"/>
        </w:rPr>
        <w:t>We have served as the Company's auditor since 2016.</w:t>
      </w:r>
    </w:p>
    <w:p w:rsidR="00000000" w:rsidRDefault="00DA1786">
      <w:pPr>
        <w:divId w:val="1900163974"/>
        <w:rPr>
          <w:rFonts w:eastAsia="Times New Roman"/>
        </w:rPr>
      </w:pPr>
    </w:p>
    <w:p w:rsidR="00000000" w:rsidRDefault="00DA1786">
      <w:pPr>
        <w:jc w:val="both"/>
        <w:rPr>
          <w:rFonts w:eastAsia="Times New Roman"/>
        </w:rPr>
      </w:pPr>
      <w:r>
        <w:rPr>
          <w:rFonts w:eastAsia="Times New Roman"/>
          <w:color w:val="000000"/>
          <w:sz w:val="20"/>
          <w:szCs w:val="20"/>
        </w:rPr>
        <w:t>Grand Rapids, Michigan</w:t>
      </w:r>
    </w:p>
    <w:p w:rsidR="00000000" w:rsidRDefault="00DA1786">
      <w:pPr>
        <w:jc w:val="both"/>
        <w:rPr>
          <w:rFonts w:eastAsia="Times New Roman"/>
        </w:rPr>
      </w:pPr>
      <w:r>
        <w:rPr>
          <w:rFonts w:eastAsia="Times New Roman"/>
          <w:color w:val="000000"/>
          <w:sz w:val="20"/>
          <w:szCs w:val="20"/>
        </w:rPr>
        <w:t>March 29, 2021</w:t>
      </w:r>
    </w:p>
    <w:p w:rsidR="00000000" w:rsidRDefault="00DA1786">
      <w:pPr>
        <w:ind w:firstLine="720"/>
        <w:jc w:val="center"/>
        <w:divId w:val="828249064"/>
        <w:rPr>
          <w:rFonts w:eastAsia="Times New Roman"/>
        </w:rPr>
      </w:pPr>
      <w:r>
        <w:rPr>
          <w:rFonts w:eastAsia="Times New Roman"/>
          <w:color w:val="000000"/>
          <w:sz w:val="20"/>
          <w:szCs w:val="20"/>
        </w:rPr>
        <w:t>54</w:t>
      </w:r>
    </w:p>
    <w:p w:rsidR="00000000" w:rsidRDefault="00DA1786">
      <w:pPr>
        <w:rPr>
          <w:rFonts w:eastAsia="Times New Roman"/>
        </w:rPr>
      </w:pPr>
      <w:r>
        <w:rPr>
          <w:rFonts w:eastAsia="Times New Roman"/>
        </w:rPr>
        <w:pict>
          <v:rect id="_x0000_i1079" style="width:0;height:1.5pt" o:hralign="center" o:hrstd="t" o:hr="t" fillcolor="#a0a0a0" stroked="f"/>
        </w:pict>
      </w:r>
    </w:p>
    <w:p w:rsidR="00000000" w:rsidRDefault="00DA1786">
      <w:pPr>
        <w:divId w:val="197473368"/>
        <w:rPr>
          <w:rFonts w:eastAsia="Times New Roman"/>
        </w:rPr>
      </w:pPr>
    </w:p>
    <w:p w:rsidR="00000000" w:rsidRDefault="00DA1786">
      <w:pPr>
        <w:jc w:val="center"/>
        <w:divId w:val="879050772"/>
        <w:rPr>
          <w:rFonts w:eastAsia="Times New Roman"/>
        </w:rPr>
      </w:pPr>
      <w:r>
        <w:rPr>
          <w:rFonts w:eastAsia="Times New Roman"/>
          <w:b/>
          <w:bCs/>
          <w:color w:val="000000"/>
          <w:sz w:val="20"/>
          <w:szCs w:val="20"/>
        </w:rPr>
        <w:t>Millendo Therapeutics, Inc.</w:t>
      </w:r>
    </w:p>
    <w:p w:rsidR="00000000" w:rsidRDefault="00DA1786">
      <w:pPr>
        <w:jc w:val="center"/>
        <w:divId w:val="1449734244"/>
        <w:rPr>
          <w:rFonts w:eastAsia="Times New Roman"/>
        </w:rPr>
      </w:pPr>
      <w:r>
        <w:rPr>
          <w:rFonts w:eastAsia="Times New Roman"/>
          <w:b/>
          <w:bCs/>
          <w:color w:val="000000"/>
          <w:sz w:val="20"/>
          <w:szCs w:val="20"/>
        </w:rPr>
        <w:t>Consolidated Balance Sheets</w:t>
      </w:r>
    </w:p>
    <w:p w:rsidR="00000000" w:rsidRDefault="00DA1786">
      <w:pPr>
        <w:jc w:val="center"/>
        <w:divId w:val="129985159"/>
        <w:rPr>
          <w:rFonts w:eastAsia="Times New Roman"/>
        </w:rPr>
      </w:pPr>
      <w:r>
        <w:rPr>
          <w:rFonts w:eastAsia="Times New Roman"/>
          <w:b/>
          <w:bCs/>
          <w:color w:val="000000"/>
          <w:sz w:val="20"/>
          <w:szCs w:val="20"/>
        </w:rPr>
        <w:t>(in thousands except share and per share amounts)</w:t>
      </w:r>
    </w:p>
    <w:tbl>
      <w:tblPr>
        <w:tblW w:w="4985" w:type="pct"/>
        <w:tblCellMar>
          <w:top w:w="15" w:type="dxa"/>
          <w:left w:w="15" w:type="dxa"/>
          <w:bottom w:w="15" w:type="dxa"/>
          <w:right w:w="15" w:type="dxa"/>
        </w:tblCellMar>
        <w:tblLook w:val="04A0" w:firstRow="1" w:lastRow="0" w:firstColumn="1" w:lastColumn="0" w:noHBand="0" w:noVBand="1"/>
      </w:tblPr>
      <w:tblGrid>
        <w:gridCol w:w="43"/>
        <w:gridCol w:w="6148"/>
        <w:gridCol w:w="40"/>
        <w:gridCol w:w="111"/>
        <w:gridCol w:w="840"/>
        <w:gridCol w:w="36"/>
        <w:gridCol w:w="36"/>
        <w:gridCol w:w="36"/>
        <w:gridCol w:w="36"/>
        <w:gridCol w:w="111"/>
        <w:gridCol w:w="808"/>
        <w:gridCol w:w="36"/>
      </w:tblGrid>
      <w:tr w:rsidR="00000000">
        <w:trPr>
          <w:divId w:val="1107384144"/>
        </w:trPr>
        <w:tc>
          <w:tcPr>
            <w:tcW w:w="50" w:type="pct"/>
            <w:vAlign w:val="center"/>
            <w:hideMark/>
          </w:tcPr>
          <w:p w:rsidR="00000000" w:rsidRDefault="00DA1786">
            <w:pPr>
              <w:jc w:val="center"/>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107384144"/>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December 31,</w:t>
            </w:r>
          </w:p>
        </w:tc>
      </w:tr>
      <w:tr w:rsidR="00000000">
        <w:trPr>
          <w:divId w:val="1107384144"/>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divId w:val="1526560389"/>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divId w:val="176043604"/>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38,174 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62,478 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Short-term restricted cash</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484 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1,034 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1,929 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6,344 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Refundable tax credit</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1,276 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divId w:val="1515412599"/>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40,901 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71,132 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2,157 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3,331 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351 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507 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43,409 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74,970 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18"/>
                <w:szCs w:val="18"/>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Current portion of debt</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239 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208 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1,486 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1,495 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Accrued expenses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5,525 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9,066 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Operating lease liabilities - current</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737 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1,751 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380" w:type="dxa"/>
              <w:bottom w:w="30" w:type="dxa"/>
              <w:right w:w="20" w:type="dxa"/>
            </w:tcMar>
            <w:vAlign w:val="bottom"/>
            <w:hideMark/>
          </w:tcPr>
          <w:p w:rsidR="00000000" w:rsidRDefault="00DA1786">
            <w:pPr>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7,987 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12,520 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Debt, net of current portion</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168 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1,635 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2,395 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9,683 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15,099 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Commitments and contingencies (Note 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07384144"/>
        </w:trPr>
        <w:tc>
          <w:tcPr>
            <w:tcW w:w="0" w:type="auto"/>
            <w:gridSpan w:val="3"/>
            <w:shd w:val="clear" w:color="auto" w:fill="FFFFFF"/>
            <w:tcMar>
              <w:top w:w="30" w:type="dxa"/>
              <w:left w:w="20" w:type="dxa"/>
              <w:bottom w:w="30" w:type="dxa"/>
              <w:right w:w="20" w:type="dxa"/>
            </w:tcMar>
            <w:vAlign w:val="bottom"/>
            <w:hideMark/>
          </w:tcPr>
          <w:p w:rsidR="00000000" w:rsidRDefault="00DA1786">
            <w:pPr>
              <w:divId w:val="1831483243"/>
              <w:rPr>
                <w:rFonts w:eastAsia="Times New Roman"/>
              </w:rPr>
            </w:pPr>
            <w:r>
              <w:rPr>
                <w:rFonts w:eastAsia="Times New Roman"/>
                <w:color w:val="000000"/>
                <w:sz w:val="18"/>
                <w:szCs w:val="18"/>
              </w:rPr>
              <w:t xml:space="preserve">Preferred stock, $0.001 par value: 5,000,000 shares authorized; no </w:t>
            </w:r>
            <w:r>
              <w:rPr>
                <w:rFonts w:eastAsia="Times New Roman"/>
                <w:color w:val="000000"/>
                <w:sz w:val="18"/>
                <w:szCs w:val="18"/>
              </w:rPr>
              <w:t>shares issued and outstanding</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divId w:val="333262903"/>
              <w:rPr>
                <w:rFonts w:eastAsia="Times New Roman"/>
              </w:rPr>
            </w:pPr>
            <w:r>
              <w:rPr>
                <w:rFonts w:eastAsia="Times New Roman"/>
                <w:color w:val="000000"/>
                <w:sz w:val="18"/>
                <w:szCs w:val="18"/>
              </w:rPr>
              <w:t>Common stock, $0.001 par value: 100,000,000 shares authorized; 18,999,701 shares and 18,266,545 shares issued and outstanding at December 31, 2020 and 2019, respectively</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277,647 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267,018 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(245,060)</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(208,654)</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Accumulated 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452 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165 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 xml:space="preserve">Total stockholders’ </w:t>
            </w:r>
            <w:r>
              <w:rPr>
                <w:rFonts w:eastAsia="Times New Roman"/>
                <w:color w:val="000000"/>
                <w:sz w:val="18"/>
                <w:szCs w:val="18"/>
              </w:rPr>
              <w:t>equity attributable to Millendo Therapeutics, Inc.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33,058 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58,547 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Equity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1,324 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33,726 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59,871 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07384144"/>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43,409 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74,970 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center"/>
        <w:divId w:val="1137574626"/>
        <w:rPr>
          <w:rFonts w:eastAsia="Times New Roman"/>
        </w:rPr>
      </w:pPr>
      <w:r>
        <w:rPr>
          <w:rFonts w:eastAsia="Times New Roman"/>
          <w:color w:val="000000"/>
          <w:sz w:val="20"/>
          <w:szCs w:val="20"/>
        </w:rPr>
        <w:t>See accompanying Notes to Consolidated Financial Statements</w:t>
      </w:r>
    </w:p>
    <w:p w:rsidR="00000000" w:rsidRDefault="00DA1786">
      <w:pPr>
        <w:ind w:firstLine="720"/>
        <w:jc w:val="center"/>
        <w:divId w:val="414479433"/>
        <w:rPr>
          <w:rFonts w:eastAsia="Times New Roman"/>
        </w:rPr>
      </w:pPr>
      <w:r>
        <w:rPr>
          <w:rFonts w:eastAsia="Times New Roman"/>
          <w:color w:val="000000"/>
          <w:sz w:val="20"/>
          <w:szCs w:val="20"/>
        </w:rPr>
        <w:t>55</w:t>
      </w:r>
    </w:p>
    <w:p w:rsidR="00000000" w:rsidRDefault="00DA1786">
      <w:pPr>
        <w:rPr>
          <w:rFonts w:eastAsia="Times New Roman"/>
        </w:rPr>
      </w:pPr>
      <w:r>
        <w:rPr>
          <w:rFonts w:eastAsia="Times New Roman"/>
        </w:rPr>
        <w:pict>
          <v:rect id="_x0000_i1080" style="width:0;height:1.5pt" o:hralign="center" o:hrstd="t" o:hr="t" fillcolor="#a0a0a0" stroked="f"/>
        </w:pict>
      </w:r>
    </w:p>
    <w:p w:rsidR="00000000" w:rsidRDefault="00DA1786">
      <w:pPr>
        <w:divId w:val="1893955496"/>
        <w:rPr>
          <w:rFonts w:eastAsia="Times New Roman"/>
        </w:rPr>
      </w:pPr>
    </w:p>
    <w:p w:rsidR="00000000" w:rsidRDefault="00DA1786">
      <w:pPr>
        <w:jc w:val="center"/>
        <w:divId w:val="757749790"/>
        <w:rPr>
          <w:rFonts w:eastAsia="Times New Roman"/>
        </w:rPr>
      </w:pPr>
      <w:r>
        <w:rPr>
          <w:rFonts w:eastAsia="Times New Roman"/>
          <w:b/>
          <w:bCs/>
          <w:color w:val="000000"/>
          <w:sz w:val="20"/>
          <w:szCs w:val="20"/>
        </w:rPr>
        <w:t>Millendo Therapeutics, Inc.</w:t>
      </w:r>
    </w:p>
    <w:p w:rsidR="00000000" w:rsidRDefault="00DA1786">
      <w:pPr>
        <w:jc w:val="center"/>
        <w:divId w:val="490633832"/>
        <w:rPr>
          <w:rFonts w:eastAsia="Times New Roman"/>
        </w:rPr>
      </w:pPr>
      <w:r>
        <w:rPr>
          <w:rFonts w:eastAsia="Times New Roman"/>
          <w:b/>
          <w:bCs/>
          <w:color w:val="000000"/>
          <w:sz w:val="20"/>
          <w:szCs w:val="20"/>
        </w:rPr>
        <w:t>Consolidated Statements of Operations and Comprehensive Loss</w:t>
      </w:r>
    </w:p>
    <w:p w:rsidR="00000000" w:rsidRDefault="00DA1786">
      <w:pPr>
        <w:jc w:val="center"/>
        <w:divId w:val="596448235"/>
        <w:rPr>
          <w:rFonts w:eastAsia="Times New Roman"/>
        </w:rPr>
      </w:pPr>
      <w:r>
        <w:rPr>
          <w:rFonts w:eastAsia="Times New Roman"/>
          <w:b/>
          <w:bCs/>
          <w:color w:val="000000"/>
          <w:sz w:val="20"/>
          <w:szCs w:val="20"/>
        </w:rPr>
        <w:t>(in thousands except share and per share amounts)</w:t>
      </w:r>
    </w:p>
    <w:tbl>
      <w:tblPr>
        <w:tblW w:w="4985" w:type="pct"/>
        <w:tblCellMar>
          <w:top w:w="15" w:type="dxa"/>
          <w:left w:w="15" w:type="dxa"/>
          <w:bottom w:w="15" w:type="dxa"/>
          <w:right w:w="15" w:type="dxa"/>
        </w:tblCellMar>
        <w:tblLook w:val="04A0" w:firstRow="1" w:lastRow="0" w:firstColumn="1" w:lastColumn="0" w:noHBand="0" w:noVBand="1"/>
      </w:tblPr>
      <w:tblGrid>
        <w:gridCol w:w="39"/>
        <w:gridCol w:w="6010"/>
        <w:gridCol w:w="38"/>
        <w:gridCol w:w="121"/>
        <w:gridCol w:w="886"/>
        <w:gridCol w:w="36"/>
        <w:gridCol w:w="36"/>
        <w:gridCol w:w="36"/>
        <w:gridCol w:w="36"/>
        <w:gridCol w:w="121"/>
        <w:gridCol w:w="886"/>
        <w:gridCol w:w="36"/>
      </w:tblGrid>
      <w:tr w:rsidR="00000000">
        <w:trPr>
          <w:divId w:val="1440101956"/>
        </w:trPr>
        <w:tc>
          <w:tcPr>
            <w:tcW w:w="50" w:type="pct"/>
            <w:vAlign w:val="center"/>
            <w:hideMark/>
          </w:tcPr>
          <w:p w:rsidR="00000000" w:rsidRDefault="00DA1786">
            <w:pPr>
              <w:jc w:val="center"/>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440101956"/>
        </w:trPr>
        <w:tc>
          <w:tcPr>
            <w:tcW w:w="0" w:type="auto"/>
            <w:gridSpan w:val="3"/>
            <w:tcMar>
              <w:top w:w="30" w:type="dxa"/>
              <w:left w:w="20" w:type="dxa"/>
              <w:bottom w:w="30" w:type="dxa"/>
              <w:right w:w="20" w:type="dxa"/>
            </w:tcMar>
            <w:vAlign w:val="bottom"/>
            <w:hideMark/>
          </w:tcPr>
          <w:p w:rsidR="00000000" w:rsidRDefault="00DA1786">
            <w:pPr>
              <w:divId w:val="694618615"/>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 December 31,</w:t>
            </w:r>
          </w:p>
        </w:tc>
      </w:tr>
      <w:tr w:rsidR="00000000">
        <w:trPr>
          <w:divId w:val="1440101956"/>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144010195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440101956"/>
        </w:trPr>
        <w:tc>
          <w:tcPr>
            <w:tcW w:w="0" w:type="auto"/>
            <w:gridSpan w:val="3"/>
            <w:shd w:val="clear" w:color="auto" w:fill="FFFFFF"/>
            <w:tcMar>
              <w:top w:w="30" w:type="dxa"/>
              <w:left w:w="20" w:type="dxa"/>
              <w:bottom w:w="30" w:type="dxa"/>
              <w:right w:w="20" w:type="dxa"/>
            </w:tcMar>
            <w:vAlign w:val="bottom"/>
            <w:hideMark/>
          </w:tcPr>
          <w:p w:rsidR="00000000" w:rsidRDefault="00DA1786">
            <w:pPr>
              <w:divId w:val="1579099952"/>
              <w:rPr>
                <w:rFonts w:eastAsia="Times New Roman"/>
              </w:rPr>
            </w:pPr>
            <w:r>
              <w:rPr>
                <w:rFonts w:eastAsia="Times New Roman"/>
                <w:color w:val="000000"/>
                <w:sz w:val="20"/>
                <w:szCs w:val="20"/>
              </w:rPr>
              <w:t>Research and development</w:t>
            </w: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20,374 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27,843 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15,598 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17,556 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440101956"/>
        </w:trPr>
        <w:tc>
          <w:tcPr>
            <w:tcW w:w="0" w:type="auto"/>
            <w:gridSpan w:val="3"/>
            <w:shd w:val="clear" w:color="auto" w:fill="FFFFFF"/>
            <w:tcMar>
              <w:top w:w="30" w:type="dxa"/>
              <w:left w:w="20" w:type="dxa"/>
              <w:bottom w:w="30" w:type="dxa"/>
              <w:right w:w="20" w:type="dxa"/>
            </w:tcMar>
            <w:vAlign w:val="bottom"/>
            <w:hideMark/>
          </w:tcPr>
          <w:p w:rsidR="00000000" w:rsidRDefault="00DA1786">
            <w:pPr>
              <w:divId w:val="170624835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35,972 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45,399 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Other expenses:</w:t>
            </w: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440101956"/>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Interest income, net</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440101956"/>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Other loss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589 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Net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(36,406)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(44,568)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44010195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44010195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Net loss per share of common stock, basic and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(1.93)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(3.25)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Weighted-average shares of common stock outstanding, basic and 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18,862,537 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13,706,744 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Other comprehensive income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440101956"/>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Foreign currency translation adjustment</w:t>
            </w: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44010195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Comprehensive loss</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(36,119)</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(44,551)</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center"/>
        <w:divId w:val="1645427422"/>
        <w:rPr>
          <w:rFonts w:eastAsia="Times New Roman"/>
        </w:rPr>
      </w:pPr>
      <w:r>
        <w:rPr>
          <w:rFonts w:eastAsia="Times New Roman"/>
          <w:color w:val="000000"/>
          <w:sz w:val="20"/>
          <w:szCs w:val="20"/>
        </w:rPr>
        <w:t>See accompanying Notes to Consolidated Financial Statements</w:t>
      </w:r>
    </w:p>
    <w:p w:rsidR="00000000" w:rsidRDefault="00DA1786">
      <w:pPr>
        <w:ind w:firstLine="720"/>
        <w:jc w:val="center"/>
        <w:divId w:val="1762025501"/>
        <w:rPr>
          <w:rFonts w:eastAsia="Times New Roman"/>
        </w:rPr>
      </w:pPr>
      <w:r>
        <w:rPr>
          <w:rFonts w:eastAsia="Times New Roman"/>
          <w:color w:val="000000"/>
          <w:sz w:val="20"/>
          <w:szCs w:val="20"/>
        </w:rPr>
        <w:t>56</w:t>
      </w:r>
    </w:p>
    <w:p w:rsidR="00000000" w:rsidRDefault="00DA1786">
      <w:pPr>
        <w:rPr>
          <w:rFonts w:eastAsia="Times New Roman"/>
        </w:rPr>
      </w:pPr>
      <w:r>
        <w:rPr>
          <w:rFonts w:eastAsia="Times New Roman"/>
        </w:rPr>
        <w:pict>
          <v:rect id="_x0000_i1081" style="width:0;height:1.5pt" o:hralign="center" o:hrstd="t" o:hr="t" fillcolor="#a0a0a0" stroked="f"/>
        </w:pict>
      </w:r>
    </w:p>
    <w:p w:rsidR="00000000" w:rsidRDefault="00DA1786">
      <w:pPr>
        <w:divId w:val="2037267874"/>
        <w:rPr>
          <w:rFonts w:eastAsia="Times New Roman"/>
        </w:rPr>
      </w:pPr>
    </w:p>
    <w:p w:rsidR="00000000" w:rsidRDefault="00DA1786">
      <w:pPr>
        <w:jc w:val="center"/>
        <w:divId w:val="1081758091"/>
        <w:rPr>
          <w:rFonts w:eastAsia="Times New Roman"/>
        </w:rPr>
      </w:pPr>
      <w:r>
        <w:rPr>
          <w:rFonts w:eastAsia="Times New Roman"/>
          <w:b/>
          <w:bCs/>
          <w:color w:val="000000"/>
          <w:sz w:val="20"/>
          <w:szCs w:val="20"/>
        </w:rPr>
        <w:t>Millendo Therapeutics, Inc.</w:t>
      </w:r>
    </w:p>
    <w:p w:rsidR="00000000" w:rsidRDefault="00DA1786">
      <w:pPr>
        <w:jc w:val="center"/>
        <w:divId w:val="1538392656"/>
        <w:rPr>
          <w:rFonts w:eastAsia="Times New Roman"/>
        </w:rPr>
      </w:pPr>
      <w:r>
        <w:rPr>
          <w:rFonts w:eastAsia="Times New Roman"/>
          <w:b/>
          <w:bCs/>
          <w:color w:val="000000"/>
          <w:sz w:val="20"/>
          <w:szCs w:val="20"/>
        </w:rPr>
        <w:t>Consolidated Statements of Stockholders’ Equity (Deficit)</w:t>
      </w:r>
    </w:p>
    <w:p w:rsidR="00000000" w:rsidRDefault="00DA1786">
      <w:pPr>
        <w:jc w:val="center"/>
        <w:divId w:val="922908135"/>
        <w:rPr>
          <w:rFonts w:eastAsia="Times New Roman"/>
        </w:rPr>
      </w:pPr>
      <w:r>
        <w:rPr>
          <w:rFonts w:eastAsia="Times New Roman"/>
          <w:b/>
          <w:bCs/>
          <w:color w:val="000000"/>
          <w:sz w:val="20"/>
          <w:szCs w:val="20"/>
        </w:rPr>
        <w:t>(in thousands except share amounts)</w:t>
      </w:r>
    </w:p>
    <w:tbl>
      <w:tblPr>
        <w:tblW w:w="4978" w:type="pct"/>
        <w:tblCellMar>
          <w:top w:w="15" w:type="dxa"/>
          <w:left w:w="15" w:type="dxa"/>
          <w:bottom w:w="15" w:type="dxa"/>
          <w:right w:w="15" w:type="dxa"/>
        </w:tblCellMar>
        <w:tblLook w:val="04A0" w:firstRow="1" w:lastRow="0" w:firstColumn="1" w:lastColumn="0" w:noHBand="0" w:noVBand="1"/>
      </w:tblPr>
      <w:tblGrid>
        <w:gridCol w:w="50"/>
        <w:gridCol w:w="1353"/>
        <w:gridCol w:w="36"/>
        <w:gridCol w:w="62"/>
        <w:gridCol w:w="585"/>
        <w:gridCol w:w="37"/>
        <w:gridCol w:w="36"/>
        <w:gridCol w:w="36"/>
        <w:gridCol w:w="36"/>
        <w:gridCol w:w="80"/>
        <w:gridCol w:w="567"/>
        <w:gridCol w:w="36"/>
        <w:gridCol w:w="36"/>
        <w:gridCol w:w="36"/>
        <w:gridCol w:w="36"/>
        <w:gridCol w:w="81"/>
        <w:gridCol w:w="567"/>
        <w:gridCol w:w="36"/>
        <w:gridCol w:w="36"/>
        <w:gridCol w:w="36"/>
        <w:gridCol w:w="36"/>
        <w:gridCol w:w="81"/>
        <w:gridCol w:w="638"/>
        <w:gridCol w:w="36"/>
        <w:gridCol w:w="36"/>
        <w:gridCol w:w="36"/>
        <w:gridCol w:w="36"/>
        <w:gridCol w:w="87"/>
        <w:gridCol w:w="745"/>
        <w:gridCol w:w="36"/>
        <w:gridCol w:w="36"/>
        <w:gridCol w:w="36"/>
        <w:gridCol w:w="36"/>
        <w:gridCol w:w="81"/>
        <w:gridCol w:w="662"/>
        <w:gridCol w:w="36"/>
        <w:gridCol w:w="36"/>
        <w:gridCol w:w="36"/>
        <w:gridCol w:w="36"/>
        <w:gridCol w:w="85"/>
        <w:gridCol w:w="721"/>
        <w:gridCol w:w="36"/>
        <w:gridCol w:w="36"/>
        <w:gridCol w:w="36"/>
        <w:gridCol w:w="36"/>
        <w:gridCol w:w="81"/>
        <w:gridCol w:w="662"/>
        <w:gridCol w:w="36"/>
      </w:tblGrid>
      <w:tr w:rsidR="00000000">
        <w:trPr>
          <w:divId w:val="303314042"/>
        </w:trPr>
        <w:tc>
          <w:tcPr>
            <w:tcW w:w="50" w:type="pct"/>
            <w:vAlign w:val="center"/>
            <w:hideMark/>
          </w:tcPr>
          <w:p w:rsidR="00000000" w:rsidRDefault="00DA1786">
            <w:pPr>
              <w:jc w:val="center"/>
              <w:rPr>
                <w:rFonts w:eastAsia="Times New Roman"/>
              </w:rPr>
            </w:pPr>
          </w:p>
        </w:tc>
        <w:tc>
          <w:tcPr>
            <w:tcW w:w="88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7"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7"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7"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7"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7"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7"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17"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2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303314042"/>
          <w:trHeight w:val="54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303314042"/>
          <w:trHeight w:val="72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Common Stock</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Income</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(Deficit)</w:t>
            </w:r>
            <w:r>
              <w:rPr>
                <w:rFonts w:eastAsia="Times New Roman"/>
                <w:b/>
                <w:bCs/>
                <w:color w:val="000000"/>
                <w:sz w:val="12"/>
                <w:szCs w:val="12"/>
              </w:rPr>
              <w:br/>
              <w:t>attributable</w:t>
            </w:r>
            <w:r>
              <w:rPr>
                <w:rFonts w:eastAsia="Times New Roman"/>
                <w:b/>
                <w:bCs/>
                <w:color w:val="000000"/>
                <w:sz w:val="12"/>
                <w:szCs w:val="12"/>
              </w:rPr>
              <w:br/>
              <w:t>to Millendo Therapeutics,</w:t>
            </w:r>
            <w:r>
              <w:rPr>
                <w:rFonts w:eastAsia="Times New Roman"/>
                <w:b/>
                <w:bCs/>
                <w:color w:val="000000"/>
                <w:sz w:val="12"/>
                <w:szCs w:val="12"/>
              </w:rPr>
              <w:br/>
              <w:t>Inc.</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r>
            <w:r>
              <w:rPr>
                <w:rFonts w:eastAsia="Times New Roman"/>
                <w:b/>
                <w:bCs/>
                <w:color w:val="000000"/>
                <w:sz w:val="12"/>
                <w:szCs w:val="12"/>
              </w:rPr>
              <w:t>Noncontrolling</w:t>
            </w:r>
            <w:r>
              <w:rPr>
                <w:rFonts w:eastAsia="Times New Roman"/>
                <w:b/>
                <w:bCs/>
                <w:color w:val="000000"/>
                <w:sz w:val="12"/>
                <w:szCs w:val="12"/>
              </w:rPr>
              <w:br/>
              <w:t>Interests</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(Deficit)</w:t>
            </w:r>
            <w:r>
              <w:rPr>
                <w:rFonts w:eastAsia="Times New Roman"/>
                <w:b/>
                <w:bCs/>
                <w:color w:val="000000"/>
                <w:sz w:val="12"/>
                <w:szCs w:val="12"/>
              </w:rPr>
              <w:br/>
              <w:t>Equity</w:t>
            </w:r>
          </w:p>
        </w:tc>
      </w:tr>
      <w:tr w:rsidR="00000000">
        <w:trPr>
          <w:divId w:val="303314042"/>
          <w:trHeight w:val="220"/>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Shares</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vMerge/>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vMerge/>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vMerge/>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vMerge/>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vMerge/>
            <w:vAlign w:val="center"/>
            <w:hideMark/>
          </w:tcPr>
          <w:p w:rsidR="00000000" w:rsidRDefault="00DA1786">
            <w:pPr>
              <w:rPr>
                <w:rFonts w:eastAsia="Times New Roman"/>
              </w:rPr>
            </w:pPr>
          </w:p>
        </w:tc>
      </w:tr>
      <w:tr w:rsidR="00DA1786">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Balance at January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13,357,999 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234,876 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(164,086)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70,951 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73,122 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Exercise of stock options</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97,225 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361 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361 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361 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Issuance of common stock to board of directors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1,941 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Issuance of common stock, net of issuance costs</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4,791,667 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5 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26,486 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26,491 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26,491 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Exercise/forfeiture of BSPCE warrants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17,713 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958 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958 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(847)</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111 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Stock-based compensation expense</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4,317 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4,317 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4,317 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Net income (loss)</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(44,568)</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(44,568)</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(44,568)</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DA1786">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Balance at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18,266,545 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267,018 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(208,654)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58,547 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59,871 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Exercise of stock options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1,449 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2 </w:t>
            </w:r>
          </w:p>
        </w:tc>
        <w:tc>
          <w:tcPr>
            <w:tcW w:w="0" w:type="auto"/>
            <w:tcBorders>
              <w:top w:val="single" w:sz="8" w:space="0" w:color="000000"/>
            </w:tcBorders>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Issuance of common stock,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719,400 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5,649 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5,650 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5,650 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Exercise/forfeiture of BSPCE warrants</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12,307 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734 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734 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(656)</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78 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4,244 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4,244 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4,244 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Foreign currency translation adjustment</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287 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287 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287 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(36,406)</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(36,406)</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(36,406)</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0331404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2"/>
                <w:szCs w:val="12"/>
              </w:rPr>
              <w:t>Balance at December 31, 2020</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18,999,701 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277,647 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(245,060)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452 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33,058 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668 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2"/>
                <w:szCs w:val="12"/>
              </w:rPr>
              <w:t>33,726 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center"/>
        <w:divId w:val="1181897150"/>
        <w:rPr>
          <w:rFonts w:eastAsia="Times New Roman"/>
        </w:rPr>
      </w:pPr>
      <w:r>
        <w:rPr>
          <w:rFonts w:eastAsia="Times New Roman"/>
          <w:color w:val="000000"/>
          <w:sz w:val="20"/>
          <w:szCs w:val="20"/>
        </w:rPr>
        <w:t>See accompanying Notes to Consolidated Financial Statements</w:t>
      </w:r>
    </w:p>
    <w:p w:rsidR="00000000" w:rsidRDefault="00DA1786">
      <w:pPr>
        <w:ind w:firstLine="720"/>
        <w:jc w:val="center"/>
        <w:divId w:val="414933975"/>
        <w:rPr>
          <w:rFonts w:eastAsia="Times New Roman"/>
        </w:rPr>
      </w:pPr>
      <w:r>
        <w:rPr>
          <w:rFonts w:eastAsia="Times New Roman"/>
          <w:color w:val="000000"/>
          <w:sz w:val="20"/>
          <w:szCs w:val="20"/>
        </w:rPr>
        <w:t>57</w:t>
      </w:r>
    </w:p>
    <w:p w:rsidR="00000000" w:rsidRDefault="00DA1786">
      <w:pPr>
        <w:rPr>
          <w:rFonts w:eastAsia="Times New Roman"/>
        </w:rPr>
      </w:pPr>
      <w:r>
        <w:rPr>
          <w:rFonts w:eastAsia="Times New Roman"/>
        </w:rPr>
        <w:pict>
          <v:rect id="_x0000_i1082" style="width:0;height:1.5pt" o:hralign="center" o:hrstd="t" o:hr="t" fillcolor="#a0a0a0" stroked="f"/>
        </w:pict>
      </w:r>
    </w:p>
    <w:p w:rsidR="00000000" w:rsidRDefault="00DA1786">
      <w:pPr>
        <w:divId w:val="1372219627"/>
        <w:rPr>
          <w:rFonts w:eastAsia="Times New Roman"/>
        </w:rPr>
      </w:pPr>
    </w:p>
    <w:p w:rsidR="00000000" w:rsidRDefault="00DA1786">
      <w:pPr>
        <w:jc w:val="center"/>
        <w:divId w:val="1431970746"/>
        <w:rPr>
          <w:rFonts w:eastAsia="Times New Roman"/>
        </w:rPr>
      </w:pPr>
      <w:r>
        <w:rPr>
          <w:rFonts w:eastAsia="Times New Roman"/>
          <w:b/>
          <w:bCs/>
          <w:color w:val="000000"/>
          <w:sz w:val="20"/>
          <w:szCs w:val="20"/>
        </w:rPr>
        <w:t>Millendo Therapeutics, Inc.</w:t>
      </w:r>
    </w:p>
    <w:p w:rsidR="00000000" w:rsidRDefault="00DA1786">
      <w:pPr>
        <w:jc w:val="center"/>
        <w:divId w:val="679091250"/>
        <w:rPr>
          <w:rFonts w:eastAsia="Times New Roman"/>
        </w:rPr>
      </w:pPr>
      <w:r>
        <w:rPr>
          <w:rFonts w:eastAsia="Times New Roman"/>
          <w:b/>
          <w:bCs/>
          <w:color w:val="000000"/>
          <w:sz w:val="20"/>
          <w:szCs w:val="20"/>
        </w:rPr>
        <w:t>Consolidated Statements of Cash Flows</w:t>
      </w:r>
    </w:p>
    <w:p w:rsidR="00000000" w:rsidRDefault="00DA1786">
      <w:pPr>
        <w:jc w:val="center"/>
        <w:divId w:val="820997262"/>
        <w:rPr>
          <w:rFonts w:eastAsia="Times New Roman"/>
        </w:rPr>
      </w:pPr>
      <w:r>
        <w:rPr>
          <w:rFonts w:eastAsia="Times New Roman"/>
          <w:b/>
          <w:bCs/>
          <w:color w:val="000000"/>
          <w:sz w:val="20"/>
          <w:szCs w:val="20"/>
        </w:rPr>
        <w:t>(in thousands)</w:t>
      </w:r>
    </w:p>
    <w:tbl>
      <w:tblPr>
        <w:tblW w:w="4985" w:type="pct"/>
        <w:tblCellMar>
          <w:top w:w="15" w:type="dxa"/>
          <w:left w:w="15" w:type="dxa"/>
          <w:bottom w:w="15" w:type="dxa"/>
          <w:right w:w="15" w:type="dxa"/>
        </w:tblCellMar>
        <w:tblLook w:val="04A0" w:firstRow="1" w:lastRow="0" w:firstColumn="1" w:lastColumn="0" w:noHBand="0" w:noVBand="1"/>
      </w:tblPr>
      <w:tblGrid>
        <w:gridCol w:w="44"/>
        <w:gridCol w:w="6344"/>
        <w:gridCol w:w="39"/>
        <w:gridCol w:w="110"/>
        <w:gridCol w:w="743"/>
        <w:gridCol w:w="36"/>
        <w:gridCol w:w="36"/>
        <w:gridCol w:w="36"/>
        <w:gridCol w:w="36"/>
        <w:gridCol w:w="110"/>
        <w:gridCol w:w="711"/>
        <w:gridCol w:w="36"/>
      </w:tblGrid>
      <w:tr w:rsidR="00000000">
        <w:trPr>
          <w:divId w:val="723676946"/>
        </w:trPr>
        <w:tc>
          <w:tcPr>
            <w:tcW w:w="50" w:type="pct"/>
            <w:vAlign w:val="center"/>
            <w:hideMark/>
          </w:tcPr>
          <w:p w:rsidR="00000000" w:rsidRDefault="00DA1786">
            <w:pPr>
              <w:jc w:val="center"/>
              <w:rPr>
                <w:rFonts w:eastAsia="Times New Roman"/>
              </w:rPr>
            </w:pPr>
          </w:p>
        </w:tc>
        <w:tc>
          <w:tcPr>
            <w:tcW w:w="385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7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47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723676946"/>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p>
        </w:tc>
      </w:tr>
      <w:tr w:rsidR="00000000">
        <w:trPr>
          <w:divId w:val="723676946"/>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divId w:val="822965265"/>
              <w:rPr>
                <w:rFonts w:eastAsia="Times New Roman"/>
              </w:rPr>
            </w:pPr>
            <w:r>
              <w:rPr>
                <w:rFonts w:eastAsia="Times New Roman"/>
                <w:b/>
                <w:bCs/>
                <w:color w:val="000000"/>
                <w:sz w:val="18"/>
                <w:szCs w:val="18"/>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723676946"/>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Net loss</w:t>
            </w:r>
          </w:p>
        </w:tc>
        <w:tc>
          <w:tcPr>
            <w:tcW w:w="0" w:type="auto"/>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(36,406)</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(44,568)</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723676946"/>
        </w:trPr>
        <w:tc>
          <w:tcPr>
            <w:tcW w:w="0" w:type="auto"/>
            <w:gridSpan w:val="3"/>
            <w:tcMar>
              <w:top w:w="30" w:type="dxa"/>
              <w:left w:w="20" w:type="dxa"/>
              <w:bottom w:w="30" w:type="dxa"/>
              <w:right w:w="20" w:type="dxa"/>
            </w:tcMar>
            <w:vAlign w:val="bottom"/>
            <w:hideMark/>
          </w:tcPr>
          <w:p w:rsidR="00000000" w:rsidRDefault="00DA1786">
            <w:pPr>
              <w:divId w:val="1347827476"/>
              <w:rPr>
                <w:rFonts w:eastAsia="Times New Roman"/>
              </w:rPr>
            </w:pPr>
            <w:r>
              <w:rPr>
                <w:rFonts w:eastAsia="Times New Roman"/>
                <w:color w:val="000000"/>
                <w:sz w:val="18"/>
                <w:szCs w:val="18"/>
              </w:rPr>
              <w:t>Depreciation</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152 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4,244 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4,317 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Foreign currency remeasurement loss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321 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Amortization of right-of-use asset</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952 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955 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Other non-cash items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FFFFFF"/>
            <w:tcMar>
              <w:top w:w="30" w:type="dxa"/>
              <w:left w:w="365" w:type="dxa"/>
              <w:bottom w:w="30" w:type="dxa"/>
              <w:right w:w="20" w:type="dxa"/>
            </w:tcMar>
            <w:vAlign w:val="bottom"/>
            <w:hideMark/>
          </w:tcPr>
          <w:p w:rsidR="00000000" w:rsidRDefault="00DA1786">
            <w:pPr>
              <w:rPr>
                <w:rFonts w:eastAsia="Times New Roman"/>
              </w:rPr>
            </w:pPr>
            <w:r>
              <w:rPr>
                <w:rFonts w:eastAsia="Times New Roman"/>
                <w:color w:val="000000"/>
                <w:sz w:val="18"/>
                <w:szCs w:val="18"/>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5,361 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(698)</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365" w:type="dxa"/>
              <w:bottom w:w="30" w:type="dxa"/>
              <w:right w:w="20" w:type="dxa"/>
            </w:tcMar>
            <w:vAlign w:val="bottom"/>
            <w:hideMark/>
          </w:tcPr>
          <w:p w:rsidR="00000000" w:rsidRDefault="00DA1786">
            <w:pPr>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36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(469)</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365" w:type="dxa"/>
              <w:bottom w:w="30" w:type="dxa"/>
              <w:right w:w="20" w:type="dxa"/>
            </w:tcMar>
            <w:vAlign w:val="bottom"/>
            <w:hideMark/>
          </w:tcPr>
          <w:p w:rsidR="00000000" w:rsidRDefault="00DA1786">
            <w:pPr>
              <w:rPr>
                <w:rFonts w:eastAsia="Times New Roman"/>
              </w:rPr>
            </w:pPr>
            <w:r>
              <w:rPr>
                <w:rFonts w:eastAsia="Times New Roman"/>
                <w:color w:val="000000"/>
                <w:sz w:val="18"/>
                <w:szCs w:val="18"/>
              </w:rPr>
              <w:t>Accrued expenses and other liabilities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(3,559)</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365" w:type="dxa"/>
              <w:bottom w:w="30" w:type="dxa"/>
              <w:right w:w="20" w:type="dxa"/>
            </w:tcMar>
            <w:vAlign w:val="bottom"/>
            <w:hideMark/>
          </w:tcPr>
          <w:p w:rsidR="00000000" w:rsidRDefault="00DA1786">
            <w:pPr>
              <w:rPr>
                <w:rFonts w:eastAsia="Times New Roman"/>
              </w:rPr>
            </w:pPr>
            <w:r>
              <w:rPr>
                <w:rFonts w:eastAsia="Times New Roman"/>
                <w:color w:val="000000"/>
                <w:sz w:val="18"/>
                <w:szCs w:val="18"/>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(1,552)</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(1,233)</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50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(30,435)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(41,222)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18"/>
                <w:szCs w:val="18"/>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(397)</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Proceeds from sale of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4,385 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CCEEFF"/>
            <w:tcMar>
              <w:top w:w="30" w:type="dxa"/>
              <w:left w:w="50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Cash (used in)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18"/>
                <w:szCs w:val="18"/>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Repayment of debt</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(108)</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(184)</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Proceeds from the issuance of common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5,453 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26,688 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Proceeds from sale of private placement,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Repayment of principal on finance lease</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Proceeds from option and BSPCE warrant exercises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472 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50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5,386 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26,943 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Effect of foreign currency exchange rate changes on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Net decrease in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(24,854)</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(10,258)</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63,512 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73,770 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38,658 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63,512 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18"/>
                <w:szCs w:val="18"/>
              </w:rPr>
              <w:t>Supplemental schedule of non-cash investing and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723676946"/>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Financing costs in accounts payable and accrued expenses</w:t>
            </w: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197 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723676946"/>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18"/>
                <w:szCs w:val="18"/>
              </w:rPr>
              <w:t>Right-of-use assets acquired under operating leases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18"/>
                <w:szCs w:val="18"/>
              </w:rPr>
              <w:t>3,414 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ind w:firstLine="720"/>
        <w:jc w:val="center"/>
        <w:divId w:val="792359498"/>
        <w:rPr>
          <w:rFonts w:eastAsia="Times New Roman"/>
        </w:rPr>
      </w:pPr>
      <w:r>
        <w:rPr>
          <w:rFonts w:eastAsia="Times New Roman"/>
          <w:color w:val="000000"/>
          <w:sz w:val="20"/>
          <w:szCs w:val="20"/>
        </w:rPr>
        <w:t>See accompanying Notes to Consolidated Financial Statements</w:t>
      </w:r>
    </w:p>
    <w:p w:rsidR="00000000" w:rsidRDefault="00DA1786">
      <w:pPr>
        <w:ind w:firstLine="720"/>
        <w:jc w:val="center"/>
        <w:divId w:val="594946503"/>
        <w:rPr>
          <w:rFonts w:eastAsia="Times New Roman"/>
        </w:rPr>
      </w:pPr>
      <w:r>
        <w:rPr>
          <w:rFonts w:eastAsia="Times New Roman"/>
          <w:color w:val="000000"/>
          <w:sz w:val="20"/>
          <w:szCs w:val="20"/>
        </w:rPr>
        <w:t>58</w:t>
      </w:r>
    </w:p>
    <w:p w:rsidR="00000000" w:rsidRDefault="00DA1786">
      <w:pPr>
        <w:rPr>
          <w:rFonts w:eastAsia="Times New Roman"/>
        </w:rPr>
      </w:pPr>
      <w:r>
        <w:rPr>
          <w:rFonts w:eastAsia="Times New Roman"/>
        </w:rPr>
        <w:pict>
          <v:rect id="_x0000_i1083" style="width:0;height:1.5pt" o:hralign="center" o:hrstd="t" o:hr="t" fillcolor="#a0a0a0" stroked="f"/>
        </w:pict>
      </w:r>
    </w:p>
    <w:p w:rsidR="00000000" w:rsidRDefault="00DA1786">
      <w:pPr>
        <w:divId w:val="1099637274"/>
        <w:rPr>
          <w:rFonts w:eastAsia="Times New Roman"/>
        </w:rPr>
      </w:pPr>
    </w:p>
    <w:p w:rsidR="00000000" w:rsidRDefault="00DA1786">
      <w:pPr>
        <w:jc w:val="center"/>
        <w:divId w:val="979312713"/>
        <w:rPr>
          <w:rFonts w:eastAsia="Times New Roman"/>
        </w:rPr>
      </w:pPr>
      <w:r>
        <w:rPr>
          <w:rFonts w:eastAsia="Times New Roman"/>
          <w:b/>
          <w:bCs/>
          <w:color w:val="000000"/>
          <w:sz w:val="20"/>
          <w:szCs w:val="20"/>
        </w:rPr>
        <w:t>Millendo Therapeutics, Inc.</w:t>
      </w:r>
    </w:p>
    <w:p w:rsidR="00000000" w:rsidRDefault="00DA1786">
      <w:pPr>
        <w:jc w:val="center"/>
        <w:divId w:val="358239401"/>
        <w:rPr>
          <w:rFonts w:eastAsia="Times New Roman"/>
        </w:rPr>
      </w:pPr>
      <w:r>
        <w:rPr>
          <w:rFonts w:eastAsia="Times New Roman"/>
          <w:b/>
          <w:bCs/>
          <w:color w:val="000000"/>
          <w:sz w:val="20"/>
          <w:szCs w:val="20"/>
        </w:rPr>
        <w:t>Notes to Consolidated Financial Statements</w:t>
      </w:r>
    </w:p>
    <w:p w:rsidR="00000000" w:rsidRDefault="00DA1786">
      <w:pPr>
        <w:divId w:val="2115662679"/>
        <w:rPr>
          <w:rFonts w:eastAsia="Times New Roman"/>
        </w:rPr>
      </w:pPr>
      <w:r>
        <w:rPr>
          <w:rFonts w:eastAsia="Times New Roman"/>
          <w:b/>
          <w:bCs/>
          <w:color w:val="000000"/>
          <w:sz w:val="20"/>
          <w:szCs w:val="20"/>
        </w:rPr>
        <w:t>1. Organization and Description of Business</w:t>
      </w:r>
    </w:p>
    <w:p w:rsidR="00000000" w:rsidRDefault="00DA1786">
      <w:pPr>
        <w:divId w:val="1800026698"/>
        <w:rPr>
          <w:rFonts w:eastAsia="Times New Roman"/>
        </w:rPr>
      </w:pPr>
      <w:r>
        <w:rPr>
          <w:rFonts w:eastAsia="Times New Roman"/>
          <w:b/>
          <w:bCs/>
          <w:i/>
          <w:iCs/>
          <w:color w:val="000000"/>
          <w:sz w:val="20"/>
          <w:szCs w:val="20"/>
        </w:rPr>
        <w:t>Description of Business</w:t>
      </w:r>
    </w:p>
    <w:p w:rsidR="00000000" w:rsidRDefault="00DA1786">
      <w:pPr>
        <w:jc w:val="both"/>
        <w:divId w:val="1137185116"/>
        <w:rPr>
          <w:rFonts w:eastAsia="Times New Roman"/>
        </w:rPr>
      </w:pPr>
      <w:r>
        <w:rPr>
          <w:rFonts w:eastAsia="Times New Roman"/>
          <w:color w:val="000000"/>
          <w:sz w:val="20"/>
          <w:szCs w:val="20"/>
        </w:rPr>
        <w:t>Millendo Therapeutics, Inc. (the “Company”), a Delaware corporation, together w</w:t>
      </w:r>
      <w:r>
        <w:rPr>
          <w:rFonts w:eastAsia="Times New Roman"/>
          <w:color w:val="000000"/>
          <w:sz w:val="20"/>
          <w:szCs w:val="20"/>
        </w:rPr>
        <w:t xml:space="preserve">ith its subsidiaries, is a biopharmaceutical company that was previously primarily focused on developing novel treatments for orphan endocrine diseases where current therapies do not exist or are insufficient. </w:t>
      </w:r>
    </w:p>
    <w:p w:rsidR="00000000" w:rsidRDefault="00DA1786">
      <w:pPr>
        <w:jc w:val="both"/>
        <w:divId w:val="1917855041"/>
        <w:rPr>
          <w:rFonts w:eastAsia="Times New Roman"/>
        </w:rPr>
      </w:pPr>
      <w:r>
        <w:rPr>
          <w:rFonts w:eastAsia="Times New Roman"/>
          <w:color w:val="000000"/>
          <w:sz w:val="20"/>
          <w:szCs w:val="20"/>
        </w:rPr>
        <w:t>The Company had been developing livoletide (A</w:t>
      </w:r>
      <w:r>
        <w:rPr>
          <w:rFonts w:eastAsia="Times New Roman"/>
          <w:color w:val="000000"/>
          <w:sz w:val="20"/>
          <w:szCs w:val="20"/>
        </w:rPr>
        <w:t>ZP-531), as a potential treatment for Prader-Willi syndrome, (“PWS”), a rare and complex genetic endocrine disease characterized by hyperphagia, or insatiable hunger. The Company discontinued the development of livoletide as a potential treatment for PWS i</w:t>
      </w:r>
      <w:r>
        <w:rPr>
          <w:rFonts w:eastAsia="Times New Roman"/>
          <w:color w:val="000000"/>
          <w:sz w:val="20"/>
          <w:szCs w:val="20"/>
        </w:rPr>
        <w:t>n April 2020 based upon results from its Phase 2b trial. All costs, including estimated closeout costs associated with the livoletide program were recognized during the second quarter, which resulted in the Company recording $3.1 million in the second quar</w:t>
      </w:r>
      <w:r>
        <w:rPr>
          <w:rFonts w:eastAsia="Times New Roman"/>
          <w:color w:val="000000"/>
          <w:sz w:val="20"/>
          <w:szCs w:val="20"/>
        </w:rPr>
        <w:t>ter of 2020. The Company recorded additional expense in the second half of 2020 related to the livoletide program, which reflects changes to estimated closeout costs. The Company does not expect to incur future material expenses related to this program.</w:t>
      </w:r>
    </w:p>
    <w:p w:rsidR="00000000" w:rsidRDefault="00DA1786">
      <w:pPr>
        <w:jc w:val="both"/>
        <w:divId w:val="1265766456"/>
        <w:rPr>
          <w:rFonts w:eastAsia="Times New Roman"/>
        </w:rPr>
      </w:pPr>
      <w:r>
        <w:rPr>
          <w:rFonts w:eastAsia="Times New Roman"/>
          <w:color w:val="000000"/>
          <w:sz w:val="20"/>
          <w:szCs w:val="20"/>
        </w:rPr>
        <w:t>In</w:t>
      </w:r>
      <w:r>
        <w:rPr>
          <w:rFonts w:eastAsia="Times New Roman"/>
          <w:color w:val="000000"/>
          <w:sz w:val="20"/>
          <w:szCs w:val="20"/>
        </w:rPr>
        <w:t xml:space="preserve"> an effort to streamline costs after discontinuing the PWS program, the Company eliminated employee positions representing approximately 30% of its prior headcount, which were completed in the second quarter of 2020. The Company recorded one-time costs of </w:t>
      </w:r>
      <w:r>
        <w:rPr>
          <w:rFonts w:eastAsia="Times New Roman"/>
          <w:color w:val="000000"/>
          <w:sz w:val="20"/>
          <w:szCs w:val="20"/>
        </w:rPr>
        <w:t>$1.1 million in the form of termination benefits to this plan in the second quarter of 2020.</w:t>
      </w:r>
    </w:p>
    <w:p w:rsidR="00000000" w:rsidRDefault="00DA1786">
      <w:pPr>
        <w:jc w:val="both"/>
        <w:divId w:val="1065180968"/>
        <w:rPr>
          <w:rFonts w:eastAsia="Times New Roman"/>
        </w:rPr>
      </w:pPr>
      <w:r>
        <w:rPr>
          <w:rFonts w:eastAsia="Times New Roman"/>
          <w:color w:val="000000"/>
          <w:sz w:val="20"/>
          <w:szCs w:val="20"/>
        </w:rPr>
        <w:t>The Company had also been developing nevanimibe (ATR-101) as a potential treatment for patients with classic congenital adrenal hyperplasia, (“CAH”), a rare, monog</w:t>
      </w:r>
      <w:r>
        <w:rPr>
          <w:rFonts w:eastAsia="Times New Roman"/>
          <w:color w:val="000000"/>
          <w:sz w:val="20"/>
          <w:szCs w:val="20"/>
        </w:rPr>
        <w:t>enic adrenal disease that requires lifelong treatment with exogenous cortisol, often at high doses. The Company elected to cease investing in the development of nevanimibe as a potential treatment for CAH in June 2020 based on an interim review of data fro</w:t>
      </w:r>
      <w:r>
        <w:rPr>
          <w:rFonts w:eastAsia="Times New Roman"/>
          <w:color w:val="000000"/>
          <w:sz w:val="20"/>
          <w:szCs w:val="20"/>
        </w:rPr>
        <w:t>m its Phase 2b trial. All costs, including estimated closeout costs associated with the nevanimibe program for the treatment of CAH were recognized during the second quarter of 2020. The Company recorded additional expense in the second half of 2020 relate</w:t>
      </w:r>
      <w:r>
        <w:rPr>
          <w:rFonts w:eastAsia="Times New Roman"/>
          <w:color w:val="000000"/>
          <w:sz w:val="20"/>
          <w:szCs w:val="20"/>
        </w:rPr>
        <w:t>d to the nevanimibe program, which reflects changes to estimated close out costs. The Company does not expect to incur future material expenses related to its nevanimibe program for the treatment of CAH as it is no longer developing this program</w:t>
      </w:r>
    </w:p>
    <w:p w:rsidR="00000000" w:rsidRDefault="00DA1786">
      <w:pPr>
        <w:jc w:val="both"/>
        <w:divId w:val="749695866"/>
        <w:rPr>
          <w:rFonts w:eastAsia="Times New Roman"/>
        </w:rPr>
      </w:pPr>
      <w:r>
        <w:rPr>
          <w:rFonts w:eastAsia="Times New Roman"/>
          <w:color w:val="000000"/>
          <w:sz w:val="20"/>
          <w:szCs w:val="20"/>
        </w:rPr>
        <w:t>The Compan</w:t>
      </w:r>
      <w:r>
        <w:rPr>
          <w:rFonts w:eastAsia="Times New Roman"/>
          <w:color w:val="000000"/>
          <w:sz w:val="20"/>
          <w:szCs w:val="20"/>
        </w:rPr>
        <w:t xml:space="preserve">y had also been developing a selective neurokinin 3-receptor (NK3R) antagonist (MLE-301) as a potential treatment of vasomotor symptoms (“VMS”), commonly known as hot flashes and night sweats, in menopausal women. In January 2021, the Company discontinued </w:t>
      </w:r>
      <w:r>
        <w:rPr>
          <w:rFonts w:eastAsia="Times New Roman"/>
          <w:color w:val="000000"/>
          <w:sz w:val="20"/>
          <w:szCs w:val="20"/>
        </w:rPr>
        <w:t xml:space="preserve">further investment in MLE-301 for the treatment of VMS based on an analysis of the pharmacokinetic and pharmacodynamic data from the single ascending dose portion of the Phase 1 study.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January 2021, as a result of its decision to discontinue its inve</w:t>
      </w:r>
      <w:r>
        <w:rPr>
          <w:rFonts w:eastAsia="Times New Roman"/>
          <w:color w:val="000000"/>
          <w:sz w:val="20"/>
          <w:szCs w:val="20"/>
        </w:rPr>
        <w:t>stment in MLE-301, the Company's Board of Directors (the “Board”) also approved a corporate restructuring plan (the “Plan”) furthering the Company's ongoing efforts to align its resources with its current strategy and operations. In connection with the Pla</w:t>
      </w:r>
      <w:r>
        <w:rPr>
          <w:rFonts w:eastAsia="Times New Roman"/>
          <w:color w:val="000000"/>
          <w:sz w:val="20"/>
          <w:szCs w:val="20"/>
        </w:rPr>
        <w:t>n, the Company plans to reduce its workforce by up to 85%, with the majority of the reduction in personnel expected to be completed by April 15, 2021. The Company initiated this reduction in force in January 2021 and expects to provide severance payments a</w:t>
      </w:r>
      <w:r>
        <w:rPr>
          <w:rFonts w:eastAsia="Times New Roman"/>
          <w:color w:val="000000"/>
          <w:sz w:val="20"/>
          <w:szCs w:val="20"/>
        </w:rPr>
        <w:t>nd continuation of group health insurance coverage for a specified period to the affected employees. The Company has also entered into retention arrangements with employees who are expected to remain with the Company. The Company estimates that it will inc</w:t>
      </w:r>
      <w:r>
        <w:rPr>
          <w:rFonts w:eastAsia="Times New Roman"/>
          <w:color w:val="000000"/>
          <w:sz w:val="20"/>
          <w:szCs w:val="20"/>
        </w:rPr>
        <w:t xml:space="preserve">ur costs of approximately $5.5 million for termination benefits and retention arrangements related to the Plan, substantially all of which will be cash expenditures.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2020, the Company undertook a strategic review process, which was intended to result</w:t>
      </w:r>
      <w:r>
        <w:rPr>
          <w:rFonts w:eastAsia="Times New Roman"/>
          <w:color w:val="000000"/>
          <w:sz w:val="20"/>
          <w:szCs w:val="20"/>
        </w:rPr>
        <w:t xml:space="preserve"> in an actionable plan that leverages its assets, capital and capabilities to maximize stockholder value. Following an extensive process of evaluating strategic alternatives, including identifying and reviewing potential candidates for a strategic acquisit</w:t>
      </w:r>
      <w:r>
        <w:rPr>
          <w:rFonts w:eastAsia="Times New Roman"/>
          <w:color w:val="000000"/>
          <w:sz w:val="20"/>
          <w:szCs w:val="20"/>
        </w:rPr>
        <w:t xml:space="preserve">ion or other transaction, on March 29, 2021, the Company entered into an Agreement and Plan of Merger (the “Merger Agreement”), with Tempest Therapeutics, Inc. (“Tempest”) under which the privately held Tempest will merge with a wholly owned subsidiary of </w:t>
      </w:r>
      <w:r>
        <w:rPr>
          <w:rFonts w:eastAsia="Times New Roman"/>
          <w:color w:val="000000"/>
          <w:sz w:val="20"/>
          <w:szCs w:val="20"/>
        </w:rPr>
        <w:t>Millendo (the “Merger”). If the Merger is completed, the business of Tempest will continue as the business of the combined company (see Note 12).</w:t>
      </w:r>
    </w:p>
    <w:p w:rsidR="00000000" w:rsidRDefault="00DA1786">
      <w:pPr>
        <w:jc w:val="both"/>
        <w:divId w:val="1027562889"/>
        <w:rPr>
          <w:rFonts w:eastAsia="Times New Roman"/>
        </w:rPr>
      </w:pPr>
      <w:r>
        <w:rPr>
          <w:rFonts w:eastAsia="Times New Roman"/>
          <w:color w:val="000000"/>
          <w:sz w:val="20"/>
          <w:szCs w:val="20"/>
        </w:rPr>
        <w:t>The Company had also been investigating nevanimibe (ATR-101) as a potential treatment for patients with endoge</w:t>
      </w:r>
      <w:r>
        <w:rPr>
          <w:rFonts w:eastAsia="Times New Roman"/>
          <w:color w:val="000000"/>
          <w:sz w:val="20"/>
          <w:szCs w:val="20"/>
        </w:rPr>
        <w:t>nous Cushing's syndrome (“CS”), a rare endocrine disease characterized by excessive cortisol production from the adrenal glands. As a result of slower than anticipated enrollment in its CS Phase 2 clinical trial, the Company elected to discontinue this tri</w:t>
      </w:r>
      <w:r>
        <w:rPr>
          <w:rFonts w:eastAsia="Times New Roman"/>
          <w:color w:val="000000"/>
          <w:sz w:val="20"/>
          <w:szCs w:val="20"/>
        </w:rPr>
        <w:t xml:space="preserve">al in </w:t>
      </w:r>
    </w:p>
    <w:p w:rsidR="00000000" w:rsidRDefault="00DA1786">
      <w:pPr>
        <w:ind w:firstLine="720"/>
        <w:jc w:val="center"/>
        <w:divId w:val="744262"/>
        <w:rPr>
          <w:rFonts w:eastAsia="Times New Roman"/>
        </w:rPr>
      </w:pPr>
      <w:r>
        <w:rPr>
          <w:rFonts w:eastAsia="Times New Roman"/>
          <w:color w:val="000000"/>
          <w:sz w:val="20"/>
          <w:szCs w:val="20"/>
        </w:rPr>
        <w:t>59</w:t>
      </w:r>
    </w:p>
    <w:p w:rsidR="00000000" w:rsidRDefault="00DA1786">
      <w:pPr>
        <w:rPr>
          <w:rFonts w:eastAsia="Times New Roman"/>
        </w:rPr>
      </w:pPr>
      <w:r>
        <w:rPr>
          <w:rFonts w:eastAsia="Times New Roman"/>
        </w:rPr>
        <w:pict>
          <v:rect id="_x0000_i1084" style="width:0;height:1.5pt" o:hralign="center" o:hrstd="t" o:hr="t" fillcolor="#a0a0a0" stroked="f"/>
        </w:pict>
      </w:r>
    </w:p>
    <w:p w:rsidR="00000000" w:rsidRDefault="00DA1786">
      <w:pPr>
        <w:divId w:val="718044231"/>
        <w:rPr>
          <w:rFonts w:eastAsia="Times New Roman"/>
        </w:rPr>
      </w:pPr>
    </w:p>
    <w:p w:rsidR="00000000" w:rsidRDefault="00DA1786">
      <w:pPr>
        <w:jc w:val="both"/>
        <w:divId w:val="1752895937"/>
        <w:rPr>
          <w:rFonts w:eastAsia="Times New Roman"/>
        </w:rPr>
      </w:pPr>
      <w:r>
        <w:rPr>
          <w:rFonts w:eastAsia="Times New Roman"/>
          <w:color w:val="000000"/>
          <w:sz w:val="20"/>
          <w:szCs w:val="20"/>
        </w:rPr>
        <w:t>August 2019, suspend development of nevanimibe for the treatment of CS, and focus its resources on other programs in its research and development pipeline.</w:t>
      </w:r>
    </w:p>
    <w:p w:rsidR="00000000" w:rsidRDefault="00DA1786">
      <w:pPr>
        <w:jc w:val="both"/>
        <w:divId w:val="669333245"/>
        <w:rPr>
          <w:rFonts w:eastAsia="Times New Roman"/>
        </w:rPr>
      </w:pPr>
      <w:r>
        <w:rPr>
          <w:rFonts w:eastAsia="Times New Roman"/>
          <w:b/>
          <w:bCs/>
          <w:i/>
          <w:iCs/>
          <w:color w:val="000000"/>
          <w:sz w:val="20"/>
          <w:szCs w:val="20"/>
        </w:rPr>
        <w:t>Liquidity</w:t>
      </w:r>
    </w:p>
    <w:p w:rsidR="00000000" w:rsidRDefault="00DA1786">
      <w:pPr>
        <w:jc w:val="both"/>
        <w:divId w:val="690034018"/>
        <w:rPr>
          <w:rFonts w:eastAsia="Times New Roman"/>
        </w:rPr>
      </w:pPr>
      <w:r>
        <w:rPr>
          <w:rFonts w:eastAsia="Times New Roman"/>
          <w:color w:val="000000"/>
          <w:sz w:val="20"/>
          <w:szCs w:val="20"/>
        </w:rPr>
        <w:t>The Company has incurred net losses since inception and it expects to generate losses from operations for the foreseeable future primarily due to the ongoing review of corporate strategic alternatives that include, but are not limited to, the potential sal</w:t>
      </w:r>
      <w:r>
        <w:rPr>
          <w:rFonts w:eastAsia="Times New Roman"/>
          <w:color w:val="000000"/>
          <w:sz w:val="20"/>
          <w:szCs w:val="20"/>
        </w:rPr>
        <w:t>e or merger of the Company or its assets. As of December 31, 2020, the Company had cash, cash equivalents and restricted cash of $38.7 million and an accumulated deficit of $245.1 million.</w:t>
      </w:r>
    </w:p>
    <w:p w:rsidR="00000000" w:rsidRDefault="00DA1786">
      <w:pPr>
        <w:jc w:val="both"/>
        <w:divId w:val="1838957437"/>
        <w:rPr>
          <w:rFonts w:eastAsia="Times New Roman"/>
        </w:rPr>
      </w:pPr>
      <w:r>
        <w:rPr>
          <w:rFonts w:eastAsia="Times New Roman"/>
          <w:color w:val="000000"/>
          <w:sz w:val="20"/>
          <w:szCs w:val="20"/>
        </w:rPr>
        <w:t>In December 2019, the Company sold a total of 4,791,667 shares of i</w:t>
      </w:r>
      <w:r>
        <w:rPr>
          <w:rFonts w:eastAsia="Times New Roman"/>
          <w:color w:val="000000"/>
          <w:sz w:val="20"/>
          <w:szCs w:val="20"/>
        </w:rPr>
        <w:t>ts common stock pursuant to an underwriting agreement (the “Underwriting Agreement”) with Citigroup Global Markets Inc. and SVB Leerink LLC, as representatives of the several underwriters named therein (the “Underwriters”), for total net proceeds of approx</w:t>
      </w:r>
      <w:r>
        <w:rPr>
          <w:rFonts w:eastAsia="Times New Roman"/>
          <w:color w:val="000000"/>
          <w:sz w:val="20"/>
          <w:szCs w:val="20"/>
        </w:rPr>
        <w:t>imately $26.5 million, after deducting underwriting discounts and commissions and other offering expenses payable by the Company. The price to the public in this offering was $6.00 per share and resulted in the sale of 4,166,667 shares of the Company's com</w:t>
      </w:r>
      <w:r>
        <w:rPr>
          <w:rFonts w:eastAsia="Times New Roman"/>
          <w:color w:val="000000"/>
          <w:sz w:val="20"/>
          <w:szCs w:val="20"/>
        </w:rPr>
        <w:t>mon stock for net proceeds of approximately $23.0 million, after deducting underwriting discounts and commissions and other offering expenses payable by the Company. In addition, the Underwriters purchased an additional 625,000 shares of the Company's comm</w:t>
      </w:r>
      <w:r>
        <w:rPr>
          <w:rFonts w:eastAsia="Times New Roman"/>
          <w:color w:val="000000"/>
          <w:sz w:val="20"/>
          <w:szCs w:val="20"/>
        </w:rPr>
        <w:t>on stock at the public offering price of $6.00 per share pursuant to a purchase option granted to them under the Underwriting Agreement, resulting in net proceeds of approximately $3.5 million, after deducting underwriting discounts and commissions.</w:t>
      </w:r>
    </w:p>
    <w:p w:rsidR="00000000" w:rsidRDefault="00DA1786">
      <w:pPr>
        <w:jc w:val="both"/>
        <w:divId w:val="704906735"/>
        <w:rPr>
          <w:rFonts w:eastAsia="Times New Roman"/>
        </w:rPr>
      </w:pPr>
      <w:r>
        <w:rPr>
          <w:rFonts w:eastAsia="Times New Roman"/>
          <w:color w:val="000000"/>
          <w:sz w:val="20"/>
          <w:szCs w:val="20"/>
        </w:rPr>
        <w:t>In Apr</w:t>
      </w:r>
      <w:r>
        <w:rPr>
          <w:rFonts w:eastAsia="Times New Roman"/>
          <w:color w:val="000000"/>
          <w:sz w:val="20"/>
          <w:szCs w:val="20"/>
        </w:rPr>
        <w:t>il 2019, the Company entered into an “at-the-market” (“ATM”) equity distribution agreement with Citigroup Global Markets Inc. acting as sole agent with an aggregate offering value of up to $50.0 million, which allows the Company to sell its common stock th</w:t>
      </w:r>
      <w:r>
        <w:rPr>
          <w:rFonts w:eastAsia="Times New Roman"/>
          <w:color w:val="000000"/>
          <w:sz w:val="20"/>
          <w:szCs w:val="20"/>
        </w:rPr>
        <w:t>rough the facilities of the Nasdaq Capital Market. Subject to the terms of the ATM equity distribution agreement, the Company is able to determine, at its sole discretion, the timing and number of shares to be sold under this ATM facility. In March 2020, t</w:t>
      </w:r>
      <w:r>
        <w:rPr>
          <w:rFonts w:eastAsia="Times New Roman"/>
          <w:color w:val="000000"/>
          <w:sz w:val="20"/>
          <w:szCs w:val="20"/>
        </w:rPr>
        <w:t>he Company amended the equity distribution agreement to include SVB Leerink LLC as an additional sales agent for the ATM. In March 2020, the Company sold 719,400 shares of its common stock under our ATM equity distribution agreement for net proceeds of app</w:t>
      </w:r>
      <w:r>
        <w:rPr>
          <w:rFonts w:eastAsia="Times New Roman"/>
          <w:color w:val="000000"/>
          <w:sz w:val="20"/>
          <w:szCs w:val="20"/>
        </w:rPr>
        <w:t>roximately $5.5 million. The Company does not expect to sell additional shares of common stock under the equity distribution agreement.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Given its limited expected financing options, the Company is currently exploring an expanded range of strategic altern</w:t>
      </w:r>
      <w:r>
        <w:rPr>
          <w:rFonts w:eastAsia="Times New Roman"/>
          <w:color w:val="000000"/>
          <w:sz w:val="20"/>
          <w:szCs w:val="20"/>
        </w:rPr>
        <w:t>atives that include, but are not limited to, the potential sale or merger of the Company or its assets. In the event that the Company does not complete the Merger with Tempest, the Company (i) may elect to pursue a dissolution and liquidation of the Compan</w:t>
      </w:r>
      <w:r>
        <w:rPr>
          <w:rFonts w:eastAsia="Times New Roman"/>
          <w:color w:val="000000"/>
          <w:sz w:val="20"/>
          <w:szCs w:val="20"/>
        </w:rPr>
        <w:t xml:space="preserve">y, (ii) pursue another strategic transaction or (iii) may resume research and development activities. </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Company believes its cash, cash equivalents and restricted cash at December 31, 2020 are sufficient to fund its current operations for at least 12 months following the issuance of these financial statements.</w:t>
      </w:r>
    </w:p>
    <w:p w:rsidR="00000000" w:rsidRDefault="00DA1786">
      <w:pPr>
        <w:divId w:val="1019046926"/>
        <w:rPr>
          <w:rFonts w:eastAsia="Times New Roman"/>
        </w:rPr>
      </w:pPr>
      <w:r>
        <w:rPr>
          <w:rFonts w:eastAsia="Times New Roman"/>
          <w:b/>
          <w:bCs/>
          <w:color w:val="000000"/>
          <w:sz w:val="20"/>
          <w:szCs w:val="20"/>
        </w:rPr>
        <w:t>2. Basis of Presentation and Summary of Sign</w:t>
      </w:r>
      <w:r>
        <w:rPr>
          <w:rFonts w:eastAsia="Times New Roman"/>
          <w:b/>
          <w:bCs/>
          <w:color w:val="000000"/>
          <w:sz w:val="20"/>
          <w:szCs w:val="20"/>
        </w:rPr>
        <w:t>ificant Accounting Policies</w:t>
      </w:r>
    </w:p>
    <w:p w:rsidR="00000000" w:rsidRDefault="00DA1786">
      <w:pPr>
        <w:jc w:val="both"/>
        <w:divId w:val="2047100518"/>
        <w:rPr>
          <w:rFonts w:eastAsia="Times New Roman"/>
        </w:rPr>
      </w:pPr>
      <w:r>
        <w:rPr>
          <w:rFonts w:eastAsia="Times New Roman"/>
          <w:b/>
          <w:bCs/>
          <w:i/>
          <w:iCs/>
          <w:color w:val="000000"/>
          <w:sz w:val="20"/>
          <w:szCs w:val="20"/>
        </w:rPr>
        <w:t>Basis of presentation and consolidation principles</w:t>
      </w:r>
    </w:p>
    <w:p w:rsidR="00000000" w:rsidRDefault="00DA1786">
      <w:pPr>
        <w:jc w:val="both"/>
        <w:divId w:val="1342899418"/>
        <w:rPr>
          <w:rFonts w:eastAsia="Times New Roman"/>
        </w:rPr>
      </w:pPr>
      <w:r>
        <w:rPr>
          <w:rFonts w:eastAsia="Times New Roman"/>
          <w:color w:val="000000"/>
          <w:sz w:val="20"/>
          <w:szCs w:val="20"/>
        </w:rPr>
        <w:t>The accompanying Consolidated Financial Statements include the accounts of Millendo Therapeutics, Inc. and its subsidiaries, and all intercompany amounts have been eliminated. T</w:t>
      </w:r>
      <w:r>
        <w:rPr>
          <w:rFonts w:eastAsia="Times New Roman"/>
          <w:color w:val="000000"/>
          <w:sz w:val="20"/>
          <w:szCs w:val="20"/>
        </w:rPr>
        <w:t>he Consolidated Financial Statements have been prepared in conformity with U.S. generally accepted accounting principles (“GAAP”). Any reference in these notes to applicable guidance is meant to refer to GAAP as found in the Accounting Standards Codificati</w:t>
      </w:r>
      <w:r>
        <w:rPr>
          <w:rFonts w:eastAsia="Times New Roman"/>
          <w:color w:val="000000"/>
          <w:sz w:val="20"/>
          <w:szCs w:val="20"/>
        </w:rPr>
        <w:t>on (“ASC”) and Accounting Standards Updates (“ASU”) of the Financial Accounting Standards Board (“FASB”). The Consolidated Financial Statements include the accounts of the Company’s subsidiaries in which the Company holds a controlling financial interest a</w:t>
      </w:r>
      <w:r>
        <w:rPr>
          <w:rFonts w:eastAsia="Times New Roman"/>
          <w:color w:val="000000"/>
          <w:sz w:val="20"/>
          <w:szCs w:val="20"/>
        </w:rPr>
        <w:t>s of the financial statement date.</w:t>
      </w:r>
    </w:p>
    <w:p w:rsidR="00000000" w:rsidRDefault="00DA1786">
      <w:pPr>
        <w:jc w:val="both"/>
        <w:divId w:val="885601398"/>
        <w:rPr>
          <w:rFonts w:eastAsia="Times New Roman"/>
        </w:rPr>
      </w:pPr>
      <w:r>
        <w:rPr>
          <w:rFonts w:eastAsia="Times New Roman"/>
          <w:b/>
          <w:bCs/>
          <w:i/>
          <w:iCs/>
          <w:color w:val="000000"/>
          <w:sz w:val="20"/>
          <w:szCs w:val="20"/>
        </w:rPr>
        <w:t>Use of estimates</w:t>
      </w:r>
    </w:p>
    <w:p w:rsidR="00000000" w:rsidRDefault="00DA1786">
      <w:pPr>
        <w:jc w:val="both"/>
        <w:divId w:val="478809283"/>
        <w:rPr>
          <w:rFonts w:eastAsia="Times New Roman"/>
        </w:rPr>
      </w:pPr>
      <w:r>
        <w:rPr>
          <w:rFonts w:eastAsia="Times New Roman"/>
          <w:color w:val="000000"/>
          <w:sz w:val="20"/>
          <w:szCs w:val="20"/>
        </w:rPr>
        <w:t>The preparation of the Consolidated Financial Statements in conformity with GAAP requires management to make estimates and assumptions that affect the reported amounts of assets and liabilities and disclo</w:t>
      </w:r>
      <w:r>
        <w:rPr>
          <w:rFonts w:eastAsia="Times New Roman"/>
          <w:color w:val="000000"/>
          <w:sz w:val="20"/>
          <w:szCs w:val="20"/>
        </w:rPr>
        <w:t>sure of contingent assets and liabilities at the date of the financial statements and reported amounts of expenses during the reporting period. Actual results could differ from those estimates. Due to the uncertainty of factors surrounding the estimates or</w:t>
      </w:r>
      <w:r>
        <w:rPr>
          <w:rFonts w:eastAsia="Times New Roman"/>
          <w:color w:val="000000"/>
          <w:sz w:val="20"/>
          <w:szCs w:val="20"/>
        </w:rPr>
        <w:t xml:space="preserve"> judgments used in the preparation of the Consolidated Financial Statements, actual results may materially vary from these estimates. Estimates and assumptions are periodically reviewed and the effects of revisions are reflected in the financial statements</w:t>
      </w:r>
      <w:r>
        <w:rPr>
          <w:rFonts w:eastAsia="Times New Roman"/>
          <w:color w:val="000000"/>
          <w:sz w:val="20"/>
          <w:szCs w:val="20"/>
        </w:rPr>
        <w:t xml:space="preserve"> in the period they are determined to be necessary.</w:t>
      </w:r>
    </w:p>
    <w:p w:rsidR="00000000" w:rsidRDefault="00DA1786">
      <w:pPr>
        <w:ind w:firstLine="720"/>
        <w:jc w:val="center"/>
        <w:divId w:val="324237452"/>
        <w:rPr>
          <w:rFonts w:eastAsia="Times New Roman"/>
        </w:rPr>
      </w:pPr>
      <w:r>
        <w:rPr>
          <w:rFonts w:eastAsia="Times New Roman"/>
          <w:color w:val="000000"/>
          <w:sz w:val="20"/>
          <w:szCs w:val="20"/>
        </w:rPr>
        <w:t>60</w:t>
      </w:r>
    </w:p>
    <w:p w:rsidR="00000000" w:rsidRDefault="00DA1786">
      <w:pPr>
        <w:rPr>
          <w:rFonts w:eastAsia="Times New Roman"/>
        </w:rPr>
      </w:pPr>
      <w:r>
        <w:rPr>
          <w:rFonts w:eastAsia="Times New Roman"/>
        </w:rPr>
        <w:pict>
          <v:rect id="_x0000_i1085" style="width:0;height:1.5pt" o:hralign="center" o:hrstd="t" o:hr="t" fillcolor="#a0a0a0" stroked="f"/>
        </w:pict>
      </w:r>
    </w:p>
    <w:p w:rsidR="00000000" w:rsidRDefault="00DA1786">
      <w:pPr>
        <w:divId w:val="644165615"/>
        <w:rPr>
          <w:rFonts w:eastAsia="Times New Roman"/>
        </w:rPr>
      </w:pPr>
    </w:p>
    <w:p w:rsidR="00000000" w:rsidRDefault="00DA1786">
      <w:pPr>
        <w:jc w:val="both"/>
        <w:divId w:val="315652579"/>
        <w:rPr>
          <w:rFonts w:eastAsia="Times New Roman"/>
        </w:rPr>
      </w:pPr>
      <w:r>
        <w:rPr>
          <w:rFonts w:eastAsia="Times New Roman"/>
          <w:b/>
          <w:bCs/>
          <w:i/>
          <w:iCs/>
          <w:color w:val="000000"/>
          <w:sz w:val="20"/>
          <w:szCs w:val="20"/>
        </w:rPr>
        <w:t>Significant Risks and Uncertainties</w:t>
      </w:r>
    </w:p>
    <w:p w:rsidR="00000000" w:rsidRDefault="00DA1786">
      <w:pPr>
        <w:jc w:val="both"/>
        <w:divId w:val="422066589"/>
        <w:rPr>
          <w:rFonts w:eastAsia="Times New Roman"/>
        </w:rPr>
      </w:pPr>
      <w:r>
        <w:rPr>
          <w:rFonts w:eastAsia="Times New Roman"/>
          <w:color w:val="000000"/>
          <w:sz w:val="20"/>
          <w:szCs w:val="20"/>
        </w:rPr>
        <w:t>With the global spread of the ongoing COVID-19 pandemic in 2020, the Company has implemented business continuity plans designe</w:t>
      </w:r>
      <w:r>
        <w:rPr>
          <w:rFonts w:eastAsia="Times New Roman"/>
          <w:color w:val="000000"/>
          <w:sz w:val="20"/>
          <w:szCs w:val="20"/>
        </w:rPr>
        <w:t xml:space="preserve">d to address and mitigate the impact of the COVID-19 pandemic on its business. The Company anticipates that the COVID-19 pandemic will continue to have an impact on clinical and preclinical development activities. The extent to which the COVID-19 pandemic </w:t>
      </w:r>
      <w:r>
        <w:rPr>
          <w:rFonts w:eastAsia="Times New Roman"/>
          <w:color w:val="000000"/>
          <w:sz w:val="20"/>
          <w:szCs w:val="20"/>
        </w:rPr>
        <w:t xml:space="preserve">impacts the Company’s business, its preclinical and clinical development and regulatory efforts, its corporate development objectives and the value of and market for its common stock, will depend on future developments that are highly uncertain and cannot </w:t>
      </w:r>
      <w:r>
        <w:rPr>
          <w:rFonts w:eastAsia="Times New Roman"/>
          <w:color w:val="000000"/>
          <w:sz w:val="20"/>
          <w:szCs w:val="20"/>
        </w:rPr>
        <w:t xml:space="preserve">be predicted with confidence at this time, such as the ultimate duration of the pandemic, travel restrictions, quarantines, social distancing and business closure requirements in the U.S., Europe and other countries, and the effectiveness of actions taken </w:t>
      </w:r>
      <w:r>
        <w:rPr>
          <w:rFonts w:eastAsia="Times New Roman"/>
          <w:color w:val="000000"/>
          <w:sz w:val="20"/>
          <w:szCs w:val="20"/>
        </w:rPr>
        <w:t xml:space="preserve">globally to contain and treat the disease. The global economic slowdown, the overall disruption of global healthcare systems and the other risks and uncertainties associated with the pandemic could have a material adverse effect on the Company’s business, </w:t>
      </w:r>
      <w:r>
        <w:rPr>
          <w:rFonts w:eastAsia="Times New Roman"/>
          <w:color w:val="000000"/>
          <w:sz w:val="20"/>
          <w:szCs w:val="20"/>
        </w:rPr>
        <w:t>financial condition, results of operations and growth prospects.</w:t>
      </w:r>
    </w:p>
    <w:p w:rsidR="00000000" w:rsidRDefault="00DA1786">
      <w:pPr>
        <w:jc w:val="both"/>
        <w:divId w:val="1466923616"/>
        <w:rPr>
          <w:rFonts w:eastAsia="Times New Roman"/>
        </w:rPr>
      </w:pPr>
      <w:r>
        <w:rPr>
          <w:rFonts w:eastAsia="Times New Roman"/>
          <w:color w:val="000000"/>
          <w:sz w:val="20"/>
          <w:szCs w:val="20"/>
        </w:rPr>
        <w:t>In addition, the Company is subject to other challenges and risks specific to its business and its ability to execute on its strategy, as well as risks and uncertainties common to companies i</w:t>
      </w:r>
      <w:r>
        <w:rPr>
          <w:rFonts w:eastAsia="Times New Roman"/>
          <w:color w:val="000000"/>
          <w:sz w:val="20"/>
          <w:szCs w:val="20"/>
        </w:rPr>
        <w:t>n the pharmaceutical industry with development operations, including, without limitation, risks and uncertainties associated with: obtaining regulatory approval of its product candidates, loss of single source suppliers or failure to comply with manufactur</w:t>
      </w:r>
      <w:r>
        <w:rPr>
          <w:rFonts w:eastAsia="Times New Roman"/>
          <w:color w:val="000000"/>
          <w:sz w:val="20"/>
          <w:szCs w:val="20"/>
        </w:rPr>
        <w:t>ing regulations, identifying, acquiring or in-licensing additional products or product candidates; pharmaceutical product development and the inherent uncertainty of clinical success; and the challenges of protecting and enhancing its intellectual property</w:t>
      </w:r>
      <w:r>
        <w:rPr>
          <w:rFonts w:eastAsia="Times New Roman"/>
          <w:color w:val="000000"/>
          <w:sz w:val="20"/>
          <w:szCs w:val="20"/>
        </w:rPr>
        <w:t xml:space="preserve"> rights; complying with applicable regulatory requirements. In addition, to the extent the ongoing COVID-19 pandemic adversely affects its business and results of operations, the Company may also have the effect of heightening many of the other risks and u</w:t>
      </w:r>
      <w:r>
        <w:rPr>
          <w:rFonts w:eastAsia="Times New Roman"/>
          <w:color w:val="000000"/>
          <w:sz w:val="20"/>
          <w:szCs w:val="20"/>
        </w:rPr>
        <w:t>ncertainties discussed above.</w:t>
      </w:r>
    </w:p>
    <w:p w:rsidR="00000000" w:rsidRDefault="00DA1786">
      <w:pPr>
        <w:jc w:val="both"/>
        <w:divId w:val="1723485353"/>
        <w:rPr>
          <w:rFonts w:eastAsia="Times New Roman"/>
        </w:rPr>
      </w:pPr>
      <w:r>
        <w:rPr>
          <w:rFonts w:eastAsia="Times New Roman"/>
          <w:b/>
          <w:bCs/>
          <w:i/>
          <w:iCs/>
          <w:color w:val="000000"/>
          <w:sz w:val="20"/>
          <w:szCs w:val="20"/>
        </w:rPr>
        <w:t>Concentration of credit risk</w:t>
      </w:r>
    </w:p>
    <w:p w:rsidR="00000000" w:rsidRDefault="00DA1786">
      <w:pPr>
        <w:jc w:val="both"/>
        <w:divId w:val="41445144"/>
        <w:rPr>
          <w:rFonts w:eastAsia="Times New Roman"/>
        </w:rPr>
      </w:pPr>
      <w:r>
        <w:rPr>
          <w:rFonts w:eastAsia="Times New Roman"/>
          <w:color w:val="000000"/>
          <w:sz w:val="20"/>
          <w:szCs w:val="20"/>
        </w:rPr>
        <w:t>Financial instruments that potentially subject the Company to concentrations of credit risk are primarily cash, cash equivalents and restricted cash. The Company generally invests its cash in depos</w:t>
      </w:r>
      <w:r>
        <w:rPr>
          <w:rFonts w:eastAsia="Times New Roman"/>
          <w:color w:val="000000"/>
          <w:sz w:val="20"/>
          <w:szCs w:val="20"/>
        </w:rPr>
        <w:t>its with high credit quality financial institutions. Deposits at banks may exceed the insurance provided on such deposits. Additionally, the Company performs periodic evaluations of the relative credit standing of these financial institutions.</w:t>
      </w:r>
    </w:p>
    <w:p w:rsidR="00000000" w:rsidRDefault="00DA1786">
      <w:pPr>
        <w:jc w:val="both"/>
        <w:divId w:val="973291634"/>
        <w:rPr>
          <w:rFonts w:eastAsia="Times New Roman"/>
        </w:rPr>
      </w:pPr>
      <w:r>
        <w:rPr>
          <w:rFonts w:eastAsia="Times New Roman"/>
          <w:b/>
          <w:bCs/>
          <w:i/>
          <w:iCs/>
          <w:color w:val="000000"/>
          <w:sz w:val="20"/>
          <w:szCs w:val="20"/>
        </w:rPr>
        <w:t>Cash and cas</w:t>
      </w:r>
      <w:r>
        <w:rPr>
          <w:rFonts w:eastAsia="Times New Roman"/>
          <w:b/>
          <w:bCs/>
          <w:i/>
          <w:iCs/>
          <w:color w:val="000000"/>
          <w:sz w:val="20"/>
          <w:szCs w:val="20"/>
        </w:rPr>
        <w:t>h equivalents</w:t>
      </w:r>
    </w:p>
    <w:p w:rsidR="00000000" w:rsidRDefault="00DA1786">
      <w:pPr>
        <w:jc w:val="both"/>
        <w:divId w:val="1586264026"/>
        <w:rPr>
          <w:rFonts w:eastAsia="Times New Roman"/>
        </w:rPr>
      </w:pPr>
      <w:r>
        <w:rPr>
          <w:rFonts w:eastAsia="Times New Roman"/>
          <w:color w:val="000000"/>
          <w:sz w:val="20"/>
          <w:szCs w:val="20"/>
        </w:rPr>
        <w:t>The Company considers all highly liquid investments that have maturities of three months or less when acquired to be cash equivalents. Cash equivalents as of December 31, 2020 and 2019 consisted of money market funds.</w:t>
      </w:r>
    </w:p>
    <w:p w:rsidR="00000000" w:rsidRDefault="00DA1786">
      <w:pPr>
        <w:jc w:val="both"/>
        <w:divId w:val="218173421"/>
        <w:rPr>
          <w:rFonts w:eastAsia="Times New Roman"/>
        </w:rPr>
      </w:pPr>
      <w:r>
        <w:rPr>
          <w:rFonts w:eastAsia="Times New Roman"/>
          <w:b/>
          <w:bCs/>
          <w:i/>
          <w:iCs/>
          <w:color w:val="000000"/>
          <w:sz w:val="20"/>
          <w:szCs w:val="20"/>
        </w:rPr>
        <w:t>Restricted cash</w:t>
      </w:r>
    </w:p>
    <w:p w:rsidR="00000000" w:rsidRDefault="00DA1786">
      <w:pPr>
        <w:jc w:val="both"/>
        <w:divId w:val="2065442344"/>
        <w:rPr>
          <w:rFonts w:eastAsia="Times New Roman"/>
        </w:rPr>
      </w:pPr>
      <w:r>
        <w:rPr>
          <w:rFonts w:eastAsia="Times New Roman"/>
          <w:color w:val="000000"/>
          <w:sz w:val="20"/>
          <w:szCs w:val="20"/>
        </w:rPr>
        <w:t>Restrict</w:t>
      </w:r>
      <w:r>
        <w:rPr>
          <w:rFonts w:eastAsia="Times New Roman"/>
          <w:color w:val="000000"/>
          <w:sz w:val="20"/>
          <w:szCs w:val="20"/>
        </w:rPr>
        <w:t>ed cash relates to amounts used to secure the Company’s credit card facility balances held on deposit with major financial institutions, to collateralize a letter of credit in the name of the Company’s landlord pursuant to a certain operating lease agreeme</w:t>
      </w:r>
      <w:r>
        <w:rPr>
          <w:rFonts w:eastAsia="Times New Roman"/>
          <w:color w:val="000000"/>
          <w:sz w:val="20"/>
          <w:szCs w:val="20"/>
        </w:rPr>
        <w:t>nt, and to fund an escrow arrangement in connection with a sublease agreement also pursuant to that same operating lease agreement. The escrow agreement ended in connection with the expiration of the Company's Waltham, Massachusetts lease agreement in Nove</w:t>
      </w:r>
      <w:r>
        <w:rPr>
          <w:rFonts w:eastAsia="Times New Roman"/>
          <w:color w:val="000000"/>
          <w:sz w:val="20"/>
          <w:szCs w:val="20"/>
        </w:rPr>
        <w:t>mber 2020 (see Note 7). The following table provides a reconciliation of the components of cash, cash equivalents, and restricted cash reported in the Company's consolidated balance sheets to the total of the amount presented in the Consolidated Statements</w:t>
      </w:r>
      <w:r>
        <w:rPr>
          <w:rFonts w:eastAsia="Times New Roman"/>
          <w:color w:val="000000"/>
          <w:sz w:val="20"/>
          <w:szCs w:val="20"/>
        </w:rPr>
        <w:t xml:space="preserve"> of Cash Flows: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6611"/>
        <w:gridCol w:w="37"/>
        <w:gridCol w:w="120"/>
        <w:gridCol w:w="600"/>
        <w:gridCol w:w="36"/>
        <w:gridCol w:w="36"/>
        <w:gridCol w:w="36"/>
        <w:gridCol w:w="36"/>
        <w:gridCol w:w="120"/>
        <w:gridCol w:w="600"/>
        <w:gridCol w:w="36"/>
      </w:tblGrid>
      <w:tr w:rsidR="00000000">
        <w:trPr>
          <w:divId w:val="88626286"/>
        </w:trPr>
        <w:tc>
          <w:tcPr>
            <w:tcW w:w="50" w:type="pct"/>
            <w:vAlign w:val="center"/>
            <w:hideMark/>
          </w:tcPr>
          <w:p w:rsidR="00000000" w:rsidRDefault="00DA1786">
            <w:pPr>
              <w:jc w:val="both"/>
              <w:rPr>
                <w:rFonts w:eastAsia="Times New Roman"/>
              </w:rPr>
            </w:pPr>
          </w:p>
        </w:tc>
        <w:tc>
          <w:tcPr>
            <w:tcW w:w="40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383"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383"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88626286"/>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December 31,</w:t>
            </w:r>
          </w:p>
        </w:tc>
      </w:tr>
      <w:tr w:rsidR="00000000">
        <w:trPr>
          <w:divId w:val="88626286"/>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88626286"/>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(in thousands)</w:t>
            </w:r>
          </w:p>
        </w:tc>
      </w:tr>
      <w:tr w:rsidR="00000000">
        <w:trPr>
          <w:divId w:val="8862628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38,174 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62,478 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88626286"/>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Restricted cash</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484 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1,034 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88626286"/>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88626286"/>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Total cash, cash equivalents, and restricted cash shown in the Consolidated Statements of Cash Flows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38,658 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63,512 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both"/>
        <w:divId w:val="352852323"/>
        <w:rPr>
          <w:rFonts w:eastAsia="Times New Roman"/>
        </w:rPr>
      </w:pPr>
      <w:r>
        <w:rPr>
          <w:rFonts w:eastAsia="Times New Roman"/>
          <w:b/>
          <w:bCs/>
          <w:i/>
          <w:iCs/>
          <w:color w:val="000000"/>
          <w:sz w:val="20"/>
          <w:szCs w:val="20"/>
        </w:rPr>
        <w:t>Refundable tax credit</w:t>
      </w:r>
    </w:p>
    <w:p w:rsidR="00000000" w:rsidRDefault="00DA1786">
      <w:pPr>
        <w:jc w:val="both"/>
        <w:divId w:val="150951223"/>
        <w:rPr>
          <w:rFonts w:eastAsia="Times New Roman"/>
        </w:rPr>
      </w:pPr>
      <w:r>
        <w:rPr>
          <w:rFonts w:eastAsia="Times New Roman"/>
          <w:color w:val="000000"/>
          <w:sz w:val="20"/>
          <w:szCs w:val="20"/>
        </w:rPr>
        <w:t>The Company earns French research tax credits (crédit d’impôt recherche) or (“CIR”</w:t>
      </w:r>
      <w:r>
        <w:rPr>
          <w:rFonts w:eastAsia="Times New Roman"/>
          <w:color w:val="000000"/>
          <w:sz w:val="20"/>
          <w:szCs w:val="20"/>
        </w:rPr>
        <w:t>) in connection with its research efforts through its wholly owned subsidiary in Lyon, France. CIR earned are refundable or they can offset French corporate income tax due. Since the French research tax credit can be recovered in cash, the Company has elec</w:t>
      </w:r>
      <w:r>
        <w:rPr>
          <w:rFonts w:eastAsia="Times New Roman"/>
          <w:color w:val="000000"/>
          <w:sz w:val="20"/>
          <w:szCs w:val="20"/>
        </w:rPr>
        <w:t>ted to treat this as a grant. During the year ended December 31, 2020 and 2019, the Company recognized a reduction of research and development expenses of $0.5 million and $1.2 million, respectively, and had a research tax credit receivable of $0.3 million</w:t>
      </w:r>
      <w:r>
        <w:rPr>
          <w:rFonts w:eastAsia="Times New Roman"/>
          <w:color w:val="000000"/>
          <w:sz w:val="20"/>
          <w:szCs w:val="20"/>
        </w:rPr>
        <w:t xml:space="preserve"> and $1.3 million at December 31, 2020 and 2019, respectively.</w:t>
      </w:r>
    </w:p>
    <w:p w:rsidR="00000000" w:rsidRDefault="00DA1786">
      <w:pPr>
        <w:ind w:firstLine="720"/>
        <w:jc w:val="center"/>
        <w:divId w:val="1015349744"/>
        <w:rPr>
          <w:rFonts w:eastAsia="Times New Roman"/>
        </w:rPr>
      </w:pPr>
      <w:r>
        <w:rPr>
          <w:rFonts w:eastAsia="Times New Roman"/>
          <w:color w:val="000000"/>
          <w:sz w:val="20"/>
          <w:szCs w:val="20"/>
        </w:rPr>
        <w:t>61</w:t>
      </w:r>
    </w:p>
    <w:p w:rsidR="00000000" w:rsidRDefault="00DA1786">
      <w:pPr>
        <w:rPr>
          <w:rFonts w:eastAsia="Times New Roman"/>
        </w:rPr>
      </w:pPr>
      <w:r>
        <w:rPr>
          <w:rFonts w:eastAsia="Times New Roman"/>
        </w:rPr>
        <w:pict>
          <v:rect id="_x0000_i1086" style="width:0;height:1.5pt" o:hralign="center" o:hrstd="t" o:hr="t" fillcolor="#a0a0a0" stroked="f"/>
        </w:pict>
      </w:r>
    </w:p>
    <w:p w:rsidR="00000000" w:rsidRDefault="00DA1786">
      <w:pPr>
        <w:divId w:val="859390354"/>
        <w:rPr>
          <w:rFonts w:eastAsia="Times New Roman"/>
        </w:rPr>
      </w:pPr>
    </w:p>
    <w:p w:rsidR="00000000" w:rsidRDefault="00DA1786">
      <w:pPr>
        <w:jc w:val="both"/>
        <w:divId w:val="1205555382"/>
        <w:rPr>
          <w:rFonts w:eastAsia="Times New Roman"/>
        </w:rPr>
      </w:pPr>
      <w:r>
        <w:rPr>
          <w:rFonts w:eastAsia="Times New Roman"/>
          <w:b/>
          <w:bCs/>
          <w:i/>
          <w:iCs/>
          <w:color w:val="000000"/>
          <w:sz w:val="20"/>
          <w:szCs w:val="20"/>
        </w:rPr>
        <w:t>Leases</w:t>
      </w:r>
    </w:p>
    <w:p w:rsidR="00000000" w:rsidRDefault="00DA1786">
      <w:pPr>
        <w:jc w:val="both"/>
        <w:divId w:val="1748991947"/>
        <w:rPr>
          <w:rFonts w:eastAsia="Times New Roman"/>
        </w:rPr>
      </w:pPr>
      <w:r>
        <w:rPr>
          <w:rFonts w:eastAsia="Times New Roman"/>
          <w:color w:val="000000"/>
          <w:sz w:val="20"/>
          <w:szCs w:val="20"/>
        </w:rPr>
        <w:t>The Company determines if an arrangement is a lease at contract inception. A lease exists when a contract conveys to the customer the right to control the use of identified property, plant, or equipment for a pe</w:t>
      </w:r>
      <w:r>
        <w:rPr>
          <w:rFonts w:eastAsia="Times New Roman"/>
          <w:color w:val="000000"/>
          <w:sz w:val="20"/>
          <w:szCs w:val="20"/>
        </w:rPr>
        <w:t>riod of time in exchange for consideration. The definition of a lease embodies two conditions: (1) there is an identified asset in the contract that is land or a depreciable asset (i.e., property, plant, and equipment), and (2) the customer has the right t</w:t>
      </w:r>
      <w:r>
        <w:rPr>
          <w:rFonts w:eastAsia="Times New Roman"/>
          <w:color w:val="000000"/>
          <w:sz w:val="20"/>
          <w:szCs w:val="20"/>
        </w:rPr>
        <w:t>o control the use of the identified asset.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lease liabilities are initially and subsequently measured at the present value of the unpaid lease payments at the lease commencement date. When readily determinable, the Company uses the implicit rate in de</w:t>
      </w:r>
      <w:r>
        <w:rPr>
          <w:rFonts w:eastAsia="Times New Roman"/>
          <w:color w:val="000000"/>
          <w:sz w:val="20"/>
          <w:szCs w:val="20"/>
        </w:rPr>
        <w:t>termining the present value of lease payments. When leases do not provide an implicit rate, the Company uses its incremental borrowing rate based on the information available at the lease commencement date, including the lease term.</w:t>
      </w:r>
      <w:r>
        <w:rPr>
          <w:rFonts w:eastAsia="Times New Roman"/>
          <w:color w:val="000000"/>
        </w:rPr>
        <w:t xml:space="preserve"> </w:t>
      </w:r>
    </w:p>
    <w:p w:rsidR="00000000" w:rsidRDefault="00DA1786">
      <w:pPr>
        <w:divId w:val="902712340"/>
        <w:rPr>
          <w:rFonts w:eastAsia="Times New Roman"/>
        </w:rPr>
      </w:pPr>
    </w:p>
    <w:p w:rsidR="00000000" w:rsidRDefault="00DA1786">
      <w:pPr>
        <w:jc w:val="both"/>
        <w:rPr>
          <w:rFonts w:eastAsia="Times New Roman"/>
        </w:rPr>
      </w:pPr>
      <w:r>
        <w:rPr>
          <w:rFonts w:eastAsia="Times New Roman"/>
          <w:color w:val="000000"/>
          <w:sz w:val="20"/>
          <w:szCs w:val="20"/>
        </w:rPr>
        <w:t>The ROU asset is ini</w:t>
      </w:r>
      <w:r>
        <w:rPr>
          <w:rFonts w:eastAsia="Times New Roman"/>
          <w:color w:val="000000"/>
          <w:sz w:val="20"/>
          <w:szCs w:val="20"/>
        </w:rPr>
        <w:t>tially measured at cost, which comprises the initial amount of the lease liability adjusted for lease payments made at or before the lease commencement date, plus any initial direct costs incurred less any lease incentives received. For operating leases, t</w:t>
      </w:r>
      <w:r>
        <w:rPr>
          <w:rFonts w:eastAsia="Times New Roman"/>
          <w:color w:val="000000"/>
          <w:sz w:val="20"/>
          <w:szCs w:val="20"/>
        </w:rPr>
        <w:t>he ROU asset is subsequently measured throughout the lease term at the carrying amount of the lease liability, plus initial direct costs, plus (minus) any prepaid (accrued) lease payments, less the unamortized balance of lease incentives received. Lease ex</w:t>
      </w:r>
      <w:r>
        <w:rPr>
          <w:rFonts w:eastAsia="Times New Roman"/>
          <w:color w:val="000000"/>
          <w:sz w:val="20"/>
          <w:szCs w:val="20"/>
        </w:rPr>
        <w:t>pense for lease payments is recognized on a straight-line basis over the lease term. Refer to Note 7 for further details.</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Fair value of financial instruments</w:t>
      </w:r>
    </w:p>
    <w:p w:rsidR="00000000" w:rsidRDefault="00DA1786">
      <w:pPr>
        <w:jc w:val="both"/>
        <w:divId w:val="1155872594"/>
        <w:rPr>
          <w:rFonts w:eastAsia="Times New Roman"/>
        </w:rPr>
      </w:pPr>
      <w:r>
        <w:rPr>
          <w:rFonts w:eastAsia="Times New Roman"/>
          <w:color w:val="000000"/>
          <w:sz w:val="20"/>
          <w:szCs w:val="20"/>
        </w:rPr>
        <w:t>Certain assets and liabilities are carried at fair value under GAAP. Fair value is defined as th</w:t>
      </w:r>
      <w:r>
        <w:rPr>
          <w:rFonts w:eastAsia="Times New Roman"/>
          <w:color w:val="000000"/>
          <w:sz w:val="20"/>
          <w:szCs w:val="20"/>
        </w:rPr>
        <w:t>e exchange price that would be received for an asset or paid to transfer a liability (an exit price) in the principal or most advantageous market for the asset or liability in an orderly transaction between market participants on the measurement date. Valu</w:t>
      </w:r>
      <w:r>
        <w:rPr>
          <w:rFonts w:eastAsia="Times New Roman"/>
          <w:color w:val="000000"/>
          <w:sz w:val="20"/>
          <w:szCs w:val="20"/>
        </w:rPr>
        <w:t>ation techniques used to measure fair value must maximize the use of observable inputs and minimize the use of unobservable inputs. Financial assets and liabilities carried at fair value are to be classified and disclosed in one of the following three leve</w:t>
      </w:r>
      <w:r>
        <w:rPr>
          <w:rFonts w:eastAsia="Times New Roman"/>
          <w:color w:val="000000"/>
          <w:sz w:val="20"/>
          <w:szCs w:val="20"/>
        </w:rPr>
        <w:t>ls of the fair value hierarchy, of which the first two are considered observable and the last is considered unobservable:</w:t>
      </w:r>
    </w:p>
    <w:p w:rsidR="00000000" w:rsidRDefault="00DA1786">
      <w:pPr>
        <w:ind w:hanging="360"/>
        <w:jc w:val="both"/>
        <w:divId w:val="1308701595"/>
        <w:rPr>
          <w:rFonts w:eastAsia="Times New Roman"/>
        </w:rPr>
      </w:pPr>
      <w:r>
        <w:rPr>
          <w:rFonts w:eastAsia="Times New Roman"/>
          <w:color w:val="000000"/>
          <w:sz w:val="20"/>
          <w:szCs w:val="20"/>
        </w:rPr>
        <w:t>•Level 1—Quoted prices in active markets for identical assets or liabilities.</w:t>
      </w:r>
    </w:p>
    <w:p w:rsidR="00000000" w:rsidRDefault="00DA1786">
      <w:pPr>
        <w:ind w:hanging="360"/>
        <w:jc w:val="both"/>
        <w:divId w:val="1783769361"/>
        <w:rPr>
          <w:rFonts w:eastAsia="Times New Roman"/>
        </w:rPr>
      </w:pPr>
      <w:r>
        <w:rPr>
          <w:rFonts w:eastAsia="Times New Roman"/>
          <w:color w:val="000000"/>
          <w:sz w:val="20"/>
          <w:szCs w:val="20"/>
        </w:rPr>
        <w:t>•Level 2—Observable inputs (other than Level 1 quoted pr</w:t>
      </w:r>
      <w:r>
        <w:rPr>
          <w:rFonts w:eastAsia="Times New Roman"/>
          <w:color w:val="000000"/>
          <w:sz w:val="20"/>
          <w:szCs w:val="20"/>
        </w:rPr>
        <w:t>ices), such as quoted prices in active markets for similar assets or liabilities, quoted prices in markets that are not active for identical or similar assets or liabilities, or other inputs that are observable or can be corroborated by observable market d</w:t>
      </w:r>
      <w:r>
        <w:rPr>
          <w:rFonts w:eastAsia="Times New Roman"/>
          <w:color w:val="000000"/>
          <w:sz w:val="20"/>
          <w:szCs w:val="20"/>
        </w:rPr>
        <w:t>ata.</w:t>
      </w:r>
    </w:p>
    <w:p w:rsidR="00000000" w:rsidRDefault="00DA1786">
      <w:pPr>
        <w:ind w:hanging="360"/>
        <w:jc w:val="both"/>
        <w:divId w:val="77096660"/>
        <w:rPr>
          <w:rFonts w:eastAsia="Times New Roman"/>
        </w:rPr>
      </w:pPr>
      <w:r>
        <w:rPr>
          <w:rFonts w:eastAsia="Times New Roman"/>
          <w:color w:val="000000"/>
          <w:sz w:val="20"/>
          <w:szCs w:val="20"/>
        </w:rPr>
        <w:t>•Level 3—Unobservable inputs that are supported by little or no market activity and that are significant to determining the fair value of the assets or liabilities, including pricing models, discounted cash flow methodologies and similar techniques.</w:t>
      </w:r>
    </w:p>
    <w:p w:rsidR="00000000" w:rsidRDefault="00DA1786">
      <w:pPr>
        <w:jc w:val="both"/>
        <w:divId w:val="1902985096"/>
        <w:rPr>
          <w:rFonts w:eastAsia="Times New Roman"/>
        </w:rPr>
      </w:pPr>
      <w:r>
        <w:rPr>
          <w:rFonts w:eastAsia="Times New Roman"/>
          <w:color w:val="000000"/>
          <w:sz w:val="20"/>
          <w:szCs w:val="20"/>
        </w:rPr>
        <w:t>T</w:t>
      </w:r>
      <w:r>
        <w:rPr>
          <w:rFonts w:eastAsia="Times New Roman"/>
          <w:color w:val="000000"/>
          <w:sz w:val="20"/>
          <w:szCs w:val="20"/>
        </w:rPr>
        <w:t>he asset’s or liability’s fair value measurement level within the fair value hierarchy is based on the lowest level of any input that is significant to the fair value measurement.</w:t>
      </w:r>
    </w:p>
    <w:p w:rsidR="00000000" w:rsidRDefault="00DA1786">
      <w:pPr>
        <w:jc w:val="both"/>
        <w:divId w:val="1387680622"/>
        <w:rPr>
          <w:rFonts w:eastAsia="Times New Roman"/>
        </w:rPr>
      </w:pPr>
      <w:r>
        <w:rPr>
          <w:rFonts w:eastAsia="Times New Roman"/>
          <w:color w:val="000000"/>
          <w:sz w:val="20"/>
          <w:szCs w:val="20"/>
        </w:rPr>
        <w:t>The carrying value of the Company’s debt approximates fair value as of Decem</w:t>
      </w:r>
      <w:r>
        <w:rPr>
          <w:rFonts w:eastAsia="Times New Roman"/>
          <w:color w:val="000000"/>
          <w:sz w:val="20"/>
          <w:szCs w:val="20"/>
        </w:rPr>
        <w:t>ber 31, 2020 and 2019.</w:t>
      </w:r>
    </w:p>
    <w:p w:rsidR="00000000" w:rsidRDefault="00DA1786">
      <w:pPr>
        <w:jc w:val="both"/>
        <w:divId w:val="862863303"/>
        <w:rPr>
          <w:rFonts w:eastAsia="Times New Roman"/>
        </w:rPr>
      </w:pPr>
      <w:r>
        <w:rPr>
          <w:rFonts w:eastAsia="Times New Roman"/>
          <w:b/>
          <w:bCs/>
          <w:i/>
          <w:iCs/>
          <w:color w:val="000000"/>
          <w:sz w:val="20"/>
          <w:szCs w:val="20"/>
        </w:rPr>
        <w:t>Other assets</w:t>
      </w:r>
    </w:p>
    <w:p w:rsidR="00000000" w:rsidRDefault="00DA1786">
      <w:pPr>
        <w:jc w:val="both"/>
        <w:divId w:val="1067997813"/>
        <w:rPr>
          <w:rFonts w:eastAsia="Times New Roman"/>
        </w:rPr>
      </w:pPr>
      <w:r>
        <w:rPr>
          <w:rFonts w:eastAsia="Times New Roman"/>
          <w:color w:val="000000"/>
          <w:sz w:val="20"/>
          <w:szCs w:val="20"/>
        </w:rPr>
        <w:t>Other assets includes property and equipment and other assets. Property and equipment, less accumulated depreciation, are recorded at cost and are depreciated on a straight-line basis over their estimated useful lives wh</w:t>
      </w:r>
      <w:r>
        <w:rPr>
          <w:rFonts w:eastAsia="Times New Roman"/>
          <w:color w:val="000000"/>
          <w:sz w:val="20"/>
          <w:szCs w:val="20"/>
        </w:rPr>
        <w:t>ich range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five years except for leasehold improvements which are amortized over the shorter of the asset life or lease term. Repairs and maintenance costs are expensed as incurred. Long-lived assets are reviewed for impairment whenever events</w:t>
      </w:r>
      <w:r>
        <w:rPr>
          <w:rFonts w:eastAsia="Times New Roman"/>
          <w:color w:val="000000"/>
          <w:sz w:val="20"/>
          <w:szCs w:val="20"/>
        </w:rPr>
        <w:t xml:space="preserve"> or changes in circumstances indicate that the carrying amount of an asset may not be recoverable. The Company has not recognized any impairment of long-lived assets through December 31, 2020.</w:t>
      </w:r>
    </w:p>
    <w:p w:rsidR="00000000" w:rsidRDefault="00DA1786">
      <w:pPr>
        <w:jc w:val="both"/>
        <w:divId w:val="1714229841"/>
        <w:rPr>
          <w:rFonts w:eastAsia="Times New Roman"/>
        </w:rPr>
      </w:pPr>
      <w:r>
        <w:rPr>
          <w:rFonts w:eastAsia="Times New Roman"/>
          <w:b/>
          <w:bCs/>
          <w:i/>
          <w:iCs/>
          <w:color w:val="000000"/>
          <w:sz w:val="20"/>
          <w:szCs w:val="20"/>
        </w:rPr>
        <w:t>Research and development expenses</w:t>
      </w:r>
    </w:p>
    <w:p w:rsidR="00000000" w:rsidRDefault="00DA1786">
      <w:pPr>
        <w:jc w:val="both"/>
        <w:divId w:val="1101298921"/>
        <w:rPr>
          <w:rFonts w:eastAsia="Times New Roman"/>
        </w:rPr>
      </w:pPr>
      <w:r>
        <w:rPr>
          <w:rFonts w:eastAsia="Times New Roman"/>
          <w:color w:val="000000"/>
          <w:sz w:val="20"/>
          <w:szCs w:val="20"/>
        </w:rPr>
        <w:t>Research and development cost</w:t>
      </w:r>
      <w:r>
        <w:rPr>
          <w:rFonts w:eastAsia="Times New Roman"/>
          <w:color w:val="000000"/>
          <w:sz w:val="20"/>
          <w:szCs w:val="20"/>
        </w:rPr>
        <w:t>s are expensed as incurred and consist primarily of personnel expenses, costs of funding research performed by third-parties, expenses incurred under agreements with contract manufacturing organizations, payments under third-party licensing agreements, con</w:t>
      </w:r>
      <w:r>
        <w:rPr>
          <w:rFonts w:eastAsia="Times New Roman"/>
          <w:color w:val="000000"/>
          <w:sz w:val="20"/>
          <w:szCs w:val="20"/>
        </w:rPr>
        <w:t>sultant fees and expenses associated with outsourced professional scientific development services, expenses related to regulatory activities and allocated expense for facility costs. Milestone payment obligations incurred prior to regulatory approval of th</w:t>
      </w:r>
      <w:r>
        <w:rPr>
          <w:rFonts w:eastAsia="Times New Roman"/>
          <w:color w:val="000000"/>
          <w:sz w:val="20"/>
          <w:szCs w:val="20"/>
        </w:rPr>
        <w:t xml:space="preserve">e product, which are accrued when the event requiring payment of the </w:t>
      </w:r>
    </w:p>
    <w:p w:rsidR="00000000" w:rsidRDefault="00DA1786">
      <w:pPr>
        <w:ind w:firstLine="720"/>
        <w:jc w:val="center"/>
        <w:divId w:val="867984237"/>
        <w:rPr>
          <w:rFonts w:eastAsia="Times New Roman"/>
        </w:rPr>
      </w:pPr>
      <w:r>
        <w:rPr>
          <w:rFonts w:eastAsia="Times New Roman"/>
          <w:color w:val="000000"/>
          <w:sz w:val="20"/>
          <w:szCs w:val="20"/>
        </w:rPr>
        <w:t>62</w:t>
      </w:r>
    </w:p>
    <w:p w:rsidR="00000000" w:rsidRDefault="00DA1786">
      <w:pPr>
        <w:rPr>
          <w:rFonts w:eastAsia="Times New Roman"/>
        </w:rPr>
      </w:pPr>
      <w:r>
        <w:rPr>
          <w:rFonts w:eastAsia="Times New Roman"/>
        </w:rPr>
        <w:pict>
          <v:rect id="_x0000_i1087" style="width:0;height:1.5pt" o:hralign="center" o:hrstd="t" o:hr="t" fillcolor="#a0a0a0" stroked="f"/>
        </w:pict>
      </w:r>
    </w:p>
    <w:p w:rsidR="00000000" w:rsidRDefault="00DA1786">
      <w:pPr>
        <w:divId w:val="688484824"/>
        <w:rPr>
          <w:rFonts w:eastAsia="Times New Roman"/>
        </w:rPr>
      </w:pPr>
    </w:p>
    <w:p w:rsidR="00000000" w:rsidRDefault="00DA1786">
      <w:pPr>
        <w:jc w:val="both"/>
        <w:divId w:val="1106079116"/>
        <w:rPr>
          <w:rFonts w:eastAsia="Times New Roman"/>
        </w:rPr>
      </w:pPr>
      <w:r>
        <w:rPr>
          <w:rFonts w:eastAsia="Times New Roman"/>
          <w:color w:val="000000"/>
          <w:sz w:val="20"/>
          <w:szCs w:val="20"/>
        </w:rPr>
        <w:t>milestone occurs, are included in research and development expenses. Upfront milestone payments made to third-parties who perform research and d</w:t>
      </w:r>
      <w:r>
        <w:rPr>
          <w:rFonts w:eastAsia="Times New Roman"/>
          <w:color w:val="000000"/>
          <w:sz w:val="20"/>
          <w:szCs w:val="20"/>
        </w:rPr>
        <w:t>evelopment services on the Company’s behalf are expensed as services are rendered.</w:t>
      </w:r>
    </w:p>
    <w:p w:rsidR="00000000" w:rsidRDefault="00DA1786">
      <w:pPr>
        <w:jc w:val="both"/>
        <w:divId w:val="1178927536"/>
        <w:rPr>
          <w:rFonts w:eastAsia="Times New Roman"/>
        </w:rPr>
      </w:pPr>
      <w:r>
        <w:rPr>
          <w:rFonts w:eastAsia="Times New Roman"/>
          <w:color w:val="000000"/>
          <w:sz w:val="20"/>
          <w:szCs w:val="20"/>
        </w:rPr>
        <w:t>At the end of each reporting period, the Company compares payments made to third-party service providers to the estimated progress toward completion of the applicable resear</w:t>
      </w:r>
      <w:r>
        <w:rPr>
          <w:rFonts w:eastAsia="Times New Roman"/>
          <w:color w:val="000000"/>
          <w:sz w:val="20"/>
          <w:szCs w:val="20"/>
        </w:rPr>
        <w:t>ch or development objectives. Such estimates are subject to change as additional information becomes available. Depending on the timing of payments to the service providers and the progress that the Company estimates has been made as a result of the servic</w:t>
      </w:r>
      <w:r>
        <w:rPr>
          <w:rFonts w:eastAsia="Times New Roman"/>
          <w:color w:val="000000"/>
          <w:sz w:val="20"/>
          <w:szCs w:val="20"/>
        </w:rPr>
        <w:t>e provided, the Company may record net prepaid or accrued expense relating to these costs. As of December 31, 2020 and 2019, the Company has not made any material adjustments to its prior estimates of accrued research and development expenses.</w:t>
      </w:r>
    </w:p>
    <w:p w:rsidR="00000000" w:rsidRDefault="00DA1786">
      <w:pPr>
        <w:jc w:val="both"/>
        <w:divId w:val="1170831917"/>
        <w:rPr>
          <w:rFonts w:eastAsia="Times New Roman"/>
        </w:rPr>
      </w:pPr>
      <w:r>
        <w:rPr>
          <w:rFonts w:eastAsia="Times New Roman"/>
          <w:b/>
          <w:bCs/>
          <w:i/>
          <w:iCs/>
          <w:color w:val="000000"/>
          <w:sz w:val="20"/>
          <w:szCs w:val="20"/>
        </w:rPr>
        <w:t>Stock-based compensation</w:t>
      </w:r>
    </w:p>
    <w:p w:rsidR="00000000" w:rsidRDefault="00DA1786">
      <w:pPr>
        <w:jc w:val="both"/>
        <w:divId w:val="893277656"/>
        <w:rPr>
          <w:rFonts w:eastAsia="Times New Roman"/>
        </w:rPr>
      </w:pPr>
      <w:r>
        <w:rPr>
          <w:rFonts w:eastAsia="Times New Roman"/>
          <w:color w:val="000000"/>
          <w:sz w:val="20"/>
          <w:szCs w:val="20"/>
        </w:rPr>
        <w:t>The Company measures and recognizes compensation expense for all stock options awarded to employees and nonemployees based on the estimated fair market value of the award on the grant date. The Company uses the Black-Scholes option</w:t>
      </w:r>
      <w:r>
        <w:rPr>
          <w:rFonts w:eastAsia="Times New Roman"/>
          <w:color w:val="000000"/>
          <w:sz w:val="20"/>
          <w:szCs w:val="20"/>
        </w:rPr>
        <w:t xml:space="preserve"> pricing model to value its stock option awards. The Company recognizes compensation expense on a straight-line basis over the requisite service period, which is generally the vesting period of the award. The Company accounts for forfeitures of stock optio</w:t>
      </w:r>
      <w:r>
        <w:rPr>
          <w:rFonts w:eastAsia="Times New Roman"/>
          <w:color w:val="000000"/>
          <w:sz w:val="20"/>
          <w:szCs w:val="20"/>
        </w:rPr>
        <w:t xml:space="preserve">ns as they occur. </w:t>
      </w:r>
    </w:p>
    <w:p w:rsidR="00000000" w:rsidRDefault="00DA1786">
      <w:pPr>
        <w:jc w:val="both"/>
        <w:divId w:val="1504660332"/>
        <w:rPr>
          <w:rFonts w:eastAsia="Times New Roman"/>
        </w:rPr>
      </w:pPr>
      <w:r>
        <w:rPr>
          <w:rFonts w:eastAsia="Times New Roman"/>
          <w:color w:val="000000"/>
          <w:sz w:val="20"/>
          <w:szCs w:val="20"/>
        </w:rPr>
        <w:t xml:space="preserve">Estimating the fair market value of options requires the input of subjective assumptions, including the estimated fair value of the Company’s common stock, the expected life of the options, stock price volatility, the risk-free interest </w:t>
      </w:r>
      <w:r>
        <w:rPr>
          <w:rFonts w:eastAsia="Times New Roman"/>
          <w:color w:val="000000"/>
          <w:sz w:val="20"/>
          <w:szCs w:val="20"/>
        </w:rPr>
        <w:t>rate and expected dividends. The assumptions used in the Company’s Black-Scholes option-pricing model represent management’s best estimates and involve a number of variables, uncertainties and assumptions and the application of management’s judgment, as th</w:t>
      </w:r>
      <w:r>
        <w:rPr>
          <w:rFonts w:eastAsia="Times New Roman"/>
          <w:color w:val="000000"/>
          <w:sz w:val="20"/>
          <w:szCs w:val="20"/>
        </w:rPr>
        <w:t>ey are inherently subjective.</w:t>
      </w:r>
    </w:p>
    <w:p w:rsidR="00000000" w:rsidRDefault="00DA1786">
      <w:pPr>
        <w:jc w:val="both"/>
        <w:divId w:val="529221541"/>
        <w:rPr>
          <w:rFonts w:eastAsia="Times New Roman"/>
        </w:rPr>
      </w:pPr>
      <w:r>
        <w:rPr>
          <w:rFonts w:eastAsia="Times New Roman"/>
          <w:b/>
          <w:bCs/>
          <w:i/>
          <w:iCs/>
          <w:color w:val="000000"/>
          <w:sz w:val="20"/>
          <w:szCs w:val="20"/>
        </w:rPr>
        <w:t>Income taxes</w:t>
      </w:r>
    </w:p>
    <w:p w:rsidR="00000000" w:rsidRDefault="00DA1786">
      <w:pPr>
        <w:jc w:val="both"/>
        <w:divId w:val="419182166"/>
        <w:rPr>
          <w:rFonts w:eastAsia="Times New Roman"/>
        </w:rPr>
      </w:pPr>
      <w:r>
        <w:rPr>
          <w:rFonts w:eastAsia="Times New Roman"/>
          <w:color w:val="000000"/>
          <w:sz w:val="20"/>
          <w:szCs w:val="20"/>
        </w:rPr>
        <w:t>The Company recognizes deferred tax assets and liabilities for temporary differences between the financial reporting basis and the tax basis of the Company’s assets and liabilities and the expected benefits of net</w:t>
      </w:r>
      <w:r>
        <w:rPr>
          <w:rFonts w:eastAsia="Times New Roman"/>
          <w:color w:val="000000"/>
          <w:sz w:val="20"/>
          <w:szCs w:val="20"/>
        </w:rPr>
        <w:t xml:space="preserve"> operating loss carryforwards. The impact of changes in tax rates and laws on deferred taxes, if any, applied during the period in which temporary differences are expected to be settled, is reflected in the Company’s financial statements in the period of e</w:t>
      </w:r>
      <w:r>
        <w:rPr>
          <w:rFonts w:eastAsia="Times New Roman"/>
          <w:color w:val="000000"/>
          <w:sz w:val="20"/>
          <w:szCs w:val="20"/>
        </w:rPr>
        <w:t>nactment. The measurement of deferred tax assets is reduced, if necessary, if, based on weight of the evidence, it is more likely than not that some, or all, of the deferred tax assets will not be realized. As of December 31, 2020 and 2019, the Company has</w:t>
      </w:r>
      <w:r>
        <w:rPr>
          <w:rFonts w:eastAsia="Times New Roman"/>
          <w:color w:val="000000"/>
          <w:sz w:val="20"/>
          <w:szCs w:val="20"/>
        </w:rPr>
        <w:t xml:space="preserve"> concluded that a full valuation allowance is necessary for all of its net deferred tax assets. The Company had no material amounts recorded for uncertain tax positions, interest or penalties in the accompanying Consolidated Financial Statements.</w:t>
      </w:r>
    </w:p>
    <w:p w:rsidR="00000000" w:rsidRDefault="00DA1786">
      <w:pPr>
        <w:jc w:val="both"/>
        <w:divId w:val="632642274"/>
        <w:rPr>
          <w:rFonts w:eastAsia="Times New Roman"/>
        </w:rPr>
      </w:pPr>
      <w:r>
        <w:rPr>
          <w:rFonts w:eastAsia="Times New Roman"/>
          <w:b/>
          <w:bCs/>
          <w:i/>
          <w:iCs/>
          <w:color w:val="000000"/>
          <w:sz w:val="20"/>
          <w:szCs w:val="20"/>
        </w:rPr>
        <w:t xml:space="preserve">Net loss </w:t>
      </w:r>
      <w:r>
        <w:rPr>
          <w:rFonts w:eastAsia="Times New Roman"/>
          <w:b/>
          <w:bCs/>
          <w:i/>
          <w:iCs/>
          <w:color w:val="000000"/>
          <w:sz w:val="20"/>
          <w:szCs w:val="20"/>
        </w:rPr>
        <w:t>per share</w:t>
      </w:r>
    </w:p>
    <w:p w:rsidR="00000000" w:rsidRDefault="00DA1786">
      <w:pPr>
        <w:jc w:val="both"/>
        <w:divId w:val="866216518"/>
        <w:rPr>
          <w:rFonts w:eastAsia="Times New Roman"/>
        </w:rPr>
      </w:pPr>
      <w:r>
        <w:rPr>
          <w:rFonts w:eastAsia="Times New Roman"/>
          <w:color w:val="000000"/>
          <w:sz w:val="20"/>
          <w:szCs w:val="20"/>
        </w:rPr>
        <w:t>Basic loss per share of common stock is computed by dividing net loss attributable to common stockholders by the weighted-average number of shares of common stock outstanding during each period. Diluted loss per share of common stock includes the effect, i</w:t>
      </w:r>
      <w:r>
        <w:rPr>
          <w:rFonts w:eastAsia="Times New Roman"/>
          <w:color w:val="000000"/>
          <w:sz w:val="20"/>
          <w:szCs w:val="20"/>
        </w:rPr>
        <w:t>f any, from the potential exercise or conversion of securities, such as restricted stock, and stock options, which would result in the issuance of incremental shares of common stock. In computing the basic and diluted net loss per share, the weighted-avera</w:t>
      </w:r>
      <w:r>
        <w:rPr>
          <w:rFonts w:eastAsia="Times New Roman"/>
          <w:color w:val="000000"/>
          <w:sz w:val="20"/>
          <w:szCs w:val="20"/>
        </w:rPr>
        <w:t>ge number of shares of common stock remains the same for both calculations due to the fact that when a net loss exists, dilutive shares are not included in the calculation as the impact is anti-dilutive.</w:t>
      </w:r>
    </w:p>
    <w:p w:rsidR="00000000" w:rsidRDefault="00DA1786">
      <w:pPr>
        <w:jc w:val="both"/>
        <w:divId w:val="791946079"/>
        <w:rPr>
          <w:rFonts w:eastAsia="Times New Roman"/>
        </w:rPr>
      </w:pPr>
      <w:r>
        <w:rPr>
          <w:rFonts w:eastAsia="Times New Roman"/>
          <w:color w:val="000000"/>
          <w:sz w:val="20"/>
          <w:szCs w:val="20"/>
        </w:rPr>
        <w:t>The following potentially dilutive securities have b</w:t>
      </w:r>
      <w:r>
        <w:rPr>
          <w:rFonts w:eastAsia="Times New Roman"/>
          <w:color w:val="000000"/>
          <w:sz w:val="20"/>
          <w:szCs w:val="20"/>
        </w:rPr>
        <w:t>een excluded from the computation of diluted weighted-average shares of common stock outstanding, as they would be anti-dilutive (amounts shown as common stock equivalents):</w:t>
      </w:r>
    </w:p>
    <w:tbl>
      <w:tblPr>
        <w:tblW w:w="4985" w:type="pct"/>
        <w:tblCellMar>
          <w:top w:w="15" w:type="dxa"/>
          <w:left w:w="15" w:type="dxa"/>
          <w:bottom w:w="15" w:type="dxa"/>
          <w:right w:w="15" w:type="dxa"/>
        </w:tblCellMar>
        <w:tblLook w:val="04A0" w:firstRow="1" w:lastRow="0" w:firstColumn="1" w:lastColumn="0" w:noHBand="0" w:noVBand="1"/>
      </w:tblPr>
      <w:tblGrid>
        <w:gridCol w:w="63"/>
        <w:gridCol w:w="6168"/>
        <w:gridCol w:w="37"/>
        <w:gridCol w:w="75"/>
        <w:gridCol w:w="847"/>
        <w:gridCol w:w="36"/>
        <w:gridCol w:w="36"/>
        <w:gridCol w:w="36"/>
        <w:gridCol w:w="36"/>
        <w:gridCol w:w="75"/>
        <w:gridCol w:w="836"/>
        <w:gridCol w:w="36"/>
      </w:tblGrid>
      <w:tr w:rsidR="00000000">
        <w:trPr>
          <w:divId w:val="440342718"/>
        </w:trPr>
        <w:tc>
          <w:tcPr>
            <w:tcW w:w="50" w:type="pct"/>
            <w:vAlign w:val="center"/>
            <w:hideMark/>
          </w:tcPr>
          <w:p w:rsidR="00000000" w:rsidRDefault="00DA1786">
            <w:pPr>
              <w:jc w:val="both"/>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440342718"/>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 December 31,</w:t>
            </w:r>
          </w:p>
        </w:tc>
      </w:tr>
      <w:tr w:rsidR="00000000">
        <w:trPr>
          <w:divId w:val="440342718"/>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440342718"/>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Stock options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3,749,102 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2,498,606 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40342718"/>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440342718"/>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Common stock warrants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17,125 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17,125 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40342718"/>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440342718"/>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BSA and BSPCE warrants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48,265 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95,567 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40342718"/>
        </w:trPr>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3,814,492 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2,611,298 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ind w:firstLine="720"/>
        <w:jc w:val="center"/>
        <w:divId w:val="874465086"/>
        <w:rPr>
          <w:rFonts w:eastAsia="Times New Roman"/>
        </w:rPr>
      </w:pPr>
      <w:r>
        <w:rPr>
          <w:rFonts w:eastAsia="Times New Roman"/>
          <w:color w:val="000000"/>
          <w:sz w:val="20"/>
          <w:szCs w:val="20"/>
        </w:rPr>
        <w:t>63</w:t>
      </w:r>
    </w:p>
    <w:p w:rsidR="00000000" w:rsidRDefault="00DA1786">
      <w:pPr>
        <w:rPr>
          <w:rFonts w:eastAsia="Times New Roman"/>
        </w:rPr>
      </w:pPr>
      <w:r>
        <w:rPr>
          <w:rFonts w:eastAsia="Times New Roman"/>
        </w:rPr>
        <w:pict>
          <v:rect id="_x0000_i1088" style="width:0;height:1.5pt" o:hralign="center" o:hrstd="t" o:hr="t" fillcolor="#a0a0a0" stroked="f"/>
        </w:pict>
      </w:r>
    </w:p>
    <w:p w:rsidR="00000000" w:rsidRDefault="00DA1786">
      <w:pPr>
        <w:divId w:val="279149541"/>
        <w:rPr>
          <w:rFonts w:eastAsia="Times New Roman"/>
        </w:rPr>
      </w:pPr>
    </w:p>
    <w:p w:rsidR="00000000" w:rsidRDefault="00DA1786">
      <w:pPr>
        <w:jc w:val="both"/>
        <w:divId w:val="319388362"/>
        <w:rPr>
          <w:rFonts w:eastAsia="Times New Roman"/>
        </w:rPr>
      </w:pPr>
      <w:r>
        <w:rPr>
          <w:rFonts w:eastAsia="Times New Roman"/>
          <w:b/>
          <w:bCs/>
          <w:i/>
          <w:iCs/>
          <w:color w:val="000000"/>
          <w:sz w:val="20"/>
          <w:szCs w:val="20"/>
        </w:rPr>
        <w:t>Segment information</w:t>
      </w:r>
    </w:p>
    <w:p w:rsidR="00000000" w:rsidRDefault="00DA1786">
      <w:pPr>
        <w:jc w:val="both"/>
        <w:divId w:val="1409768165"/>
        <w:rPr>
          <w:rFonts w:eastAsia="Times New Roman"/>
        </w:rPr>
      </w:pPr>
      <w:r>
        <w:rPr>
          <w:rFonts w:eastAsia="Times New Roman"/>
          <w:color w:val="000000"/>
          <w:sz w:val="20"/>
          <w:szCs w:val="20"/>
        </w:rPr>
        <w:t>Operating segments are defined as components of an enterprise about which separate discrete information is available for evaluation by the chief operating decision maker, or decision-making group, in deciding how to allocate resources and in assessing perf</w:t>
      </w:r>
      <w:r>
        <w:rPr>
          <w:rFonts w:eastAsia="Times New Roman"/>
          <w:color w:val="000000"/>
          <w:sz w:val="20"/>
          <w:szCs w:val="20"/>
        </w:rPr>
        <w:t>ormance. The Company views its operations and manages its business in one segment.</w:t>
      </w:r>
    </w:p>
    <w:p w:rsidR="00000000" w:rsidRDefault="00DA1786">
      <w:pPr>
        <w:jc w:val="both"/>
        <w:divId w:val="700471722"/>
        <w:rPr>
          <w:rFonts w:eastAsia="Times New Roman"/>
        </w:rPr>
      </w:pPr>
      <w:r>
        <w:rPr>
          <w:rFonts w:eastAsia="Times New Roman"/>
          <w:b/>
          <w:bCs/>
          <w:i/>
          <w:iCs/>
          <w:color w:val="000000"/>
          <w:sz w:val="20"/>
          <w:szCs w:val="20"/>
        </w:rPr>
        <w:t>Foreign currency</w:t>
      </w:r>
    </w:p>
    <w:p w:rsidR="00000000" w:rsidRDefault="00DA1786">
      <w:pPr>
        <w:jc w:val="both"/>
        <w:divId w:val="1815022378"/>
        <w:rPr>
          <w:rFonts w:eastAsia="Times New Roman"/>
        </w:rPr>
      </w:pPr>
      <w:r>
        <w:rPr>
          <w:rFonts w:eastAsia="Times New Roman"/>
          <w:color w:val="000000"/>
          <w:sz w:val="20"/>
          <w:szCs w:val="20"/>
        </w:rPr>
        <w:t>Results of foreign operations are translated from their functional currency into U.S. dollars (reporting currency) using average exchange rates in effect du</w:t>
      </w:r>
      <w:r>
        <w:rPr>
          <w:rFonts w:eastAsia="Times New Roman"/>
          <w:color w:val="000000"/>
          <w:sz w:val="20"/>
          <w:szCs w:val="20"/>
        </w:rPr>
        <w:t xml:space="preserve">ring the year, while assets and liabilities are translated into U.S. dollars using exchange rates in effect at the balance sheet date. The resulting translation adjustments are recorded in accumulated other comprehensive loss. Transaction gains and losses </w:t>
      </w:r>
      <w:r>
        <w:rPr>
          <w:rFonts w:eastAsia="Times New Roman"/>
          <w:color w:val="000000"/>
          <w:sz w:val="20"/>
          <w:szCs w:val="20"/>
        </w:rPr>
        <w:t>resulting from exchange rate changes on transactions denominated in currencies other than the functional currency are included in income in the period in which the change occurs and reported within other expenses in the consolidated statements of operation</w:t>
      </w:r>
      <w:r>
        <w:rPr>
          <w:rFonts w:eastAsia="Times New Roman"/>
          <w:color w:val="000000"/>
          <w:sz w:val="20"/>
          <w:szCs w:val="20"/>
        </w:rPr>
        <w:t>s and comprehensive loss.</w:t>
      </w:r>
    </w:p>
    <w:p w:rsidR="00000000" w:rsidRDefault="00DA1786">
      <w:pPr>
        <w:divId w:val="1208251507"/>
        <w:rPr>
          <w:rFonts w:eastAsia="Times New Roman"/>
        </w:rPr>
      </w:pPr>
      <w:r>
        <w:rPr>
          <w:rFonts w:eastAsia="Times New Roman"/>
          <w:b/>
          <w:bCs/>
          <w:i/>
          <w:iCs/>
          <w:color w:val="000000"/>
          <w:sz w:val="20"/>
          <w:szCs w:val="20"/>
        </w:rPr>
        <w:t>Recent accounting pronouncements</w:t>
      </w:r>
    </w:p>
    <w:p w:rsidR="00000000" w:rsidRDefault="00DA1786">
      <w:pPr>
        <w:jc w:val="both"/>
        <w:divId w:val="89787334"/>
        <w:rPr>
          <w:rFonts w:eastAsia="Times New Roman"/>
        </w:rPr>
      </w:pPr>
      <w:r>
        <w:rPr>
          <w:rFonts w:eastAsia="Times New Roman"/>
          <w:color w:val="000000"/>
          <w:sz w:val="20"/>
          <w:szCs w:val="20"/>
        </w:rPr>
        <w:t xml:space="preserve">In January 2020, the FASB issued ASU 2020-01, </w:t>
      </w:r>
      <w:r>
        <w:rPr>
          <w:rFonts w:eastAsia="Times New Roman"/>
          <w:i/>
          <w:iCs/>
          <w:color w:val="000000"/>
          <w:sz w:val="20"/>
          <w:szCs w:val="20"/>
        </w:rPr>
        <w:t>Investments-Equity Securities (Topic 321), Investments-Equity Method and Joint Ventures (Topic 323), and Derivatives and Hedging (Topic 815).</w:t>
      </w:r>
      <w:r>
        <w:rPr>
          <w:rFonts w:eastAsia="Times New Roman"/>
          <w:color w:val="000000"/>
          <w:sz w:val="20"/>
          <w:szCs w:val="20"/>
        </w:rPr>
        <w:t xml:space="preserve"> ASU 2020-</w:t>
      </w:r>
      <w:r>
        <w:rPr>
          <w:rFonts w:eastAsia="Times New Roman"/>
          <w:color w:val="000000"/>
          <w:sz w:val="20"/>
          <w:szCs w:val="20"/>
        </w:rPr>
        <w:t>01 states any equity security transitioning from the alternative method of accounting under Topic 321 to the equity method, or vice versa, due to an observable transaction will be remeasured immediately before the transition. In addition, the ASU clarifies</w:t>
      </w:r>
      <w:r>
        <w:rPr>
          <w:rFonts w:eastAsia="Times New Roman"/>
          <w:color w:val="000000"/>
          <w:sz w:val="20"/>
          <w:szCs w:val="20"/>
        </w:rPr>
        <w:t xml:space="preserve"> the accounting for certain non-derivative forward contracts or purchased call options to acquire equity securities stating such instruments will be measured using the fair value principles of Topic 321 before settlement or exercise. The ASU is effective f</w:t>
      </w:r>
      <w:r>
        <w:rPr>
          <w:rFonts w:eastAsia="Times New Roman"/>
          <w:color w:val="000000"/>
          <w:sz w:val="20"/>
          <w:szCs w:val="20"/>
        </w:rPr>
        <w:t>or fiscal years beginning after December 15, 2020, and will be applied on a prospective basis. Early adoption is permitted. The Company adopted ASU 2020-01 on January 1, 2021, which did not have a material effect on the consolidated financial statements.</w:t>
      </w:r>
    </w:p>
    <w:p w:rsidR="00000000" w:rsidRDefault="00DA1786">
      <w:pPr>
        <w:jc w:val="both"/>
        <w:divId w:val="823862734"/>
        <w:rPr>
          <w:rFonts w:eastAsia="Times New Roman"/>
        </w:rPr>
      </w:pPr>
      <w:r>
        <w:rPr>
          <w:rFonts w:eastAsia="Times New Roman"/>
          <w:color w:val="000000"/>
          <w:sz w:val="20"/>
          <w:szCs w:val="20"/>
        </w:rPr>
        <w:t>I</w:t>
      </w:r>
      <w:r>
        <w:rPr>
          <w:rFonts w:eastAsia="Times New Roman"/>
          <w:color w:val="000000"/>
          <w:sz w:val="20"/>
          <w:szCs w:val="20"/>
        </w:rPr>
        <w:t xml:space="preserve">n December 2019, the FASB issued ASU 2019-12, </w:t>
      </w:r>
      <w:r>
        <w:rPr>
          <w:rFonts w:eastAsia="Times New Roman"/>
          <w:i/>
          <w:iCs/>
          <w:color w:val="000000"/>
          <w:sz w:val="20"/>
          <w:szCs w:val="20"/>
        </w:rPr>
        <w:t xml:space="preserve">Income Taxes (Topic 740) - Simplifying the Accounting for Income Taxes. </w:t>
      </w:r>
      <w:r>
        <w:rPr>
          <w:rFonts w:eastAsia="Times New Roman"/>
          <w:color w:val="000000"/>
          <w:sz w:val="20"/>
          <w:szCs w:val="20"/>
        </w:rPr>
        <w:t>ASU 2019-12 simplifies the accounting for income taxes by removing exceptions within the general principles of Topic 740 regarding the cal</w:t>
      </w:r>
      <w:r>
        <w:rPr>
          <w:rFonts w:eastAsia="Times New Roman"/>
          <w:color w:val="000000"/>
          <w:sz w:val="20"/>
          <w:szCs w:val="20"/>
        </w:rPr>
        <w:t>culation of deferred tax liabilities, the incremental approach for intraperiod tax allocation, and calculating income taxes in an interim period. In addition, the ASU adds clarifications to the accounting for franchise tax (or similar tax), which is partia</w:t>
      </w:r>
      <w:r>
        <w:rPr>
          <w:rFonts w:eastAsia="Times New Roman"/>
          <w:color w:val="000000"/>
          <w:sz w:val="20"/>
          <w:szCs w:val="20"/>
        </w:rPr>
        <w:t>lly based on income, evaluating tax basis of goodwill recognized from a business combination, and reflecting the effect of any enacted changes in tax laws or rates in the annual effective tax rate computation in the interim period that includes the enactme</w:t>
      </w:r>
      <w:r>
        <w:rPr>
          <w:rFonts w:eastAsia="Times New Roman"/>
          <w:color w:val="000000"/>
          <w:sz w:val="20"/>
          <w:szCs w:val="20"/>
        </w:rPr>
        <w:t>nt date. The ASU is effective for fiscal years beginning after December 15, 2020, and will be applied either retrospectively or prospectively based upon the applicable amendments. Early adoption is permitted. The Company adopted ASU 2019-01 on January 1, 2</w:t>
      </w:r>
      <w:r>
        <w:rPr>
          <w:rFonts w:eastAsia="Times New Roman"/>
          <w:color w:val="000000"/>
          <w:sz w:val="20"/>
          <w:szCs w:val="20"/>
        </w:rPr>
        <w:t>021, which did not have a material effect on the consolidated financial statements.</w:t>
      </w:r>
    </w:p>
    <w:p w:rsidR="00000000" w:rsidRDefault="00DA1786">
      <w:pPr>
        <w:jc w:val="both"/>
        <w:divId w:val="1445541453"/>
        <w:rPr>
          <w:rFonts w:eastAsia="Times New Roman"/>
        </w:rPr>
      </w:pPr>
      <w:r>
        <w:rPr>
          <w:rFonts w:eastAsia="Times New Roman"/>
          <w:color w:val="000000"/>
          <w:sz w:val="20"/>
          <w:szCs w:val="20"/>
        </w:rPr>
        <w:t xml:space="preserve">In August 2018, the FASB issued ASU 2018-13, </w:t>
      </w:r>
      <w:r>
        <w:rPr>
          <w:rFonts w:eastAsia="Times New Roman"/>
          <w:i/>
          <w:iCs/>
          <w:color w:val="000000"/>
          <w:sz w:val="20"/>
          <w:szCs w:val="20"/>
        </w:rPr>
        <w:t>Fair Value Measurement (Topic 820) Disclosure Framework - Changes to the Disclosure Requirements for Fair Value Measurement</w:t>
      </w:r>
      <w:r>
        <w:rPr>
          <w:rFonts w:eastAsia="Times New Roman"/>
          <w:color w:val="000000"/>
          <w:sz w:val="20"/>
          <w:szCs w:val="20"/>
        </w:rPr>
        <w:t>. ASU 2018-13 resulted in certain modifications to fair value measurement disclosures, primarily related to level 3 fair value measurements. The standard was effective for fiscal years, and interim periods within those fiscal years, beginning after Decembe</w:t>
      </w:r>
      <w:r>
        <w:rPr>
          <w:rFonts w:eastAsia="Times New Roman"/>
          <w:color w:val="000000"/>
          <w:sz w:val="20"/>
          <w:szCs w:val="20"/>
        </w:rPr>
        <w:t>r 15, 2019, and early adoption was permitted. The adoption of ASU 2018-13 did not have a material impact on the Company's consolidated financial statements and related disclosures.</w:t>
      </w:r>
    </w:p>
    <w:p w:rsidR="00000000" w:rsidRDefault="00DA1786">
      <w:pPr>
        <w:jc w:val="both"/>
        <w:divId w:val="1339043203"/>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w:t>
      </w:r>
      <w:r>
        <w:rPr>
          <w:rFonts w:eastAsia="Times New Roman"/>
          <w:i/>
          <w:iCs/>
          <w:color w:val="000000"/>
          <w:sz w:val="20"/>
          <w:szCs w:val="20"/>
        </w:rPr>
        <w:t>osses (Topic 326) Measurement of Credit Losses on Financial Instruments</w:t>
      </w:r>
      <w:r>
        <w:rPr>
          <w:rFonts w:eastAsia="Times New Roman"/>
          <w:color w:val="000000"/>
          <w:sz w:val="20"/>
          <w:szCs w:val="20"/>
        </w:rPr>
        <w:t>, which replaces the incurred loss impairment methodology in current GAAP with a methodology that reflects expected credit losses and requires consideration of a broader range of reason</w:t>
      </w:r>
      <w:r>
        <w:rPr>
          <w:rFonts w:eastAsia="Times New Roman"/>
          <w:color w:val="000000"/>
          <w:sz w:val="20"/>
          <w:szCs w:val="20"/>
        </w:rPr>
        <w:t>able and supportable information to inform credit loss estimates. Additionally, ASU 2016-13 requires a financial asset measured at amortized cost basis to be presented at the net amount expected to be collected through the use of an allowance of expected c</w:t>
      </w:r>
      <w:r>
        <w:rPr>
          <w:rFonts w:eastAsia="Times New Roman"/>
          <w:color w:val="000000"/>
          <w:sz w:val="20"/>
          <w:szCs w:val="20"/>
        </w:rPr>
        <w:t xml:space="preserve">redit losses. In May 2019, the FASB issued ASU 2019-05, </w:t>
      </w:r>
      <w:r>
        <w:rPr>
          <w:rFonts w:eastAsia="Times New Roman"/>
          <w:i/>
          <w:iCs/>
          <w:color w:val="000000"/>
          <w:sz w:val="20"/>
          <w:szCs w:val="20"/>
        </w:rPr>
        <w:t>Financial Instruments - Credit Losses (Topic 326) Targeted Transition Relief</w:t>
      </w:r>
      <w:r>
        <w:rPr>
          <w:rFonts w:eastAsia="Times New Roman"/>
          <w:color w:val="000000"/>
          <w:sz w:val="20"/>
          <w:szCs w:val="20"/>
        </w:rPr>
        <w:t xml:space="preserve">, which amends ASU 2016-13 by providing entities with an option to irrevocably elect the fair value option to be applied on </w:t>
      </w:r>
      <w:r>
        <w:rPr>
          <w:rFonts w:eastAsia="Times New Roman"/>
          <w:color w:val="000000"/>
          <w:sz w:val="20"/>
          <w:szCs w:val="20"/>
        </w:rPr>
        <w:t xml:space="preserve">an instrument-by-instrument basis for eligible financial instruments that are within the scope of Topic 326. The fair value option election does not apply to held-to-maturity debt securities. In November 2019, the FASB issued ASU 2019-10, </w:t>
      </w:r>
      <w:r>
        <w:rPr>
          <w:rFonts w:eastAsia="Times New Roman"/>
          <w:i/>
          <w:iCs/>
          <w:color w:val="000000"/>
          <w:sz w:val="20"/>
          <w:szCs w:val="20"/>
        </w:rPr>
        <w:t>Financial Instrum</w:t>
      </w:r>
      <w:r>
        <w:rPr>
          <w:rFonts w:eastAsia="Times New Roman"/>
          <w:i/>
          <w:iCs/>
          <w:color w:val="000000"/>
          <w:sz w:val="20"/>
          <w:szCs w:val="20"/>
        </w:rPr>
        <w:t>ents - Credit Losses (Topic 326), Derivatives and Hedging (Topic 815), and Leases (Topic 842)</w:t>
      </w:r>
      <w:r>
        <w:rPr>
          <w:rFonts w:eastAsia="Times New Roman"/>
          <w:color w:val="000000"/>
          <w:sz w:val="20"/>
          <w:szCs w:val="20"/>
        </w:rPr>
        <w:t>, which finalized effective date delays for private companies, not-for-profit organizations, and certain smaller reporting companies applying the credit losses, le</w:t>
      </w:r>
      <w:r>
        <w:rPr>
          <w:rFonts w:eastAsia="Times New Roman"/>
          <w:color w:val="000000"/>
          <w:sz w:val="20"/>
          <w:szCs w:val="20"/>
        </w:rPr>
        <w:t xml:space="preserve">ases, and hedging standards. Also in November 2019, the FASB issued ASU 2019-11, </w:t>
      </w:r>
      <w:r>
        <w:rPr>
          <w:rFonts w:eastAsia="Times New Roman"/>
          <w:i/>
          <w:iCs/>
          <w:color w:val="000000"/>
          <w:sz w:val="20"/>
          <w:szCs w:val="20"/>
        </w:rPr>
        <w:t>Codification Improvements to Topic 326, Financial Instruments - Credit Losses</w:t>
      </w:r>
      <w:r>
        <w:rPr>
          <w:rFonts w:eastAsia="Times New Roman"/>
          <w:color w:val="000000"/>
          <w:sz w:val="20"/>
          <w:szCs w:val="20"/>
        </w:rPr>
        <w:t>, which provides clarity about certain aspects of the amendments in ASU 2016-13. ASU 2016-13, as a</w:t>
      </w:r>
      <w:r>
        <w:rPr>
          <w:rFonts w:eastAsia="Times New Roman"/>
          <w:color w:val="000000"/>
          <w:sz w:val="20"/>
          <w:szCs w:val="20"/>
        </w:rPr>
        <w:t>mended, is effective for fiscal years beginning after December 15, 2022, including interim periods within those fiscal years, and requires a modified retrospective approach. The Company is in the process of evaluating the impact of this new guidance on its</w:t>
      </w:r>
      <w:r>
        <w:rPr>
          <w:rFonts w:eastAsia="Times New Roman"/>
          <w:color w:val="000000"/>
          <w:sz w:val="20"/>
          <w:szCs w:val="20"/>
        </w:rPr>
        <w:t xml:space="preserve"> consolidated financial statements and related disclosures.</w:t>
      </w:r>
    </w:p>
    <w:p w:rsidR="00000000" w:rsidRDefault="00DA1786">
      <w:pPr>
        <w:ind w:firstLine="720"/>
        <w:jc w:val="center"/>
        <w:divId w:val="520241784"/>
        <w:rPr>
          <w:rFonts w:eastAsia="Times New Roman"/>
        </w:rPr>
      </w:pPr>
      <w:r>
        <w:rPr>
          <w:rFonts w:eastAsia="Times New Roman"/>
          <w:color w:val="000000"/>
          <w:sz w:val="20"/>
          <w:szCs w:val="20"/>
        </w:rPr>
        <w:t>64</w:t>
      </w:r>
    </w:p>
    <w:p w:rsidR="00000000" w:rsidRDefault="00DA1786">
      <w:pPr>
        <w:rPr>
          <w:rFonts w:eastAsia="Times New Roman"/>
        </w:rPr>
      </w:pPr>
      <w:r>
        <w:rPr>
          <w:rFonts w:eastAsia="Times New Roman"/>
        </w:rPr>
        <w:pict>
          <v:rect id="_x0000_i1089" style="width:0;height:1.5pt" o:hralign="center" o:hrstd="t" o:hr="t" fillcolor="#a0a0a0" stroked="f"/>
        </w:pict>
      </w:r>
    </w:p>
    <w:p w:rsidR="00000000" w:rsidRDefault="00DA1786">
      <w:pPr>
        <w:divId w:val="215052692"/>
        <w:rPr>
          <w:rFonts w:eastAsia="Times New Roman"/>
        </w:rPr>
      </w:pPr>
    </w:p>
    <w:p w:rsidR="00000000" w:rsidRDefault="00DA1786">
      <w:pPr>
        <w:jc w:val="both"/>
        <w:divId w:val="663631255"/>
        <w:rPr>
          <w:rFonts w:eastAsia="Times New Roman"/>
        </w:rPr>
      </w:pPr>
      <w:r>
        <w:rPr>
          <w:rFonts w:eastAsia="Times New Roman"/>
          <w:b/>
          <w:bCs/>
          <w:i/>
          <w:iCs/>
          <w:color w:val="000000"/>
          <w:sz w:val="20"/>
          <w:szCs w:val="20"/>
        </w:rPr>
        <w:t>Subsequent events</w:t>
      </w:r>
    </w:p>
    <w:p w:rsidR="00000000" w:rsidRDefault="00DA1786">
      <w:pPr>
        <w:jc w:val="both"/>
        <w:divId w:val="2076126941"/>
        <w:rPr>
          <w:rFonts w:eastAsia="Times New Roman"/>
        </w:rPr>
      </w:pPr>
      <w:r>
        <w:rPr>
          <w:rFonts w:eastAsia="Times New Roman"/>
          <w:color w:val="000000"/>
          <w:sz w:val="20"/>
          <w:szCs w:val="20"/>
        </w:rPr>
        <w:t>Subsequent events were evaluated through the filing date of this Annual Report.</w:t>
      </w:r>
    </w:p>
    <w:p w:rsidR="00000000" w:rsidRDefault="00DA1786">
      <w:pPr>
        <w:divId w:val="1777748015"/>
        <w:rPr>
          <w:rFonts w:eastAsia="Times New Roman"/>
        </w:rPr>
      </w:pPr>
      <w:r>
        <w:rPr>
          <w:rFonts w:eastAsia="Times New Roman"/>
          <w:b/>
          <w:bCs/>
          <w:color w:val="000000"/>
          <w:sz w:val="20"/>
          <w:szCs w:val="20"/>
        </w:rPr>
        <w:t>3. Fair Value Measurements</w:t>
      </w:r>
    </w:p>
    <w:p w:rsidR="00000000" w:rsidRDefault="00DA1786">
      <w:pPr>
        <w:jc w:val="both"/>
        <w:divId w:val="1412582874"/>
        <w:rPr>
          <w:rFonts w:eastAsia="Times New Roman"/>
        </w:rPr>
      </w:pPr>
      <w:r>
        <w:rPr>
          <w:rFonts w:eastAsia="Times New Roman"/>
          <w:color w:val="000000"/>
          <w:sz w:val="20"/>
          <w:szCs w:val="20"/>
        </w:rPr>
        <w:t xml:space="preserve">The following table presents </w:t>
      </w:r>
      <w:r>
        <w:rPr>
          <w:rFonts w:eastAsia="Times New Roman"/>
          <w:color w:val="000000"/>
          <w:sz w:val="20"/>
          <w:szCs w:val="20"/>
        </w:rPr>
        <w:t>the Company’s assets and liabilities that are measured at fair value on a recurring basis (amounts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6"/>
        <w:gridCol w:w="120"/>
        <w:gridCol w:w="831"/>
        <w:gridCol w:w="36"/>
        <w:gridCol w:w="36"/>
        <w:gridCol w:w="36"/>
        <w:gridCol w:w="36"/>
        <w:gridCol w:w="121"/>
        <w:gridCol w:w="792"/>
        <w:gridCol w:w="36"/>
        <w:gridCol w:w="36"/>
        <w:gridCol w:w="36"/>
        <w:gridCol w:w="36"/>
        <w:gridCol w:w="121"/>
        <w:gridCol w:w="792"/>
        <w:gridCol w:w="36"/>
      </w:tblGrid>
      <w:tr w:rsidR="00000000">
        <w:trPr>
          <w:divId w:val="1130710247"/>
        </w:trPr>
        <w:tc>
          <w:tcPr>
            <w:tcW w:w="50" w:type="pct"/>
            <w:vAlign w:val="center"/>
            <w:hideMark/>
          </w:tcPr>
          <w:p w:rsidR="00000000" w:rsidRDefault="00DA1786">
            <w:pPr>
              <w:jc w:val="both"/>
              <w:rPr>
                <w:rFonts w:eastAsia="Times New Roman"/>
              </w:rPr>
            </w:pPr>
          </w:p>
        </w:tc>
        <w:tc>
          <w:tcPr>
            <w:tcW w:w="311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130710247"/>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December 31, 2020</w:t>
            </w:r>
          </w:p>
        </w:tc>
      </w:tr>
      <w:tr w:rsidR="00000000">
        <w:trPr>
          <w:divId w:val="1130710247"/>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(Level 3)</w:t>
            </w:r>
          </w:p>
        </w:tc>
      </w:tr>
      <w:tr w:rsidR="00000000">
        <w:trPr>
          <w:divId w:val="1130710247"/>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30710247"/>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Money market funds (included in cash and cash equivalents)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33,636 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center"/>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106"/>
        <w:gridCol w:w="36"/>
        <w:gridCol w:w="120"/>
        <w:gridCol w:w="831"/>
        <w:gridCol w:w="36"/>
        <w:gridCol w:w="36"/>
        <w:gridCol w:w="36"/>
        <w:gridCol w:w="36"/>
        <w:gridCol w:w="121"/>
        <w:gridCol w:w="792"/>
        <w:gridCol w:w="36"/>
        <w:gridCol w:w="36"/>
        <w:gridCol w:w="36"/>
        <w:gridCol w:w="36"/>
        <w:gridCol w:w="121"/>
        <w:gridCol w:w="792"/>
        <w:gridCol w:w="36"/>
      </w:tblGrid>
      <w:tr w:rsidR="00000000">
        <w:trPr>
          <w:divId w:val="319506809"/>
          <w:jc w:val="center"/>
        </w:trPr>
        <w:tc>
          <w:tcPr>
            <w:tcW w:w="50" w:type="pct"/>
            <w:vAlign w:val="center"/>
            <w:hideMark/>
          </w:tcPr>
          <w:p w:rsidR="00000000" w:rsidRDefault="00DA1786">
            <w:pPr>
              <w:jc w:val="center"/>
              <w:rPr>
                <w:rFonts w:eastAsia="Times New Roman"/>
              </w:rPr>
            </w:pPr>
          </w:p>
        </w:tc>
        <w:tc>
          <w:tcPr>
            <w:tcW w:w="311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319506809"/>
          <w:jc w:val="center"/>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December 31, 2019</w:t>
            </w:r>
          </w:p>
        </w:tc>
      </w:tr>
      <w:tr w:rsidR="00000000">
        <w:trPr>
          <w:divId w:val="319506809"/>
          <w:jc w:val="center"/>
        </w:trPr>
        <w:tc>
          <w:tcPr>
            <w:tcW w:w="0" w:type="auto"/>
            <w:gridSpan w:val="3"/>
            <w:shd w:val="clear" w:color="auto" w:fill="FFFFFF"/>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(Level 3)</w:t>
            </w:r>
          </w:p>
        </w:tc>
      </w:tr>
      <w:tr w:rsidR="00000000">
        <w:trPr>
          <w:divId w:val="319506809"/>
          <w:jc w:val="center"/>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319506809"/>
          <w:jc w:val="center"/>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Money market funds (included in cash and cash equivalents)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59,382 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319506809"/>
          <w:jc w:val="center"/>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319506809"/>
          <w:jc w:val="center"/>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319506809"/>
          <w:jc w:val="center"/>
        </w:trPr>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bl>
    <w:p w:rsidR="00000000" w:rsidRDefault="00DA1786">
      <w:pPr>
        <w:jc w:val="both"/>
        <w:divId w:val="1142887177"/>
        <w:rPr>
          <w:rFonts w:eastAsia="Times New Roman"/>
        </w:rPr>
      </w:pPr>
    </w:p>
    <w:p w:rsidR="00000000" w:rsidRDefault="00DA1786">
      <w:pPr>
        <w:divId w:val="1028263960"/>
        <w:rPr>
          <w:rFonts w:eastAsia="Times New Roman"/>
        </w:rPr>
      </w:pPr>
      <w:r>
        <w:rPr>
          <w:rFonts w:eastAsia="Times New Roman"/>
          <w:b/>
          <w:bCs/>
          <w:color w:val="000000"/>
          <w:sz w:val="20"/>
          <w:szCs w:val="20"/>
        </w:rPr>
        <w:t>4. Accrued Expenses</w:t>
      </w:r>
    </w:p>
    <w:p w:rsidR="00000000" w:rsidRDefault="00DA1786">
      <w:pPr>
        <w:jc w:val="both"/>
        <w:divId w:val="1678576579"/>
        <w:rPr>
          <w:rFonts w:eastAsia="Times New Roman"/>
        </w:rPr>
      </w:pPr>
      <w:r>
        <w:rPr>
          <w:rFonts w:eastAsia="Times New Roman"/>
          <w:color w:val="000000"/>
          <w:sz w:val="20"/>
          <w:szCs w:val="20"/>
        </w:rPr>
        <w:t>Accrued expenses consist of (amounts in thousands):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6"/>
        <w:gridCol w:w="36"/>
        <w:gridCol w:w="120"/>
        <w:gridCol w:w="837"/>
        <w:gridCol w:w="36"/>
        <w:gridCol w:w="36"/>
        <w:gridCol w:w="36"/>
        <w:gridCol w:w="36"/>
        <w:gridCol w:w="120"/>
        <w:gridCol w:w="802"/>
        <w:gridCol w:w="36"/>
      </w:tblGrid>
      <w:tr w:rsidR="00000000">
        <w:trPr>
          <w:divId w:val="414280344"/>
        </w:trPr>
        <w:tc>
          <w:tcPr>
            <w:tcW w:w="50" w:type="pct"/>
            <w:vAlign w:val="center"/>
            <w:hideMark/>
          </w:tcPr>
          <w:p w:rsidR="00000000" w:rsidRDefault="00DA1786">
            <w:pPr>
              <w:jc w:val="both"/>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414280344"/>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December 31,</w:t>
            </w:r>
          </w:p>
        </w:tc>
      </w:tr>
      <w:tr w:rsidR="00000000">
        <w:trPr>
          <w:divId w:val="414280344"/>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4142803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Compensation and related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1,978 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142803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719 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2,929 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142803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Preclinical and clinical costs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1,002 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1,820 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14280344"/>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4142803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Insurance premiums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1,476 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1,423 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14280344"/>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414280344"/>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ind w:firstLine="720"/>
        <w:divId w:val="1847357042"/>
        <w:rPr>
          <w:rFonts w:eastAsia="Times New Roman"/>
        </w:rPr>
      </w:pPr>
    </w:p>
    <w:p w:rsidR="00000000" w:rsidRDefault="00DA1786">
      <w:pPr>
        <w:divId w:val="652413081"/>
        <w:rPr>
          <w:rFonts w:eastAsia="Times New Roman"/>
        </w:rPr>
      </w:pPr>
      <w:r>
        <w:rPr>
          <w:rFonts w:eastAsia="Times New Roman"/>
          <w:b/>
          <w:bCs/>
          <w:color w:val="000000"/>
          <w:sz w:val="20"/>
          <w:szCs w:val="20"/>
        </w:rPr>
        <w:t>5. Debt</w:t>
      </w:r>
    </w:p>
    <w:p w:rsidR="00000000" w:rsidRDefault="00DA1786">
      <w:pPr>
        <w:jc w:val="both"/>
        <w:divId w:val="1720545352"/>
        <w:rPr>
          <w:rFonts w:eastAsia="Times New Roman"/>
        </w:rPr>
      </w:pPr>
      <w:r>
        <w:rPr>
          <w:rFonts w:eastAsia="Times New Roman"/>
          <w:b/>
          <w:bCs/>
          <w:i/>
          <w:iCs/>
          <w:color w:val="000000"/>
          <w:sz w:val="20"/>
          <w:szCs w:val="20"/>
        </w:rPr>
        <w:t>Bpifrance Reimbursable Advance</w:t>
      </w:r>
    </w:p>
    <w:p w:rsidR="00000000" w:rsidRDefault="00DA1786">
      <w:pPr>
        <w:jc w:val="both"/>
        <w:divId w:val="723718990"/>
        <w:rPr>
          <w:rFonts w:eastAsia="Times New Roman"/>
        </w:rPr>
      </w:pPr>
      <w:r>
        <w:rPr>
          <w:rFonts w:eastAsia="Times New Roman"/>
          <w:color w:val="000000"/>
          <w:sz w:val="20"/>
          <w:szCs w:val="20"/>
        </w:rPr>
        <w:t>In December 2017, in connection with its acquisition of Alizé, a privately held biotechnology company based in Lyon, France, the Company assumed €0.7 million of debt that Alizé had outstanding with Bpifrance Financing (“Bpifr</w:t>
      </w:r>
      <w:r>
        <w:rPr>
          <w:rFonts w:eastAsia="Times New Roman"/>
          <w:color w:val="000000"/>
          <w:sz w:val="20"/>
          <w:szCs w:val="20"/>
        </w:rPr>
        <w:t>ance”). The original advance amount of €0.8 million (“the Bpifrance Advance”) was provided to Alizé as an innovation aid that required Alizé to carry out certain activities related to its livoletide clinical development program and incur a certain level of</w:t>
      </w:r>
      <w:r>
        <w:rPr>
          <w:rFonts w:eastAsia="Times New Roman"/>
          <w:color w:val="000000"/>
          <w:sz w:val="20"/>
          <w:szCs w:val="20"/>
        </w:rPr>
        <w:t xml:space="preserve"> program expenditures. No interest is charged or accrued under the advance.</w:t>
      </w:r>
    </w:p>
    <w:p w:rsidR="00000000" w:rsidRDefault="00DA1786">
      <w:pPr>
        <w:jc w:val="both"/>
        <w:divId w:val="399180854"/>
        <w:rPr>
          <w:rFonts w:eastAsia="Times New Roman"/>
        </w:rPr>
      </w:pPr>
      <w:r>
        <w:rPr>
          <w:rFonts w:eastAsia="Times New Roman"/>
          <w:color w:val="000000"/>
          <w:sz w:val="20"/>
          <w:szCs w:val="20"/>
        </w:rPr>
        <w:t>The Company is required to make quarterly principal payments, which began in December 2016 and continue through September 2021. The quarterly principal payments escalate over the r</w:t>
      </w:r>
      <w:r>
        <w:rPr>
          <w:rFonts w:eastAsia="Times New Roman"/>
          <w:color w:val="000000"/>
          <w:sz w:val="20"/>
          <w:szCs w:val="20"/>
        </w:rPr>
        <w:t>epayment period beginning with €17,500 per quarter and increasing to €50,000 through maturity. In addition to the quarterly payments, beginning January 1, 2016, Bpifrance may require the Company to pay, by no later than March 31 of each year, a reimburseme</w:t>
      </w:r>
      <w:r>
        <w:rPr>
          <w:rFonts w:eastAsia="Times New Roman"/>
          <w:color w:val="000000"/>
          <w:sz w:val="20"/>
          <w:szCs w:val="20"/>
        </w:rPr>
        <w:t>nt annuity equal to 20% of the proceeds generated by the Company from license, assignment or use of livoletide. Under no circumstance, however, would the Company be required to reimburse to Bpifrance principal amounts greater than the original advance it r</w:t>
      </w:r>
      <w:r>
        <w:rPr>
          <w:rFonts w:eastAsia="Times New Roman"/>
          <w:color w:val="000000"/>
          <w:sz w:val="20"/>
          <w:szCs w:val="20"/>
        </w:rPr>
        <w:t>eceived.</w:t>
      </w:r>
    </w:p>
    <w:p w:rsidR="00000000" w:rsidRDefault="00DA1786">
      <w:pPr>
        <w:jc w:val="both"/>
        <w:divId w:val="497959116"/>
        <w:rPr>
          <w:rFonts w:eastAsia="Times New Roman"/>
        </w:rPr>
      </w:pPr>
      <w:r>
        <w:rPr>
          <w:rFonts w:eastAsia="Times New Roman"/>
          <w:color w:val="000000"/>
          <w:sz w:val="20"/>
          <w:szCs w:val="20"/>
        </w:rPr>
        <w:t>The Company is permitted to repay the Bpifrance Advance at any time, at which point it would be released from all commitments and obligations under the Bpifrance Advance agreement. The Bpifrance Advance Agreement does not contain any ongoing finan</w:t>
      </w:r>
      <w:r>
        <w:rPr>
          <w:rFonts w:eastAsia="Times New Roman"/>
          <w:color w:val="000000"/>
          <w:sz w:val="20"/>
          <w:szCs w:val="20"/>
        </w:rPr>
        <w:t>cial covenants.</w:t>
      </w:r>
    </w:p>
    <w:p w:rsidR="00000000" w:rsidRDefault="00DA1786">
      <w:pPr>
        <w:ind w:firstLine="720"/>
        <w:jc w:val="center"/>
        <w:divId w:val="1557277982"/>
        <w:rPr>
          <w:rFonts w:eastAsia="Times New Roman"/>
        </w:rPr>
      </w:pPr>
      <w:r>
        <w:rPr>
          <w:rFonts w:eastAsia="Times New Roman"/>
          <w:color w:val="000000"/>
          <w:sz w:val="20"/>
          <w:szCs w:val="20"/>
        </w:rPr>
        <w:t>65</w:t>
      </w:r>
    </w:p>
    <w:p w:rsidR="00000000" w:rsidRDefault="00DA1786">
      <w:pPr>
        <w:rPr>
          <w:rFonts w:eastAsia="Times New Roman"/>
        </w:rPr>
      </w:pPr>
      <w:r>
        <w:rPr>
          <w:rFonts w:eastAsia="Times New Roman"/>
        </w:rPr>
        <w:pict>
          <v:rect id="_x0000_i1090" style="width:0;height:1.5pt" o:hralign="center" o:hrstd="t" o:hr="t" fillcolor="#a0a0a0" stroked="f"/>
        </w:pict>
      </w:r>
    </w:p>
    <w:p w:rsidR="00000000" w:rsidRDefault="00DA1786">
      <w:pPr>
        <w:divId w:val="1132358277"/>
        <w:rPr>
          <w:rFonts w:eastAsia="Times New Roman"/>
        </w:rPr>
      </w:pPr>
    </w:p>
    <w:p w:rsidR="00000000" w:rsidRDefault="00DA1786">
      <w:pPr>
        <w:jc w:val="both"/>
        <w:divId w:val="1030885606"/>
        <w:rPr>
          <w:rFonts w:eastAsia="Times New Roman"/>
        </w:rPr>
      </w:pPr>
      <w:r>
        <w:rPr>
          <w:rFonts w:eastAsia="Times New Roman"/>
          <w:color w:val="000000"/>
          <w:sz w:val="20"/>
          <w:szCs w:val="20"/>
        </w:rPr>
        <w:t>For the year ending December 31, 2020 the Company made $0.1 million in principal payments under the Bpifrance Advance agreement due to the fact that in April 2020, Bpifrance provided a six month def</w:t>
      </w:r>
      <w:r>
        <w:rPr>
          <w:rFonts w:eastAsia="Times New Roman"/>
          <w:color w:val="000000"/>
          <w:sz w:val="20"/>
          <w:szCs w:val="20"/>
        </w:rPr>
        <w:t>erral of principal payments to support businesses as a result of the COVID-19 pandemic. During the third quarter the Company resumed normal principal payments under the Bpifrance Advance agreement. For the year ending December 31, 2019, the Company made pr</w:t>
      </w:r>
      <w:r>
        <w:rPr>
          <w:rFonts w:eastAsia="Times New Roman"/>
          <w:color w:val="000000"/>
          <w:sz w:val="20"/>
          <w:szCs w:val="20"/>
        </w:rPr>
        <w:t>incipal payments of $0.2 million. At December 31, 2020, the balance outstanding was $0.3 million (€0.2 million).</w:t>
      </w:r>
    </w:p>
    <w:p w:rsidR="00000000" w:rsidRDefault="00DA1786">
      <w:pPr>
        <w:divId w:val="1670131036"/>
        <w:rPr>
          <w:rFonts w:eastAsia="Times New Roman"/>
        </w:rPr>
      </w:pPr>
      <w:r>
        <w:rPr>
          <w:rFonts w:eastAsia="Times New Roman"/>
          <w:b/>
          <w:bCs/>
          <w:color w:val="000000"/>
          <w:sz w:val="20"/>
          <w:szCs w:val="20"/>
        </w:rPr>
        <w:t>6. License Agreements</w:t>
      </w:r>
    </w:p>
    <w:p w:rsidR="00000000" w:rsidRDefault="00DA1786">
      <w:pPr>
        <w:jc w:val="both"/>
        <w:divId w:val="1152332206"/>
        <w:rPr>
          <w:rFonts w:eastAsia="Times New Roman"/>
        </w:rPr>
      </w:pPr>
      <w:r>
        <w:rPr>
          <w:rFonts w:eastAsia="Times New Roman"/>
          <w:b/>
          <w:bCs/>
          <w:i/>
          <w:iCs/>
          <w:color w:val="000000"/>
          <w:sz w:val="20"/>
          <w:szCs w:val="20"/>
        </w:rPr>
        <w:t>University of Michigan License Agreement</w:t>
      </w:r>
    </w:p>
    <w:p w:rsidR="00000000" w:rsidRDefault="00DA1786">
      <w:pPr>
        <w:jc w:val="both"/>
        <w:divId w:val="131868171"/>
        <w:rPr>
          <w:rFonts w:eastAsia="Times New Roman"/>
        </w:rPr>
      </w:pPr>
      <w:r>
        <w:rPr>
          <w:rFonts w:eastAsia="Times New Roman"/>
          <w:color w:val="000000"/>
          <w:sz w:val="20"/>
          <w:szCs w:val="20"/>
        </w:rPr>
        <w:t>In June 2013, the Company entered into a license agreement with the Regents of t</w:t>
      </w:r>
      <w:r>
        <w:rPr>
          <w:rFonts w:eastAsia="Times New Roman"/>
          <w:color w:val="000000"/>
          <w:sz w:val="20"/>
          <w:szCs w:val="20"/>
        </w:rPr>
        <w:t>he University of Michigan (the “University of Michigan”) for a worldwide, exclusive, sublicensable license to the University of Michigan’s interest in certain patent rights jointly owned with the Company, covering the use of ATR-101 for the treatment of ce</w:t>
      </w:r>
      <w:r>
        <w:rPr>
          <w:rFonts w:eastAsia="Times New Roman"/>
          <w:color w:val="000000"/>
          <w:sz w:val="20"/>
          <w:szCs w:val="20"/>
        </w:rPr>
        <w:t>rtain indications (the “UM License Agreement”). Due to the Company's decision to cease investing in the nevanimibe program, effective on March 5, 2021, the Company notified the University of Michigan of its decision to terminate the UM License Agreement, w</w:t>
      </w:r>
      <w:r>
        <w:rPr>
          <w:rFonts w:eastAsia="Times New Roman"/>
          <w:color w:val="000000"/>
          <w:sz w:val="20"/>
          <w:szCs w:val="20"/>
        </w:rPr>
        <w:t>hich termination shall be effective April 30, 2021, as agreed to by the University of Michigan.</w:t>
      </w:r>
    </w:p>
    <w:p w:rsidR="00000000" w:rsidRDefault="00DA1786">
      <w:pPr>
        <w:jc w:val="both"/>
        <w:divId w:val="2023319365"/>
        <w:rPr>
          <w:rFonts w:eastAsia="Times New Roman"/>
        </w:rPr>
      </w:pPr>
      <w:r>
        <w:rPr>
          <w:rFonts w:eastAsia="Times New Roman"/>
          <w:color w:val="000000"/>
          <w:sz w:val="20"/>
          <w:szCs w:val="20"/>
        </w:rPr>
        <w:t>The Company would have been obligated to make payments to the University of Michigan totaling up to $2.5 million upon the achievement of certain development and</w:t>
      </w:r>
      <w:r>
        <w:rPr>
          <w:rFonts w:eastAsia="Times New Roman"/>
          <w:color w:val="000000"/>
          <w:sz w:val="20"/>
          <w:szCs w:val="20"/>
        </w:rPr>
        <w:t xml:space="preserve"> commercial milestones. No amounts were paid in 2018 or 2019 related to the achievement of development or commercial milestones. During the year ended December 31, 2019, $0.1 million was paid in order to extend the milestone achievement date of certain dev</w:t>
      </w:r>
      <w:r>
        <w:rPr>
          <w:rFonts w:eastAsia="Times New Roman"/>
          <w:color w:val="000000"/>
          <w:sz w:val="20"/>
          <w:szCs w:val="20"/>
        </w:rPr>
        <w:t>elopment milestones. The Company would have also been required to pay the University of Michigan a low-single digit royalty percentage on net sales of applicable products, if any.</w:t>
      </w:r>
    </w:p>
    <w:p w:rsidR="00000000" w:rsidRDefault="00DA1786">
      <w:pPr>
        <w:jc w:val="both"/>
        <w:divId w:val="1549298375"/>
        <w:rPr>
          <w:rFonts w:eastAsia="Times New Roman"/>
        </w:rPr>
      </w:pPr>
      <w:r>
        <w:rPr>
          <w:rFonts w:eastAsia="Times New Roman"/>
          <w:color w:val="000000"/>
          <w:sz w:val="20"/>
          <w:szCs w:val="20"/>
        </w:rPr>
        <w:t>In addition, $20,000 in annual minimum royalties would have been due under t</w:t>
      </w:r>
      <w:r>
        <w:rPr>
          <w:rFonts w:eastAsia="Times New Roman"/>
          <w:color w:val="000000"/>
          <w:sz w:val="20"/>
          <w:szCs w:val="20"/>
        </w:rPr>
        <w:t>he UM License Agreement for each of 2021 through 2023. Further, beginning in 2024, the Company would have been required to pay an annual fee of $0.2 million which would have been creditable against royalties due, if any, until the expiration or termination</w:t>
      </w:r>
      <w:r>
        <w:rPr>
          <w:rFonts w:eastAsia="Times New Roman"/>
          <w:color w:val="000000"/>
          <w:sz w:val="20"/>
          <w:szCs w:val="20"/>
        </w:rPr>
        <w:t xml:space="preserve"> of the UM License Agreement. </w:t>
      </w:r>
    </w:p>
    <w:p w:rsidR="00000000" w:rsidRDefault="00DA1786">
      <w:pPr>
        <w:jc w:val="both"/>
        <w:divId w:val="1888107561"/>
        <w:rPr>
          <w:rFonts w:eastAsia="Times New Roman"/>
        </w:rPr>
      </w:pPr>
      <w:r>
        <w:rPr>
          <w:rFonts w:eastAsia="Times New Roman"/>
          <w:b/>
          <w:bCs/>
          <w:i/>
          <w:iCs/>
          <w:color w:val="000000"/>
          <w:sz w:val="20"/>
          <w:szCs w:val="20"/>
        </w:rPr>
        <w:t>Assignment agreement with Erasmus University Medical Center and the University of Turin</w:t>
      </w:r>
    </w:p>
    <w:p w:rsidR="00000000" w:rsidRDefault="00DA1786">
      <w:pPr>
        <w:jc w:val="both"/>
        <w:divId w:val="326056908"/>
        <w:rPr>
          <w:rFonts w:eastAsia="Times New Roman"/>
        </w:rPr>
      </w:pPr>
      <w:r>
        <w:rPr>
          <w:rFonts w:eastAsia="Times New Roman"/>
          <w:color w:val="000000"/>
          <w:sz w:val="20"/>
          <w:szCs w:val="20"/>
        </w:rPr>
        <w:t>In connection with its acquisition of Alizé, the Company assumed Alizé’s obligations under an assignment agreement with Erasmus Universit</w:t>
      </w:r>
      <w:r>
        <w:rPr>
          <w:rFonts w:eastAsia="Times New Roman"/>
          <w:color w:val="000000"/>
          <w:sz w:val="20"/>
          <w:szCs w:val="20"/>
        </w:rPr>
        <w:t>y Medical Center, the University of Turin and certain individuals (collectively “the Assignors”), for certain patents and patent applications relating to livoletide. In March 2021, the Company notified the assignors that it had discontinued its PWS program</w:t>
      </w:r>
      <w:r>
        <w:rPr>
          <w:rFonts w:eastAsia="Times New Roman"/>
          <w:color w:val="000000"/>
          <w:sz w:val="20"/>
          <w:szCs w:val="20"/>
        </w:rPr>
        <w:t>.</w:t>
      </w:r>
    </w:p>
    <w:p w:rsidR="00000000" w:rsidRDefault="00DA1786">
      <w:pPr>
        <w:jc w:val="both"/>
        <w:divId w:val="199633561"/>
        <w:rPr>
          <w:rFonts w:eastAsia="Times New Roman"/>
        </w:rPr>
      </w:pPr>
      <w:r>
        <w:rPr>
          <w:rFonts w:eastAsia="Times New Roman"/>
          <w:color w:val="000000"/>
          <w:sz w:val="20"/>
          <w:szCs w:val="20"/>
        </w:rPr>
        <w:t>In connection with the assignment, the Company agreed to pay the Assignors a flat, low single digit royalty on net commercial sales of products containing livoletide that are covered by the claims of the assigned intellectual property. Further, upon appr</w:t>
      </w:r>
      <w:r>
        <w:rPr>
          <w:rFonts w:eastAsia="Times New Roman"/>
          <w:color w:val="000000"/>
          <w:sz w:val="20"/>
          <w:szCs w:val="20"/>
        </w:rPr>
        <w:t>oval of livoletide by the FDA or EMA, the Company would have been required to pay the Assignors CDN $100,000, which amount would have been deducted from any future royalty payments due to the Assignors. The Company also agreed to pay the Assignors a low si</w:t>
      </w:r>
      <w:r>
        <w:rPr>
          <w:rFonts w:eastAsia="Times New Roman"/>
          <w:color w:val="000000"/>
          <w:sz w:val="20"/>
          <w:szCs w:val="20"/>
        </w:rPr>
        <w:t xml:space="preserve">ngle digit percentage of any amounts received in connection with its license of the assigned intellectual property or products containing livoletide that are covered by the claims of the assigned intellectual property. </w:t>
      </w:r>
    </w:p>
    <w:p w:rsidR="00000000" w:rsidRDefault="00DA1786">
      <w:pPr>
        <w:jc w:val="both"/>
        <w:divId w:val="1449622006"/>
        <w:rPr>
          <w:rFonts w:eastAsia="Times New Roman"/>
        </w:rPr>
      </w:pPr>
      <w:r>
        <w:rPr>
          <w:rFonts w:eastAsia="Times New Roman"/>
          <w:b/>
          <w:bCs/>
          <w:i/>
          <w:iCs/>
          <w:color w:val="000000"/>
          <w:sz w:val="20"/>
          <w:szCs w:val="20"/>
        </w:rPr>
        <w:t>License Agreement with Roche</w:t>
      </w:r>
    </w:p>
    <w:p w:rsidR="00000000" w:rsidRDefault="00DA1786">
      <w:pPr>
        <w:jc w:val="both"/>
        <w:divId w:val="1972250417"/>
        <w:rPr>
          <w:rFonts w:eastAsia="Times New Roman"/>
        </w:rPr>
      </w:pPr>
      <w:r>
        <w:rPr>
          <w:rFonts w:eastAsia="Times New Roman"/>
          <w:color w:val="000000"/>
          <w:sz w:val="20"/>
          <w:szCs w:val="20"/>
          <w:shd w:val="clear" w:color="auto" w:fill="FFFFFF"/>
        </w:rPr>
        <w:t>On Octo</w:t>
      </w:r>
      <w:r>
        <w:rPr>
          <w:rFonts w:eastAsia="Times New Roman"/>
          <w:color w:val="000000"/>
          <w:sz w:val="20"/>
          <w:szCs w:val="20"/>
          <w:shd w:val="clear" w:color="auto" w:fill="FFFFFF"/>
        </w:rPr>
        <w:t>ber 16, 2018, the Company entered into a license agreement with F. Hoffmann-La Roche Ltd and Hoffman-La Roche Inc. (collectively, “Roche”), for a worldwide, exclusive license to Roche's interest in certain patent rights and know-how covering, among other t</w:t>
      </w:r>
      <w:r>
        <w:rPr>
          <w:rFonts w:eastAsia="Times New Roman"/>
          <w:color w:val="000000"/>
          <w:sz w:val="20"/>
          <w:szCs w:val="20"/>
          <w:shd w:val="clear" w:color="auto" w:fill="FFFFFF"/>
        </w:rPr>
        <w:t>hings, the use of a neurokinin 3 receptor antagonist (the "Roche License Agreement"). Due to the Company's decision to discontinue developing the MLE-301 program, in March 2021, the Company notified Roche that it was terminating the Roche License Agreement</w:t>
      </w:r>
      <w:r>
        <w:rPr>
          <w:rFonts w:eastAsia="Times New Roman"/>
          <w:color w:val="000000"/>
          <w:sz w:val="20"/>
          <w:szCs w:val="20"/>
          <w:shd w:val="clear" w:color="auto" w:fill="FFFFFF"/>
        </w:rPr>
        <w:t xml:space="preserve"> effective three months from the date of such notice.</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shd w:val="clear" w:color="auto" w:fill="FFFFFF"/>
        </w:rPr>
        <w:t>As consideration for the rights granted to the Company under the Roche License Agreement, the Company agreed to pay Roche an up-front payment. Under the terms of the Roche License Agreement, the Compa</w:t>
      </w:r>
      <w:r>
        <w:rPr>
          <w:rFonts w:eastAsia="Times New Roman"/>
          <w:color w:val="000000"/>
          <w:sz w:val="20"/>
          <w:szCs w:val="20"/>
          <w:shd w:val="clear" w:color="auto" w:fill="FFFFFF"/>
        </w:rPr>
        <w:t>ny would have also been obligated to make significant milestone and royalty payments in connection with the attainment of certain development steps and the sale of resulting products with respect to the neurokinin 3 receptor antagonist. In addition, the Co</w:t>
      </w:r>
      <w:r>
        <w:rPr>
          <w:rFonts w:eastAsia="Times New Roman"/>
          <w:color w:val="000000"/>
          <w:sz w:val="20"/>
          <w:szCs w:val="20"/>
          <w:shd w:val="clear" w:color="auto" w:fill="FFFFFF"/>
        </w:rPr>
        <w:t xml:space="preserve">mpany would have been required to share a portion of any net proceeds received in connection with certain agreements that it may enter into with third-parties to develop and commercialize the neurokinin 3 receptor antagonist. </w:t>
      </w:r>
    </w:p>
    <w:p w:rsidR="00000000" w:rsidRDefault="00DA1786">
      <w:pPr>
        <w:ind w:firstLine="720"/>
        <w:jc w:val="center"/>
        <w:divId w:val="66810444"/>
        <w:rPr>
          <w:rFonts w:eastAsia="Times New Roman"/>
        </w:rPr>
      </w:pPr>
      <w:r>
        <w:rPr>
          <w:rFonts w:eastAsia="Times New Roman"/>
          <w:color w:val="000000"/>
          <w:sz w:val="20"/>
          <w:szCs w:val="20"/>
        </w:rPr>
        <w:t>66</w:t>
      </w:r>
    </w:p>
    <w:p w:rsidR="00000000" w:rsidRDefault="00DA1786">
      <w:pPr>
        <w:rPr>
          <w:rFonts w:eastAsia="Times New Roman"/>
        </w:rPr>
      </w:pPr>
      <w:r>
        <w:rPr>
          <w:rFonts w:eastAsia="Times New Roman"/>
        </w:rPr>
        <w:pict>
          <v:rect id="_x0000_i1091" style="width:0;height:1.5pt" o:hralign="center" o:hrstd="t" o:hr="t" fillcolor="#a0a0a0" stroked="f"/>
        </w:pict>
      </w:r>
    </w:p>
    <w:p w:rsidR="00000000" w:rsidRDefault="00DA1786">
      <w:pPr>
        <w:divId w:val="1967809404"/>
        <w:rPr>
          <w:rFonts w:eastAsia="Times New Roman"/>
        </w:rPr>
      </w:pPr>
    </w:p>
    <w:p w:rsidR="00000000" w:rsidRDefault="00DA1786">
      <w:pPr>
        <w:divId w:val="774716728"/>
        <w:rPr>
          <w:rFonts w:eastAsia="Times New Roman"/>
        </w:rPr>
      </w:pPr>
      <w:r>
        <w:rPr>
          <w:rFonts w:eastAsia="Times New Roman"/>
          <w:b/>
          <w:bCs/>
          <w:color w:val="000000"/>
          <w:sz w:val="20"/>
          <w:szCs w:val="20"/>
        </w:rPr>
        <w:t>7. Commitments and Contingencies</w:t>
      </w:r>
    </w:p>
    <w:p w:rsidR="00000000" w:rsidRDefault="00DA1786">
      <w:pPr>
        <w:jc w:val="both"/>
        <w:rPr>
          <w:rFonts w:eastAsia="Times New Roman"/>
        </w:rPr>
      </w:pPr>
    </w:p>
    <w:p w:rsidR="00000000" w:rsidRDefault="00DA1786">
      <w:pPr>
        <w:jc w:val="both"/>
        <w:rPr>
          <w:rFonts w:eastAsia="Times New Roman"/>
        </w:rPr>
      </w:pPr>
      <w:r>
        <w:rPr>
          <w:rFonts w:eastAsia="Times New Roman"/>
          <w:b/>
          <w:bCs/>
          <w:i/>
          <w:iCs/>
          <w:color w:val="000000"/>
          <w:sz w:val="20"/>
          <w:szCs w:val="20"/>
        </w:rPr>
        <w:t>Operating leases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Company has noncancelable operating leases for office space which have remaining lease terms of approximately 3.5 years. In connection with the OvaScience Merger, the Company assumed a sublease agreement for office and laboratory space located in Walth</w:t>
      </w:r>
      <w:r>
        <w:rPr>
          <w:rFonts w:eastAsia="Times New Roman"/>
          <w:color w:val="000000"/>
          <w:sz w:val="20"/>
          <w:szCs w:val="20"/>
        </w:rPr>
        <w:t xml:space="preserve">am, Massachusetts. The sublease commenced on January 15, 2019 and expired on November 30, 2020. The total minimum sublease rentals received under the Waltham, Massachusetts agreement was $0.6 million. In February 2019 and October 2018, the Company entered </w:t>
      </w:r>
      <w:r>
        <w:rPr>
          <w:rFonts w:eastAsia="Times New Roman"/>
          <w:color w:val="000000"/>
          <w:sz w:val="20"/>
          <w:szCs w:val="20"/>
        </w:rPr>
        <w:t xml:space="preserve">into two additional noncancelable operating leases for office space in Ann Arbor, Michigan for the Company’s headquarters; one that the Company took possession of in April 2019, and the other that the Company took possession of in July 2019, respectively. </w:t>
      </w:r>
      <w:r>
        <w:rPr>
          <w:rFonts w:eastAsia="Times New Roman"/>
          <w:color w:val="000000"/>
          <w:sz w:val="20"/>
          <w:szCs w:val="20"/>
        </w:rPr>
        <w:t>One of its leases in Ann Arbor, Michigan expires in June 2024 and the other expires in March 2024. In April 2019, the Company entered into a lease agreement for office space in Lexington, Massachusetts. This lease was scheduled to expire on September 30, 2</w:t>
      </w:r>
      <w:r>
        <w:rPr>
          <w:rFonts w:eastAsia="Times New Roman"/>
          <w:color w:val="000000"/>
          <w:sz w:val="20"/>
          <w:szCs w:val="20"/>
        </w:rPr>
        <w:t xml:space="preserve">020; however, in June 2020 the Company exercised its right to terminate the lease early such that the lease terminated on August 11, 2020. Lease agreements generally do not require material variable lease payments, residual value guarantees or restrictive </w:t>
      </w:r>
      <w:r>
        <w:rPr>
          <w:rFonts w:eastAsia="Times New Roman"/>
          <w:color w:val="000000"/>
          <w:sz w:val="20"/>
          <w:szCs w:val="20"/>
        </w:rPr>
        <w:t>covenants. In January 2020, the Company terminated its office lease agreement in Lyon, France.</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As of December 31, 2020, the operating lease ROU asset and the operating lease liabilities were $2.2 million and $2.4 million, respectively. The weighted avera</w:t>
      </w:r>
      <w:r>
        <w:rPr>
          <w:rFonts w:eastAsia="Times New Roman"/>
          <w:color w:val="000000"/>
          <w:sz w:val="20"/>
          <w:szCs w:val="20"/>
        </w:rPr>
        <w:t>ge discount rate used to account for the Company's operating leases is the Company’s estimated incremental borrowing rate of 7.0%. The Company has options to extend certain of its leases for another</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to ten years. These options to extend were not recog</w:t>
      </w:r>
      <w:r>
        <w:rPr>
          <w:rFonts w:eastAsia="Times New Roman"/>
          <w:color w:val="000000"/>
          <w:sz w:val="20"/>
          <w:szCs w:val="20"/>
        </w:rPr>
        <w:t>nized as part of the Company’s measurement of the ROU assets and operating lease liabilities for the year ended December 31, 2020. The weighted average remaining term of the Company's noncancelable operating leases is 3.38 years.</w:t>
      </w:r>
    </w:p>
    <w:p w:rsidR="00000000" w:rsidRDefault="00DA1786">
      <w:pPr>
        <w:divId w:val="550842649"/>
        <w:rPr>
          <w:rFonts w:eastAsia="Times New Roman"/>
        </w:rPr>
      </w:pPr>
    </w:p>
    <w:p w:rsidR="00000000" w:rsidRDefault="00DA1786">
      <w:pPr>
        <w:jc w:val="both"/>
        <w:rPr>
          <w:rFonts w:eastAsia="Times New Roman"/>
        </w:rPr>
      </w:pPr>
      <w:r>
        <w:rPr>
          <w:rFonts w:eastAsia="Times New Roman"/>
          <w:color w:val="000000"/>
          <w:sz w:val="20"/>
          <w:szCs w:val="20"/>
        </w:rPr>
        <w:t xml:space="preserve">Rent expense related to </w:t>
      </w:r>
      <w:r>
        <w:rPr>
          <w:rFonts w:eastAsia="Times New Roman"/>
          <w:color w:val="000000"/>
          <w:sz w:val="20"/>
          <w:szCs w:val="20"/>
        </w:rPr>
        <w:t xml:space="preserve">the Company's operating leases was approximately $0.9 million and $0.7 million for the years ended December 31, 2020 and 2019, respectively. The Company recognizes rent expense on a straight-line basis over the lease period. Cash paid for amounts included </w:t>
      </w:r>
      <w:r>
        <w:rPr>
          <w:rFonts w:eastAsia="Times New Roman"/>
          <w:color w:val="000000"/>
          <w:sz w:val="20"/>
          <w:szCs w:val="20"/>
        </w:rPr>
        <w:t>in the measurement of the lease liabilities</w:t>
      </w:r>
      <w:r>
        <w:rPr>
          <w:rFonts w:eastAsia="Times New Roman"/>
          <w:color w:val="000000"/>
        </w:rPr>
        <w:t xml:space="preserve"> </w:t>
      </w:r>
      <w:r>
        <w:rPr>
          <w:rFonts w:eastAsia="Times New Roman"/>
          <w:color w:val="000000"/>
          <w:sz w:val="20"/>
          <w:szCs w:val="20"/>
        </w:rPr>
        <w:t>was approximately $1.8 million and $1.5 million during the years ended December 31, 2020 and 2019, respectively. The Company received approximately $0.3 million in sublease payments related to its Waltham, Massac</w:t>
      </w:r>
      <w:r>
        <w:rPr>
          <w:rFonts w:eastAsia="Times New Roman"/>
          <w:color w:val="000000"/>
          <w:sz w:val="20"/>
          <w:szCs w:val="20"/>
        </w:rPr>
        <w:t>husetts lease during each of the years ended December 31, 2020 and 2019. Future minimum rental payments under the Company’s noncancelable operating leases at December 31, 2020 is as follows (amounts in thousands):</w:t>
      </w:r>
    </w:p>
    <w:p w:rsidR="00000000" w:rsidRDefault="00DA1786">
      <w:pPr>
        <w:jc w:val="both"/>
        <w:divId w:val="35719952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2"/>
        <w:gridCol w:w="7200"/>
        <w:gridCol w:w="37"/>
        <w:gridCol w:w="120"/>
        <w:gridCol w:w="848"/>
        <w:gridCol w:w="36"/>
      </w:tblGrid>
      <w:tr w:rsidR="00000000">
        <w:trPr>
          <w:divId w:val="1710450549"/>
        </w:trPr>
        <w:tc>
          <w:tcPr>
            <w:tcW w:w="50" w:type="pct"/>
            <w:vAlign w:val="center"/>
            <w:hideMark/>
          </w:tcPr>
          <w:p w:rsidR="00000000" w:rsidRDefault="00DA1786">
            <w:pPr>
              <w:jc w:val="both"/>
              <w:rPr>
                <w:rFonts w:eastAsia="Times New Roman"/>
              </w:rPr>
            </w:pPr>
          </w:p>
        </w:tc>
        <w:tc>
          <w:tcPr>
            <w:tcW w:w="435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0"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710450549"/>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Year Ending December 31,</w:t>
            </w:r>
          </w:p>
        </w:tc>
        <w:tc>
          <w:tcPr>
            <w:tcW w:w="0" w:type="auto"/>
            <w:gridSpan w:val="3"/>
            <w:tcMar>
              <w:top w:w="0" w:type="dxa"/>
              <w:left w:w="20" w:type="dxa"/>
              <w:bottom w:w="0" w:type="dxa"/>
              <w:right w:w="20" w:type="dxa"/>
            </w:tcMar>
            <w:vAlign w:val="center"/>
            <w:hideMark/>
          </w:tcPr>
          <w:p w:rsidR="00000000" w:rsidRDefault="00DA1786">
            <w:pPr>
              <w:rPr>
                <w:rFonts w:eastAsia="Times New Roman"/>
              </w:rPr>
            </w:pPr>
          </w:p>
        </w:tc>
      </w:tr>
      <w:tr w:rsidR="00000000">
        <w:trPr>
          <w:divId w:val="1710450549"/>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760 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2022</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783 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806 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2024</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302 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Present Value Adjustment</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(279)</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710450549"/>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20"/>
                <w:szCs w:val="20"/>
              </w:rPr>
              <w:t>Lease liability at December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2,372 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both"/>
        <w:divId w:val="295382477"/>
        <w:rPr>
          <w:rFonts w:eastAsia="Times New Roman"/>
        </w:rPr>
      </w:pPr>
      <w:r>
        <w:rPr>
          <w:rFonts w:eastAsia="Times New Roman"/>
          <w:b/>
          <w:bCs/>
          <w:i/>
          <w:iCs/>
          <w:color w:val="000000"/>
          <w:sz w:val="20"/>
          <w:szCs w:val="20"/>
        </w:rPr>
        <w:t>Employment benefit plan</w:t>
      </w:r>
    </w:p>
    <w:p w:rsidR="00000000" w:rsidRDefault="00DA1786">
      <w:pPr>
        <w:jc w:val="both"/>
        <w:divId w:val="606079953"/>
        <w:rPr>
          <w:rFonts w:eastAsia="Times New Roman"/>
        </w:rPr>
      </w:pPr>
      <w:r>
        <w:rPr>
          <w:rFonts w:eastAsia="Times New Roman"/>
          <w:color w:val="000000"/>
          <w:sz w:val="20"/>
          <w:szCs w:val="20"/>
        </w:rPr>
        <w:t xml:space="preserve">The Company maintains a defined contribution 401(k) plan in which employees may contribute up to 100% of their salary and bonus, subject to statutory maximum contribution amounts. The Company contributes a safe harbor minimum contribution equivalent to 3% </w:t>
      </w:r>
      <w:r>
        <w:rPr>
          <w:rFonts w:eastAsia="Times New Roman"/>
          <w:color w:val="000000"/>
          <w:sz w:val="20"/>
          <w:szCs w:val="20"/>
        </w:rPr>
        <w:t>of employees’ compensation. The Company generally assumes all administrative costs of the plan. For the years ended December 31, 2020 and 2019, the expense relating to the contributions made was $0.2 million and $0.2 million, respectively.</w:t>
      </w:r>
    </w:p>
    <w:p w:rsidR="00000000" w:rsidRDefault="00DA1786">
      <w:pPr>
        <w:divId w:val="1558324087"/>
        <w:rPr>
          <w:rFonts w:eastAsia="Times New Roman"/>
        </w:rPr>
      </w:pPr>
      <w:r>
        <w:rPr>
          <w:rFonts w:eastAsia="Times New Roman"/>
          <w:b/>
          <w:bCs/>
          <w:i/>
          <w:iCs/>
          <w:color w:val="000000"/>
          <w:sz w:val="20"/>
          <w:szCs w:val="20"/>
        </w:rPr>
        <w:t>Litigation</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Lia</w:t>
      </w:r>
      <w:r>
        <w:rPr>
          <w:rFonts w:eastAsia="Times New Roman"/>
          <w:color w:val="000000"/>
          <w:sz w:val="20"/>
          <w:szCs w:val="20"/>
        </w:rPr>
        <w:t>bilities for loss contingencies arising from claims, assessments, litigation, fines, penalties, and other sources are recorded when it is probable that a liability has been incurred and the amount can be reasonably estimated.</w:t>
      </w:r>
    </w:p>
    <w:p w:rsidR="00000000" w:rsidRDefault="00DA1786">
      <w:pPr>
        <w:jc w:val="both"/>
        <w:rPr>
          <w:rFonts w:eastAsia="Times New Roman"/>
        </w:rPr>
      </w:pPr>
    </w:p>
    <w:p w:rsidR="00000000" w:rsidRDefault="00DA1786">
      <w:pPr>
        <w:ind w:firstLine="720"/>
        <w:jc w:val="center"/>
        <w:divId w:val="453256096"/>
        <w:rPr>
          <w:rFonts w:eastAsia="Times New Roman"/>
        </w:rPr>
      </w:pPr>
      <w:r>
        <w:rPr>
          <w:rFonts w:eastAsia="Times New Roman"/>
          <w:color w:val="000000"/>
          <w:sz w:val="20"/>
          <w:szCs w:val="20"/>
        </w:rPr>
        <w:t>67</w:t>
      </w:r>
    </w:p>
    <w:p w:rsidR="00000000" w:rsidRDefault="00DA1786">
      <w:pPr>
        <w:rPr>
          <w:rFonts w:eastAsia="Times New Roman"/>
        </w:rPr>
      </w:pPr>
      <w:r>
        <w:rPr>
          <w:rFonts w:eastAsia="Times New Roman"/>
        </w:rPr>
        <w:pict>
          <v:rect id="_x0000_i1092" style="width:0;height:1.5pt" o:hralign="center" o:hrstd="t" o:hr="t" fillcolor="#a0a0a0" stroked="f"/>
        </w:pict>
      </w:r>
    </w:p>
    <w:p w:rsidR="00000000" w:rsidRDefault="00DA1786">
      <w:pPr>
        <w:divId w:val="2107067042"/>
        <w:rPr>
          <w:rFonts w:eastAsia="Times New Roman"/>
        </w:rPr>
      </w:pPr>
    </w:p>
    <w:p w:rsidR="00000000" w:rsidRDefault="00DA1786">
      <w:pPr>
        <w:jc w:val="both"/>
        <w:rPr>
          <w:rFonts w:eastAsia="Times New Roman"/>
        </w:rPr>
      </w:pPr>
      <w:r>
        <w:rPr>
          <w:rFonts w:eastAsia="Times New Roman"/>
          <w:color w:val="000000"/>
          <w:sz w:val="20"/>
          <w:szCs w:val="20"/>
        </w:rPr>
        <w:t>On November 9, 2016, a purported shareholder derivative action was filed in the Business Litigation Session of the Suffolk County Superior Court in the Commonwealth of Massachusetts (Cima v. Dipp, No. 16-3443-BLS1 (Mass. Sup. Ct.)) against ce</w:t>
      </w:r>
      <w:r>
        <w:rPr>
          <w:rFonts w:eastAsia="Times New Roman"/>
          <w:color w:val="000000"/>
          <w:sz w:val="20"/>
          <w:szCs w:val="20"/>
        </w:rPr>
        <w:t xml:space="preserve">rtain former officers and directors of OvaScience and one current director of the Company (a former director of OvaScience) and OvaScience as a nominal defendant alleging breach of fiduciary duties, unjust enrichment, abuse of control, gross mismanagement </w:t>
      </w:r>
      <w:r>
        <w:rPr>
          <w:rFonts w:eastAsia="Times New Roman"/>
          <w:color w:val="000000"/>
          <w:sz w:val="20"/>
          <w:szCs w:val="20"/>
        </w:rPr>
        <w:t>and waste of corporate assets for purported actions related to OvaScience’s January 2015 follow-on public offering. On February 22, 2017, the court approved the parties’ joint stipulation to stay all proceedings in the action until further notice. Followin</w:t>
      </w:r>
      <w:r>
        <w:rPr>
          <w:rFonts w:eastAsia="Times New Roman"/>
          <w:color w:val="000000"/>
          <w:sz w:val="20"/>
          <w:szCs w:val="20"/>
        </w:rPr>
        <w:t>g a status conference in December 2017, the stay was lifted. On January 25, 2018, at the parties’ request, the court entered a second order staying all proceedings in the action until further order of the court. On March 2, 2020, the parties submitted a st</w:t>
      </w:r>
      <w:r>
        <w:rPr>
          <w:rFonts w:eastAsia="Times New Roman"/>
          <w:color w:val="000000"/>
          <w:sz w:val="20"/>
          <w:szCs w:val="20"/>
        </w:rPr>
        <w:t xml:space="preserve">atus report requesting that the court continue the stay. On March 5, 2020, the court entered an order continuing the stay and requiring that the parties file a further status report on or before June 30, 2020. On June 30, 2020, the parties filed a further </w:t>
      </w:r>
      <w:r>
        <w:rPr>
          <w:rFonts w:eastAsia="Times New Roman"/>
          <w:color w:val="000000"/>
          <w:sz w:val="20"/>
          <w:szCs w:val="20"/>
        </w:rPr>
        <w:t>status report requesting that the court continue the stay. The court continued the stay until at least January 7, 2021. On January 7, 2021, the parties filed a further status report requesting that the court continue the stay until at least April 30, 2021.</w:t>
      </w:r>
      <w:r>
        <w:rPr>
          <w:rFonts w:eastAsia="Times New Roman"/>
          <w:color w:val="000000"/>
          <w:sz w:val="20"/>
          <w:szCs w:val="20"/>
        </w:rPr>
        <w:t xml:space="preserve"> The case remains stayed until at least April 30, 2021, when the parties are due to file a further status report. The Company believes that the complaint is without merit and intends to defend against the litigation. There can be no assurance, however, tha</w:t>
      </w:r>
      <w:r>
        <w:rPr>
          <w:rFonts w:eastAsia="Times New Roman"/>
          <w:color w:val="000000"/>
          <w:sz w:val="20"/>
          <w:szCs w:val="20"/>
        </w:rPr>
        <w:t>t the Company will be successful. At present, the Company is unable to estimate potential losses, if any, related to the lawsuit.</w:t>
      </w:r>
    </w:p>
    <w:p w:rsidR="00000000" w:rsidRDefault="00DA1786">
      <w:pPr>
        <w:divId w:val="1559625883"/>
        <w:rPr>
          <w:rFonts w:eastAsia="Times New Roman"/>
        </w:rPr>
      </w:pPr>
    </w:p>
    <w:p w:rsidR="00000000" w:rsidRDefault="00DA1786">
      <w:pPr>
        <w:jc w:val="both"/>
        <w:rPr>
          <w:rFonts w:eastAsia="Times New Roman"/>
        </w:rPr>
      </w:pPr>
      <w:r>
        <w:rPr>
          <w:rFonts w:eastAsia="Times New Roman"/>
          <w:color w:val="000000"/>
          <w:sz w:val="20"/>
          <w:szCs w:val="20"/>
        </w:rPr>
        <w:t>On March 24, 2017, a purported shareholder class action lawsuit was filed in the U.S. District Court for the District of Mas</w:t>
      </w:r>
      <w:r>
        <w:rPr>
          <w:rFonts w:eastAsia="Times New Roman"/>
          <w:color w:val="000000"/>
          <w:sz w:val="20"/>
          <w:szCs w:val="20"/>
        </w:rPr>
        <w:t>sachusetts (Dahhan v. OvaScience, Inc., No. 1:17-cv-10511-IT (D. Mass.)) against OvaScience and certain former officers of OvaScience alleging violations of Sections 10(b) and 20(a) of the Exchange Act (the “Dahhan Action”). On July 5, 2017, the court ente</w:t>
      </w:r>
      <w:r>
        <w:rPr>
          <w:rFonts w:eastAsia="Times New Roman"/>
          <w:color w:val="000000"/>
          <w:sz w:val="20"/>
          <w:szCs w:val="20"/>
        </w:rPr>
        <w:t>red an order approving the appointment of Freedman Family Investments LLC as lead plaintiff, the firm of Robins Geller Rudman &amp; Dowd LLP as lead counsel and the Law Office of Alan L. Kovacs as local counsel. Plaintiff filed an amended complaint on August 2</w:t>
      </w:r>
      <w:r>
        <w:rPr>
          <w:rFonts w:eastAsia="Times New Roman"/>
          <w:color w:val="000000"/>
          <w:sz w:val="20"/>
          <w:szCs w:val="20"/>
        </w:rPr>
        <w:t>5, 2017. The Company filed a motion to dismiss the amended complaint, which the court denied on July 31, 2018. On August 14, 2018, the Company answered the amended complaint. On December 9, 2019, the court granted leave for the lead plaintiff to file a sec</w:t>
      </w:r>
      <w:r>
        <w:rPr>
          <w:rFonts w:eastAsia="Times New Roman"/>
          <w:color w:val="000000"/>
          <w:sz w:val="20"/>
          <w:szCs w:val="20"/>
        </w:rPr>
        <w:t>ond amended complaint under seal and permitted the defendants to file a motion to strike the second amended complaint. On December 30, 2019, the court granted the parties’ joint motion to stay all proceedings in the case pending mediation. On March 3, 2020</w:t>
      </w:r>
      <w:r>
        <w:rPr>
          <w:rFonts w:eastAsia="Times New Roman"/>
          <w:color w:val="000000"/>
          <w:sz w:val="20"/>
          <w:szCs w:val="20"/>
        </w:rPr>
        <w:t>, the parties conducted a mediation session. The mediation was unsuccessful. The Company filed a motion to strike the second amended complaint on May 1, 2020. The Company believes that the amended complaint and the second amended complaint are without meri</w:t>
      </w:r>
      <w:r>
        <w:rPr>
          <w:rFonts w:eastAsia="Times New Roman"/>
          <w:color w:val="000000"/>
          <w:sz w:val="20"/>
          <w:szCs w:val="20"/>
        </w:rPr>
        <w:t>t. On August 17, 2020, the court granted the parties’ joint motion to stay all proceedings in the case pending mediation. The parties agreed to participate in a second mediation session on November 10, 2020. On October 16, 2020, the court granted the parti</w:t>
      </w:r>
      <w:r>
        <w:rPr>
          <w:rFonts w:eastAsia="Times New Roman"/>
          <w:color w:val="000000"/>
          <w:sz w:val="20"/>
          <w:szCs w:val="20"/>
        </w:rPr>
        <w:t>es’ joint request to extend the stay until November 16, 2020. On November 16, 2020, the parties filed a joint status report seeking to extend the stay for an additional thirty days. On November 17, 2020, the court ordered the parties to file a supplemental</w:t>
      </w:r>
      <w:r>
        <w:rPr>
          <w:rFonts w:eastAsia="Times New Roman"/>
          <w:color w:val="000000"/>
          <w:sz w:val="20"/>
          <w:szCs w:val="20"/>
        </w:rPr>
        <w:t xml:space="preserve"> joint status report clarifying whether they sought a continuance of the stay of all proceedings or instead, a partial lifting of the stay. On November 19, 2020, the parties filed a joint status report seeking to continue a partial stay of the case while t</w:t>
      </w:r>
      <w:r>
        <w:rPr>
          <w:rFonts w:eastAsia="Times New Roman"/>
          <w:color w:val="000000"/>
          <w:sz w:val="20"/>
          <w:szCs w:val="20"/>
        </w:rPr>
        <w:t>he parties engaged in additional settlement discussions, and a partial lifting of the stay to the extent required for the court to rule on the Company’s pending motion to strike and motions to dismiss filed by other defendants. Those motions remain pending</w:t>
      </w:r>
      <w:r>
        <w:rPr>
          <w:rFonts w:eastAsia="Times New Roman"/>
          <w:color w:val="000000"/>
          <w:sz w:val="20"/>
          <w:szCs w:val="20"/>
        </w:rPr>
        <w:t>. A resolution of this lawsuit adverse to the Company or the other defendants could have a material effect on the Company's consolidated financial position and results of operations. At present, the Company is unable to estimate potential losses, if any, r</w:t>
      </w:r>
      <w:r>
        <w:rPr>
          <w:rFonts w:eastAsia="Times New Roman"/>
          <w:color w:val="000000"/>
          <w:sz w:val="20"/>
          <w:szCs w:val="20"/>
        </w:rPr>
        <w:t>elated to the lawsuit.</w:t>
      </w:r>
    </w:p>
    <w:p w:rsidR="00000000" w:rsidRDefault="00DA1786">
      <w:pPr>
        <w:divId w:val="1029985501"/>
        <w:rPr>
          <w:rFonts w:eastAsia="Times New Roman"/>
        </w:rPr>
      </w:pPr>
    </w:p>
    <w:p w:rsidR="00000000" w:rsidRDefault="00DA1786">
      <w:pPr>
        <w:jc w:val="both"/>
        <w:rPr>
          <w:rFonts w:eastAsia="Times New Roman"/>
        </w:rPr>
      </w:pPr>
      <w:r>
        <w:rPr>
          <w:rFonts w:eastAsia="Times New Roman"/>
          <w:color w:val="000000"/>
          <w:sz w:val="20"/>
          <w:szCs w:val="20"/>
        </w:rPr>
        <w:t>On July 27, 2017, a purported shareholder derivative complaint was filed in the U.S. District Court for the District of Massachusetts (Chiu v. Dipp, No. 1:17-cv-11382-IT (D. Mass.)) against OvaScience as a nominal defendant, certain former officers and dir</w:t>
      </w:r>
      <w:r>
        <w:rPr>
          <w:rFonts w:eastAsia="Times New Roman"/>
          <w:color w:val="000000"/>
          <w:sz w:val="20"/>
          <w:szCs w:val="20"/>
        </w:rPr>
        <w:t>ectors of OvaScience and one current director of the Company (a former director of OvaScience) alleging breach of fiduciary duties, unjust enrichment and violations of Section 14(a) of the Exchange Act alleging that compensation awarded to the director def</w:t>
      </w:r>
      <w:r>
        <w:rPr>
          <w:rFonts w:eastAsia="Times New Roman"/>
          <w:color w:val="000000"/>
          <w:sz w:val="20"/>
          <w:szCs w:val="20"/>
        </w:rPr>
        <w:t>endants was excessive and seeking redress for purported actions related to OvaScience’s January 2015 follow-on public offering and other public statements concerning OvaScience’s AUGMENT treatment. On September 26, 2017, the plaintiff filed an amended comp</w:t>
      </w:r>
      <w:r>
        <w:rPr>
          <w:rFonts w:eastAsia="Times New Roman"/>
          <w:color w:val="000000"/>
          <w:sz w:val="20"/>
          <w:szCs w:val="20"/>
        </w:rPr>
        <w:t>laint which eliminated all claims regarding allegedly excessive director pay and additionally alleged claims of abuse of control and waste of corporate assets. On October 27, 2017, the defendants filed a motion to dismiss the amended complaint. The court h</w:t>
      </w:r>
      <w:r>
        <w:rPr>
          <w:rFonts w:eastAsia="Times New Roman"/>
          <w:color w:val="000000"/>
          <w:sz w:val="20"/>
          <w:szCs w:val="20"/>
        </w:rPr>
        <w:t>eard oral argument on the motion to dismiss on April 5, 2018. On April 13, 2018, the court granted the defendants’ motion to dismiss the amended complaint for failure to state a claim for relief under Section 14(a). The court also dismissed the plaintiffs’</w:t>
      </w:r>
      <w:r>
        <w:rPr>
          <w:rFonts w:eastAsia="Times New Roman"/>
          <w:color w:val="000000"/>
          <w:sz w:val="20"/>
          <w:szCs w:val="20"/>
        </w:rPr>
        <w:t xml:space="preserve"> pendent state law claims without prejudice, based on lack of subject matter jurisdiction. On April 25, 2018, the plaintiffs moved for leave to amend the complaint and to stay this case pending the outcome of the Dahhan Action. The Company does not believe</w:t>
      </w:r>
      <w:r>
        <w:rPr>
          <w:rFonts w:eastAsia="Times New Roman"/>
          <w:color w:val="000000"/>
          <w:sz w:val="20"/>
          <w:szCs w:val="20"/>
        </w:rPr>
        <w:t xml:space="preserve"> that the proposed amended complaint cures the defects in the current complaint, but informed plaintiffs’ counsel that, in the interest of judicial economy, defendants would not oppose the proposed amendment if the court would consider staying the case pen</w:t>
      </w:r>
      <w:r>
        <w:rPr>
          <w:rFonts w:eastAsia="Times New Roman"/>
          <w:color w:val="000000"/>
          <w:sz w:val="20"/>
          <w:szCs w:val="20"/>
        </w:rPr>
        <w:t>ding the resolution of the Dahhan Action. On April 27, 2018, the court granted the plaintiffs’ motion for leave to amend the complaint and for a stay. On April 30, 2018, the plaintiffs filed their second amended complaint. On May 23, 2018, the court entere</w:t>
      </w:r>
      <w:r>
        <w:rPr>
          <w:rFonts w:eastAsia="Times New Roman"/>
          <w:color w:val="000000"/>
          <w:sz w:val="20"/>
          <w:szCs w:val="20"/>
        </w:rPr>
        <w:t xml:space="preserve">d an order staying this case pending the resolution of the Dahhan Action. The Company believes that the complaint is without merit and intends to defend against the litigation. </w:t>
      </w:r>
    </w:p>
    <w:p w:rsidR="00000000" w:rsidRDefault="00DA1786">
      <w:pPr>
        <w:ind w:firstLine="720"/>
        <w:jc w:val="center"/>
        <w:divId w:val="1124613672"/>
        <w:rPr>
          <w:rFonts w:eastAsia="Times New Roman"/>
        </w:rPr>
      </w:pPr>
      <w:r>
        <w:rPr>
          <w:rFonts w:eastAsia="Times New Roman"/>
          <w:color w:val="000000"/>
          <w:sz w:val="20"/>
          <w:szCs w:val="20"/>
        </w:rPr>
        <w:t>68</w:t>
      </w:r>
    </w:p>
    <w:p w:rsidR="00000000" w:rsidRDefault="00DA1786">
      <w:pPr>
        <w:rPr>
          <w:rFonts w:eastAsia="Times New Roman"/>
        </w:rPr>
      </w:pPr>
      <w:r>
        <w:rPr>
          <w:rFonts w:eastAsia="Times New Roman"/>
        </w:rPr>
        <w:pict>
          <v:rect id="_x0000_i1093" style="width:0;height:1.5pt" o:hralign="center" o:hrstd="t" o:hr="t" fillcolor="#a0a0a0" stroked="f"/>
        </w:pict>
      </w:r>
    </w:p>
    <w:p w:rsidR="00000000" w:rsidRDefault="00DA1786">
      <w:pPr>
        <w:divId w:val="988750166"/>
        <w:rPr>
          <w:rFonts w:eastAsia="Times New Roman"/>
        </w:rPr>
      </w:pPr>
    </w:p>
    <w:p w:rsidR="00000000" w:rsidRDefault="00DA1786">
      <w:pPr>
        <w:jc w:val="both"/>
        <w:rPr>
          <w:rFonts w:eastAsia="Times New Roman"/>
        </w:rPr>
      </w:pPr>
      <w:r>
        <w:rPr>
          <w:rFonts w:eastAsia="Times New Roman"/>
          <w:color w:val="000000"/>
          <w:sz w:val="20"/>
          <w:szCs w:val="20"/>
        </w:rPr>
        <w:t xml:space="preserve">There can be no assurance, however, </w:t>
      </w:r>
      <w:r>
        <w:rPr>
          <w:rFonts w:eastAsia="Times New Roman"/>
          <w:color w:val="000000"/>
          <w:sz w:val="20"/>
          <w:szCs w:val="20"/>
        </w:rPr>
        <w:t>that the Company will be successful. At present, the Company is unable to estimate potential losses, if any, related to the lawsuit.</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In addition to the matters described above, the Company may be a party to litigation and subject to claims incident to th</w:t>
      </w:r>
      <w:r>
        <w:rPr>
          <w:rFonts w:eastAsia="Times New Roman"/>
          <w:color w:val="000000"/>
          <w:sz w:val="20"/>
          <w:szCs w:val="20"/>
        </w:rPr>
        <w:t>e ordinary course of business from time to time. Regardless of the outcome, litigation can have an adverse impact on the Company because of defense and settlement costs, and diversion of management resources.</w:t>
      </w:r>
    </w:p>
    <w:p w:rsidR="00000000" w:rsidRDefault="00DA1786">
      <w:pPr>
        <w:divId w:val="1357586670"/>
        <w:rPr>
          <w:rFonts w:eastAsia="Times New Roman"/>
        </w:rPr>
      </w:pPr>
      <w:r>
        <w:rPr>
          <w:rFonts w:eastAsia="Times New Roman"/>
          <w:b/>
          <w:bCs/>
          <w:color w:val="000000"/>
          <w:sz w:val="20"/>
          <w:szCs w:val="20"/>
        </w:rPr>
        <w:t>8. Common Stock and Convertible Preferred Stock</w:t>
      </w:r>
    </w:p>
    <w:p w:rsidR="00000000" w:rsidRDefault="00DA1786">
      <w:pPr>
        <w:jc w:val="both"/>
        <w:divId w:val="1312516946"/>
        <w:rPr>
          <w:rFonts w:eastAsia="Times New Roman"/>
        </w:rPr>
      </w:pPr>
      <w:r>
        <w:rPr>
          <w:rFonts w:eastAsia="Times New Roman"/>
          <w:b/>
          <w:bCs/>
          <w:i/>
          <w:iCs/>
          <w:color w:val="000000"/>
          <w:sz w:val="20"/>
          <w:szCs w:val="20"/>
        </w:rPr>
        <w:t>Common stock</w:t>
      </w:r>
    </w:p>
    <w:p w:rsidR="00000000" w:rsidRDefault="00DA1786">
      <w:pPr>
        <w:jc w:val="both"/>
        <w:divId w:val="1606381449"/>
        <w:rPr>
          <w:rFonts w:eastAsia="Times New Roman"/>
        </w:rPr>
      </w:pPr>
      <w:r>
        <w:rPr>
          <w:rFonts w:eastAsia="Times New Roman"/>
          <w:color w:val="000000"/>
          <w:sz w:val="20"/>
          <w:szCs w:val="20"/>
        </w:rPr>
        <w:t>Each share of common stock entitles the holder to one vote on all matters submitted to a vote of the Company’s stockholders. Subject to preferences that may apply to any outstanding preferred stock, holders of common stock are entitled to rec</w:t>
      </w:r>
      <w:r>
        <w:rPr>
          <w:rFonts w:eastAsia="Times New Roman"/>
          <w:color w:val="000000"/>
          <w:sz w:val="20"/>
          <w:szCs w:val="20"/>
        </w:rPr>
        <w:t>eive ratably any dividends that the Company’s board of directors may declare out of funds legally available for that purpose on a non-cumulative basis. No dividends had been declared through December 31, 2020.</w:t>
      </w:r>
    </w:p>
    <w:p w:rsidR="00000000" w:rsidRDefault="00DA1786">
      <w:pPr>
        <w:jc w:val="both"/>
        <w:divId w:val="53621981"/>
        <w:rPr>
          <w:rFonts w:eastAsia="Times New Roman"/>
        </w:rPr>
      </w:pPr>
      <w:r>
        <w:rPr>
          <w:rFonts w:eastAsia="Times New Roman"/>
          <w:b/>
          <w:bCs/>
          <w:i/>
          <w:iCs/>
          <w:color w:val="000000"/>
          <w:sz w:val="20"/>
          <w:szCs w:val="20"/>
        </w:rPr>
        <w:t>Common stock warrants</w:t>
      </w:r>
    </w:p>
    <w:p w:rsidR="00000000" w:rsidRDefault="00DA1786">
      <w:pPr>
        <w:jc w:val="both"/>
        <w:divId w:val="634603842"/>
        <w:rPr>
          <w:rFonts w:eastAsia="Times New Roman"/>
        </w:rPr>
      </w:pPr>
      <w:r>
        <w:rPr>
          <w:rFonts w:eastAsia="Times New Roman"/>
          <w:color w:val="000000"/>
          <w:sz w:val="20"/>
          <w:szCs w:val="20"/>
        </w:rPr>
        <w:t>As of December 31, 2020,</w:t>
      </w:r>
      <w:r>
        <w:rPr>
          <w:rFonts w:eastAsia="Times New Roman"/>
          <w:color w:val="000000"/>
          <w:sz w:val="20"/>
          <w:szCs w:val="20"/>
        </w:rPr>
        <w:t xml:space="preserve"> there were 17,125 common stock warrants outstanding with a weighted average exercise price of $16.93 per share.</w:t>
      </w:r>
    </w:p>
    <w:p w:rsidR="00000000" w:rsidRDefault="00DA1786">
      <w:pPr>
        <w:divId w:val="2128238694"/>
        <w:rPr>
          <w:rFonts w:eastAsia="Times New Roman"/>
        </w:rPr>
      </w:pPr>
      <w:r>
        <w:rPr>
          <w:rFonts w:eastAsia="Times New Roman"/>
          <w:b/>
          <w:bCs/>
          <w:color w:val="000000"/>
          <w:sz w:val="20"/>
          <w:szCs w:val="20"/>
        </w:rPr>
        <w:t>9. Stock-Based Compensation</w:t>
      </w:r>
    </w:p>
    <w:p w:rsidR="00000000" w:rsidRDefault="00DA1786">
      <w:pPr>
        <w:jc w:val="both"/>
        <w:divId w:val="1629169255"/>
        <w:rPr>
          <w:rFonts w:eastAsia="Times New Roman"/>
        </w:rPr>
      </w:pPr>
      <w:r>
        <w:rPr>
          <w:rFonts w:eastAsia="Times New Roman"/>
          <w:color w:val="000000"/>
          <w:sz w:val="20"/>
          <w:szCs w:val="20"/>
        </w:rPr>
        <w:t>On June 11, 2019, the Company held its 2019 Annual Meeting of Stockholders (the “Annual Meeting”). At the Annual Me</w:t>
      </w:r>
      <w:r>
        <w:rPr>
          <w:rFonts w:eastAsia="Times New Roman"/>
          <w:color w:val="000000"/>
          <w:sz w:val="20"/>
          <w:szCs w:val="20"/>
        </w:rPr>
        <w:t>eting, the Company’s stockholders approved the Company’s 2019 Equity Incentive Plan (the “2019 Plan”) and the Company’s 2019 Employee Stock Purchase Plan (the “2019 ESPP,” and together with the 2019 Plan, the “Plans”). The 2019 Plan is the successor to the</w:t>
      </w:r>
      <w:r>
        <w:rPr>
          <w:rFonts w:eastAsia="Times New Roman"/>
          <w:color w:val="000000"/>
          <w:sz w:val="20"/>
          <w:szCs w:val="20"/>
        </w:rPr>
        <w:t xml:space="preserve"> Private Millendo 2012 Stock Plan and the OvaScience 2012 Stock Incentive Plan (each, as amended, the “Prior Plans”) and allows the Company to grant stock options, restricted stock unit awards and other awards at levels determined appropriate by the Compan</w:t>
      </w:r>
      <w:r>
        <w:rPr>
          <w:rFonts w:eastAsia="Times New Roman"/>
          <w:color w:val="000000"/>
          <w:sz w:val="20"/>
          <w:szCs w:val="20"/>
        </w:rPr>
        <w:t>y’s Board of Directors (the “Board”) or the Compensation Committee of the Board. No additional awards will be granted under either of the Prior Plans. The 2019 ESPP enables employees to purchase shares of the Company’s common stock through offerings of rig</w:t>
      </w:r>
      <w:r>
        <w:rPr>
          <w:rFonts w:eastAsia="Times New Roman"/>
          <w:color w:val="000000"/>
          <w:sz w:val="20"/>
          <w:szCs w:val="20"/>
        </w:rPr>
        <w:t>hts to purchase the Company’s common stock to all eligible employees. The Plans were adopted by the Board on April 29, 2019, subject to approval by the Company’s stockholders, and became effective with such stockholder approval on June 11, 2019. Outstandin</w:t>
      </w:r>
      <w:r>
        <w:rPr>
          <w:rFonts w:eastAsia="Times New Roman"/>
          <w:color w:val="000000"/>
          <w:sz w:val="20"/>
          <w:szCs w:val="20"/>
        </w:rPr>
        <w:t>g awards under the Prior Plans continue to be subject to the terms and conditions of the Prior Plans.</w:t>
      </w:r>
    </w:p>
    <w:p w:rsidR="00000000" w:rsidRDefault="00DA1786">
      <w:pPr>
        <w:jc w:val="both"/>
        <w:divId w:val="1384518561"/>
        <w:rPr>
          <w:rFonts w:eastAsia="Times New Roman"/>
        </w:rPr>
      </w:pPr>
      <w:r>
        <w:rPr>
          <w:rFonts w:eastAsia="Times New Roman"/>
          <w:color w:val="000000"/>
          <w:sz w:val="20"/>
          <w:szCs w:val="20"/>
        </w:rPr>
        <w:t>The aggregate number of shares of the Company's common stock initially reserved for issuance under the 2019 Plan was 2,919,872 shares, which is the sum of</w:t>
      </w:r>
      <w:r>
        <w:rPr>
          <w:rFonts w:eastAsia="Times New Roman"/>
          <w:color w:val="000000"/>
          <w:sz w:val="20"/>
          <w:szCs w:val="20"/>
        </w:rPr>
        <w:t xml:space="preserve"> (i) 534,320 shares, (ii) the number of unallocated shares remaining available for grant under the Prior Plans as of the effective date of the 2019 Plan, and (iii) the Prior Plans' Returning Shares (as defined below), as such shares become available from t</w:t>
      </w:r>
      <w:r>
        <w:rPr>
          <w:rFonts w:eastAsia="Times New Roman"/>
          <w:color w:val="000000"/>
          <w:sz w:val="20"/>
          <w:szCs w:val="20"/>
        </w:rPr>
        <w:t>ime to time. The number of shares of the Company's common stock reserved for issuance under the 2019 Plan will automatically increase on January 1 of each year, for a period of ten years, from January 1, 2020 continuing through January 1, 2029, by 4% of th</w:t>
      </w:r>
      <w:r>
        <w:rPr>
          <w:rFonts w:eastAsia="Times New Roman"/>
          <w:color w:val="000000"/>
          <w:sz w:val="20"/>
          <w:szCs w:val="20"/>
        </w:rPr>
        <w:t>e total number of shares of the Company's common stock outstanding on December 31 of the preceding calendar year, or a lesser number of shares as may be determined by the Board. Pursuant to the terms of the 2019 Plan, an additional 4% of the total number o</w:t>
      </w:r>
      <w:r>
        <w:rPr>
          <w:rFonts w:eastAsia="Times New Roman"/>
          <w:color w:val="000000"/>
          <w:sz w:val="20"/>
          <w:szCs w:val="20"/>
        </w:rPr>
        <w:t>f shares of the Company's common stock outstanding on December 31, 2019 were added to the number of available shares effective January 1, 2020.</w:t>
      </w:r>
    </w:p>
    <w:p w:rsidR="00000000" w:rsidRDefault="00DA1786">
      <w:pPr>
        <w:jc w:val="both"/>
        <w:divId w:val="362290929"/>
        <w:rPr>
          <w:rFonts w:eastAsia="Times New Roman"/>
        </w:rPr>
      </w:pPr>
      <w:r>
        <w:rPr>
          <w:rFonts w:eastAsia="Times New Roman"/>
          <w:color w:val="000000"/>
          <w:sz w:val="20"/>
          <w:szCs w:val="20"/>
        </w:rPr>
        <w:t>The term "Prior Plans' Returning Shares" refers to the following shares of the Company's common stock subject to</w:t>
      </w:r>
      <w:r>
        <w:rPr>
          <w:rFonts w:eastAsia="Times New Roman"/>
          <w:color w:val="000000"/>
          <w:sz w:val="20"/>
          <w:szCs w:val="20"/>
        </w:rPr>
        <w:t xml:space="preserve"> any outstanding stock award granted under either of the Prior Plans: shares of common stock subject to awards that (i) expire or terminate for any reason prior to exercise or settlement; (ii) are forfeited because of the failure to meet a contingency or c</w:t>
      </w:r>
      <w:r>
        <w:rPr>
          <w:rFonts w:eastAsia="Times New Roman"/>
          <w:color w:val="000000"/>
          <w:sz w:val="20"/>
          <w:szCs w:val="20"/>
        </w:rPr>
        <w:t>ondition required to vest such shares or otherwise return to the Company; or (iii) are reacquired, withheld (or not issued) to satisfy a tax withholding obligation in connection with an award or to satisfy the purchase price or exercise price of a stock aw</w:t>
      </w:r>
      <w:r>
        <w:rPr>
          <w:rFonts w:eastAsia="Times New Roman"/>
          <w:color w:val="000000"/>
          <w:sz w:val="20"/>
          <w:szCs w:val="20"/>
        </w:rPr>
        <w:t>ard. The foregoing includes shares subject to outstanding awards under the OvaScience 2011 Stock Incentive Plan that expire, terminate or are otherwise surrendered, canceled, forfeited or repurchased by the Company at their original issuance price pursuant</w:t>
      </w:r>
      <w:r>
        <w:rPr>
          <w:rFonts w:eastAsia="Times New Roman"/>
          <w:color w:val="000000"/>
          <w:sz w:val="20"/>
          <w:szCs w:val="20"/>
        </w:rPr>
        <w:t xml:space="preserve"> to a contractual repurchase right.</w:t>
      </w:r>
    </w:p>
    <w:p w:rsidR="00000000" w:rsidRDefault="00DA1786">
      <w:pPr>
        <w:jc w:val="both"/>
        <w:divId w:val="73476658"/>
        <w:rPr>
          <w:rFonts w:eastAsia="Times New Roman"/>
        </w:rPr>
      </w:pPr>
      <w:r>
        <w:rPr>
          <w:rFonts w:eastAsia="Times New Roman"/>
          <w:color w:val="000000"/>
          <w:sz w:val="20"/>
          <w:szCs w:val="20"/>
        </w:rPr>
        <w:t xml:space="preserve">The following shares of the Company's common stock (collectively, the "2019 Plan Returning Shares") will also become available again for issuance under the 2019 Plan: (i) any shares subject to a stock award that are not </w:t>
      </w:r>
      <w:r>
        <w:rPr>
          <w:rFonts w:eastAsia="Times New Roman"/>
          <w:color w:val="000000"/>
          <w:sz w:val="20"/>
          <w:szCs w:val="20"/>
        </w:rPr>
        <w:t>issued because such stock award expires or otherwise terminates without all of the shares covered by such stock award having been issued; (ii) any shares subject to a stock award that are not issued because such stock award is settled in cash; (iii) any sh</w:t>
      </w:r>
      <w:r>
        <w:rPr>
          <w:rFonts w:eastAsia="Times New Roman"/>
          <w:color w:val="000000"/>
          <w:sz w:val="20"/>
          <w:szCs w:val="20"/>
        </w:rPr>
        <w:t xml:space="preserve">ares issued pursuant to a stock award that are forfeited back to or repurchased by the Company because of the failure to meet a contingency or condition </w:t>
      </w:r>
    </w:p>
    <w:p w:rsidR="00000000" w:rsidRDefault="00DA1786">
      <w:pPr>
        <w:ind w:firstLine="720"/>
        <w:jc w:val="center"/>
        <w:divId w:val="1635679405"/>
        <w:rPr>
          <w:rFonts w:eastAsia="Times New Roman"/>
        </w:rPr>
      </w:pPr>
      <w:r>
        <w:rPr>
          <w:rFonts w:eastAsia="Times New Roman"/>
          <w:color w:val="000000"/>
          <w:sz w:val="20"/>
          <w:szCs w:val="20"/>
        </w:rPr>
        <w:t>69</w:t>
      </w:r>
    </w:p>
    <w:p w:rsidR="00000000" w:rsidRDefault="00DA1786">
      <w:pPr>
        <w:rPr>
          <w:rFonts w:eastAsia="Times New Roman"/>
        </w:rPr>
      </w:pPr>
      <w:r>
        <w:rPr>
          <w:rFonts w:eastAsia="Times New Roman"/>
        </w:rPr>
        <w:pict>
          <v:rect id="_x0000_i1094" style="width:0;height:1.5pt" o:hralign="center" o:hrstd="t" o:hr="t" fillcolor="#a0a0a0" stroked="f"/>
        </w:pict>
      </w:r>
    </w:p>
    <w:p w:rsidR="00000000" w:rsidRDefault="00DA1786">
      <w:pPr>
        <w:divId w:val="182523476"/>
        <w:rPr>
          <w:rFonts w:eastAsia="Times New Roman"/>
        </w:rPr>
      </w:pPr>
    </w:p>
    <w:p w:rsidR="00000000" w:rsidRDefault="00DA1786">
      <w:pPr>
        <w:jc w:val="both"/>
        <w:divId w:val="2108503750"/>
        <w:rPr>
          <w:rFonts w:eastAsia="Times New Roman"/>
        </w:rPr>
      </w:pPr>
      <w:r>
        <w:rPr>
          <w:rFonts w:eastAsia="Times New Roman"/>
          <w:color w:val="000000"/>
          <w:sz w:val="20"/>
          <w:szCs w:val="20"/>
        </w:rPr>
        <w:t>required for the vesting of such shares; and (iv) any shares</w:t>
      </w:r>
      <w:r>
        <w:rPr>
          <w:rFonts w:eastAsia="Times New Roman"/>
          <w:color w:val="000000"/>
          <w:sz w:val="20"/>
          <w:szCs w:val="20"/>
        </w:rPr>
        <w:t xml:space="preserve"> reacquired by the Company in satisfaction of tax withholding obligations on a stock award or as consideration for the exercise or purchase price of a stock award.</w:t>
      </w:r>
    </w:p>
    <w:p w:rsidR="00000000" w:rsidRDefault="00DA1786">
      <w:pPr>
        <w:jc w:val="both"/>
        <w:divId w:val="1964186790"/>
        <w:rPr>
          <w:rFonts w:eastAsia="Times New Roman"/>
        </w:rPr>
      </w:pPr>
      <w:r>
        <w:rPr>
          <w:rFonts w:eastAsia="Times New Roman"/>
          <w:color w:val="000000"/>
          <w:sz w:val="20"/>
          <w:szCs w:val="20"/>
        </w:rPr>
        <w:t>The aggregate number of shares of the Company's common stock that may be issued under the 20</w:t>
      </w:r>
      <w:r>
        <w:rPr>
          <w:rFonts w:eastAsia="Times New Roman"/>
          <w:color w:val="000000"/>
          <w:sz w:val="20"/>
          <w:szCs w:val="20"/>
        </w:rPr>
        <w:t>19 ESPP is 133,580 shares, plus the number of shares of the Company's common stock that are automatically added on January 1st of each year, for a period of up to ten years, from January 1, 2020 continuing through January 1, 2029, by 1% of the total number</w:t>
      </w:r>
      <w:r>
        <w:rPr>
          <w:rFonts w:eastAsia="Times New Roman"/>
          <w:color w:val="000000"/>
          <w:sz w:val="20"/>
          <w:szCs w:val="20"/>
        </w:rPr>
        <w:t xml:space="preserve"> of shares of the Company's common stock outstanding on December 31 of the preceding calendar year, (ii) 133,580 shares of the Company's common stock, unless a lesser number of shares is determined by the Board. Pursuant to the terms of the 2019 Employee S</w:t>
      </w:r>
      <w:r>
        <w:rPr>
          <w:rFonts w:eastAsia="Times New Roman"/>
          <w:color w:val="000000"/>
          <w:sz w:val="20"/>
          <w:szCs w:val="20"/>
        </w:rPr>
        <w:t>tock Purchase Plan, an additional 133,580 shares were added to the number of available shares effective January 1, 2020.</w:t>
      </w:r>
    </w:p>
    <w:p w:rsidR="00000000" w:rsidRDefault="00DA1786">
      <w:pPr>
        <w:jc w:val="both"/>
        <w:divId w:val="644971801"/>
        <w:rPr>
          <w:rFonts w:eastAsia="Times New Roman"/>
        </w:rPr>
      </w:pPr>
      <w:r>
        <w:rPr>
          <w:rFonts w:eastAsia="Times New Roman"/>
          <w:color w:val="000000"/>
          <w:sz w:val="20"/>
          <w:szCs w:val="20"/>
        </w:rPr>
        <w:t>The Company measures employee and nonemployee stock-based awards at grant-date fair value and records compensation expense on a straigh</w:t>
      </w:r>
      <w:r>
        <w:rPr>
          <w:rFonts w:eastAsia="Times New Roman"/>
          <w:color w:val="000000"/>
          <w:sz w:val="20"/>
          <w:szCs w:val="20"/>
        </w:rPr>
        <w:t>t-line basis over the vesting period of the award.</w:t>
      </w:r>
    </w:p>
    <w:p w:rsidR="00000000" w:rsidRDefault="00DA1786">
      <w:pPr>
        <w:jc w:val="both"/>
        <w:divId w:val="1661226520"/>
        <w:rPr>
          <w:rFonts w:eastAsia="Times New Roman"/>
        </w:rPr>
      </w:pPr>
      <w:r>
        <w:rPr>
          <w:rFonts w:eastAsia="Times New Roman"/>
          <w:color w:val="000000"/>
          <w:sz w:val="20"/>
          <w:szCs w:val="20"/>
        </w:rPr>
        <w:t>The Company recorded stock-based compensation expense in the following expense categories of its accompanying consolidated statements of operations and comprehensive loss for the years ended December 31, 2</w:t>
      </w:r>
      <w:r>
        <w:rPr>
          <w:rFonts w:eastAsia="Times New Roman"/>
          <w:color w:val="000000"/>
          <w:sz w:val="20"/>
          <w:szCs w:val="20"/>
        </w:rPr>
        <w:t>020 and 2019 (amounts in thousands):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7"/>
        <w:gridCol w:w="120"/>
        <w:gridCol w:w="837"/>
        <w:gridCol w:w="36"/>
        <w:gridCol w:w="36"/>
        <w:gridCol w:w="36"/>
        <w:gridCol w:w="36"/>
        <w:gridCol w:w="120"/>
        <w:gridCol w:w="802"/>
        <w:gridCol w:w="36"/>
      </w:tblGrid>
      <w:tr w:rsidR="00000000">
        <w:trPr>
          <w:divId w:val="573705281"/>
        </w:trPr>
        <w:tc>
          <w:tcPr>
            <w:tcW w:w="50" w:type="pct"/>
            <w:vAlign w:val="center"/>
            <w:hideMark/>
          </w:tcPr>
          <w:p w:rsidR="00000000" w:rsidRDefault="00DA1786">
            <w:pPr>
              <w:jc w:val="both"/>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573705281"/>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p>
        </w:tc>
      </w:tr>
      <w:tr w:rsidR="00000000">
        <w:trPr>
          <w:divId w:val="573705281"/>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573705281"/>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573705281"/>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3,267 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3,018 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573705281"/>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4,317 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both"/>
        <w:divId w:val="767769841"/>
        <w:rPr>
          <w:rFonts w:eastAsia="Times New Roman"/>
        </w:rPr>
      </w:pPr>
      <w:r>
        <w:rPr>
          <w:rFonts w:eastAsia="Times New Roman"/>
          <w:b/>
          <w:bCs/>
          <w:i/>
          <w:iCs/>
          <w:color w:val="000000"/>
          <w:sz w:val="20"/>
          <w:szCs w:val="20"/>
        </w:rPr>
        <w:t>Stock options</w:t>
      </w:r>
    </w:p>
    <w:p w:rsidR="00000000" w:rsidRDefault="00DA1786">
      <w:pPr>
        <w:jc w:val="both"/>
        <w:divId w:val="60757457"/>
        <w:rPr>
          <w:rFonts w:eastAsia="Times New Roman"/>
        </w:rPr>
      </w:pPr>
      <w:r>
        <w:rPr>
          <w:rFonts w:eastAsia="Times New Roman"/>
          <w:color w:val="000000"/>
          <w:sz w:val="20"/>
          <w:szCs w:val="20"/>
        </w:rPr>
        <w:t xml:space="preserve">Options issued may have a contractual life of up to 10 years </w:t>
      </w:r>
      <w:r>
        <w:rPr>
          <w:rFonts w:eastAsia="Times New Roman"/>
          <w:color w:val="000000"/>
          <w:sz w:val="20"/>
          <w:szCs w:val="20"/>
        </w:rPr>
        <w:t>and may be exercisable in cash or as otherwise determined by the Board. Vesting generally occurs over a period of not greater than four years. In May 2020, the Company granted 840,450 stock options to its employees in connection with the PWS and CAH progra</w:t>
      </w:r>
      <w:r>
        <w:rPr>
          <w:rFonts w:eastAsia="Times New Roman"/>
          <w:color w:val="000000"/>
          <w:sz w:val="20"/>
          <w:szCs w:val="20"/>
        </w:rPr>
        <w:t>m changes that occurred during the second quarter of 2020 (see Note 1). The vesting was as follows: 1) 50 percent of the shares subject to this option grant will vest on the earlier of (i) December 31, 2020 or (ii) the Board's approval of the achievement o</w:t>
      </w:r>
      <w:r>
        <w:rPr>
          <w:rFonts w:eastAsia="Times New Roman"/>
          <w:color w:val="000000"/>
          <w:sz w:val="20"/>
          <w:szCs w:val="20"/>
        </w:rPr>
        <w:t>f certain performance criteria, and 2) one twelfth (1/12th) of the remaining shares subject to this option grant will vest in equal monthly installments thereafter.</w:t>
      </w:r>
    </w:p>
    <w:p w:rsidR="00000000" w:rsidRDefault="00DA1786">
      <w:pPr>
        <w:jc w:val="both"/>
        <w:divId w:val="310212788"/>
        <w:rPr>
          <w:rFonts w:eastAsia="Times New Roman"/>
        </w:rPr>
      </w:pPr>
      <w:r>
        <w:rPr>
          <w:rFonts w:eastAsia="Times New Roman"/>
          <w:color w:val="000000"/>
          <w:sz w:val="20"/>
          <w:szCs w:val="20"/>
        </w:rPr>
        <w:t>The following table summarizes the activity related to stock option grants to employees and</w:t>
      </w:r>
      <w:r>
        <w:rPr>
          <w:rFonts w:eastAsia="Times New Roman"/>
          <w:color w:val="000000"/>
          <w:sz w:val="20"/>
          <w:szCs w:val="20"/>
        </w:rPr>
        <w:t xml:space="preserve"> nonemployees for the years ended December 31, 2020 and 2019:</w:t>
      </w:r>
    </w:p>
    <w:tbl>
      <w:tblPr>
        <w:tblW w:w="4985" w:type="pct"/>
        <w:tblCellMar>
          <w:top w:w="15" w:type="dxa"/>
          <w:left w:w="15" w:type="dxa"/>
          <w:bottom w:w="15" w:type="dxa"/>
          <w:right w:w="15" w:type="dxa"/>
        </w:tblCellMar>
        <w:tblLook w:val="04A0" w:firstRow="1" w:lastRow="0" w:firstColumn="1" w:lastColumn="0" w:noHBand="0" w:noVBand="1"/>
      </w:tblPr>
      <w:tblGrid>
        <w:gridCol w:w="54"/>
        <w:gridCol w:w="5128"/>
        <w:gridCol w:w="36"/>
        <w:gridCol w:w="75"/>
        <w:gridCol w:w="829"/>
        <w:gridCol w:w="36"/>
        <w:gridCol w:w="36"/>
        <w:gridCol w:w="36"/>
        <w:gridCol w:w="36"/>
        <w:gridCol w:w="121"/>
        <w:gridCol w:w="829"/>
        <w:gridCol w:w="36"/>
        <w:gridCol w:w="36"/>
        <w:gridCol w:w="36"/>
        <w:gridCol w:w="36"/>
        <w:gridCol w:w="71"/>
        <w:gridCol w:w="814"/>
        <w:gridCol w:w="36"/>
      </w:tblGrid>
      <w:tr w:rsidR="00000000">
        <w:trPr>
          <w:divId w:val="1640528791"/>
        </w:trPr>
        <w:tc>
          <w:tcPr>
            <w:tcW w:w="50" w:type="pct"/>
            <w:vAlign w:val="center"/>
            <w:hideMark/>
          </w:tcPr>
          <w:p w:rsidR="00000000" w:rsidRDefault="00DA1786">
            <w:pPr>
              <w:jc w:val="both"/>
              <w:rPr>
                <w:rFonts w:eastAsia="Times New Roman"/>
              </w:rPr>
            </w:pPr>
          </w:p>
        </w:tc>
        <w:tc>
          <w:tcPr>
            <w:tcW w:w="311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640528791"/>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Weighted-average exercise price share</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center"/>
              <w:divId w:val="1226646912"/>
              <w:rPr>
                <w:rFonts w:eastAsia="Times New Roman"/>
              </w:rPr>
            </w:pPr>
            <w:r>
              <w:rPr>
                <w:rFonts w:eastAsia="Times New Roman"/>
                <w:b/>
                <w:bCs/>
                <w:color w:val="000000"/>
                <w:sz w:val="16"/>
                <w:szCs w:val="16"/>
              </w:rPr>
              <w:t>Weighted-average remaining contractual life (years)</w:t>
            </w:r>
          </w:p>
        </w:tc>
      </w:tr>
      <w:tr w:rsidR="00000000">
        <w:trPr>
          <w:divId w:val="1640528791"/>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Outstanding at January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1,764,287 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8.0</w:t>
            </w:r>
          </w:p>
        </w:tc>
      </w:tr>
      <w:tr w:rsidR="00000000">
        <w:trPr>
          <w:divId w:val="1640528791"/>
        </w:trPr>
        <w:tc>
          <w:tcPr>
            <w:tcW w:w="0" w:type="auto"/>
            <w:gridSpan w:val="3"/>
            <w:vAlign w:val="center"/>
            <w:hideMark/>
          </w:tcPr>
          <w:p w:rsidR="00000000" w:rsidRDefault="00DA1786">
            <w:pPr>
              <w:jc w:val="right"/>
              <w:rPr>
                <w:rFonts w:eastAsia="Times New Roman"/>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640528791"/>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1,225,901 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40528791"/>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(97,225)</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40528791"/>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(394,357)</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40.42 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40528791"/>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Outstanding at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2,498,606 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17.18 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7.7</w:t>
            </w:r>
          </w:p>
        </w:tc>
      </w:tr>
      <w:tr w:rsidR="00000000">
        <w:trPr>
          <w:divId w:val="1640528791"/>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1,864,375 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40528791"/>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(1,449)</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40528791"/>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(612,430)</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13.39 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40528791"/>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Outstanding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3,749,102 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11.60 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7.9</w:t>
            </w:r>
          </w:p>
        </w:tc>
      </w:tr>
      <w:tr w:rsidR="00000000">
        <w:trPr>
          <w:divId w:val="1640528791"/>
        </w:trPr>
        <w:tc>
          <w:tcPr>
            <w:tcW w:w="0" w:type="auto"/>
            <w:gridSpan w:val="3"/>
            <w:shd w:val="clear" w:color="auto" w:fill="FFFF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Vested and exercisable at December 31, 2020</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1,819,399 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16.34 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6.8</w:t>
            </w:r>
          </w:p>
        </w:tc>
      </w:tr>
      <w:tr w:rsidR="00000000">
        <w:trPr>
          <w:divId w:val="1640528791"/>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Vested and expected to vest at December 31, 2020</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3,749,102 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11.60 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3"/>
            <w:tcBorders>
              <w:top w:val="doub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7.9</w:t>
            </w:r>
          </w:p>
        </w:tc>
      </w:tr>
    </w:tbl>
    <w:p w:rsidR="00000000" w:rsidRDefault="00DA1786">
      <w:pPr>
        <w:jc w:val="both"/>
        <w:divId w:val="1880166537"/>
        <w:rPr>
          <w:rFonts w:eastAsia="Times New Roman"/>
        </w:rPr>
      </w:pPr>
      <w:r>
        <w:rPr>
          <w:rFonts w:eastAsia="Times New Roman"/>
          <w:color w:val="000000"/>
          <w:sz w:val="20"/>
          <w:szCs w:val="20"/>
        </w:rPr>
        <w:t>As of Dece</w:t>
      </w:r>
      <w:r>
        <w:rPr>
          <w:rFonts w:eastAsia="Times New Roman"/>
          <w:color w:val="000000"/>
          <w:sz w:val="20"/>
          <w:szCs w:val="20"/>
        </w:rPr>
        <w:t>mber 31, 2020, the unrecognized compensation cost related to 1,929,703 unvested stock options expected to vest was $8.1 million. This unrecognized compensation will be recognized over an estimated weighted-average amortization period of 2.3 years. The aggr</w:t>
      </w:r>
      <w:r>
        <w:rPr>
          <w:rFonts w:eastAsia="Times New Roman"/>
          <w:color w:val="000000"/>
          <w:sz w:val="20"/>
          <w:szCs w:val="20"/>
        </w:rPr>
        <w:t>egate intrinsic value of options exercised during the year ended December 31, 2020 was $1,000. The aggregate intrinsic value of options exercised during the year ended December 31, 2019 was $0.7 million. The aggregate intrinsic value of options outstanding</w:t>
      </w:r>
      <w:r>
        <w:rPr>
          <w:rFonts w:eastAsia="Times New Roman"/>
          <w:color w:val="000000"/>
          <w:sz w:val="20"/>
          <w:szCs w:val="20"/>
        </w:rPr>
        <w:t xml:space="preserve"> and options exercisable as of December 31, 2020 was $0.2 million and $0.1 million, </w:t>
      </w:r>
    </w:p>
    <w:p w:rsidR="00000000" w:rsidRDefault="00DA1786">
      <w:pPr>
        <w:ind w:firstLine="720"/>
        <w:jc w:val="center"/>
        <w:divId w:val="1440418448"/>
        <w:rPr>
          <w:rFonts w:eastAsia="Times New Roman"/>
        </w:rPr>
      </w:pPr>
      <w:r>
        <w:rPr>
          <w:rFonts w:eastAsia="Times New Roman"/>
          <w:color w:val="000000"/>
          <w:sz w:val="20"/>
          <w:szCs w:val="20"/>
        </w:rPr>
        <w:t>70</w:t>
      </w:r>
    </w:p>
    <w:p w:rsidR="00000000" w:rsidRDefault="00DA1786">
      <w:pPr>
        <w:rPr>
          <w:rFonts w:eastAsia="Times New Roman"/>
        </w:rPr>
      </w:pPr>
      <w:r>
        <w:rPr>
          <w:rFonts w:eastAsia="Times New Roman"/>
        </w:rPr>
        <w:pict>
          <v:rect id="_x0000_i1095" style="width:0;height:1.5pt" o:hralign="center" o:hrstd="t" o:hr="t" fillcolor="#a0a0a0" stroked="f"/>
        </w:pict>
      </w:r>
    </w:p>
    <w:p w:rsidR="00000000" w:rsidRDefault="00DA1786">
      <w:pPr>
        <w:divId w:val="1152716175"/>
        <w:rPr>
          <w:rFonts w:eastAsia="Times New Roman"/>
        </w:rPr>
      </w:pPr>
    </w:p>
    <w:p w:rsidR="00000000" w:rsidRDefault="00DA1786">
      <w:pPr>
        <w:jc w:val="both"/>
        <w:divId w:val="175117123"/>
        <w:rPr>
          <w:rFonts w:eastAsia="Times New Roman"/>
        </w:rPr>
      </w:pPr>
      <w:r>
        <w:rPr>
          <w:rFonts w:eastAsia="Times New Roman"/>
          <w:color w:val="000000"/>
          <w:sz w:val="20"/>
          <w:szCs w:val="20"/>
        </w:rPr>
        <w:t xml:space="preserve">respectively. The options granted during the years ended December 31, 2020 and 2019, had an estimated weighted average grant date </w:t>
      </w:r>
      <w:r>
        <w:rPr>
          <w:rFonts w:eastAsia="Times New Roman"/>
          <w:color w:val="000000"/>
          <w:sz w:val="20"/>
          <w:szCs w:val="20"/>
        </w:rPr>
        <w:t>fair value of $3.13 and $6.74, respectively.</w:t>
      </w:r>
    </w:p>
    <w:p w:rsidR="00000000" w:rsidRDefault="00DA1786">
      <w:pPr>
        <w:jc w:val="both"/>
        <w:divId w:val="216939542"/>
        <w:rPr>
          <w:rFonts w:eastAsia="Times New Roman"/>
        </w:rPr>
      </w:pPr>
      <w:r>
        <w:rPr>
          <w:rFonts w:eastAsia="Times New Roman"/>
          <w:color w:val="000000"/>
          <w:sz w:val="20"/>
          <w:szCs w:val="20"/>
        </w:rPr>
        <w:t>The fair value of options is estimated using the Black-Scholes option pricing model, which takes into account inputs such as the exercise price, the value of the underlying common stock at the grant date, expect</w:t>
      </w:r>
      <w:r>
        <w:rPr>
          <w:rFonts w:eastAsia="Times New Roman"/>
          <w:color w:val="000000"/>
          <w:sz w:val="20"/>
          <w:szCs w:val="20"/>
        </w:rPr>
        <w:t>ed term, expected volatility, risk-free interest rate and dividend yield. The fair value of each grant of options during the years ended December 31, 2020 and 2019 was determined using the methods and assumptions discussed below.</w:t>
      </w:r>
    </w:p>
    <w:p w:rsidR="00000000" w:rsidRDefault="00DA1786">
      <w:pPr>
        <w:ind w:hanging="360"/>
        <w:jc w:val="both"/>
        <w:divId w:val="1084691393"/>
        <w:rPr>
          <w:rFonts w:eastAsia="Times New Roman"/>
        </w:rPr>
      </w:pPr>
      <w:r>
        <w:rPr>
          <w:rFonts w:eastAsia="Times New Roman"/>
          <w:color w:val="000000"/>
          <w:sz w:val="20"/>
          <w:szCs w:val="20"/>
        </w:rPr>
        <w:t>•The expected term of empl</w:t>
      </w:r>
      <w:r>
        <w:rPr>
          <w:rFonts w:eastAsia="Times New Roman"/>
          <w:color w:val="000000"/>
          <w:sz w:val="20"/>
          <w:szCs w:val="20"/>
        </w:rPr>
        <w:t xml:space="preserve">oyee options with service-based vesting is determined using the “simplified” method, as prescribed in SEC’s Staff Accounting Bulletin (“SAB”) No. 107, whereby the expected life equals the arithmetic average of the vesting term and the original contractual </w:t>
      </w:r>
      <w:r>
        <w:rPr>
          <w:rFonts w:eastAsia="Times New Roman"/>
          <w:color w:val="000000"/>
          <w:sz w:val="20"/>
          <w:szCs w:val="20"/>
        </w:rPr>
        <w:t>term of the option due to the Company’s lack of sufficient historical data. The expected term of nonemployee options is equal to the contractual term.</w:t>
      </w:r>
    </w:p>
    <w:p w:rsidR="00000000" w:rsidRDefault="00DA1786">
      <w:pPr>
        <w:ind w:hanging="360"/>
        <w:jc w:val="both"/>
        <w:divId w:val="1763916492"/>
        <w:rPr>
          <w:rFonts w:eastAsia="Times New Roman"/>
        </w:rPr>
      </w:pPr>
      <w:r>
        <w:rPr>
          <w:rFonts w:eastAsia="Times New Roman"/>
          <w:color w:val="000000"/>
          <w:sz w:val="20"/>
          <w:szCs w:val="20"/>
        </w:rPr>
        <w:t>•The expected volatility is based on historical volatilities of similar entities within the Company’s ind</w:t>
      </w:r>
      <w:r>
        <w:rPr>
          <w:rFonts w:eastAsia="Times New Roman"/>
          <w:color w:val="000000"/>
          <w:sz w:val="20"/>
          <w:szCs w:val="20"/>
        </w:rPr>
        <w:t>ustry which were commensurate with the expected term assumption as described in SAB No. 107.</w:t>
      </w:r>
    </w:p>
    <w:p w:rsidR="00000000" w:rsidRDefault="00DA1786">
      <w:pPr>
        <w:ind w:hanging="360"/>
        <w:jc w:val="both"/>
        <w:divId w:val="990721141"/>
        <w:rPr>
          <w:rFonts w:eastAsia="Times New Roman"/>
        </w:rPr>
      </w:pPr>
      <w:r>
        <w:rPr>
          <w:rFonts w:eastAsia="Times New Roman"/>
          <w:color w:val="000000"/>
          <w:sz w:val="20"/>
          <w:szCs w:val="20"/>
        </w:rPr>
        <w:t>•The risk-free interest rate is based on the interest rate payable on U.S. Treasury securities in effect at the time of grant for a period that is commensurate wit</w:t>
      </w:r>
      <w:r>
        <w:rPr>
          <w:rFonts w:eastAsia="Times New Roman"/>
          <w:color w:val="000000"/>
          <w:sz w:val="20"/>
          <w:szCs w:val="20"/>
        </w:rPr>
        <w:t>h the assumed expected term.</w:t>
      </w:r>
    </w:p>
    <w:p w:rsidR="00000000" w:rsidRDefault="00DA1786">
      <w:pPr>
        <w:ind w:hanging="360"/>
        <w:jc w:val="both"/>
        <w:divId w:val="274559973"/>
        <w:rPr>
          <w:rFonts w:eastAsia="Times New Roman"/>
        </w:rPr>
      </w:pPr>
      <w:r>
        <w:rPr>
          <w:rFonts w:eastAsia="Times New Roman"/>
          <w:color w:val="000000"/>
          <w:sz w:val="20"/>
          <w:szCs w:val="20"/>
        </w:rPr>
        <w:t>•The expected dividend yield is 0% because the Company has not historically paid, and does not expect for the foreseeable future to pay, a dividend on its common stock.</w:t>
      </w:r>
    </w:p>
    <w:p w:rsidR="00000000" w:rsidRDefault="00DA1786">
      <w:pPr>
        <w:ind w:hanging="360"/>
        <w:jc w:val="both"/>
        <w:divId w:val="1175682800"/>
        <w:rPr>
          <w:rFonts w:eastAsia="Times New Roman"/>
        </w:rPr>
      </w:pPr>
      <w:r>
        <w:rPr>
          <w:rFonts w:eastAsia="Times New Roman"/>
          <w:color w:val="000000"/>
          <w:sz w:val="20"/>
          <w:szCs w:val="20"/>
        </w:rPr>
        <w:t>•Prior to the OvaScience Merger, the Company’s common stoc</w:t>
      </w:r>
      <w:r>
        <w:rPr>
          <w:rFonts w:eastAsia="Times New Roman"/>
          <w:color w:val="000000"/>
          <w:sz w:val="20"/>
          <w:szCs w:val="20"/>
        </w:rPr>
        <w:t>k was not publicly traded. The Company’s board of directors periodically estimated the fair value of the Company’s common stock considering, among other things, contemporaneous valuations of its common stock prepared by an unrelated third-party valuation f</w:t>
      </w:r>
      <w:r>
        <w:rPr>
          <w:rFonts w:eastAsia="Times New Roman"/>
          <w:color w:val="000000"/>
          <w:sz w:val="20"/>
          <w:szCs w:val="20"/>
        </w:rPr>
        <w:t xml:space="preserve">irm in accordance with the guidance provided by the American Institute of Certified Public Accountants 2013 Practice Aid, </w:t>
      </w:r>
      <w:r>
        <w:rPr>
          <w:rFonts w:eastAsia="Times New Roman"/>
          <w:i/>
          <w:iCs/>
          <w:color w:val="000000"/>
          <w:sz w:val="20"/>
          <w:szCs w:val="20"/>
        </w:rPr>
        <w:t>Valuation of Privately-Held-Company Equity Securities Issued as Compensation.</w:t>
      </w:r>
      <w:r>
        <w:rPr>
          <w:rFonts w:eastAsia="Times New Roman"/>
          <w:color w:val="000000"/>
          <w:sz w:val="20"/>
          <w:szCs w:val="20"/>
        </w:rPr>
        <w:t> Following the OvaScience Merger, the fair market value o</w:t>
      </w:r>
      <w:r>
        <w:rPr>
          <w:rFonts w:eastAsia="Times New Roman"/>
          <w:color w:val="000000"/>
          <w:sz w:val="20"/>
          <w:szCs w:val="20"/>
        </w:rPr>
        <w:t>f the Company’s common stock is determined based on the closing price of its common stock on the Nasdaq Capital Market.</w:t>
      </w:r>
    </w:p>
    <w:p w:rsidR="00000000" w:rsidRDefault="00DA1786">
      <w:pPr>
        <w:jc w:val="both"/>
        <w:divId w:val="1583566508"/>
        <w:rPr>
          <w:rFonts w:eastAsia="Times New Roman"/>
        </w:rPr>
      </w:pPr>
      <w:r>
        <w:rPr>
          <w:rFonts w:eastAsia="Times New Roman"/>
          <w:color w:val="000000"/>
          <w:sz w:val="20"/>
          <w:szCs w:val="20"/>
        </w:rPr>
        <w:t xml:space="preserve">The grant date fair value of each option grant was estimated throughout the year using the Black-Scholes option-pricing model using the </w:t>
      </w:r>
      <w:r>
        <w:rPr>
          <w:rFonts w:eastAsia="Times New Roman"/>
          <w:color w:val="000000"/>
          <w:sz w:val="20"/>
          <w:szCs w:val="20"/>
        </w:rPr>
        <w:t>following assumptions for the Plan:</w:t>
      </w:r>
    </w:p>
    <w:tbl>
      <w:tblPr>
        <w:tblW w:w="5000" w:type="pct"/>
        <w:tblCellMar>
          <w:top w:w="15" w:type="dxa"/>
          <w:left w:w="15" w:type="dxa"/>
          <w:bottom w:w="15" w:type="dxa"/>
          <w:right w:w="15" w:type="dxa"/>
        </w:tblCellMar>
        <w:tblLook w:val="04A0" w:firstRow="1" w:lastRow="0" w:firstColumn="1" w:lastColumn="0" w:noHBand="0" w:noVBand="1"/>
      </w:tblPr>
      <w:tblGrid>
        <w:gridCol w:w="37"/>
        <w:gridCol w:w="6053"/>
        <w:gridCol w:w="36"/>
        <w:gridCol w:w="121"/>
        <w:gridCol w:w="776"/>
        <w:gridCol w:w="187"/>
        <w:gridCol w:w="36"/>
        <w:gridCol w:w="36"/>
        <w:gridCol w:w="36"/>
        <w:gridCol w:w="121"/>
        <w:gridCol w:w="680"/>
        <w:gridCol w:w="187"/>
      </w:tblGrid>
      <w:tr w:rsidR="00000000">
        <w:trPr>
          <w:divId w:val="1602253798"/>
        </w:trPr>
        <w:tc>
          <w:tcPr>
            <w:tcW w:w="50" w:type="pct"/>
            <w:vAlign w:val="center"/>
            <w:hideMark/>
          </w:tcPr>
          <w:p w:rsidR="00000000" w:rsidRDefault="00DA1786">
            <w:pPr>
              <w:jc w:val="both"/>
              <w:rPr>
                <w:rFonts w:eastAsia="Times New Roman"/>
              </w:rPr>
            </w:pPr>
          </w:p>
        </w:tc>
        <w:tc>
          <w:tcPr>
            <w:tcW w:w="373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2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2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602253798"/>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Year Ended,</w:t>
            </w:r>
            <w:r>
              <w:rPr>
                <w:rFonts w:eastAsia="Times New Roman"/>
                <w:b/>
                <w:bCs/>
                <w:color w:val="000000"/>
                <w:sz w:val="16"/>
                <w:szCs w:val="16"/>
              </w:rPr>
              <w:br/>
              <w:t>December 31,</w:t>
            </w:r>
          </w:p>
        </w:tc>
      </w:tr>
      <w:tr w:rsidR="00000000">
        <w:trPr>
          <w:divId w:val="1602253798"/>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1602253798"/>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Expected term (in years)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5.74</w:t>
            </w: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6.02</w:t>
            </w:r>
          </w:p>
        </w:tc>
      </w:tr>
      <w:tr w:rsidR="00000000">
        <w:trPr>
          <w:divId w:val="1602253798"/>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Expected volatility</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77 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80 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1602253798"/>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Risk-free interest rate</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0.86 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1602253798"/>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Expected dividend yield</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0 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0 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1602253798"/>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Fair market value of common stock</w:t>
            </w: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9.73 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both"/>
        <w:divId w:val="1653098190"/>
        <w:rPr>
          <w:rFonts w:eastAsia="Times New Roman"/>
        </w:rPr>
      </w:pPr>
      <w:r>
        <w:rPr>
          <w:rFonts w:eastAsia="Times New Roman"/>
          <w:color w:val="000000"/>
          <w:sz w:val="20"/>
          <w:szCs w:val="20"/>
        </w:rPr>
        <w:t xml:space="preserve">At the time of the Alizé acquisition, Alizé had 6,219 </w:t>
      </w:r>
      <w:r>
        <w:rPr>
          <w:rFonts w:eastAsia="Times New Roman"/>
          <w:color w:val="000000"/>
          <w:sz w:val="20"/>
          <w:szCs w:val="20"/>
        </w:rPr>
        <w:t xml:space="preserve">non-employee (BSA) warrants and 5,360 employee (BSPCE) warrants outstanding, which have weighted-average exercise prices of €80.06 and €83.40, respectively. As of December 31, 2020, all BSAs and BSPCEs were vested. During the year ended December 31, 2020, </w:t>
      </w:r>
      <w:r>
        <w:rPr>
          <w:rFonts w:eastAsia="Times New Roman"/>
          <w:color w:val="000000"/>
          <w:sz w:val="20"/>
          <w:szCs w:val="20"/>
        </w:rPr>
        <w:t>910 BSPCE warrants were exercised resulting in the issuance of 12,307 shares of the Company's common stock. In addition, during the year ended December 31, 2020, a total of 2,586 BSA and BSPCE warrants were forfeited. As of December 31, 2020, there were an</w:t>
      </w:r>
      <w:r>
        <w:rPr>
          <w:rFonts w:eastAsia="Times New Roman"/>
          <w:color w:val="000000"/>
          <w:sz w:val="20"/>
          <w:szCs w:val="20"/>
        </w:rPr>
        <w:t xml:space="preserve"> aggregate of 48,265 shares of common stock issuable upon the exercise of the warrants with a weighted-average exercise price of $7.85 per share. These instruments are included in the equity attributable to noncontrolling interests.</w:t>
      </w:r>
    </w:p>
    <w:p w:rsidR="00000000" w:rsidRDefault="00DA1786">
      <w:pPr>
        <w:divId w:val="1848399495"/>
        <w:rPr>
          <w:rFonts w:eastAsia="Times New Roman"/>
        </w:rPr>
      </w:pPr>
      <w:r>
        <w:rPr>
          <w:rFonts w:eastAsia="Times New Roman"/>
          <w:b/>
          <w:bCs/>
          <w:color w:val="000000"/>
          <w:sz w:val="20"/>
          <w:szCs w:val="20"/>
        </w:rPr>
        <w:t>10. Income Taxes</w:t>
      </w:r>
    </w:p>
    <w:p w:rsidR="00000000" w:rsidRDefault="00DA1786">
      <w:pPr>
        <w:jc w:val="both"/>
        <w:divId w:val="700475939"/>
        <w:rPr>
          <w:rFonts w:eastAsia="Times New Roman"/>
        </w:rPr>
      </w:pPr>
      <w:r>
        <w:rPr>
          <w:rFonts w:eastAsia="Times New Roman"/>
          <w:color w:val="000000"/>
          <w:sz w:val="20"/>
          <w:szCs w:val="20"/>
        </w:rPr>
        <w:t xml:space="preserve">As of </w:t>
      </w:r>
      <w:r>
        <w:rPr>
          <w:rFonts w:eastAsia="Times New Roman"/>
          <w:color w:val="000000"/>
          <w:sz w:val="20"/>
          <w:szCs w:val="20"/>
        </w:rPr>
        <w:t>December 31, 2020, the Company had approximately $330.8 million and $280.9 million of federal and state net operating loss carryforwards, respectively, which begin to expire in 2031. As of December 31, 2020, the Company had approximately $5.3 million and $</w:t>
      </w:r>
      <w:r>
        <w:rPr>
          <w:rFonts w:eastAsia="Times New Roman"/>
          <w:color w:val="000000"/>
          <w:sz w:val="20"/>
          <w:szCs w:val="20"/>
        </w:rPr>
        <w:t>1.1 million of federal and state research and development tax credit carryforwards, respectively, that begin to expire in 2031 and 2029, respectively. As of December 31, 2020, the Company had approximately $7.4 million of federal orphan drug tax credit car</w:t>
      </w:r>
      <w:r>
        <w:rPr>
          <w:rFonts w:eastAsia="Times New Roman"/>
          <w:color w:val="000000"/>
          <w:sz w:val="20"/>
          <w:szCs w:val="20"/>
        </w:rPr>
        <w:t>ryforwards that begin to expire in 2032. As of December 31, 2020, the Company had foreign net operating loss carryforwards of approximately $20.7 million which can be carried forward indefinitely.</w:t>
      </w:r>
    </w:p>
    <w:p w:rsidR="00000000" w:rsidRDefault="00DA1786">
      <w:pPr>
        <w:jc w:val="both"/>
        <w:divId w:val="2060782958"/>
        <w:rPr>
          <w:rFonts w:eastAsia="Times New Roman"/>
        </w:rPr>
      </w:pPr>
      <w:r>
        <w:rPr>
          <w:rFonts w:eastAsia="Times New Roman"/>
          <w:color w:val="000000"/>
          <w:sz w:val="20"/>
          <w:szCs w:val="20"/>
        </w:rPr>
        <w:t>Section 382 of the Internal Revenue Code of 1986, as amende</w:t>
      </w:r>
      <w:r>
        <w:rPr>
          <w:rFonts w:eastAsia="Times New Roman"/>
          <w:color w:val="000000"/>
          <w:sz w:val="20"/>
          <w:szCs w:val="20"/>
        </w:rPr>
        <w:t xml:space="preserve">d (the “Code”) provides for limitation on the use of net operating loss and research and development tax credit carryforwards following certain ownership changes (as defined in Code) that </w:t>
      </w:r>
    </w:p>
    <w:p w:rsidR="00000000" w:rsidRDefault="00DA1786">
      <w:pPr>
        <w:ind w:firstLine="720"/>
        <w:jc w:val="center"/>
        <w:divId w:val="1270039851"/>
        <w:rPr>
          <w:rFonts w:eastAsia="Times New Roman"/>
        </w:rPr>
      </w:pPr>
      <w:r>
        <w:rPr>
          <w:rFonts w:eastAsia="Times New Roman"/>
          <w:color w:val="000000"/>
          <w:sz w:val="20"/>
          <w:szCs w:val="20"/>
        </w:rPr>
        <w:t>71</w:t>
      </w:r>
    </w:p>
    <w:p w:rsidR="00000000" w:rsidRDefault="00DA1786">
      <w:pPr>
        <w:rPr>
          <w:rFonts w:eastAsia="Times New Roman"/>
        </w:rPr>
      </w:pPr>
      <w:r>
        <w:rPr>
          <w:rFonts w:eastAsia="Times New Roman"/>
        </w:rPr>
        <w:pict>
          <v:rect id="_x0000_i1096" style="width:0;height:1.5pt" o:hralign="center" o:hrstd="t" o:hr="t" fillcolor="#a0a0a0" stroked="f"/>
        </w:pict>
      </w:r>
    </w:p>
    <w:p w:rsidR="00000000" w:rsidRDefault="00DA1786">
      <w:pPr>
        <w:divId w:val="1874926285"/>
        <w:rPr>
          <w:rFonts w:eastAsia="Times New Roman"/>
        </w:rPr>
      </w:pPr>
    </w:p>
    <w:p w:rsidR="00000000" w:rsidRDefault="00DA1786">
      <w:pPr>
        <w:jc w:val="both"/>
        <w:divId w:val="1672759776"/>
        <w:rPr>
          <w:rFonts w:eastAsia="Times New Roman"/>
        </w:rPr>
      </w:pPr>
      <w:r>
        <w:rPr>
          <w:rFonts w:eastAsia="Times New Roman"/>
          <w:color w:val="000000"/>
          <w:sz w:val="20"/>
          <w:szCs w:val="20"/>
        </w:rPr>
        <w:t>could limit the Company's ability to utilize these carryforwards. Pursuant to Section 382 of the Code, an ownership change occurs when the stock ownership of a 5% stockholder increases by more than 50% over a three-yea</w:t>
      </w:r>
      <w:r>
        <w:rPr>
          <w:rFonts w:eastAsia="Times New Roman"/>
          <w:color w:val="000000"/>
          <w:sz w:val="20"/>
          <w:szCs w:val="20"/>
        </w:rPr>
        <w:t>r testing period. The Company may have experienced various ownership changes, as defined by the Code, as a result of past financing and may in the future experience an ownership change. Accordingly, the Company's ability to utilize the aforementioned carry</w:t>
      </w:r>
      <w:r>
        <w:rPr>
          <w:rFonts w:eastAsia="Times New Roman"/>
          <w:color w:val="000000"/>
          <w:sz w:val="20"/>
          <w:szCs w:val="20"/>
        </w:rPr>
        <w:t>forwards may be limited. Additionally, U.S. tax laws limit the time during which these carryforwards may be applied against future taxes.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The components of the net deferred income tax asset as of December 31, 2020 and 2019 are as follows (amounts in thou</w:t>
      </w:r>
      <w:r>
        <w:rPr>
          <w:rFonts w:eastAsia="Times New Roman"/>
          <w:color w:val="000000"/>
          <w:sz w:val="20"/>
          <w:szCs w:val="20"/>
        </w:rPr>
        <w:t>sands):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6"/>
        <w:gridCol w:w="121"/>
        <w:gridCol w:w="836"/>
        <w:gridCol w:w="36"/>
        <w:gridCol w:w="36"/>
        <w:gridCol w:w="36"/>
        <w:gridCol w:w="36"/>
        <w:gridCol w:w="121"/>
        <w:gridCol w:w="802"/>
        <w:gridCol w:w="36"/>
      </w:tblGrid>
      <w:tr w:rsidR="00000000">
        <w:trPr>
          <w:divId w:val="1173454192"/>
        </w:trPr>
        <w:tc>
          <w:tcPr>
            <w:tcW w:w="50" w:type="pct"/>
            <w:vAlign w:val="center"/>
            <w:hideMark/>
          </w:tcPr>
          <w:p w:rsidR="00000000" w:rsidRDefault="00DA1786">
            <w:pPr>
              <w:jc w:val="both"/>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17345419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December 31,</w:t>
            </w:r>
          </w:p>
        </w:tc>
      </w:tr>
      <w:tr w:rsidR="00000000">
        <w:trPr>
          <w:divId w:val="1173454192"/>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1173454192"/>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Deferred taxes: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173454192"/>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Net operating loss carryforwards</w:t>
            </w: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90,842 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96,378 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Research and development credit carryforwards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13,603 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13,404 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vAlign w:val="center"/>
            <w:hideMark/>
          </w:tcPr>
          <w:p w:rsidR="00000000" w:rsidRDefault="00DA1786">
            <w:pPr>
              <w:jc w:val="right"/>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c>
          <w:tcPr>
            <w:tcW w:w="0" w:type="auto"/>
            <w:gridSpan w:val="3"/>
            <w:vAlign w:val="center"/>
            <w:hideMark/>
          </w:tcPr>
          <w:p w:rsidR="00000000" w:rsidRDefault="00DA1786">
            <w:pPr>
              <w:rPr>
                <w:rFonts w:eastAsia="Times New Roman"/>
                <w:sz w:val="20"/>
                <w:szCs w:val="20"/>
              </w:rPr>
            </w:pPr>
          </w:p>
        </w:tc>
      </w:tr>
      <w:tr w:rsidR="00000000">
        <w:trPr>
          <w:divId w:val="1173454192"/>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4,071 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4,107 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Accruals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352 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Right-of-use asset</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(508)</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(742)</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Lease liability</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934 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FFFF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Capitalized start-up costs</w:t>
            </w: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855 </w:t>
            </w:r>
          </w:p>
        </w:tc>
        <w:tc>
          <w:tcPr>
            <w:tcW w:w="0" w:type="auto"/>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FFFFFF"/>
            <w:tcMar>
              <w:top w:w="30" w:type="dxa"/>
              <w:left w:w="515" w:type="dxa"/>
              <w:bottom w:w="30" w:type="dxa"/>
              <w:right w:w="20" w:type="dxa"/>
            </w:tcMar>
            <w:vAlign w:val="bottom"/>
            <w:hideMark/>
          </w:tcPr>
          <w:p w:rsidR="00000000" w:rsidRDefault="00DA1786">
            <w:pPr>
              <w:rPr>
                <w:rFonts w:eastAsia="Times New Roman"/>
              </w:rPr>
            </w:pPr>
            <w:r>
              <w:rPr>
                <w:rFonts w:eastAsia="Times New Roman"/>
                <w:color w:val="000000"/>
                <w:sz w:val="20"/>
                <w:szCs w:val="20"/>
              </w:rPr>
              <w:t>Gross deferred tax asset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109,714 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115,360 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CCEEFF"/>
            <w:tcMar>
              <w:top w:w="30" w:type="dxa"/>
              <w:left w:w="245" w:type="dxa"/>
              <w:bottom w:w="30" w:type="dxa"/>
              <w:right w:w="20" w:type="dxa"/>
            </w:tcMar>
            <w:vAlign w:val="bottom"/>
            <w:hideMark/>
          </w:tcPr>
          <w:p w:rsidR="00000000" w:rsidRDefault="00DA1786">
            <w:pPr>
              <w:rPr>
                <w:rFonts w:eastAsia="Times New Roman"/>
              </w:rPr>
            </w:pPr>
            <w:r>
              <w:rPr>
                <w:rFonts w:eastAsia="Times New Roman"/>
                <w:color w:val="000000"/>
                <w:sz w:val="20"/>
                <w:szCs w:val="20"/>
              </w:rPr>
              <w:t>Less: valuation allowance</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(109,714)</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(115,360)</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p>
        </w:tc>
      </w:tr>
      <w:tr w:rsidR="00000000">
        <w:trPr>
          <w:divId w:val="1173454192"/>
        </w:trPr>
        <w:tc>
          <w:tcPr>
            <w:tcW w:w="0" w:type="auto"/>
            <w:gridSpan w:val="3"/>
            <w:shd w:val="clear" w:color="auto" w:fill="FFFFFF"/>
            <w:tcMar>
              <w:top w:w="30" w:type="dxa"/>
              <w:left w:w="515" w:type="dxa"/>
              <w:bottom w:w="30" w:type="dxa"/>
              <w:right w:w="20" w:type="dxa"/>
            </w:tcMar>
            <w:vAlign w:val="bottom"/>
            <w:hideMark/>
          </w:tcPr>
          <w:p w:rsidR="00000000" w:rsidRDefault="00DA1786">
            <w:pPr>
              <w:rPr>
                <w:rFonts w:eastAsia="Times New Roman"/>
              </w:rPr>
            </w:pPr>
            <w:r>
              <w:rPr>
                <w:rFonts w:eastAsia="Times New Roman"/>
                <w:color w:val="000000"/>
                <w:sz w:val="20"/>
                <w:szCs w:val="20"/>
              </w:rPr>
              <w:t>Net deferred tax asset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A1786">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1786">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A1786">
            <w:pPr>
              <w:jc w:val="right"/>
              <w:rPr>
                <w:rFonts w:eastAsia="Times New Roman"/>
              </w:rPr>
            </w:pPr>
          </w:p>
        </w:tc>
      </w:tr>
    </w:tbl>
    <w:p w:rsidR="00000000" w:rsidRDefault="00DA1786">
      <w:pPr>
        <w:jc w:val="both"/>
        <w:rPr>
          <w:rFonts w:eastAsia="Times New Roman"/>
        </w:rPr>
      </w:pPr>
      <w:r>
        <w:rPr>
          <w:rFonts w:eastAsia="Times New Roman"/>
          <w:color w:val="000000"/>
          <w:sz w:val="20"/>
          <w:szCs w:val="20"/>
        </w:rPr>
        <w:t xml:space="preserve">In assessing the realizability of deferred tax assets, the Company considers whether it is more-likely-than-not that some portion or all of the deferred tax assets will not be realized. The ultimate realization of deferred tax assets is dependent upon the </w:t>
      </w:r>
      <w:r>
        <w:rPr>
          <w:rFonts w:eastAsia="Times New Roman"/>
          <w:color w:val="000000"/>
          <w:sz w:val="20"/>
          <w:szCs w:val="20"/>
        </w:rPr>
        <w:t>generation of future taxable income during the periods in which the temporary differences representing net future deductible amounts become deductible. After consideration of all the evidence, both positive and negative, the Company has recorded a full val</w:t>
      </w:r>
      <w:r>
        <w:rPr>
          <w:rFonts w:eastAsia="Times New Roman"/>
          <w:color w:val="000000"/>
          <w:sz w:val="20"/>
          <w:szCs w:val="20"/>
        </w:rPr>
        <w:t>uation allowance against its net deferred tax assets as of December 31, 2020 because the Company has determined that is it more likely than not that these assets will not be fully realized due to historic net operating losses incurred. The valuation allowa</w:t>
      </w:r>
      <w:r>
        <w:rPr>
          <w:rFonts w:eastAsia="Times New Roman"/>
          <w:color w:val="000000"/>
          <w:sz w:val="20"/>
          <w:szCs w:val="20"/>
        </w:rPr>
        <w:t>nce decreased by $5.6 million during the year ended December 31, 2020, primarily due to the write-off of net operating loss carryforwards related to a wholly owned foreign subsidiary that filed for liquidation during the year ended December 31, 2020, offse</w:t>
      </w:r>
      <w:r>
        <w:rPr>
          <w:rFonts w:eastAsia="Times New Roman"/>
          <w:color w:val="000000"/>
          <w:sz w:val="20"/>
          <w:szCs w:val="20"/>
        </w:rPr>
        <w:t>t by the generation of net operating losses and credit carryforwards during 2020. In addition to the deferred taxes listed in the above table, an income tax reduction of $83.4 million (tax-effected $19.5 million deferred tax asset with a full valuation all</w:t>
      </w:r>
      <w:r>
        <w:rPr>
          <w:rFonts w:eastAsia="Times New Roman"/>
          <w:color w:val="000000"/>
          <w:sz w:val="20"/>
          <w:szCs w:val="20"/>
        </w:rPr>
        <w:t>owance) resulting from the foreign subsidiary liquidation may be available as capital loss carryforwards, net operating loss carryforwards or a combination of both in the U.S., however, a detailed analysis of these losses is required to make this determina</w:t>
      </w:r>
      <w:r>
        <w:rPr>
          <w:rFonts w:eastAsia="Times New Roman"/>
          <w:color w:val="000000"/>
          <w:sz w:val="20"/>
          <w:szCs w:val="20"/>
        </w:rPr>
        <w:t>tion and has not yet been initiated.</w:t>
      </w:r>
    </w:p>
    <w:p w:rsidR="00000000" w:rsidRDefault="00DA1786">
      <w:pPr>
        <w:jc w:val="both"/>
        <w:divId w:val="1423062450"/>
        <w:rPr>
          <w:rFonts w:eastAsia="Times New Roman"/>
        </w:rPr>
      </w:pPr>
      <w:r>
        <w:rPr>
          <w:rFonts w:eastAsia="Times New Roman"/>
          <w:color w:val="000000"/>
          <w:sz w:val="20"/>
          <w:szCs w:val="20"/>
        </w:rPr>
        <w:t>On December 31, 2020 and 2019, the Company had no unrecognized tax benefits. The Company’</w:t>
      </w:r>
      <w:r>
        <w:rPr>
          <w:rFonts w:eastAsia="Times New Roman"/>
          <w:color w:val="000000"/>
          <w:sz w:val="20"/>
          <w:szCs w:val="20"/>
        </w:rPr>
        <w:t>s policy is to record interest and penalties related to income taxes as a component of income tax expense. As of December 31, 2020 and 2019, the Company had no accrued interest or penalties related to income taxes and no amounts have been recognized in the</w:t>
      </w:r>
      <w:r>
        <w:rPr>
          <w:rFonts w:eastAsia="Times New Roman"/>
          <w:color w:val="000000"/>
          <w:sz w:val="20"/>
          <w:szCs w:val="20"/>
        </w:rPr>
        <w:t xml:space="preserve"> Company’s statement of operations.</w:t>
      </w:r>
    </w:p>
    <w:p w:rsidR="00000000" w:rsidRDefault="00DA1786">
      <w:pPr>
        <w:jc w:val="both"/>
        <w:divId w:val="331834342"/>
        <w:rPr>
          <w:rFonts w:eastAsia="Times New Roman"/>
        </w:rPr>
      </w:pPr>
      <w:r>
        <w:rPr>
          <w:rFonts w:eastAsia="Times New Roman"/>
          <w:color w:val="000000"/>
          <w:sz w:val="20"/>
          <w:szCs w:val="20"/>
        </w:rPr>
        <w:t>A reconciliation of income tax expense (benefit) at the statutory federal income tax rate and income taxes as reflected in the financial statements is as follows:</w:t>
      </w:r>
    </w:p>
    <w:tbl>
      <w:tblPr>
        <w:tblW w:w="4985" w:type="pct"/>
        <w:tblCellMar>
          <w:top w:w="15" w:type="dxa"/>
          <w:left w:w="15" w:type="dxa"/>
          <w:bottom w:w="15" w:type="dxa"/>
          <w:right w:w="15" w:type="dxa"/>
        </w:tblCellMar>
        <w:tblLook w:val="04A0" w:firstRow="1" w:lastRow="0" w:firstColumn="1" w:lastColumn="0" w:noHBand="0" w:noVBand="1"/>
      </w:tblPr>
      <w:tblGrid>
        <w:gridCol w:w="39"/>
        <w:gridCol w:w="6106"/>
        <w:gridCol w:w="38"/>
        <w:gridCol w:w="44"/>
        <w:gridCol w:w="792"/>
        <w:gridCol w:w="187"/>
        <w:gridCol w:w="36"/>
        <w:gridCol w:w="36"/>
        <w:gridCol w:w="36"/>
        <w:gridCol w:w="44"/>
        <w:gridCol w:w="736"/>
        <w:gridCol w:w="187"/>
      </w:tblGrid>
      <w:tr w:rsidR="00000000">
        <w:trPr>
          <w:divId w:val="627659977"/>
        </w:trPr>
        <w:tc>
          <w:tcPr>
            <w:tcW w:w="50" w:type="pct"/>
            <w:vAlign w:val="center"/>
            <w:hideMark/>
          </w:tcPr>
          <w:p w:rsidR="00000000" w:rsidRDefault="00DA1786">
            <w:pPr>
              <w:jc w:val="both"/>
              <w:rPr>
                <w:rFonts w:eastAsia="Times New Roman"/>
              </w:rPr>
            </w:pPr>
          </w:p>
        </w:tc>
        <w:tc>
          <w:tcPr>
            <w:tcW w:w="373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3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627659977"/>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December 31,</w:t>
            </w:r>
          </w:p>
        </w:tc>
      </w:tr>
      <w:tr w:rsidR="00000000">
        <w:trPr>
          <w:divId w:val="627659977"/>
        </w:trPr>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16"/>
                <w:szCs w:val="16"/>
              </w:rPr>
              <w:t>2019</w:t>
            </w:r>
          </w:p>
        </w:tc>
      </w:tr>
      <w:tr w:rsidR="00000000">
        <w:trPr>
          <w:divId w:val="627659977"/>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Federal income tax benefit at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627659977"/>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State income tax, net of federal benefit</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2.4 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627659977"/>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Permanent differences</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627659977"/>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Rate change</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(8.7)</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627659977"/>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Research and development credit benefit</w:t>
            </w: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627659977"/>
        </w:trPr>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Change in valuation allowance</w:t>
            </w: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(22.5)</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(16.4)</w:t>
            </w:r>
          </w:p>
        </w:tc>
        <w:tc>
          <w:tcPr>
            <w:tcW w:w="0" w:type="auto"/>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r w:rsidR="00000000">
        <w:trPr>
          <w:divId w:val="627659977"/>
        </w:trPr>
        <w:tc>
          <w:tcPr>
            <w:tcW w:w="0" w:type="auto"/>
            <w:gridSpan w:val="3"/>
            <w:shd w:val="clear" w:color="auto" w:fill="CCEEFF"/>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20"/>
                <w:szCs w:val="20"/>
              </w:rPr>
              <w:t>Effective income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A1786">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1786">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A1786">
            <w:pPr>
              <w:jc w:val="right"/>
              <w:rPr>
                <w:rFonts w:eastAsia="Times New Roman"/>
              </w:rPr>
            </w:pPr>
            <w:r>
              <w:rPr>
                <w:rFonts w:eastAsia="Times New Roman"/>
                <w:color w:val="000000"/>
                <w:sz w:val="20"/>
                <w:szCs w:val="20"/>
              </w:rPr>
              <w:t>%</w:t>
            </w:r>
          </w:p>
        </w:tc>
      </w:tr>
    </w:tbl>
    <w:p w:rsidR="00000000" w:rsidRDefault="00DA1786">
      <w:pPr>
        <w:ind w:firstLine="720"/>
        <w:jc w:val="center"/>
        <w:divId w:val="1460222406"/>
        <w:rPr>
          <w:rFonts w:eastAsia="Times New Roman"/>
        </w:rPr>
      </w:pPr>
      <w:r>
        <w:rPr>
          <w:rFonts w:eastAsia="Times New Roman"/>
          <w:color w:val="000000"/>
          <w:sz w:val="20"/>
          <w:szCs w:val="20"/>
        </w:rPr>
        <w:t>72</w:t>
      </w:r>
    </w:p>
    <w:p w:rsidR="00000000" w:rsidRDefault="00DA1786">
      <w:pPr>
        <w:rPr>
          <w:rFonts w:eastAsia="Times New Roman"/>
        </w:rPr>
      </w:pPr>
      <w:r>
        <w:rPr>
          <w:rFonts w:eastAsia="Times New Roman"/>
        </w:rPr>
        <w:pict>
          <v:rect id="_x0000_i1097" style="width:0;height:1.5pt" o:hralign="center" o:hrstd="t" o:hr="t" fillcolor="#a0a0a0" stroked="f"/>
        </w:pict>
      </w:r>
    </w:p>
    <w:p w:rsidR="00000000" w:rsidRDefault="00DA1786">
      <w:pPr>
        <w:divId w:val="80417690"/>
        <w:rPr>
          <w:rFonts w:eastAsia="Times New Roman"/>
        </w:rPr>
      </w:pPr>
    </w:p>
    <w:p w:rsidR="00000000" w:rsidRDefault="00DA1786">
      <w:pPr>
        <w:jc w:val="both"/>
        <w:divId w:val="1139424292"/>
        <w:rPr>
          <w:rFonts w:eastAsia="Times New Roman"/>
        </w:rPr>
      </w:pPr>
      <w:r>
        <w:rPr>
          <w:rFonts w:eastAsia="Times New Roman"/>
          <w:color w:val="000000"/>
          <w:sz w:val="20"/>
          <w:szCs w:val="20"/>
        </w:rPr>
        <w:t xml:space="preserve">The Company files income tax returns in the U.S. Federal, various state, and foreign jurisdictions. The statute of limitations for assessment by the Internal Revenue Service (IRS) and state tax authorities is open for </w:t>
      </w:r>
      <w:r>
        <w:rPr>
          <w:rFonts w:eastAsia="Times New Roman"/>
          <w:color w:val="000000"/>
          <w:sz w:val="20"/>
          <w:szCs w:val="20"/>
        </w:rPr>
        <w:t>the Company’s tax years from 2017 to present. Federal and state carryforward attributes that were generated prior to the tax year ended December 31, 2017 may still be adjusted upon examination by the IRS or state tax authorities if they either have been or</w:t>
      </w:r>
      <w:r>
        <w:rPr>
          <w:rFonts w:eastAsia="Times New Roman"/>
          <w:color w:val="000000"/>
          <w:sz w:val="20"/>
          <w:szCs w:val="20"/>
        </w:rPr>
        <w:t xml:space="preserve"> will be used in a period for which the statute of limitations remains open. The statute of limitations for assessment by the authorities in the various foreign jurisdictions in which the Company files ranges from one to three years and is open for the Com</w:t>
      </w:r>
      <w:r>
        <w:rPr>
          <w:rFonts w:eastAsia="Times New Roman"/>
          <w:color w:val="000000"/>
          <w:sz w:val="20"/>
          <w:szCs w:val="20"/>
        </w:rPr>
        <w:t>pany’s tax years from 2017 to present. There are currently no federal, state or foreign income tax audits in progress.</w:t>
      </w:r>
    </w:p>
    <w:p w:rsidR="00000000" w:rsidRDefault="00DA1786">
      <w:pPr>
        <w:divId w:val="976842581"/>
        <w:rPr>
          <w:rFonts w:eastAsia="Times New Roman"/>
        </w:rPr>
      </w:pPr>
      <w:r>
        <w:rPr>
          <w:rFonts w:eastAsia="Times New Roman"/>
          <w:b/>
          <w:bCs/>
          <w:color w:val="000000"/>
          <w:sz w:val="20"/>
          <w:szCs w:val="20"/>
        </w:rPr>
        <w:t>11. Related Party Transactions</w:t>
      </w:r>
    </w:p>
    <w:p w:rsidR="00000000" w:rsidRDefault="00DA1786">
      <w:pPr>
        <w:jc w:val="both"/>
        <w:divId w:val="1170683084"/>
        <w:rPr>
          <w:rFonts w:eastAsia="Times New Roman"/>
        </w:rPr>
      </w:pPr>
      <w:r>
        <w:rPr>
          <w:rFonts w:eastAsia="Times New Roman"/>
          <w:color w:val="000000"/>
          <w:sz w:val="20"/>
          <w:szCs w:val="20"/>
        </w:rPr>
        <w:t>As discussed in Note 1, the Company sold shares of its common stock in December 2019. Roche invested in the Company's December 2019 financing. One of the Company's Board members is affiliated with Roche.</w:t>
      </w:r>
    </w:p>
    <w:p w:rsidR="00000000" w:rsidRDefault="00DA1786">
      <w:pPr>
        <w:divId w:val="141309779"/>
        <w:rPr>
          <w:rFonts w:eastAsia="Times New Roman"/>
        </w:rPr>
      </w:pPr>
      <w:r>
        <w:rPr>
          <w:rFonts w:eastAsia="Times New Roman"/>
          <w:b/>
          <w:bCs/>
          <w:color w:val="000000"/>
          <w:sz w:val="20"/>
          <w:szCs w:val="20"/>
        </w:rPr>
        <w:t>12. Subsequent Events</w:t>
      </w:r>
    </w:p>
    <w:p w:rsidR="00000000" w:rsidRDefault="00DA1786">
      <w:pPr>
        <w:jc w:val="both"/>
        <w:rPr>
          <w:rFonts w:eastAsia="Times New Roman"/>
        </w:rPr>
      </w:pPr>
    </w:p>
    <w:p w:rsidR="00000000" w:rsidRDefault="00DA1786">
      <w:pPr>
        <w:jc w:val="both"/>
        <w:rPr>
          <w:rFonts w:eastAsia="Times New Roman"/>
        </w:rPr>
      </w:pPr>
      <w:r>
        <w:rPr>
          <w:rFonts w:eastAsia="Times New Roman"/>
          <w:color w:val="000000"/>
          <w:sz w:val="20"/>
          <w:szCs w:val="20"/>
        </w:rPr>
        <w:t>Following an extensive proce</w:t>
      </w:r>
      <w:r>
        <w:rPr>
          <w:rFonts w:eastAsia="Times New Roman"/>
          <w:color w:val="000000"/>
          <w:sz w:val="20"/>
          <w:szCs w:val="20"/>
        </w:rPr>
        <w:t>ss of evaluating strategic alternatives and identifying and reviewing potential candidates for a strategic acquisition or other transaction, on March 29, 2021, the Company entered into a Merger Agreement with Tempest. If the Merger is completed, the busine</w:t>
      </w:r>
      <w:r>
        <w:rPr>
          <w:rFonts w:eastAsia="Times New Roman"/>
          <w:color w:val="000000"/>
          <w:sz w:val="20"/>
          <w:szCs w:val="20"/>
        </w:rPr>
        <w:t>ss of Tempest will continue as the business of the combined organization.</w:t>
      </w:r>
    </w:p>
    <w:p w:rsidR="00000000" w:rsidRDefault="00DA1786">
      <w:pPr>
        <w:divId w:val="1970084664"/>
        <w:rPr>
          <w:rFonts w:eastAsia="Times New Roman"/>
        </w:rPr>
      </w:pPr>
    </w:p>
    <w:p w:rsidR="00000000" w:rsidRDefault="00DA1786">
      <w:pPr>
        <w:jc w:val="both"/>
        <w:rPr>
          <w:rFonts w:eastAsia="Times New Roman"/>
        </w:rPr>
      </w:pPr>
      <w:r>
        <w:rPr>
          <w:rFonts w:eastAsia="Times New Roman"/>
          <w:color w:val="000000"/>
          <w:sz w:val="20"/>
          <w:szCs w:val="20"/>
        </w:rPr>
        <w:t>At the closing of the Merger, (a) each then outstanding share of Tempest common stock (including shares of Tempest common stock issued upon conversion of Tempest preferred stock an</w:t>
      </w:r>
      <w:r>
        <w:rPr>
          <w:rFonts w:eastAsia="Times New Roman"/>
          <w:color w:val="000000"/>
          <w:sz w:val="20"/>
          <w:szCs w:val="20"/>
        </w:rPr>
        <w:t>d shares of Tempest common stock issued in the financing transaction described in the Merger Agreement) will be converted into the right to receive a number of shares of Millendo common stock (subject to the payment of cash in lieu of fractional shares and</w:t>
      </w:r>
      <w:r>
        <w:rPr>
          <w:rFonts w:eastAsia="Times New Roman"/>
          <w:color w:val="000000"/>
          <w:sz w:val="20"/>
          <w:szCs w:val="20"/>
        </w:rPr>
        <w:t xml:space="preserve"> after giving effect to a reverse stock split of Millendo common stock) calculated in accordance with the Merger Agreement and (b) each then outstanding Tempest stock option and warrant to purchase Tempest common stock will be assumed by Millendo, subject </w:t>
      </w:r>
      <w:r>
        <w:rPr>
          <w:rFonts w:eastAsia="Times New Roman"/>
          <w:color w:val="000000"/>
          <w:sz w:val="20"/>
          <w:szCs w:val="20"/>
        </w:rPr>
        <w:t xml:space="preserve">to adjustment as set forth in the Merger Agreement. </w:t>
      </w:r>
    </w:p>
    <w:p w:rsidR="00000000" w:rsidRDefault="00DA1786">
      <w:pPr>
        <w:divId w:val="1165587278"/>
        <w:rPr>
          <w:rFonts w:eastAsia="Times New Roman"/>
        </w:rPr>
      </w:pPr>
    </w:p>
    <w:p w:rsidR="00000000" w:rsidRDefault="00DA1786">
      <w:pPr>
        <w:jc w:val="both"/>
        <w:rPr>
          <w:rFonts w:eastAsia="Times New Roman"/>
        </w:rPr>
      </w:pPr>
      <w:r>
        <w:rPr>
          <w:rFonts w:eastAsia="Times New Roman"/>
          <w:color w:val="000000"/>
          <w:sz w:val="20"/>
          <w:szCs w:val="20"/>
        </w:rPr>
        <w:t xml:space="preserve">The Merger Agreement contains certain termination rights of each of Millendo and Tempest, including, subject to compliance with the applicable terms of the Merger Agreement, the right of each party to </w:t>
      </w:r>
      <w:r>
        <w:rPr>
          <w:rFonts w:eastAsia="Times New Roman"/>
          <w:color w:val="000000"/>
          <w:sz w:val="20"/>
          <w:szCs w:val="20"/>
        </w:rPr>
        <w:t>terminate the Merger Agreement to enter into a definitive agreement for a superior proposal. Upon termination of the Merger Agreement under specified circumstances, Millendo may be required to pay Tempest a termination fee of $1.4 million or reimburse Temp</w:t>
      </w:r>
      <w:r>
        <w:rPr>
          <w:rFonts w:eastAsia="Times New Roman"/>
          <w:color w:val="000000"/>
          <w:sz w:val="20"/>
          <w:szCs w:val="20"/>
        </w:rPr>
        <w:t>est’s expenses up to a maximum of $1.0 million and Tempest may be required to pay Millendo a termination fee of $2.8 million or reimburse Millendo’s expenses up to a maximum of $1.0 million.</w:t>
      </w:r>
    </w:p>
    <w:p w:rsidR="00000000" w:rsidRDefault="00DA1786">
      <w:pPr>
        <w:divId w:val="699820063"/>
        <w:rPr>
          <w:rFonts w:eastAsia="Times New Roman"/>
        </w:rPr>
      </w:pPr>
      <w:r>
        <w:rPr>
          <w:rFonts w:eastAsia="Times New Roman"/>
          <w:b/>
          <w:bCs/>
          <w:color w:val="000000"/>
          <w:sz w:val="20"/>
          <w:szCs w:val="20"/>
        </w:rPr>
        <w:t>ITEM 9. CHANGES IN AND DISAGREEMENTS WITH ACCOUNTANTS ON ACCOUNTI</w:t>
      </w:r>
      <w:r>
        <w:rPr>
          <w:rFonts w:eastAsia="Times New Roman"/>
          <w:b/>
          <w:bCs/>
          <w:color w:val="000000"/>
          <w:sz w:val="20"/>
          <w:szCs w:val="20"/>
        </w:rPr>
        <w:t>NG AND FINANCIAL DISCLOSURE</w:t>
      </w:r>
    </w:p>
    <w:p w:rsidR="00000000" w:rsidRDefault="00DA1786">
      <w:pPr>
        <w:divId w:val="408188090"/>
        <w:rPr>
          <w:rFonts w:eastAsia="Times New Roman"/>
        </w:rPr>
      </w:pPr>
      <w:r>
        <w:rPr>
          <w:rFonts w:eastAsia="Times New Roman"/>
          <w:color w:val="000000"/>
          <w:sz w:val="20"/>
          <w:szCs w:val="20"/>
        </w:rPr>
        <w:t>None.</w:t>
      </w:r>
    </w:p>
    <w:p w:rsidR="00000000" w:rsidRDefault="00DA1786">
      <w:pPr>
        <w:divId w:val="1096024987"/>
        <w:rPr>
          <w:rFonts w:eastAsia="Times New Roman"/>
        </w:rPr>
      </w:pPr>
      <w:r>
        <w:rPr>
          <w:rFonts w:eastAsia="Times New Roman"/>
          <w:b/>
          <w:bCs/>
          <w:color w:val="000000"/>
          <w:sz w:val="20"/>
          <w:szCs w:val="20"/>
        </w:rPr>
        <w:t>ITEM 9A. CONTROLS AND PROCEDURES</w:t>
      </w:r>
    </w:p>
    <w:p w:rsidR="00000000" w:rsidRDefault="00DA1786">
      <w:pPr>
        <w:divId w:val="1743138181"/>
        <w:rPr>
          <w:rFonts w:eastAsia="Times New Roman"/>
        </w:rPr>
      </w:pPr>
      <w:r>
        <w:rPr>
          <w:rFonts w:eastAsia="Times New Roman"/>
          <w:i/>
          <w:iCs/>
          <w:color w:val="000000"/>
          <w:sz w:val="20"/>
          <w:szCs w:val="20"/>
        </w:rPr>
        <w:t>Disclosure Controls and Procedures</w:t>
      </w:r>
    </w:p>
    <w:p w:rsidR="00000000" w:rsidRDefault="00DA1786">
      <w:pPr>
        <w:jc w:val="both"/>
        <w:divId w:val="1758937604"/>
        <w:rPr>
          <w:rFonts w:eastAsia="Times New Roman"/>
        </w:rPr>
      </w:pPr>
      <w:r>
        <w:rPr>
          <w:rFonts w:eastAsia="Times New Roman"/>
          <w:color w:val="000000"/>
          <w:sz w:val="20"/>
          <w:szCs w:val="20"/>
        </w:rPr>
        <w:t>We maintain "disclosure controls and procedures," as defined in Rules 13a-15(e) and 15d-15(e) under the Securities Exchange Act of 1934, as amended, or th</w:t>
      </w:r>
      <w:r>
        <w:rPr>
          <w:rFonts w:eastAsia="Times New Roman"/>
          <w:color w:val="000000"/>
          <w:sz w:val="20"/>
          <w:szCs w:val="20"/>
        </w:rPr>
        <w:t>e Exchange Act, that are designed to ensure that information required to be disclosed by a company in the reports that it files or submits under the Exchange Act is recorded, processed, summarized and reported, within the time periods specified in the SEC’</w:t>
      </w:r>
      <w:r>
        <w:rPr>
          <w:rFonts w:eastAsia="Times New Roman"/>
          <w:color w:val="000000"/>
          <w:sz w:val="20"/>
          <w:szCs w:val="20"/>
        </w:rPr>
        <w:t xml:space="preserve">s rules and forms, and that such information is accumulated and communicated to the company’s management, including its chief executive officer and chief financial officer, as appropriate to allow timely decisions regarding required disclosure. Management </w:t>
      </w:r>
      <w:r>
        <w:rPr>
          <w:rFonts w:eastAsia="Times New Roman"/>
          <w:color w:val="000000"/>
          <w:sz w:val="20"/>
          <w:szCs w:val="20"/>
        </w:rPr>
        <w:t>recognizes that any controls and procedures, no matter how well designed and operated, can provide only reasonable assurance of achieving their objectives and management necessarily applies its judgment in evaluating the cost-benefit relationship of possib</w:t>
      </w:r>
      <w:r>
        <w:rPr>
          <w:rFonts w:eastAsia="Times New Roman"/>
          <w:color w:val="000000"/>
          <w:sz w:val="20"/>
          <w:szCs w:val="20"/>
        </w:rPr>
        <w:t>le controls and procedures.</w:t>
      </w:r>
    </w:p>
    <w:p w:rsidR="00000000" w:rsidRDefault="00DA1786">
      <w:pPr>
        <w:jc w:val="both"/>
        <w:divId w:val="950933418"/>
        <w:rPr>
          <w:rFonts w:eastAsia="Times New Roman"/>
        </w:rPr>
      </w:pPr>
      <w:r>
        <w:rPr>
          <w:rFonts w:eastAsia="Times New Roman"/>
          <w:color w:val="000000"/>
          <w:sz w:val="20"/>
          <w:szCs w:val="20"/>
        </w:rPr>
        <w:t>Our management, with the participation of our chief executive officer and our chief financial officer, evaluated the effectiveness of our disclosure controls and procedures as of December 31, 2020. Based on the evaluation of our</w:t>
      </w:r>
      <w:r>
        <w:rPr>
          <w:rFonts w:eastAsia="Times New Roman"/>
          <w:color w:val="000000"/>
          <w:sz w:val="20"/>
          <w:szCs w:val="20"/>
        </w:rPr>
        <w:t xml:space="preserve"> disclosure controls and procedures as of December 31, 2020, our chief executive officer and chief financial officer concluded that, as of such date, our disclosure controls and procedures were effective at the reasonable assurance level.</w:t>
      </w:r>
    </w:p>
    <w:p w:rsidR="00000000" w:rsidRDefault="00DA1786">
      <w:pPr>
        <w:ind w:firstLine="720"/>
        <w:jc w:val="center"/>
        <w:divId w:val="1706634215"/>
        <w:rPr>
          <w:rFonts w:eastAsia="Times New Roman"/>
        </w:rPr>
      </w:pPr>
      <w:r>
        <w:rPr>
          <w:rFonts w:eastAsia="Times New Roman"/>
          <w:color w:val="000000"/>
          <w:sz w:val="20"/>
          <w:szCs w:val="20"/>
        </w:rPr>
        <w:t>73</w:t>
      </w:r>
    </w:p>
    <w:p w:rsidR="00000000" w:rsidRDefault="00DA1786">
      <w:pPr>
        <w:rPr>
          <w:rFonts w:eastAsia="Times New Roman"/>
        </w:rPr>
      </w:pPr>
      <w:r>
        <w:rPr>
          <w:rFonts w:eastAsia="Times New Roman"/>
        </w:rPr>
        <w:pict>
          <v:rect id="_x0000_i1098" style="width:0;height:1.5pt" o:hralign="center" o:hrstd="t" o:hr="t" fillcolor="#a0a0a0" stroked="f"/>
        </w:pict>
      </w:r>
    </w:p>
    <w:p w:rsidR="00000000" w:rsidRDefault="00DA1786">
      <w:pPr>
        <w:divId w:val="572544893"/>
        <w:rPr>
          <w:rFonts w:eastAsia="Times New Roman"/>
        </w:rPr>
      </w:pPr>
    </w:p>
    <w:p w:rsidR="00000000" w:rsidRDefault="00DA1786">
      <w:pPr>
        <w:divId w:val="1006398917"/>
        <w:rPr>
          <w:rFonts w:eastAsia="Times New Roman"/>
        </w:rPr>
      </w:pPr>
      <w:r>
        <w:rPr>
          <w:rFonts w:eastAsia="Times New Roman"/>
          <w:i/>
          <w:iCs/>
          <w:color w:val="000000"/>
          <w:sz w:val="20"/>
          <w:szCs w:val="20"/>
        </w:rPr>
        <w:t>Management’s Report on Internal Control over Financial Reporting</w:t>
      </w:r>
    </w:p>
    <w:p w:rsidR="00000000" w:rsidRDefault="00DA1786">
      <w:pPr>
        <w:jc w:val="both"/>
        <w:divId w:val="987906104"/>
        <w:rPr>
          <w:rFonts w:eastAsia="Times New Roman"/>
        </w:rPr>
      </w:pPr>
      <w:r>
        <w:rPr>
          <w:rFonts w:eastAsia="Times New Roman"/>
          <w:color w:val="000000"/>
          <w:sz w:val="20"/>
          <w:szCs w:val="20"/>
        </w:rPr>
        <w:t>Our management is responsible for establishing and maintaining adequate internal control over financial reporting, as defined in Rules 13a-15(f) and 15d-15(f) of the E</w:t>
      </w:r>
      <w:r>
        <w:rPr>
          <w:rFonts w:eastAsia="Times New Roman"/>
          <w:color w:val="000000"/>
          <w:sz w:val="20"/>
          <w:szCs w:val="20"/>
        </w:rPr>
        <w:t>xchange Act. Our management, under the supervision and with the participation of our chief executive officer and our chief financial officer, conducted an evaluation of the effectiveness of our internal control over financial reporting as of December 31, 2</w:t>
      </w:r>
      <w:r>
        <w:rPr>
          <w:rFonts w:eastAsia="Times New Roman"/>
          <w:color w:val="000000"/>
          <w:sz w:val="20"/>
          <w:szCs w:val="20"/>
        </w:rPr>
        <w:t>020 based on the framework in Internal Control-Integrated Framework (2013) issued by the Committee of Sponsoring Organizations of the Treadway Commission. Based on the results of its evaluation, management concluded that our internal control over financial</w:t>
      </w:r>
      <w:r>
        <w:rPr>
          <w:rFonts w:eastAsia="Times New Roman"/>
          <w:color w:val="000000"/>
          <w:sz w:val="20"/>
          <w:szCs w:val="20"/>
        </w:rPr>
        <w:t xml:space="preserve"> reporting was effective as of December 31, 2020.</w:t>
      </w:r>
    </w:p>
    <w:p w:rsidR="00000000" w:rsidRDefault="00DA1786">
      <w:pPr>
        <w:jc w:val="both"/>
        <w:divId w:val="1226454678"/>
        <w:rPr>
          <w:rFonts w:eastAsia="Times New Roman"/>
        </w:rPr>
      </w:pPr>
      <w:r>
        <w:rPr>
          <w:rFonts w:eastAsia="Times New Roman"/>
          <w:color w:val="000000"/>
          <w:sz w:val="20"/>
          <w:szCs w:val="20"/>
        </w:rPr>
        <w:t>Under SEC rules, because we are a non-accelerated filer, we are not required to provide an auditor attestation report on internal control over financial reporting, nor did we engage our independent register</w:t>
      </w:r>
      <w:r>
        <w:rPr>
          <w:rFonts w:eastAsia="Times New Roman"/>
          <w:color w:val="000000"/>
          <w:sz w:val="20"/>
          <w:szCs w:val="20"/>
        </w:rPr>
        <w:t>ed public account firm to perform an audit of our internal control over financial reporting.</w:t>
      </w:r>
    </w:p>
    <w:p w:rsidR="00000000" w:rsidRDefault="00DA1786">
      <w:pPr>
        <w:divId w:val="659388792"/>
        <w:rPr>
          <w:rFonts w:eastAsia="Times New Roman"/>
        </w:rPr>
      </w:pPr>
      <w:r>
        <w:rPr>
          <w:rFonts w:eastAsia="Times New Roman"/>
          <w:i/>
          <w:iCs/>
          <w:color w:val="000000"/>
          <w:sz w:val="20"/>
          <w:szCs w:val="20"/>
        </w:rPr>
        <w:t>Changes in Internal Control over Financial Reporting</w:t>
      </w:r>
    </w:p>
    <w:p w:rsidR="00000000" w:rsidRDefault="00DA1786">
      <w:pPr>
        <w:jc w:val="both"/>
        <w:divId w:val="287054123"/>
        <w:rPr>
          <w:rFonts w:eastAsia="Times New Roman"/>
        </w:rPr>
      </w:pPr>
      <w:r>
        <w:rPr>
          <w:rFonts w:eastAsia="Times New Roman"/>
          <w:color w:val="000000"/>
          <w:sz w:val="20"/>
          <w:szCs w:val="20"/>
          <w:shd w:val="clear" w:color="auto" w:fill="FFFFFF"/>
        </w:rPr>
        <w:t>There were no changes in our internal control over financial reporting (as defined in Rules 13a-15(f) and 15d-15(f) under the Exchange Act) that occurred during the quarter ended December 31, 2020 which have materially affected, or are reasonably likely to</w:t>
      </w:r>
      <w:r>
        <w:rPr>
          <w:rFonts w:eastAsia="Times New Roman"/>
          <w:color w:val="000000"/>
          <w:sz w:val="20"/>
          <w:szCs w:val="20"/>
          <w:shd w:val="clear" w:color="auto" w:fill="FFFFFF"/>
        </w:rPr>
        <w:t xml:space="preserve"> materially affect, our internal control over financial reporting.</w:t>
      </w:r>
    </w:p>
    <w:p w:rsidR="00000000" w:rsidRDefault="00DA1786">
      <w:pPr>
        <w:divId w:val="196966110"/>
        <w:rPr>
          <w:rFonts w:eastAsia="Times New Roman"/>
        </w:rPr>
      </w:pPr>
    </w:p>
    <w:p w:rsidR="00000000" w:rsidRDefault="00DA1786">
      <w:pPr>
        <w:jc w:val="both"/>
        <w:rPr>
          <w:rFonts w:eastAsia="Times New Roman"/>
        </w:rPr>
      </w:pPr>
      <w:r>
        <w:rPr>
          <w:rFonts w:eastAsia="Times New Roman"/>
          <w:i/>
          <w:iCs/>
          <w:color w:val="000000"/>
          <w:sz w:val="20"/>
          <w:szCs w:val="20"/>
        </w:rPr>
        <w:t>Inherent Limitations on Effectiveness of Controls</w:t>
      </w:r>
    </w:p>
    <w:p w:rsidR="00000000" w:rsidRDefault="00DA1786">
      <w:pPr>
        <w:divId w:val="1192499512"/>
        <w:rPr>
          <w:rFonts w:eastAsia="Times New Roman"/>
        </w:rPr>
      </w:pPr>
    </w:p>
    <w:p w:rsidR="00000000" w:rsidRDefault="00DA1786">
      <w:pPr>
        <w:jc w:val="both"/>
        <w:rPr>
          <w:rFonts w:eastAsia="Times New Roman"/>
        </w:rPr>
      </w:pPr>
      <w:r>
        <w:rPr>
          <w:rFonts w:eastAsia="Times New Roman"/>
          <w:color w:val="000000"/>
          <w:sz w:val="20"/>
          <w:szCs w:val="20"/>
        </w:rPr>
        <w:t>Our management, including our chief executive officer and our chief financial officer, believes that our disclosure controls and proced</w:t>
      </w:r>
      <w:r>
        <w:rPr>
          <w:rFonts w:eastAsia="Times New Roman"/>
          <w:color w:val="000000"/>
          <w:sz w:val="20"/>
          <w:szCs w:val="20"/>
        </w:rPr>
        <w:t>ures and internal control over financial reporting are designed to provide reasonable assurance of achieving their objectives and are effective at the reasonable assurance level. However, our management does not expect that our disclosure controls and proc</w:t>
      </w:r>
      <w:r>
        <w:rPr>
          <w:rFonts w:eastAsia="Times New Roman"/>
          <w:color w:val="000000"/>
          <w:sz w:val="20"/>
          <w:szCs w:val="20"/>
        </w:rPr>
        <w:t xml:space="preserve">edures or our internal control </w:t>
      </w:r>
      <w:r>
        <w:rPr>
          <w:rFonts w:eastAsia="Times New Roman"/>
          <w:color w:val="000000"/>
          <w:sz w:val="20"/>
          <w:szCs w:val="20"/>
          <w:shd w:val="clear" w:color="auto" w:fill="FFFFFF"/>
        </w:rPr>
        <w:t>over</w:t>
      </w:r>
      <w:r>
        <w:rPr>
          <w:rFonts w:eastAsia="Times New Roman"/>
          <w:color w:val="000000"/>
          <w:sz w:val="20"/>
          <w:szCs w:val="20"/>
        </w:rPr>
        <w:t xml:space="preserve"> financial reporting will prevent all errors and all fraud. A control system, no matter how well conceived and operated, can provide only reasonable, not absolute, assurance that the objectives of the control system are m</w:t>
      </w:r>
      <w:r>
        <w:rPr>
          <w:rFonts w:eastAsia="Times New Roman"/>
          <w:color w:val="000000"/>
          <w:sz w:val="20"/>
          <w:szCs w:val="20"/>
        </w:rPr>
        <w:t>et. Further, the design of a control system must reflect the fact that there are resource constraints, and the benefits of controls must be considered relative to their costs. Because of the inherent limitations in all control systems, no evaluation of con</w:t>
      </w:r>
      <w:r>
        <w:rPr>
          <w:rFonts w:eastAsia="Times New Roman"/>
          <w:color w:val="000000"/>
          <w:sz w:val="20"/>
          <w:szCs w:val="20"/>
        </w:rPr>
        <w:t>trols can provide absolute assurance that all control issues and instances of fraud, if any, have been detected. These inherent limitations include the realities that judgments in decision making can be faulty, and that breakdowns can occur because of a si</w:t>
      </w:r>
      <w:r>
        <w:rPr>
          <w:rFonts w:eastAsia="Times New Roman"/>
          <w:color w:val="000000"/>
          <w:sz w:val="20"/>
          <w:szCs w:val="20"/>
        </w:rPr>
        <w:t xml:space="preserve">mple error or mistake. Additionally, controls can be circumvented by the individual acts of some persons, by collusion of two or more people or by management override of the controls. The design of any system of controls also is based in part upon certain </w:t>
      </w:r>
      <w:r>
        <w:rPr>
          <w:rFonts w:eastAsia="Times New Roman"/>
          <w:color w:val="000000"/>
          <w:sz w:val="20"/>
          <w:szCs w:val="20"/>
        </w:rPr>
        <w:t>assumptions about the likelihood of future events, and there can be no assurance that any design will succeed in achieving its stated goals under all potential future conditions; over time, controls may become inadequate because of changes in conditions, o</w:t>
      </w:r>
      <w:r>
        <w:rPr>
          <w:rFonts w:eastAsia="Times New Roman"/>
          <w:color w:val="000000"/>
          <w:sz w:val="20"/>
          <w:szCs w:val="20"/>
        </w:rPr>
        <w:t>r the degree of compliance with policies or procedures may deteriorate. Because of the inherent limitations in a cost-effective control system, misstatements due to error or fraud may occur and not be detected.</w:t>
      </w:r>
    </w:p>
    <w:p w:rsidR="00000000" w:rsidRDefault="00DA1786">
      <w:pPr>
        <w:jc w:val="both"/>
        <w:rPr>
          <w:rFonts w:eastAsia="Times New Roman"/>
        </w:rPr>
      </w:pPr>
    </w:p>
    <w:p w:rsidR="00000000" w:rsidRDefault="00DA1786">
      <w:pPr>
        <w:jc w:val="center"/>
        <w:rPr>
          <w:rFonts w:eastAsia="Times New Roman"/>
        </w:rPr>
      </w:pPr>
    </w:p>
    <w:p w:rsidR="00000000" w:rsidRDefault="00DA1786">
      <w:pPr>
        <w:ind w:firstLine="720"/>
        <w:jc w:val="center"/>
        <w:divId w:val="44839668"/>
        <w:rPr>
          <w:rFonts w:eastAsia="Times New Roman"/>
        </w:rPr>
      </w:pPr>
      <w:r>
        <w:rPr>
          <w:rFonts w:eastAsia="Times New Roman"/>
          <w:color w:val="000000"/>
          <w:sz w:val="20"/>
          <w:szCs w:val="20"/>
        </w:rPr>
        <w:t>74</w:t>
      </w:r>
    </w:p>
    <w:p w:rsidR="00000000" w:rsidRDefault="00DA1786">
      <w:pPr>
        <w:rPr>
          <w:rFonts w:eastAsia="Times New Roman"/>
        </w:rPr>
      </w:pPr>
      <w:r>
        <w:rPr>
          <w:rFonts w:eastAsia="Times New Roman"/>
        </w:rPr>
        <w:pict>
          <v:rect id="_x0000_i1099" style="width:0;height:1.5pt" o:hralign="center" o:hrstd="t" o:hr="t" fillcolor="#a0a0a0" stroked="f"/>
        </w:pict>
      </w:r>
    </w:p>
    <w:p w:rsidR="00000000" w:rsidRDefault="00DA1786">
      <w:pPr>
        <w:divId w:val="1150487809"/>
        <w:rPr>
          <w:rFonts w:eastAsia="Times New Roman"/>
        </w:rPr>
      </w:pPr>
    </w:p>
    <w:p w:rsidR="00000000" w:rsidRDefault="00DA1786">
      <w:pPr>
        <w:divId w:val="223297801"/>
        <w:rPr>
          <w:rFonts w:eastAsia="Times New Roman"/>
        </w:rPr>
      </w:pPr>
      <w:r>
        <w:rPr>
          <w:rFonts w:eastAsia="Times New Roman"/>
          <w:b/>
          <w:bCs/>
          <w:color w:val="000000"/>
          <w:sz w:val="20"/>
          <w:szCs w:val="20"/>
        </w:rPr>
        <w:t>ITEM 9B. OTHER INFORMATION</w:t>
      </w:r>
    </w:p>
    <w:p w:rsidR="00000000" w:rsidRDefault="00DA1786">
      <w:pPr>
        <w:divId w:val="594362222"/>
        <w:rPr>
          <w:rFonts w:eastAsia="Times New Roman"/>
        </w:rPr>
      </w:pPr>
      <w:r>
        <w:rPr>
          <w:rFonts w:eastAsia="Times New Roman"/>
          <w:color w:val="000000"/>
          <w:sz w:val="20"/>
          <w:szCs w:val="20"/>
        </w:rPr>
        <w:t>Not applicable.</w:t>
      </w:r>
    </w:p>
    <w:p w:rsidR="00000000" w:rsidRDefault="00DA1786">
      <w:pPr>
        <w:jc w:val="center"/>
        <w:divId w:val="95563734"/>
        <w:rPr>
          <w:rFonts w:eastAsia="Times New Roman"/>
        </w:rPr>
      </w:pPr>
      <w:r>
        <w:rPr>
          <w:rFonts w:eastAsia="Times New Roman"/>
          <w:b/>
          <w:bCs/>
          <w:color w:val="000000"/>
          <w:sz w:val="20"/>
          <w:szCs w:val="20"/>
        </w:rPr>
        <w:t>PART III</w:t>
      </w:r>
    </w:p>
    <w:p w:rsidR="00000000" w:rsidRDefault="00DA1786">
      <w:pPr>
        <w:divId w:val="826096449"/>
        <w:rPr>
          <w:rFonts w:eastAsia="Times New Roman"/>
        </w:rPr>
      </w:pPr>
      <w:r>
        <w:rPr>
          <w:rFonts w:eastAsia="Times New Roman"/>
          <w:b/>
          <w:bCs/>
          <w:color w:val="000000"/>
          <w:sz w:val="20"/>
          <w:szCs w:val="20"/>
        </w:rPr>
        <w:t>ITEM 10. DIRECTORS, EXECUTIVE OFFICERS AND CORPORATE GOVERNANCE</w:t>
      </w:r>
    </w:p>
    <w:p w:rsidR="00000000" w:rsidRDefault="00DA1786">
      <w:pPr>
        <w:jc w:val="both"/>
        <w:divId w:val="1076779313"/>
        <w:rPr>
          <w:rFonts w:eastAsia="Times New Roman"/>
        </w:rPr>
      </w:pPr>
      <w:r>
        <w:rPr>
          <w:rFonts w:eastAsia="Times New Roman"/>
          <w:color w:val="000000"/>
          <w:sz w:val="20"/>
          <w:szCs w:val="20"/>
        </w:rPr>
        <w:t>The information required by this item is incorporated by reference to our Proxy Statement for our 2021</w:t>
      </w:r>
      <w:r>
        <w:rPr>
          <w:rFonts w:eastAsia="Times New Roman"/>
          <w:color w:val="000000"/>
          <w:sz w:val="20"/>
          <w:szCs w:val="20"/>
        </w:rPr>
        <w:t xml:space="preserve"> Annual Meeting of Shareholders to be filed with the SEC within 120 days after the end of the fiscal year ended December 31, 2020.</w:t>
      </w:r>
    </w:p>
    <w:p w:rsidR="00000000" w:rsidRDefault="00DA1786">
      <w:pPr>
        <w:jc w:val="both"/>
        <w:divId w:val="1511602606"/>
        <w:rPr>
          <w:rFonts w:eastAsia="Times New Roman"/>
        </w:rPr>
      </w:pPr>
      <w:r>
        <w:rPr>
          <w:rFonts w:eastAsia="Times New Roman"/>
          <w:color w:val="000000"/>
          <w:sz w:val="20"/>
          <w:szCs w:val="20"/>
        </w:rPr>
        <w:t>As part of our system of corporate governance, our board of directors has adopted a code of business and ethics. The code app</w:t>
      </w:r>
      <w:r>
        <w:rPr>
          <w:rFonts w:eastAsia="Times New Roman"/>
          <w:color w:val="000000"/>
          <w:sz w:val="20"/>
          <w:szCs w:val="20"/>
        </w:rPr>
        <w:t>lies to all of our employees, officers (including our principal executive officer, principal financial officer, principal accounting officer or controller, or persons performing similar functions), agents and representatives, including our independent dire</w:t>
      </w:r>
      <w:r>
        <w:rPr>
          <w:rFonts w:eastAsia="Times New Roman"/>
          <w:color w:val="000000"/>
          <w:sz w:val="20"/>
          <w:szCs w:val="20"/>
        </w:rPr>
        <w:t>ctors and consultants, who are not employees of ours, with regard to their Company-related activities. Our code of business conduct and ethics is available on our website at www.millendo.com. We intend to post on this section of our website any amendment t</w:t>
      </w:r>
      <w:r>
        <w:rPr>
          <w:rFonts w:eastAsia="Times New Roman"/>
          <w:color w:val="000000"/>
          <w:sz w:val="20"/>
          <w:szCs w:val="20"/>
        </w:rPr>
        <w:t>o our code of business conduct and ethics, as well as any waivers of our code of business conduct and ethics, that are required to be disclosed by the rules of the SEC or the Nasdaq Stock Market.</w:t>
      </w:r>
    </w:p>
    <w:p w:rsidR="00000000" w:rsidRDefault="00DA1786">
      <w:pPr>
        <w:divId w:val="1787237315"/>
        <w:rPr>
          <w:rFonts w:eastAsia="Times New Roman"/>
        </w:rPr>
      </w:pPr>
      <w:r>
        <w:rPr>
          <w:rFonts w:eastAsia="Times New Roman"/>
          <w:b/>
          <w:bCs/>
          <w:color w:val="000000"/>
          <w:sz w:val="20"/>
          <w:szCs w:val="20"/>
        </w:rPr>
        <w:t>ITEM 11. EXECUTIVE COMPENSATION</w:t>
      </w:r>
    </w:p>
    <w:p w:rsidR="00000000" w:rsidRDefault="00DA1786">
      <w:pPr>
        <w:jc w:val="both"/>
        <w:divId w:val="1037584869"/>
        <w:rPr>
          <w:rFonts w:eastAsia="Times New Roman"/>
        </w:rPr>
      </w:pPr>
      <w:r>
        <w:rPr>
          <w:rFonts w:eastAsia="Times New Roman"/>
          <w:color w:val="000000"/>
          <w:sz w:val="20"/>
          <w:szCs w:val="20"/>
        </w:rPr>
        <w:t xml:space="preserve">The information required by </w:t>
      </w:r>
      <w:r>
        <w:rPr>
          <w:rFonts w:eastAsia="Times New Roman"/>
          <w:color w:val="000000"/>
          <w:sz w:val="20"/>
          <w:szCs w:val="20"/>
        </w:rPr>
        <w:t>this item is incorporated by reference to our Proxy Statement for our 2021 Annual Meeting of Shareholders to be filed with the SEC within 120 days after the end of the fiscal year ended December 31, 2020.</w:t>
      </w:r>
    </w:p>
    <w:p w:rsidR="00000000" w:rsidRDefault="00DA1786">
      <w:pPr>
        <w:divId w:val="2053571706"/>
        <w:rPr>
          <w:rFonts w:eastAsia="Times New Roman"/>
        </w:rPr>
      </w:pPr>
      <w:r>
        <w:rPr>
          <w:rFonts w:eastAsia="Times New Roman"/>
          <w:b/>
          <w:bCs/>
          <w:color w:val="000000"/>
          <w:sz w:val="20"/>
          <w:szCs w:val="20"/>
        </w:rPr>
        <w:t>ITEM 12. SECURITY OWNERSHIP OF CERTAIN BENEFICIAL O</w:t>
      </w:r>
      <w:r>
        <w:rPr>
          <w:rFonts w:eastAsia="Times New Roman"/>
          <w:b/>
          <w:bCs/>
          <w:color w:val="000000"/>
          <w:sz w:val="20"/>
          <w:szCs w:val="20"/>
        </w:rPr>
        <w:t>WNERS AND MANAGEMENT AND RELATED STOCKHOLDER MATTERS</w:t>
      </w:r>
    </w:p>
    <w:p w:rsidR="00000000" w:rsidRDefault="00DA1786">
      <w:pPr>
        <w:jc w:val="both"/>
        <w:divId w:val="1050031810"/>
        <w:rPr>
          <w:rFonts w:eastAsia="Times New Roman"/>
        </w:rPr>
      </w:pPr>
      <w:r>
        <w:rPr>
          <w:rFonts w:eastAsia="Times New Roman"/>
          <w:color w:val="000000"/>
          <w:sz w:val="20"/>
          <w:szCs w:val="20"/>
        </w:rPr>
        <w:t xml:space="preserve">The information required by this item is incorporated by reference to our Proxy Statement for our 2021 Annual Meeting of Shareholders to be filed with the SEC within 120 days after the end of the fiscal </w:t>
      </w:r>
      <w:r>
        <w:rPr>
          <w:rFonts w:eastAsia="Times New Roman"/>
          <w:color w:val="000000"/>
          <w:sz w:val="20"/>
          <w:szCs w:val="20"/>
        </w:rPr>
        <w:t>year ended December 31, 2020.</w:t>
      </w:r>
    </w:p>
    <w:p w:rsidR="00000000" w:rsidRDefault="00DA1786">
      <w:pPr>
        <w:divId w:val="1478645747"/>
        <w:rPr>
          <w:rFonts w:eastAsia="Times New Roman"/>
        </w:rPr>
      </w:pPr>
      <w:r>
        <w:rPr>
          <w:rFonts w:eastAsia="Times New Roman"/>
          <w:b/>
          <w:bCs/>
          <w:color w:val="000000"/>
          <w:sz w:val="20"/>
          <w:szCs w:val="20"/>
        </w:rPr>
        <w:t>ITEM 13. CERTAIN RELATIONSHIPS AND RELATED TRANSACTIONS, AND DIRECTOR INDEPENDENCE</w:t>
      </w:r>
    </w:p>
    <w:p w:rsidR="00000000" w:rsidRDefault="00DA1786">
      <w:pPr>
        <w:jc w:val="both"/>
        <w:divId w:val="588545031"/>
        <w:rPr>
          <w:rFonts w:eastAsia="Times New Roman"/>
        </w:rPr>
      </w:pPr>
      <w:r>
        <w:rPr>
          <w:rFonts w:eastAsia="Times New Roman"/>
          <w:color w:val="000000"/>
          <w:sz w:val="20"/>
          <w:szCs w:val="20"/>
        </w:rPr>
        <w:t>The information required by this item is incorporated by reference to our Proxy Statement for our 2021 Annual Meeting of Shareholders to be fil</w:t>
      </w:r>
      <w:r>
        <w:rPr>
          <w:rFonts w:eastAsia="Times New Roman"/>
          <w:color w:val="000000"/>
          <w:sz w:val="20"/>
          <w:szCs w:val="20"/>
        </w:rPr>
        <w:t>ed with the SEC within 120 days after the end of the fiscal year ended December 31, 2020.</w:t>
      </w:r>
    </w:p>
    <w:p w:rsidR="00000000" w:rsidRDefault="00DA1786">
      <w:pPr>
        <w:divId w:val="1245607186"/>
        <w:rPr>
          <w:rFonts w:eastAsia="Times New Roman"/>
        </w:rPr>
      </w:pPr>
      <w:r>
        <w:rPr>
          <w:rFonts w:eastAsia="Times New Roman"/>
          <w:b/>
          <w:bCs/>
          <w:color w:val="000000"/>
          <w:sz w:val="20"/>
          <w:szCs w:val="20"/>
        </w:rPr>
        <w:t>ITEM 14. PRINCIPAL ACCOUNTING FEES AND SERVICES</w:t>
      </w:r>
    </w:p>
    <w:p w:rsidR="00000000" w:rsidRDefault="00DA1786">
      <w:pPr>
        <w:jc w:val="both"/>
        <w:divId w:val="1315527516"/>
        <w:rPr>
          <w:rFonts w:eastAsia="Times New Roman"/>
        </w:rPr>
      </w:pPr>
      <w:r>
        <w:rPr>
          <w:rFonts w:eastAsia="Times New Roman"/>
          <w:color w:val="000000"/>
          <w:sz w:val="20"/>
          <w:szCs w:val="20"/>
        </w:rPr>
        <w:t xml:space="preserve">The information required by this item is incorporated by reference to our Proxy Statement for our 2021 Annual Meeting </w:t>
      </w:r>
      <w:r>
        <w:rPr>
          <w:rFonts w:eastAsia="Times New Roman"/>
          <w:color w:val="000000"/>
          <w:sz w:val="20"/>
          <w:szCs w:val="20"/>
        </w:rPr>
        <w:t>of Shareholders to be filed with the SEC within 120 days after the end of the fiscal year ended December 31, 2020.</w:t>
      </w:r>
    </w:p>
    <w:p w:rsidR="00000000" w:rsidRDefault="00DA1786">
      <w:pPr>
        <w:ind w:firstLine="720"/>
        <w:jc w:val="center"/>
        <w:divId w:val="1812863906"/>
        <w:rPr>
          <w:rFonts w:eastAsia="Times New Roman"/>
        </w:rPr>
      </w:pPr>
      <w:r>
        <w:rPr>
          <w:rFonts w:eastAsia="Times New Roman"/>
          <w:color w:val="000000"/>
          <w:sz w:val="20"/>
          <w:szCs w:val="20"/>
        </w:rPr>
        <w:t>75</w:t>
      </w:r>
    </w:p>
    <w:p w:rsidR="00000000" w:rsidRDefault="00DA1786">
      <w:pPr>
        <w:rPr>
          <w:rFonts w:eastAsia="Times New Roman"/>
        </w:rPr>
      </w:pPr>
      <w:r>
        <w:rPr>
          <w:rFonts w:eastAsia="Times New Roman"/>
        </w:rPr>
        <w:pict>
          <v:rect id="_x0000_i1100" style="width:0;height:1.5pt" o:hralign="center" o:hrstd="t" o:hr="t" fillcolor="#a0a0a0" stroked="f"/>
        </w:pict>
      </w:r>
    </w:p>
    <w:p w:rsidR="00000000" w:rsidRDefault="00DA1786">
      <w:pPr>
        <w:divId w:val="1259367243"/>
        <w:rPr>
          <w:rFonts w:eastAsia="Times New Roman"/>
        </w:rPr>
      </w:pPr>
    </w:p>
    <w:p w:rsidR="00000000" w:rsidRDefault="00DA1786">
      <w:pPr>
        <w:jc w:val="center"/>
        <w:divId w:val="494882116"/>
        <w:rPr>
          <w:rFonts w:eastAsia="Times New Roman"/>
        </w:rPr>
      </w:pPr>
      <w:r>
        <w:rPr>
          <w:rFonts w:eastAsia="Times New Roman"/>
          <w:b/>
          <w:bCs/>
          <w:color w:val="000000"/>
          <w:sz w:val="20"/>
          <w:szCs w:val="20"/>
        </w:rPr>
        <w:t>PART IV</w:t>
      </w:r>
    </w:p>
    <w:p w:rsidR="00000000" w:rsidRDefault="00DA1786">
      <w:pPr>
        <w:divId w:val="1233470679"/>
        <w:rPr>
          <w:rFonts w:eastAsia="Times New Roman"/>
        </w:rPr>
      </w:pPr>
      <w:r>
        <w:rPr>
          <w:rFonts w:eastAsia="Times New Roman"/>
          <w:b/>
          <w:bCs/>
          <w:color w:val="000000"/>
          <w:sz w:val="20"/>
          <w:szCs w:val="20"/>
        </w:rPr>
        <w:t>ITEM 15. EXHIBITS AND FINANCIAL STATEMENT SCHEDULES</w:t>
      </w:r>
    </w:p>
    <w:p w:rsidR="00000000" w:rsidRDefault="00DA1786">
      <w:pPr>
        <w:divId w:val="6059098"/>
        <w:rPr>
          <w:rFonts w:eastAsia="Times New Roman"/>
        </w:rPr>
      </w:pPr>
      <w:r>
        <w:rPr>
          <w:rFonts w:eastAsia="Times New Roman"/>
          <w:color w:val="000000"/>
          <w:sz w:val="20"/>
          <w:szCs w:val="20"/>
        </w:rPr>
        <w:t>We have filed the following documents as</w:t>
      </w:r>
      <w:r>
        <w:rPr>
          <w:rFonts w:eastAsia="Times New Roman"/>
          <w:color w:val="000000"/>
          <w:sz w:val="20"/>
          <w:szCs w:val="20"/>
        </w:rPr>
        <w:t xml:space="preserve"> part of this Annual Report:</w:t>
      </w:r>
    </w:p>
    <w:p w:rsidR="00000000" w:rsidRDefault="00DA1786">
      <w:pPr>
        <w:divId w:val="1166631891"/>
        <w:rPr>
          <w:rFonts w:eastAsia="Times New Roman"/>
        </w:rPr>
      </w:pPr>
      <w:r>
        <w:rPr>
          <w:rFonts w:eastAsia="Times New Roman"/>
          <w:b/>
          <w:bCs/>
          <w:color w:val="000000"/>
          <w:sz w:val="20"/>
          <w:szCs w:val="20"/>
        </w:rPr>
        <w:t>(a)(1)     Financial Statements</w:t>
      </w:r>
    </w:p>
    <w:p w:rsidR="00000000" w:rsidRDefault="00DA1786">
      <w:pPr>
        <w:divId w:val="842860394"/>
        <w:rPr>
          <w:rFonts w:eastAsia="Times New Roman"/>
        </w:rPr>
      </w:pPr>
      <w:r>
        <w:rPr>
          <w:rFonts w:eastAsia="Times New Roman"/>
          <w:color w:val="000000"/>
          <w:sz w:val="20"/>
          <w:szCs w:val="20"/>
        </w:rPr>
        <w:t>The financial statements are included in Item 8. “Financial Statements and Supplementary Data.”</w:t>
      </w:r>
    </w:p>
    <w:p w:rsidR="00000000" w:rsidRDefault="00DA1786">
      <w:pPr>
        <w:divId w:val="2009675549"/>
        <w:rPr>
          <w:rFonts w:eastAsia="Times New Roman"/>
        </w:rPr>
      </w:pPr>
      <w:r>
        <w:rPr>
          <w:rFonts w:eastAsia="Times New Roman"/>
          <w:b/>
          <w:bCs/>
          <w:color w:val="000000"/>
          <w:sz w:val="20"/>
          <w:szCs w:val="20"/>
        </w:rPr>
        <w:t>(a)(2)     Financial Statement Schedules</w:t>
      </w:r>
    </w:p>
    <w:p w:rsidR="00000000" w:rsidRDefault="00DA1786">
      <w:pPr>
        <w:divId w:val="1495150399"/>
        <w:rPr>
          <w:rFonts w:eastAsia="Times New Roman"/>
        </w:rPr>
      </w:pPr>
      <w:r>
        <w:rPr>
          <w:rFonts w:eastAsia="Times New Roman"/>
          <w:color w:val="000000"/>
          <w:sz w:val="20"/>
          <w:szCs w:val="20"/>
        </w:rPr>
        <w:t>All schedules are omitted as information required is inapplicable or the information is presented in the financial statements and the related notes.</w:t>
      </w:r>
    </w:p>
    <w:p w:rsidR="00000000" w:rsidRDefault="00DA1786">
      <w:pPr>
        <w:divId w:val="384107965"/>
        <w:rPr>
          <w:rFonts w:eastAsia="Times New Roman"/>
        </w:rPr>
      </w:pPr>
      <w:r>
        <w:rPr>
          <w:rFonts w:eastAsia="Times New Roman"/>
          <w:b/>
          <w:bCs/>
          <w:color w:val="000000"/>
          <w:sz w:val="20"/>
          <w:szCs w:val="20"/>
        </w:rPr>
        <w:t xml:space="preserve">(a)(3)     Exhibits </w:t>
      </w:r>
    </w:p>
    <w:tbl>
      <w:tblPr>
        <w:tblW w:w="5000" w:type="pct"/>
        <w:tblCellMar>
          <w:top w:w="15" w:type="dxa"/>
          <w:left w:w="15" w:type="dxa"/>
          <w:bottom w:w="15" w:type="dxa"/>
          <w:right w:w="15" w:type="dxa"/>
        </w:tblCellMar>
        <w:tblLook w:val="04A0" w:firstRow="1" w:lastRow="0" w:firstColumn="1" w:lastColumn="0" w:noHBand="0" w:noVBand="1"/>
      </w:tblPr>
      <w:tblGrid>
        <w:gridCol w:w="71"/>
        <w:gridCol w:w="595"/>
        <w:gridCol w:w="36"/>
        <w:gridCol w:w="36"/>
        <w:gridCol w:w="36"/>
        <w:gridCol w:w="36"/>
        <w:gridCol w:w="60"/>
        <w:gridCol w:w="6356"/>
        <w:gridCol w:w="37"/>
        <w:gridCol w:w="60"/>
        <w:gridCol w:w="947"/>
        <w:gridCol w:w="36"/>
      </w:tblGrid>
      <w:tr w:rsidR="00000000">
        <w:trPr>
          <w:divId w:val="1678264872"/>
        </w:trPr>
        <w:tc>
          <w:tcPr>
            <w:tcW w:w="50" w:type="pct"/>
            <w:vAlign w:val="center"/>
            <w:hideMark/>
          </w:tcPr>
          <w:p w:rsidR="00000000" w:rsidRDefault="00DA1786">
            <w:pPr>
              <w:rPr>
                <w:rFonts w:eastAsia="Times New Roman"/>
              </w:rPr>
            </w:pPr>
          </w:p>
        </w:tc>
        <w:tc>
          <w:tcPr>
            <w:tcW w:w="37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383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84"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vAlign w:val="bottom"/>
            <w:hideMark/>
          </w:tcPr>
          <w:p w:rsidR="00000000" w:rsidRDefault="00DA1786">
            <w:pPr>
              <w:divId w:val="1020008340"/>
              <w:rPr>
                <w:rFonts w:eastAsia="Times New Roman"/>
              </w:rPr>
            </w:pPr>
            <w:r>
              <w:rPr>
                <w:rFonts w:eastAsia="Times New Roman"/>
                <w:b/>
                <w:bCs/>
                <w:color w:val="000000"/>
                <w:sz w:val="16"/>
                <w:szCs w:val="16"/>
              </w:rPr>
              <w:t>Exhibit</w:t>
            </w:r>
          </w:p>
          <w:p w:rsidR="00000000" w:rsidRDefault="00DA1786">
            <w:pPr>
              <w:divId w:val="267584531"/>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DA1786">
            <w:pP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both"/>
              <w:rPr>
                <w:rFonts w:eastAsia="Times New Roman"/>
              </w:rPr>
            </w:pPr>
            <w:r>
              <w:rPr>
                <w:rFonts w:eastAsia="Times New Roman"/>
                <w:b/>
                <w:bCs/>
                <w:color w:val="000000"/>
                <w:sz w:val="16"/>
                <w:szCs w:val="16"/>
              </w:rPr>
              <w:t>Description of Exhibit</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2.1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 w:history="1">
              <w:r>
                <w:rPr>
                  <w:rStyle w:val="a3"/>
                  <w:rFonts w:eastAsia="Times New Roman"/>
                  <w:sz w:val="20"/>
                  <w:szCs w:val="20"/>
                </w:rPr>
                <w:t>Agreement and Plan of Merger, dated as of March 29, 2021, by and among Millendo Therapeutics, Inc., Mars Merger Corp. and Tempest Therapeutics, Inc. (i</w:t>
              </w:r>
              <w:r>
                <w:rPr>
                  <w:rStyle w:val="a3"/>
                  <w:rFonts w:eastAsia="Times New Roman"/>
                  <w:sz w:val="20"/>
                  <w:szCs w:val="20"/>
                </w:rPr>
                <w:t>ncorporated by reference from Exhibit 2.1 to the Current Report on Form 8-K filed with the Securities and Exchange Commission on March 29, 2021,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5" w:history="1">
              <w:r>
                <w:rPr>
                  <w:rStyle w:val="a3"/>
                  <w:rFonts w:eastAsia="Times New Roman"/>
                  <w:color w:val="0E32E1"/>
                  <w:sz w:val="20"/>
                  <w:szCs w:val="20"/>
                </w:rPr>
                <w:t>Restated Certificate of Incorporation of the Registrant, as amended (incorporated by reference from Exhibit 3.1 to the Quarterly Report on Form 1</w:t>
              </w:r>
              <w:r>
                <w:rPr>
                  <w:rStyle w:val="a3"/>
                  <w:rFonts w:eastAsia="Times New Roman"/>
                  <w:color w:val="0E32E1"/>
                  <w:sz w:val="20"/>
                  <w:szCs w:val="20"/>
                </w:rPr>
                <w:t>0-Q filed with the Securities and Exchange Commission on May 15,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6" w:history="1">
              <w:r>
                <w:rPr>
                  <w:rStyle w:val="a3"/>
                  <w:rFonts w:eastAsia="Times New Roman"/>
                  <w:color w:val="0E32E1"/>
                  <w:sz w:val="20"/>
                  <w:szCs w:val="20"/>
                </w:rPr>
                <w:t>Third Amended and Restated Bylaws, as Amended, of the Registrant (incorporated by reference from Exhibit 3.1 to the Current Report on Form 8-K filed with</w:t>
              </w:r>
              <w:r>
                <w:rPr>
                  <w:rStyle w:val="a3"/>
                  <w:rFonts w:eastAsia="Times New Roman"/>
                  <w:color w:val="0E32E1"/>
                  <w:sz w:val="20"/>
                  <w:szCs w:val="20"/>
                </w:rPr>
                <w:t xml:space="preserve"> the Securities and Exchange Commission on August 9, 2018,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both"/>
              <w:rPr>
                <w:rFonts w:eastAsia="Times New Roman"/>
              </w:rPr>
            </w:pPr>
            <w:hyperlink r:id="rId7" w:history="1">
              <w:r>
                <w:rPr>
                  <w:rStyle w:val="a3"/>
                  <w:rFonts w:eastAsia="Times New Roman"/>
                  <w:color w:val="0E32E1"/>
                  <w:sz w:val="20"/>
                  <w:szCs w:val="20"/>
                </w:rPr>
                <w:t>Specimen Stock Certificate evidencing shares of Common Stock of the Registrant (incorporated by reference from Exhibit 4.1 to the Registration Statement o</w:t>
              </w:r>
              <w:r>
                <w:rPr>
                  <w:rStyle w:val="a3"/>
                  <w:rFonts w:eastAsia="Times New Roman"/>
                  <w:color w:val="0E32E1"/>
                  <w:sz w:val="20"/>
                  <w:szCs w:val="20"/>
                </w:rPr>
                <w:t>n Form S-1 filed on August 29, 2012, File No. 333-183602)</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8" w:history="1">
              <w:r>
                <w:rPr>
                  <w:rStyle w:val="a3"/>
                  <w:rFonts w:eastAsia="Times New Roman"/>
                  <w:sz w:val="20"/>
                  <w:szCs w:val="20"/>
                </w:rPr>
                <w:t>Description of Securities Registered Pursuant to Section 12 of the Securities Exchange Act of 1934</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9" w:history="1">
              <w:r>
                <w:rPr>
                  <w:rStyle w:val="a3"/>
                  <w:rFonts w:eastAsia="Times New Roman"/>
                  <w:color w:val="0E32E1"/>
                  <w:sz w:val="20"/>
                  <w:szCs w:val="20"/>
                </w:rPr>
                <w:t>OvaScience, Inc. 2011 Stock Incentive Plan (incorporated by reference from Exhibit 10.1 to the Registration Statement on Form 10 filed on April 11, 2012,</w:t>
              </w:r>
              <w:r>
                <w:rPr>
                  <w:rStyle w:val="a3"/>
                  <w:rFonts w:eastAsia="Times New Roman"/>
                  <w:color w:val="0E32E1"/>
                  <w:sz w:val="20"/>
                  <w:szCs w:val="20"/>
                </w:rPr>
                <w:t xml:space="preserve"> File No. 000-54647)</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10" w:history="1">
              <w:r>
                <w:rPr>
                  <w:rStyle w:val="a3"/>
                  <w:rFonts w:eastAsia="Times New Roman"/>
                  <w:color w:val="0E32E1"/>
                  <w:sz w:val="20"/>
                  <w:szCs w:val="20"/>
                </w:rPr>
                <w:t>Form of Incentive Stock Option Agreement under the OvaScience, Inc. 2011 Stock Incentive Plan (incorporated by reference from Exhibit 10.2 to the Registration Statement on Form 10 filed on May 17, 2012, File No. 000-54647)</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11" w:history="1">
              <w:r>
                <w:rPr>
                  <w:rStyle w:val="a3"/>
                  <w:rFonts w:eastAsia="Times New Roman"/>
                  <w:color w:val="0E32E1"/>
                  <w:sz w:val="20"/>
                  <w:szCs w:val="20"/>
                </w:rPr>
                <w:t>Form of Nonstatutory Stock Option Agreement under the OvaScience, Inc. 2011 Stock Incentive Plan (incorporated by reference from Exhibit 10.3 to the Regi</w:t>
              </w:r>
              <w:r>
                <w:rPr>
                  <w:rStyle w:val="a3"/>
                  <w:rFonts w:eastAsia="Times New Roman"/>
                  <w:color w:val="0E32E1"/>
                  <w:sz w:val="20"/>
                  <w:szCs w:val="20"/>
                </w:rPr>
                <w:t>stration Statement on Form 10 filed on May 17, 2012, File No.000-54647)</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12" w:history="1">
              <w:r>
                <w:rPr>
                  <w:rStyle w:val="a3"/>
                  <w:rFonts w:eastAsia="Times New Roman"/>
                  <w:color w:val="0E32E1"/>
                  <w:sz w:val="20"/>
                  <w:szCs w:val="20"/>
                </w:rPr>
                <w:t xml:space="preserve">Form of Restricted Stock Agreement under the OvaScience, Inc. 2011 Stock Incentive Plan (incorporated by reference from Exhibit 10.4 to the Registration </w:t>
              </w:r>
              <w:r>
                <w:rPr>
                  <w:rStyle w:val="a3"/>
                  <w:rFonts w:eastAsia="Times New Roman"/>
                  <w:color w:val="0E32E1"/>
                  <w:sz w:val="20"/>
                  <w:szCs w:val="20"/>
                </w:rPr>
                <w:t>Statement on Form 10 filed on April 11, 2012, File No. 000-54647)</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13" w:history="1">
              <w:r>
                <w:rPr>
                  <w:rStyle w:val="a3"/>
                  <w:rFonts w:eastAsia="Times New Roman"/>
                  <w:color w:val="0E32E1"/>
                  <w:sz w:val="20"/>
                  <w:szCs w:val="20"/>
                </w:rPr>
                <w:t>OvaScience, Inc. 2012 Stock Incentive Plan (incorporated by reference from Exhibit 10.5 to the Registration Statement on Form 10 filed on April 11, 2012,</w:t>
              </w:r>
              <w:r>
                <w:rPr>
                  <w:rStyle w:val="a3"/>
                  <w:rFonts w:eastAsia="Times New Roman"/>
                  <w:color w:val="0E32E1"/>
                  <w:sz w:val="20"/>
                  <w:szCs w:val="20"/>
                </w:rPr>
                <w:t xml:space="preserve"> File No. 000-54647)</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14" w:history="1">
              <w:r>
                <w:rPr>
                  <w:rStyle w:val="a3"/>
                  <w:rFonts w:eastAsia="Times New Roman"/>
                  <w:color w:val="0E32E1"/>
                  <w:sz w:val="20"/>
                  <w:szCs w:val="20"/>
                </w:rPr>
                <w:t>Form of Incentive Stock Option Agreement under the OvaScience, Inc. 2012 Stock Incentive Plan (incorporated by reference from Exhibit 10.6 to the Annual Report on Form 10-K filed on March 16, 2015,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15" w:history="1">
              <w:r>
                <w:rPr>
                  <w:rStyle w:val="a3"/>
                  <w:rFonts w:eastAsia="Times New Roman"/>
                  <w:color w:val="0E32E1"/>
                  <w:sz w:val="20"/>
                  <w:szCs w:val="20"/>
                </w:rPr>
                <w:t>Form of Nonstatutory Stock Option Agreement under the OvaScience, Inc. 2012 Stock Incentive Plan (incorporated by reference from Exhibit 10.7 to the Annu</w:t>
              </w:r>
              <w:r>
                <w:rPr>
                  <w:rStyle w:val="a3"/>
                  <w:rFonts w:eastAsia="Times New Roman"/>
                  <w:color w:val="0E32E1"/>
                  <w:sz w:val="20"/>
                  <w:szCs w:val="20"/>
                </w:rPr>
                <w:t>al Report on Form 10-K filed on March 16, 2015,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67826487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A1786">
            <w:pPr>
              <w:jc w:val="both"/>
              <w:rPr>
                <w:rFonts w:eastAsia="Times New Roman"/>
              </w:rPr>
            </w:pPr>
            <w:hyperlink r:id="rId16" w:history="1">
              <w:r>
                <w:rPr>
                  <w:rStyle w:val="a3"/>
                  <w:rFonts w:eastAsia="Times New Roman"/>
                  <w:sz w:val="20"/>
                  <w:szCs w:val="20"/>
                </w:rPr>
                <w:t>Form of Inducement Nonqualified Stock Option Agreement subject to the terms of the OvaScience 2012 Stock Incentive Plan</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67826487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bl>
    <w:p w:rsidR="00000000" w:rsidRDefault="00DA1786">
      <w:pPr>
        <w:ind w:firstLine="720"/>
        <w:jc w:val="center"/>
        <w:divId w:val="2047018287"/>
        <w:rPr>
          <w:rFonts w:eastAsia="Times New Roman"/>
        </w:rPr>
      </w:pPr>
      <w:r>
        <w:rPr>
          <w:rFonts w:eastAsia="Times New Roman"/>
          <w:color w:val="000000"/>
          <w:sz w:val="20"/>
          <w:szCs w:val="20"/>
        </w:rPr>
        <w:t>76</w:t>
      </w:r>
    </w:p>
    <w:p w:rsidR="00000000" w:rsidRDefault="00DA1786">
      <w:pPr>
        <w:rPr>
          <w:rFonts w:eastAsia="Times New Roman"/>
        </w:rPr>
      </w:pPr>
      <w:r>
        <w:rPr>
          <w:rFonts w:eastAsia="Times New Roman"/>
        </w:rPr>
        <w:pict>
          <v:rect id="_x0000_i1101" style="width:0;height:1.5pt" o:hralign="center" o:hrstd="t" o:hr="t" fillcolor="#a0a0a0" stroked="f"/>
        </w:pict>
      </w:r>
    </w:p>
    <w:p w:rsidR="00000000" w:rsidRDefault="00DA1786">
      <w:pPr>
        <w:divId w:val="13033417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0"/>
        <w:gridCol w:w="597"/>
        <w:gridCol w:w="36"/>
        <w:gridCol w:w="36"/>
        <w:gridCol w:w="36"/>
        <w:gridCol w:w="36"/>
        <w:gridCol w:w="60"/>
        <w:gridCol w:w="6356"/>
        <w:gridCol w:w="36"/>
        <w:gridCol w:w="60"/>
        <w:gridCol w:w="947"/>
        <w:gridCol w:w="36"/>
      </w:tblGrid>
      <w:tr w:rsidR="00000000">
        <w:trPr>
          <w:divId w:val="1931767969"/>
        </w:trPr>
        <w:tc>
          <w:tcPr>
            <w:tcW w:w="50" w:type="pct"/>
            <w:vAlign w:val="center"/>
            <w:hideMark/>
          </w:tcPr>
          <w:p w:rsidR="00000000" w:rsidRDefault="00DA1786">
            <w:pPr>
              <w:rPr>
                <w:rFonts w:eastAsia="Times New Roman"/>
              </w:rPr>
            </w:pPr>
          </w:p>
        </w:tc>
        <w:tc>
          <w:tcPr>
            <w:tcW w:w="37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383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84"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A1786">
            <w:pPr>
              <w:jc w:val="both"/>
              <w:rPr>
                <w:rFonts w:eastAsia="Times New Roman"/>
              </w:rPr>
            </w:pPr>
            <w:hyperlink r:id="rId17" w:history="1">
              <w:r>
                <w:rPr>
                  <w:rStyle w:val="a3"/>
                  <w:rFonts w:eastAsia="Times New Roman"/>
                  <w:color w:val="0E32E1"/>
                  <w:sz w:val="20"/>
                  <w:szCs w:val="20"/>
                </w:rPr>
                <w:t xml:space="preserve">Millendo Therapeutics, Inc. 2012 Stock Incentive Plan, as amended (incorporated by reference from Exhibit 10.8 to the Annual Report on Form 10-K </w:t>
              </w:r>
              <w:r>
                <w:rPr>
                  <w:rStyle w:val="a3"/>
                  <w:rFonts w:eastAsia="Times New Roman"/>
                  <w:color w:val="0E32E1"/>
                  <w:sz w:val="20"/>
                  <w:szCs w:val="20"/>
                </w:rPr>
                <w:t>filed on April 1,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A1786">
            <w:pPr>
              <w:jc w:val="both"/>
              <w:rPr>
                <w:rFonts w:eastAsia="Times New Roman"/>
              </w:rPr>
            </w:pPr>
            <w:hyperlink r:id="rId18" w:history="1">
              <w:r>
                <w:rPr>
                  <w:rStyle w:val="a3"/>
                  <w:rFonts w:eastAsia="Times New Roman"/>
                  <w:color w:val="0E32E1"/>
                  <w:sz w:val="20"/>
                  <w:szCs w:val="20"/>
                </w:rPr>
                <w:t>Form of Stock Option Agreement under the Millendo Therapeutics, Inc. 2012 Stock Incentive Plan (incorporated by reference from Exhibit 10.9 to th</w:t>
              </w:r>
              <w:r>
                <w:rPr>
                  <w:rStyle w:val="a3"/>
                  <w:rFonts w:eastAsia="Times New Roman"/>
                  <w:color w:val="0E32E1"/>
                  <w:sz w:val="20"/>
                  <w:szCs w:val="20"/>
                </w:rPr>
                <w:t>e Annual Report on Form 10-K filed on April 1,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19" w:history="1">
              <w:r>
                <w:rPr>
                  <w:rStyle w:val="a3"/>
                  <w:rFonts w:eastAsia="Times New Roman"/>
                  <w:color w:val="0E32E1"/>
                  <w:sz w:val="20"/>
                  <w:szCs w:val="20"/>
                </w:rPr>
                <w:t>Sub Plan for French Residents to the Millendo Therapeutics, Inc. 2012 Stock Plan, as amended (incorporated by reference from Exhibit 10.5 to the Current</w:t>
              </w:r>
              <w:r>
                <w:rPr>
                  <w:rStyle w:val="a3"/>
                  <w:rFonts w:eastAsia="Times New Roman"/>
                  <w:color w:val="0E32E1"/>
                  <w:sz w:val="20"/>
                  <w:szCs w:val="20"/>
                </w:rPr>
                <w:t xml:space="preserve"> Report on Form 8-K, as filed with the Securities and Exchange Commission on December 13, 2018,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A1786">
            <w:pPr>
              <w:jc w:val="both"/>
              <w:rPr>
                <w:rFonts w:eastAsia="Times New Roman"/>
              </w:rPr>
            </w:pPr>
            <w:hyperlink r:id="rId20" w:history="1">
              <w:r>
                <w:rPr>
                  <w:rStyle w:val="a3"/>
                  <w:rFonts w:eastAsia="Times New Roman"/>
                  <w:color w:val="0E32E1"/>
                  <w:sz w:val="20"/>
                  <w:szCs w:val="20"/>
                </w:rPr>
                <w:t>Form of Stock Option Agreement under the Sub Plan for French Residents to the Millendo Therapeutics, Inc. 2012 Stock Plan, as amended (incorporated by reference from Exhibit 10.11 to the Annual Report on Form 10-K filed on April 1, 2019, File No. 001-35890</w:t>
              </w:r>
              <w:r>
                <w:rPr>
                  <w:rStyle w:val="a3"/>
                  <w:rFonts w:eastAsia="Times New Roman"/>
                  <w:color w:val="0E32E1"/>
                  <w:sz w:val="20"/>
                  <w:szCs w:val="20"/>
                </w:rPr>
                <w:t>)</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21" w:history="1">
              <w:r>
                <w:rPr>
                  <w:rStyle w:val="a3"/>
                  <w:rFonts w:eastAsia="Times New Roman"/>
                  <w:color w:val="0E32E1"/>
                  <w:sz w:val="20"/>
                  <w:szCs w:val="20"/>
                </w:rPr>
                <w:t>2019 Equity Incentive Plan (incorporated by reference from Exhibit 10.1 to the Current Report on Form 8-K filed with the Securities and Exchange Commission on June 13,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22" w:history="1">
              <w:r>
                <w:rPr>
                  <w:rStyle w:val="a3"/>
                  <w:rFonts w:eastAsia="Times New Roman"/>
                  <w:color w:val="0E32E1"/>
                  <w:sz w:val="20"/>
                  <w:szCs w:val="20"/>
                </w:rPr>
                <w:t>Form of Option Grant Package under 2019 Equity Incentive Plan (incorporated by reference from Exhibit 10.7 to the Quarterly Report on Form 10-Q f</w:t>
              </w:r>
              <w:r>
                <w:rPr>
                  <w:rStyle w:val="a3"/>
                  <w:rFonts w:eastAsia="Times New Roman"/>
                  <w:color w:val="0E32E1"/>
                  <w:sz w:val="20"/>
                  <w:szCs w:val="20"/>
                </w:rPr>
                <w:t>iled with the Securities and Exchange Commission on August 12,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23" w:history="1">
              <w:r>
                <w:rPr>
                  <w:rStyle w:val="a3"/>
                  <w:rFonts w:eastAsia="Times New Roman"/>
                  <w:color w:val="0E32E1"/>
                  <w:sz w:val="20"/>
                  <w:szCs w:val="20"/>
                </w:rPr>
                <w:t>Form of RSU Grant Package under 2019 Equity Incentive Plan (incorporated by reference from Exhibit 10.8 to the Quarterly Report on Form 10-Q file</w:t>
              </w:r>
              <w:r>
                <w:rPr>
                  <w:rStyle w:val="a3"/>
                  <w:rFonts w:eastAsia="Times New Roman"/>
                  <w:color w:val="0E32E1"/>
                  <w:sz w:val="20"/>
                  <w:szCs w:val="20"/>
                </w:rPr>
                <w:t>d with the Securities and Exchange Commission on August 12,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A1786">
            <w:pPr>
              <w:jc w:val="both"/>
              <w:rPr>
                <w:rFonts w:eastAsia="Times New Roman"/>
              </w:rPr>
            </w:pPr>
            <w:hyperlink r:id="rId24" w:history="1">
              <w:r>
                <w:rPr>
                  <w:rStyle w:val="a3"/>
                  <w:rFonts w:eastAsia="Times New Roman"/>
                  <w:sz w:val="20"/>
                  <w:szCs w:val="20"/>
                </w:rPr>
                <w:t>Form of Stock Option Agreement under the Sub Plan for French Residents under 2019 Equity Incentive Plan</w:t>
              </w:r>
            </w:hyperlink>
            <w:hyperlink r:id="rId25" w:history="1">
              <w:r>
                <w:rPr>
                  <w:rStyle w:val="a3"/>
                  <w:rFonts w:eastAsia="Times New Roman"/>
                  <w:sz w:val="20"/>
                  <w:szCs w:val="20"/>
                </w:rPr>
                <w:t xml:space="preserve"> (incorporated by reference from Exhibit 10.16 to the Annual Report on Form 10-K filed on Mar</w:t>
              </w:r>
            </w:hyperlink>
            <w:hyperlink r:id="rId26" w:history="1">
              <w:r>
                <w:rPr>
                  <w:rStyle w:val="a3"/>
                  <w:rFonts w:eastAsia="Times New Roman"/>
                  <w:sz w:val="20"/>
                  <w:szCs w:val="20"/>
                </w:rPr>
                <w:t>ch 11, 2020, File No. 001-35890</w:t>
              </w:r>
            </w:hyperlink>
            <w:hyperlink r:id="rId27"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28" w:history="1">
              <w:r>
                <w:rPr>
                  <w:rStyle w:val="a3"/>
                  <w:rFonts w:eastAsia="Times New Roman"/>
                  <w:sz w:val="20"/>
                  <w:szCs w:val="20"/>
                </w:rPr>
                <w:t>Form of Inducement Nonqualified Stock Option Agreement subject to the terms of the 2019 Equity Incentive Plan</w:t>
              </w:r>
            </w:hyperlink>
            <w:hyperlink r:id="rId29" w:history="1">
              <w:r>
                <w:rPr>
                  <w:rStyle w:val="a3"/>
                  <w:rFonts w:eastAsia="Times New Roman"/>
                  <w:sz w:val="20"/>
                  <w:szCs w:val="20"/>
                </w:rPr>
                <w:t xml:space="preserve"> (incorporated by reference from Exhibit 10.17 to the Annual Report on Form 10-K filed on March 11, 2020,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0" w:history="1">
              <w:r>
                <w:rPr>
                  <w:rStyle w:val="a3"/>
                  <w:rFonts w:eastAsia="Times New Roman"/>
                  <w:color w:val="0E32E1"/>
                  <w:sz w:val="20"/>
                  <w:szCs w:val="20"/>
                </w:rPr>
                <w:t xml:space="preserve">2019 Employee Stock Purchase Plan (incorporated by reference from Exhibit 10.2 to the Current Report on Form 8-K filed with the Securities and Exchange </w:t>
              </w:r>
              <w:r>
                <w:rPr>
                  <w:rStyle w:val="a3"/>
                  <w:rFonts w:eastAsia="Times New Roman"/>
                  <w:color w:val="0E32E1"/>
                  <w:sz w:val="20"/>
                  <w:szCs w:val="20"/>
                </w:rPr>
                <w:t>Commission on June 13,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shd w:val="clear" w:color="auto" w:fill="FFFFFF"/>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10.19+</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1" w:history="1">
              <w:r>
                <w:rPr>
                  <w:rStyle w:val="a3"/>
                  <w:rFonts w:eastAsia="Times New Roman"/>
                  <w:color w:val="0E32E1"/>
                  <w:sz w:val="20"/>
                  <w:szCs w:val="20"/>
                </w:rPr>
                <w:t>Form of Indemnity Agreement between Millendo Therapeutics, Inc. and each of its directors and executive officers (incorporated by reference from Exhibit</w:t>
              </w:r>
              <w:r>
                <w:rPr>
                  <w:rStyle w:val="a3"/>
                  <w:rFonts w:eastAsia="Times New Roman"/>
                  <w:color w:val="0E32E1"/>
                  <w:sz w:val="20"/>
                  <w:szCs w:val="20"/>
                </w:rPr>
                <w:t> 10.1 to the Current Report on Form 8-K, as filed with the Securities and Exchange Commission on December 13, 2018,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10.20</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2" w:history="1">
              <w:r>
                <w:rPr>
                  <w:rStyle w:val="a3"/>
                  <w:rFonts w:eastAsia="Times New Roman"/>
                  <w:color w:val="0E32E1"/>
                  <w:sz w:val="20"/>
                  <w:szCs w:val="20"/>
                </w:rPr>
                <w:t>Stock Purchase Agreement, by and among OvaScience, Inc., the purchasers set forth on Schedule I thereto and Millendo Therapeutics, Inc., dated November </w:t>
              </w:r>
              <w:r>
                <w:rPr>
                  <w:rStyle w:val="a3"/>
                  <w:rFonts w:eastAsia="Times New Roman"/>
                  <w:color w:val="0E32E1"/>
                  <w:sz w:val="20"/>
                  <w:szCs w:val="20"/>
                </w:rPr>
                <w:t>1, 2018 (incorporated by reference from Exhibit 10.45 to the Registration Statement on Form S-4 filed on November 2, 2018, File No. 333-227547)</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3" w:history="1">
              <w:r>
                <w:rPr>
                  <w:rStyle w:val="a3"/>
                  <w:rFonts w:eastAsia="Times New Roman"/>
                  <w:color w:val="0E32E1"/>
                  <w:sz w:val="20"/>
                  <w:szCs w:val="20"/>
                </w:rPr>
                <w:t>First Amendment to Shareholders and Option Agreement, dated September 28, 2018 (incorporated by reference from Exhibit 4.9 to the Registration Statement o</w:t>
              </w:r>
              <w:r>
                <w:rPr>
                  <w:rStyle w:val="a3"/>
                  <w:rFonts w:eastAsia="Times New Roman"/>
                  <w:color w:val="0E32E1"/>
                  <w:sz w:val="20"/>
                  <w:szCs w:val="20"/>
                </w:rPr>
                <w:t>n Form S-3, as filed with the Securities and Exchange Commission on November 6, 2018, File No. 333-228209)</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10.22</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4" w:history="1">
              <w:r>
                <w:rPr>
                  <w:rStyle w:val="a3"/>
                  <w:rFonts w:eastAsia="Times New Roman"/>
                  <w:color w:val="0E32E1"/>
                  <w:sz w:val="20"/>
                  <w:szCs w:val="20"/>
                </w:rPr>
                <w:t>Registration Rights Agreement, by and among OvaScience, </w:t>
              </w:r>
              <w:r>
                <w:rPr>
                  <w:rStyle w:val="a3"/>
                  <w:rFonts w:eastAsia="Times New Roman"/>
                  <w:color w:val="0E32E1"/>
                  <w:sz w:val="20"/>
                  <w:szCs w:val="20"/>
                </w:rPr>
                <w:t>Inc. and the persons listed on Schedule A thereto, dated November 1, 2018 (incorporated by reference from Exhibit 10.46 to the Registration Statement on Form S-4 filed on November 2, 2018, File No. 333-227547)</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10.23</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5" w:history="1">
              <w:r>
                <w:rPr>
                  <w:rStyle w:val="a3"/>
                  <w:rFonts w:eastAsia="Times New Roman"/>
                  <w:color w:val="0E32E1"/>
                  <w:sz w:val="20"/>
                  <w:szCs w:val="20"/>
                </w:rPr>
                <w:t>Second Amended and Restated Investor Rights Agreement by and among Millendo Therapeutics, Inc. and certain of its stockholders, dated December 19, 2017 (i</w:t>
              </w:r>
              <w:r>
                <w:rPr>
                  <w:rStyle w:val="a3"/>
                  <w:rFonts w:eastAsia="Times New Roman"/>
                  <w:color w:val="0E32E1"/>
                  <w:sz w:val="20"/>
                  <w:szCs w:val="20"/>
                </w:rPr>
                <w:t>ncorporated by reference from Exhibit 4.6 to the Registration Statement on Form S-3, as filed with the Securities and Exchange Commission on November 6, 2018, File No. 333-228209)</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10.24</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6" w:history="1">
              <w:r>
                <w:rPr>
                  <w:rStyle w:val="a3"/>
                  <w:rFonts w:eastAsia="Times New Roman"/>
                  <w:color w:val="0E32E1"/>
                  <w:sz w:val="20"/>
                  <w:szCs w:val="20"/>
                </w:rPr>
                <w:t>First Amendment to Second Amended and Restated Investor Rights Agreement, dated October 24, 2018 (incorporated by reference from Exhibit 4.7 to the Regist</w:t>
              </w:r>
              <w:r>
                <w:rPr>
                  <w:rStyle w:val="a3"/>
                  <w:rFonts w:eastAsia="Times New Roman"/>
                  <w:color w:val="0E32E1"/>
                  <w:sz w:val="20"/>
                  <w:szCs w:val="20"/>
                </w:rPr>
                <w:t>ration Statement on Form S-3, as filed with the Securities and Exchange Commission on November 6, 2018, File No. 333-228209)</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10.25</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jc w:val="both"/>
              <w:rPr>
                <w:rFonts w:eastAsia="Times New Roman"/>
              </w:rPr>
            </w:pPr>
            <w:hyperlink r:id="rId37" w:history="1">
              <w:r>
                <w:rPr>
                  <w:rStyle w:val="a3"/>
                  <w:rFonts w:eastAsia="Times New Roman"/>
                  <w:color w:val="0E32E1"/>
                  <w:sz w:val="20"/>
                  <w:szCs w:val="20"/>
                </w:rPr>
                <w:t>Shareholders and Option Agreement, by and between Millendo Therapeutics, Inc. and Otonnale SAS, dated December 19, 2017 (incorporated by reference from Ex</w:t>
              </w:r>
              <w:r>
                <w:rPr>
                  <w:rStyle w:val="a3"/>
                  <w:rFonts w:eastAsia="Times New Roman"/>
                  <w:color w:val="0E32E1"/>
                  <w:sz w:val="20"/>
                  <w:szCs w:val="20"/>
                </w:rPr>
                <w:t>hibit 4.8 to the Registration Statement on Form S-3, as filed with the Securities and Exchange Commission on November 6, 2018, File No. 333-228209)</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31767969"/>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10.26</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8" w:history="1">
              <w:r>
                <w:rPr>
                  <w:rStyle w:val="a3"/>
                  <w:rFonts w:eastAsia="Times New Roman"/>
                  <w:color w:val="0E32E1"/>
                  <w:sz w:val="20"/>
                  <w:szCs w:val="20"/>
                </w:rPr>
                <w:t>Amended and Restated Equity Distribution Agreement dated March 4, 2020, between Millendo Therapeutics, Inc., Citigroup Global Markets Inc. and SVB Leeri</w:t>
              </w:r>
              <w:r>
                <w:rPr>
                  <w:rStyle w:val="a3"/>
                  <w:rFonts w:eastAsia="Times New Roman"/>
                  <w:color w:val="0E32E1"/>
                  <w:sz w:val="20"/>
                  <w:szCs w:val="20"/>
                </w:rPr>
                <w:t>nk LLC (incorporated by reference from Exhibit 1.1 to the Current Report on Form 8-K filed with the Securities and Exchange Commission on March 4, 2020, File No. 333-230749)</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1931767969"/>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bl>
    <w:p w:rsidR="00000000" w:rsidRDefault="00DA1786">
      <w:pPr>
        <w:ind w:firstLine="720"/>
        <w:jc w:val="center"/>
        <w:divId w:val="23791322"/>
        <w:rPr>
          <w:rFonts w:eastAsia="Times New Roman"/>
        </w:rPr>
      </w:pPr>
      <w:r>
        <w:rPr>
          <w:rFonts w:eastAsia="Times New Roman"/>
          <w:color w:val="000000"/>
          <w:sz w:val="20"/>
          <w:szCs w:val="20"/>
        </w:rPr>
        <w:t>77</w:t>
      </w:r>
    </w:p>
    <w:p w:rsidR="00000000" w:rsidRDefault="00DA1786">
      <w:pPr>
        <w:rPr>
          <w:rFonts w:eastAsia="Times New Roman"/>
        </w:rPr>
      </w:pPr>
      <w:r>
        <w:rPr>
          <w:rFonts w:eastAsia="Times New Roman"/>
        </w:rPr>
        <w:pict>
          <v:rect id="_x0000_i1102" style="width:0;height:1.5pt" o:hralign="center" o:hrstd="t" o:hr="t" fillcolor="#a0a0a0" stroked="f"/>
        </w:pict>
      </w:r>
    </w:p>
    <w:p w:rsidR="00000000" w:rsidRDefault="00DA1786">
      <w:pPr>
        <w:divId w:val="6111291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
        <w:gridCol w:w="682"/>
        <w:gridCol w:w="36"/>
        <w:gridCol w:w="36"/>
        <w:gridCol w:w="36"/>
        <w:gridCol w:w="36"/>
        <w:gridCol w:w="37"/>
        <w:gridCol w:w="6326"/>
        <w:gridCol w:w="36"/>
        <w:gridCol w:w="36"/>
        <w:gridCol w:w="919"/>
        <w:gridCol w:w="36"/>
      </w:tblGrid>
      <w:tr w:rsidR="00000000">
        <w:trPr>
          <w:divId w:val="98262462"/>
        </w:trPr>
        <w:tc>
          <w:tcPr>
            <w:tcW w:w="50" w:type="pct"/>
            <w:vAlign w:val="center"/>
            <w:hideMark/>
          </w:tcPr>
          <w:p w:rsidR="00000000" w:rsidRDefault="00DA1786">
            <w:pPr>
              <w:rPr>
                <w:rFonts w:eastAsia="Times New Roman"/>
              </w:rPr>
            </w:pPr>
          </w:p>
        </w:tc>
        <w:tc>
          <w:tcPr>
            <w:tcW w:w="379"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1"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3838"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584"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10.27</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39" w:history="1">
              <w:r>
                <w:rPr>
                  <w:rStyle w:val="a3"/>
                  <w:rFonts w:eastAsia="Times New Roman"/>
                  <w:sz w:val="20"/>
                  <w:szCs w:val="20"/>
                </w:rPr>
                <w:t>Lease Agreement, by and between Millendo Therapeutics, Inc. and Ann Arbor Real Estate Group, L.L.C., dated October 22, 2018 (incorporated by referen</w:t>
              </w:r>
              <w:r>
                <w:rPr>
                  <w:rStyle w:val="a3"/>
                  <w:rFonts w:eastAsia="Times New Roman"/>
                  <w:sz w:val="20"/>
                  <w:szCs w:val="20"/>
                </w:rPr>
                <w:t>ce from Exhibit 10.29 to the Annual Report on Form 10-K, Filed on March 11, 2020,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10.28</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0" w:history="1">
              <w:r>
                <w:rPr>
                  <w:rStyle w:val="a3"/>
                  <w:rFonts w:eastAsia="Times New Roman"/>
                  <w:sz w:val="20"/>
                  <w:szCs w:val="20"/>
                </w:rPr>
                <w:t>Lease Agreement by and between Millendo Therapeutics, Inc. and Ann Arbor Real Estate Group, L.L.C., dated February 1, 2019 (incorporated by reference fr</w:t>
              </w:r>
              <w:r>
                <w:rPr>
                  <w:rStyle w:val="a3"/>
                  <w:rFonts w:eastAsia="Times New Roman"/>
                  <w:sz w:val="20"/>
                  <w:szCs w:val="20"/>
                </w:rPr>
                <w:t>om Exhibit 10.1 to the Current Report on Form 8-K, as filed with the Securities and Exchange Commission on February 7, 2019, File No. 001-35890).</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10.29+</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1" w:history="1">
              <w:r>
                <w:rPr>
                  <w:rStyle w:val="a3"/>
                  <w:rFonts w:eastAsia="Times New Roman"/>
                  <w:sz w:val="20"/>
                  <w:szCs w:val="20"/>
                </w:rPr>
                <w:t>Executive Chair Agreement, by and between Millendo Therapeutics US, Inc. and Julia C. Owens, Ph.D., dated January 27, 2021.</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10.30+</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2" w:history="1">
              <w:r>
                <w:rPr>
                  <w:rStyle w:val="a3"/>
                  <w:rFonts w:eastAsia="Times New Roman"/>
                  <w:sz w:val="20"/>
                  <w:szCs w:val="20"/>
                </w:rPr>
                <w:t>Separation from Employment, by and between Millendo Therapeutics US, Inc. and Julia C. Owens, Ph.D., dated January 27, 2021.</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10.31+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3" w:history="1">
              <w:r>
                <w:rPr>
                  <w:rStyle w:val="a3"/>
                  <w:rFonts w:eastAsia="Times New Roman"/>
                  <w:sz w:val="20"/>
                  <w:szCs w:val="20"/>
                </w:rPr>
                <w:t>Amended and Restated Employment Agreement between Louis Arcudi III and Millendo Therapeutics US, Inc., dated as of January 27, 2021.</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10.32+</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4" w:history="1">
              <w:r>
                <w:rPr>
                  <w:rStyle w:val="a3"/>
                  <w:rFonts w:eastAsia="Times New Roman"/>
                  <w:sz w:val="20"/>
                  <w:szCs w:val="20"/>
                </w:rPr>
                <w:t>Amended and Restated Employment Agreement between Jennifer Minai-Azary and Millendo Therapeutics US, Inc., dated of January 27, 2021.</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shd w:val="clear" w:color="auto" w:fill="FFFFFF"/>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21.1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5" w:history="1">
              <w:r>
                <w:rPr>
                  <w:rStyle w:val="a3"/>
                  <w:rFonts w:eastAsia="Times New Roman"/>
                  <w:sz w:val="20"/>
                  <w:szCs w:val="20"/>
                </w:rPr>
                <w:t>Subsidiaries of the Registrant.</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6" w:history="1">
              <w:r>
                <w:rPr>
                  <w:rStyle w:val="a3"/>
                  <w:rFonts w:eastAsia="Times New Roman"/>
                  <w:sz w:val="20"/>
                  <w:szCs w:val="20"/>
                </w:rPr>
                <w:t>Consent of Ernst &amp; Young LLP, independent registered public accounting firm</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24.1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7" w:history="1">
              <w:r>
                <w:rPr>
                  <w:rStyle w:val="a3"/>
                  <w:rFonts w:eastAsia="Times New Roman"/>
                  <w:sz w:val="20"/>
                  <w:szCs w:val="20"/>
                </w:rPr>
                <w:t>Power of Attorney (included on signature page)</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8" w:history="1">
              <w:r>
                <w:rPr>
                  <w:rStyle w:val="a3"/>
                  <w:rFonts w:eastAsia="Times New Roman"/>
                  <w:sz w:val="20"/>
                  <w:szCs w:val="20"/>
                </w:rPr>
                <w:t>Certification of Principal Executive Officer pursuant to Rules 13a-14(a) and 15d-14(a) promulgated under the Securities Exchange Act of 1934, as adopted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49" w:history="1">
              <w:r>
                <w:rPr>
                  <w:rStyle w:val="a3"/>
                  <w:rFonts w:eastAsia="Times New Roman"/>
                  <w:sz w:val="20"/>
                  <w:szCs w:val="20"/>
                </w:rPr>
                <w:t>Certification of Principal Financial Officer pursuant to Rules 13a-14(a) and 15d-14(a) promulgated under the Securities Exchange Act of 1934, as adopted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hyperlink r:id="rId50" w:history="1">
              <w:r>
                <w:rPr>
                  <w:rStyle w:val="a3"/>
                  <w:rFonts w:eastAsia="Times New Roman"/>
                  <w:sz w:val="20"/>
                  <w:szCs w:val="20"/>
                </w:rPr>
                <w:t>Certification of Principal Executive Officer and Principal Financial Officer pursuant to Rules 13a-14(b) and 15d-14(b) promulgated under the Securities Exchange Act of 1934 and 18 U.S.C. Section 1350, as adopted pursuant to section 906 of The Sarbanes-Oxle</w:t>
              </w:r>
              <w:r>
                <w:rPr>
                  <w:rStyle w:val="a3"/>
                  <w:rFonts w:eastAsia="Times New Roman"/>
                  <w:sz w:val="20"/>
                  <w:szCs w:val="20"/>
                </w:rPr>
                <w:t>y Act of 2002</w:t>
              </w:r>
            </w:hyperlink>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XBRL Instance Document</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XBRL Taxonomy Extension Schema Document</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XBRL Taxonomy Extension Calculation Linkbase Document</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XBRL Taxonomy Extension Definition Linkbase Document</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XBRL Taxonomy Extension Label Linkbase Document</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r w:rsidR="00000000">
        <w:trPr>
          <w:divId w:val="98262462"/>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98262462"/>
        </w:trPr>
        <w:tc>
          <w:tcPr>
            <w:tcW w:w="0" w:type="auto"/>
            <w:gridSpan w:val="3"/>
            <w:tcMar>
              <w:top w:w="30" w:type="dxa"/>
              <w:left w:w="20" w:type="dxa"/>
              <w:bottom w:w="30" w:type="dxa"/>
              <w:right w:w="20" w:type="dxa"/>
            </w:tcMar>
            <w:hideMark/>
          </w:tcPr>
          <w:p w:rsidR="00000000" w:rsidRDefault="00DA1786">
            <w:pPr>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hideMark/>
          </w:tcPr>
          <w:p w:rsidR="00000000" w:rsidRDefault="00DA1786">
            <w:pPr>
              <w:jc w:val="both"/>
              <w:rPr>
                <w:rFonts w:eastAsia="Times New Roman"/>
              </w:rPr>
            </w:pPr>
            <w:r>
              <w:rPr>
                <w:rFonts w:eastAsia="Times New Roman"/>
                <w:color w:val="000000"/>
                <w:sz w:val="20"/>
                <w:szCs w:val="20"/>
              </w:rPr>
              <w:t>XBRL Taxonomy Extension Presentation Linkbase Document</w:t>
            </w:r>
          </w:p>
        </w:tc>
        <w:tc>
          <w:tcPr>
            <w:tcW w:w="0" w:type="auto"/>
            <w:gridSpan w:val="3"/>
            <w:tcMar>
              <w:top w:w="0" w:type="dxa"/>
              <w:left w:w="20" w:type="dxa"/>
              <w:bottom w:w="0" w:type="dxa"/>
              <w:right w:w="20" w:type="dxa"/>
            </w:tcMar>
            <w:vAlign w:val="center"/>
            <w:hideMark/>
          </w:tcPr>
          <w:p w:rsidR="00000000" w:rsidRDefault="00DA1786">
            <w:pPr>
              <w:jc w:val="both"/>
              <w:rPr>
                <w:rFonts w:eastAsia="Times New Roman"/>
              </w:rPr>
            </w:pPr>
          </w:p>
        </w:tc>
      </w:tr>
    </w:tbl>
    <w:p w:rsidR="00000000" w:rsidRDefault="00DA1786">
      <w:pPr>
        <w:divId w:val="1998917043"/>
        <w:rPr>
          <w:rFonts w:eastAsia="Times New Roman"/>
        </w:rPr>
      </w:pPr>
      <w:r>
        <w:rPr>
          <w:rFonts w:eastAsia="Times New Roman"/>
          <w:color w:val="000000"/>
          <w:sz w:val="20"/>
          <w:szCs w:val="20"/>
        </w:rPr>
        <w:t>_______________________________________</w:t>
      </w:r>
    </w:p>
    <w:p w:rsidR="00000000" w:rsidRDefault="00DA1786">
      <w:pPr>
        <w:jc w:val="both"/>
        <w:rPr>
          <w:rFonts w:eastAsia="Times New Roman"/>
        </w:rPr>
      </w:pPr>
      <w:r>
        <w:rPr>
          <w:rFonts w:eastAsia="Times New Roman"/>
          <w:color w:val="000000"/>
          <w:sz w:val="20"/>
          <w:szCs w:val="20"/>
        </w:rPr>
        <w:t>+     </w:t>
      </w:r>
      <w:r>
        <w:rPr>
          <w:rFonts w:eastAsia="Times New Roman"/>
          <w:color w:val="000000"/>
          <w:sz w:val="20"/>
          <w:szCs w:val="20"/>
        </w:rPr>
        <w:t>Indicates management contract or compensatory plan.</w:t>
      </w:r>
    </w:p>
    <w:p w:rsidR="00000000" w:rsidRDefault="00DA1786">
      <w:pPr>
        <w:jc w:val="both"/>
        <w:divId w:val="466551713"/>
        <w:rPr>
          <w:rFonts w:eastAsia="Times New Roman"/>
        </w:rPr>
      </w:pPr>
      <w:r>
        <w:rPr>
          <w:rFonts w:eastAsia="Times New Roman"/>
          <w:color w:val="000000"/>
          <w:sz w:val="20"/>
          <w:szCs w:val="20"/>
        </w:rPr>
        <w:t>#     </w:t>
      </w:r>
      <w:r>
        <w:rPr>
          <w:rFonts w:eastAsia="Times New Roman"/>
          <w:color w:val="000000"/>
          <w:sz w:val="20"/>
          <w:szCs w:val="20"/>
        </w:rPr>
        <w:t>Confidential treatment has been granted with respect to portions of this exhibit (indicated by asterisks) and those portions have been separately filed with the Securities and Exchange Commission.</w:t>
      </w:r>
    </w:p>
    <w:p w:rsidR="00000000" w:rsidRDefault="00DA1786">
      <w:pPr>
        <w:jc w:val="both"/>
        <w:divId w:val="865100055"/>
        <w:rPr>
          <w:rFonts w:eastAsia="Times New Roman"/>
        </w:rPr>
      </w:pPr>
      <w:r>
        <w:rPr>
          <w:rFonts w:eastAsia="Times New Roman"/>
          <w:color w:val="000000"/>
          <w:sz w:val="20"/>
          <w:szCs w:val="20"/>
        </w:rPr>
        <w:t>^     </w:t>
      </w:r>
      <w:r>
        <w:rPr>
          <w:rFonts w:eastAsia="Times New Roman"/>
          <w:color w:val="000000"/>
          <w:sz w:val="20"/>
          <w:szCs w:val="20"/>
        </w:rPr>
        <w:t>These certifications are being furnished solely to accompany this Annual Report pursuant to 18 U.S.C. Section 1350, and are not being filed for purposes of Section 18 of the Securities Exchange Act of 1934, as amended, and are not to be incorporated by ref</w:t>
      </w:r>
      <w:r>
        <w:rPr>
          <w:rFonts w:eastAsia="Times New Roman"/>
          <w:color w:val="000000"/>
          <w:sz w:val="20"/>
          <w:szCs w:val="20"/>
        </w:rPr>
        <w:t>erence into any filing of the Registrant, whether made before or after the date hereof, regardless of any general incorporation language in such filing.</w:t>
      </w:r>
    </w:p>
    <w:p w:rsidR="00000000" w:rsidRDefault="00DA1786">
      <w:pPr>
        <w:ind w:firstLine="720"/>
        <w:jc w:val="center"/>
        <w:divId w:val="1623727045"/>
        <w:rPr>
          <w:rFonts w:eastAsia="Times New Roman"/>
        </w:rPr>
      </w:pPr>
      <w:r>
        <w:rPr>
          <w:rFonts w:eastAsia="Times New Roman"/>
          <w:color w:val="000000"/>
          <w:sz w:val="20"/>
          <w:szCs w:val="20"/>
        </w:rPr>
        <w:t>78</w:t>
      </w:r>
    </w:p>
    <w:p w:rsidR="00000000" w:rsidRDefault="00DA1786">
      <w:pPr>
        <w:rPr>
          <w:rFonts w:eastAsia="Times New Roman"/>
        </w:rPr>
      </w:pPr>
      <w:r>
        <w:rPr>
          <w:rFonts w:eastAsia="Times New Roman"/>
        </w:rPr>
        <w:pict>
          <v:rect id="_x0000_i1103" style="width:0;height:1.5pt" o:hralign="center" o:hrstd="t" o:hr="t" fillcolor="#a0a0a0" stroked="f"/>
        </w:pict>
      </w:r>
    </w:p>
    <w:p w:rsidR="00000000" w:rsidRDefault="00DA1786">
      <w:pPr>
        <w:divId w:val="1438791093"/>
        <w:rPr>
          <w:rFonts w:eastAsia="Times New Roman"/>
        </w:rPr>
      </w:pPr>
    </w:p>
    <w:p w:rsidR="00000000" w:rsidRDefault="00DA1786">
      <w:pPr>
        <w:divId w:val="1591162255"/>
        <w:rPr>
          <w:rFonts w:eastAsia="Times New Roman"/>
        </w:rPr>
      </w:pPr>
      <w:r>
        <w:rPr>
          <w:rFonts w:eastAsia="Times New Roman"/>
          <w:b/>
          <w:bCs/>
          <w:color w:val="000000"/>
          <w:sz w:val="20"/>
          <w:szCs w:val="20"/>
        </w:rPr>
        <w:t>ITEM 16. FORM 10-K SUMMARY</w:t>
      </w:r>
    </w:p>
    <w:p w:rsidR="00000000" w:rsidRDefault="00DA1786">
      <w:pPr>
        <w:divId w:val="1098596567"/>
        <w:rPr>
          <w:rFonts w:eastAsia="Times New Roman"/>
        </w:rPr>
      </w:pPr>
      <w:r>
        <w:rPr>
          <w:rFonts w:eastAsia="Times New Roman"/>
          <w:color w:val="000000"/>
          <w:sz w:val="20"/>
          <w:szCs w:val="20"/>
        </w:rPr>
        <w:t>Not applicable.</w:t>
      </w:r>
    </w:p>
    <w:p w:rsidR="00000000" w:rsidRDefault="00DA1786">
      <w:pPr>
        <w:ind w:firstLine="720"/>
        <w:jc w:val="center"/>
        <w:divId w:val="455953381"/>
        <w:rPr>
          <w:rFonts w:eastAsia="Times New Roman"/>
        </w:rPr>
      </w:pPr>
      <w:r>
        <w:rPr>
          <w:rFonts w:eastAsia="Times New Roman"/>
          <w:color w:val="000000"/>
          <w:sz w:val="20"/>
          <w:szCs w:val="20"/>
        </w:rPr>
        <w:t>79</w:t>
      </w:r>
    </w:p>
    <w:p w:rsidR="00000000" w:rsidRDefault="00DA1786">
      <w:pPr>
        <w:rPr>
          <w:rFonts w:eastAsia="Times New Roman"/>
        </w:rPr>
      </w:pPr>
      <w:r>
        <w:rPr>
          <w:rFonts w:eastAsia="Times New Roman"/>
        </w:rPr>
        <w:pict>
          <v:rect id="_x0000_i1104" style="width:0;height:1.5pt" o:hralign="center" o:hrstd="t" o:hr="t" fillcolor="#a0a0a0" stroked="f"/>
        </w:pict>
      </w:r>
    </w:p>
    <w:p w:rsidR="00000000" w:rsidRDefault="00DA1786">
      <w:pPr>
        <w:divId w:val="667288972"/>
        <w:rPr>
          <w:rFonts w:eastAsia="Times New Roman"/>
        </w:rPr>
      </w:pPr>
    </w:p>
    <w:p w:rsidR="00000000" w:rsidRDefault="00DA1786">
      <w:pPr>
        <w:jc w:val="center"/>
        <w:divId w:val="605695017"/>
        <w:rPr>
          <w:rFonts w:eastAsia="Times New Roman"/>
        </w:rPr>
      </w:pPr>
      <w:r>
        <w:rPr>
          <w:rFonts w:eastAsia="Times New Roman"/>
          <w:b/>
          <w:bCs/>
          <w:color w:val="000000"/>
          <w:sz w:val="20"/>
          <w:szCs w:val="20"/>
        </w:rPr>
        <w:t>SIGNATURES</w:t>
      </w:r>
    </w:p>
    <w:p w:rsidR="00000000" w:rsidRDefault="00DA1786">
      <w:pPr>
        <w:jc w:val="both"/>
        <w:divId w:val="807822763"/>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p>
    <w:tbl>
      <w:tblPr>
        <w:tblW w:w="4992" w:type="pct"/>
        <w:tblCellMar>
          <w:top w:w="15" w:type="dxa"/>
          <w:left w:w="15" w:type="dxa"/>
          <w:bottom w:w="15" w:type="dxa"/>
          <w:right w:w="15" w:type="dxa"/>
        </w:tblCellMar>
        <w:tblLook w:val="04A0" w:firstRow="1" w:lastRow="0" w:firstColumn="1" w:lastColumn="0" w:noHBand="0" w:noVBand="1"/>
      </w:tblPr>
      <w:tblGrid>
        <w:gridCol w:w="69"/>
        <w:gridCol w:w="4740"/>
        <w:gridCol w:w="36"/>
        <w:gridCol w:w="69"/>
        <w:gridCol w:w="573"/>
        <w:gridCol w:w="36"/>
        <w:gridCol w:w="69"/>
        <w:gridCol w:w="2665"/>
        <w:gridCol w:w="36"/>
      </w:tblGrid>
      <w:tr w:rsidR="00000000">
        <w:trPr>
          <w:divId w:val="1083376689"/>
        </w:trPr>
        <w:tc>
          <w:tcPr>
            <w:tcW w:w="50" w:type="pct"/>
            <w:vAlign w:val="center"/>
            <w:hideMark/>
          </w:tcPr>
          <w:p w:rsidR="00000000" w:rsidRDefault="00DA1786">
            <w:pPr>
              <w:jc w:val="both"/>
              <w:rPr>
                <w:rFonts w:eastAsia="Times New Roman"/>
              </w:rPr>
            </w:pPr>
          </w:p>
        </w:tc>
        <w:tc>
          <w:tcPr>
            <w:tcW w:w="286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354"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1614"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083376689"/>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6"/>
            <w:tcMar>
              <w:top w:w="30" w:type="dxa"/>
              <w:left w:w="20" w:type="dxa"/>
              <w:bottom w:w="30" w:type="dxa"/>
              <w:right w:w="20" w:type="dxa"/>
            </w:tcMar>
            <w:hideMark/>
          </w:tcPr>
          <w:p w:rsidR="00000000" w:rsidRDefault="00DA1786">
            <w:pPr>
              <w:divId w:val="1755277716"/>
              <w:rPr>
                <w:rFonts w:eastAsia="Times New Roman"/>
              </w:rPr>
            </w:pPr>
            <w:r>
              <w:rPr>
                <w:rFonts w:eastAsia="Times New Roman"/>
                <w:color w:val="000000"/>
                <w:sz w:val="18"/>
                <w:szCs w:val="18"/>
              </w:rPr>
              <w:t>MILLENDO THERAPEUTICS, INC.</w:t>
            </w:r>
          </w:p>
        </w:tc>
      </w:tr>
      <w:tr w:rsidR="00000000">
        <w:trPr>
          <w:divId w:val="1083376689"/>
        </w:trPr>
        <w:tc>
          <w:tcPr>
            <w:tcW w:w="0" w:type="auto"/>
            <w:gridSpan w:val="3"/>
            <w:tcMar>
              <w:top w:w="0" w:type="dxa"/>
              <w:left w:w="20" w:type="dxa"/>
              <w:bottom w:w="0" w:type="dxa"/>
              <w:right w:w="20" w:type="dxa"/>
            </w:tcMar>
            <w:vAlign w:val="center"/>
            <w:hideMark/>
          </w:tcPr>
          <w:p w:rsidR="00000000" w:rsidRDefault="00DA1786">
            <w:pPr>
              <w:rPr>
                <w:rFonts w:eastAsia="Times New Roman"/>
              </w:rPr>
            </w:pPr>
          </w:p>
        </w:tc>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18"/>
                <w:szCs w:val="18"/>
              </w:rPr>
              <w:t>By:</w:t>
            </w:r>
          </w:p>
        </w:tc>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Louis Arcudi III</w:t>
            </w:r>
          </w:p>
        </w:tc>
      </w:tr>
      <w:tr w:rsidR="00000000">
        <w:trPr>
          <w:divId w:val="1083376689"/>
        </w:trPr>
        <w:tc>
          <w:tcPr>
            <w:tcW w:w="0" w:type="auto"/>
            <w:gridSpan w:val="3"/>
            <w:tcMar>
              <w:top w:w="30" w:type="dxa"/>
              <w:left w:w="20" w:type="dxa"/>
              <w:bottom w:w="30" w:type="dxa"/>
              <w:right w:w="20" w:type="dxa"/>
            </w:tcMar>
            <w:hideMark/>
          </w:tcPr>
          <w:p w:rsidR="00000000" w:rsidRDefault="00DA1786">
            <w:pPr>
              <w:rPr>
                <w:rFonts w:eastAsia="Times New Roman"/>
              </w:rPr>
            </w:pPr>
            <w:r>
              <w:rPr>
                <w:rFonts w:eastAsia="Times New Roman"/>
                <w:color w:val="000000"/>
                <w:sz w:val="20"/>
                <w:szCs w:val="20"/>
              </w:rPr>
              <w:t>March 29, 2021</w:t>
            </w:r>
          </w:p>
        </w:tc>
        <w:tc>
          <w:tcPr>
            <w:tcW w:w="0" w:type="auto"/>
            <w:gridSpan w:val="3"/>
            <w:tcMar>
              <w:top w:w="0" w:type="dxa"/>
              <w:left w:w="20" w:type="dxa"/>
              <w:bottom w:w="0" w:type="dxa"/>
              <w:right w:w="20" w:type="dxa"/>
            </w:tcMar>
            <w:vAlign w:val="center"/>
            <w:hideMark/>
          </w:tcPr>
          <w:p w:rsidR="00000000" w:rsidRDefault="00DA1786">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Louis Arcudi III</w:t>
            </w:r>
          </w:p>
          <w:p w:rsidR="00000000" w:rsidRDefault="00DA1786">
            <w:pPr>
              <w:jc w:val="center"/>
              <w:rPr>
                <w:rFonts w:eastAsia="Times New Roman"/>
              </w:rPr>
            </w:pPr>
            <w:r>
              <w:rPr>
                <w:rFonts w:eastAsia="Times New Roman"/>
                <w:i/>
                <w:iCs/>
                <w:color w:val="000000"/>
                <w:sz w:val="18"/>
                <w:szCs w:val="18"/>
              </w:rPr>
              <w:t>President and Chief Executive Officer</w:t>
            </w:r>
          </w:p>
        </w:tc>
      </w:tr>
    </w:tbl>
    <w:p w:rsidR="00000000" w:rsidRDefault="00DA1786">
      <w:pPr>
        <w:jc w:val="both"/>
        <w:divId w:val="1529902836"/>
        <w:rPr>
          <w:rFonts w:eastAsia="Times New Roman"/>
        </w:rPr>
      </w:pPr>
      <w:r>
        <w:rPr>
          <w:rFonts w:eastAsia="Times New Roman"/>
          <w:color w:val="000000"/>
          <w:sz w:val="20"/>
          <w:szCs w:val="20"/>
        </w:rPr>
        <w:t xml:space="preserve">KNOW ALL PERSONS BY THESE PRESENTS, that each person whose signature appears below constitutes and appoints Louis Arcudi III </w:t>
      </w:r>
      <w:r>
        <w:rPr>
          <w:rFonts w:eastAsia="Times New Roman"/>
          <w:color w:val="231F20"/>
          <w:sz w:val="20"/>
          <w:szCs w:val="20"/>
        </w:rPr>
        <w:t>and Jennifer Minai-Azary</w:t>
      </w:r>
      <w:r>
        <w:rPr>
          <w:rFonts w:eastAsia="Times New Roman"/>
          <w:color w:val="000000"/>
          <w:sz w:val="20"/>
          <w:szCs w:val="20"/>
        </w:rPr>
        <w:t>, jointly and severally, as his or her true and lawful attorneys-in-fact and agents, with full power of sub</w:t>
      </w:r>
      <w:r>
        <w:rPr>
          <w:rFonts w:eastAsia="Times New Roman"/>
          <w:color w:val="000000"/>
          <w:sz w:val="20"/>
          <w:szCs w:val="20"/>
        </w:rPr>
        <w:t>stitution and resubstitution, for him or her and in his or her name, place and stead, in any and all capacities, to sign this Annual Report on Form 10-K of Millendo Therapeutics, Inc., and any or all amendments thereto, and to file the same, with all exhib</w:t>
      </w:r>
      <w:r>
        <w:rPr>
          <w:rFonts w:eastAsia="Times New Roman"/>
          <w:color w:val="000000"/>
          <w:sz w:val="20"/>
          <w:szCs w:val="20"/>
        </w:rPr>
        <w:t>its thereto, and other documents in connection therewith, with the Securities and Exchange Commission, granting unto said attorneys-in-fact and agents full power and authority to do and perform each and every act and thing requisite or necessary to be done</w:t>
      </w:r>
      <w:r>
        <w:rPr>
          <w:rFonts w:eastAsia="Times New Roman"/>
          <w:color w:val="000000"/>
          <w:sz w:val="20"/>
          <w:szCs w:val="20"/>
        </w:rPr>
        <w:t xml:space="preserve"> in and about the premises hereby ratifying and confirming all that said attorneys-in-fact and agents, or his, her or their substitute or substitutes, may lawfully do or cause to be done by virtue hereof.</w:t>
      </w:r>
    </w:p>
    <w:p w:rsidR="00000000" w:rsidRDefault="00DA1786">
      <w:pPr>
        <w:jc w:val="both"/>
        <w:divId w:val="692994642"/>
        <w:rPr>
          <w:rFonts w:eastAsia="Times New Roman"/>
        </w:rPr>
      </w:pPr>
      <w:r>
        <w:rPr>
          <w:rFonts w:eastAsia="Times New Roman"/>
          <w:color w:val="000000"/>
          <w:sz w:val="20"/>
          <w:szCs w:val="20"/>
        </w:rPr>
        <w:t>Pursuant to the requirements of the Securities Exch</w:t>
      </w:r>
      <w:r>
        <w:rPr>
          <w:rFonts w:eastAsia="Times New Roman"/>
          <w:color w:val="000000"/>
          <w:sz w:val="20"/>
          <w:szCs w:val="20"/>
        </w:rPr>
        <w:t>ange Act of 1934, as amended, this report has been signed below by the following persons on behalf of the registrant and in the capacities and on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63"/>
        <w:gridCol w:w="3446"/>
        <w:gridCol w:w="37"/>
        <w:gridCol w:w="36"/>
        <w:gridCol w:w="36"/>
        <w:gridCol w:w="36"/>
        <w:gridCol w:w="50"/>
        <w:gridCol w:w="3446"/>
        <w:gridCol w:w="38"/>
        <w:gridCol w:w="63"/>
        <w:gridCol w:w="994"/>
        <w:gridCol w:w="36"/>
      </w:tblGrid>
      <w:tr w:rsidR="00000000">
        <w:trPr>
          <w:divId w:val="1986080877"/>
        </w:trPr>
        <w:tc>
          <w:tcPr>
            <w:tcW w:w="50" w:type="pct"/>
            <w:vAlign w:val="center"/>
            <w:hideMark/>
          </w:tcPr>
          <w:p w:rsidR="00000000" w:rsidRDefault="00DA1786">
            <w:pPr>
              <w:jc w:val="both"/>
              <w:rPr>
                <w:rFonts w:eastAsia="Times New Roman"/>
              </w:rPr>
            </w:pPr>
          </w:p>
        </w:tc>
        <w:tc>
          <w:tcPr>
            <w:tcW w:w="2093"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26"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2093"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c>
          <w:tcPr>
            <w:tcW w:w="50" w:type="pct"/>
            <w:vAlign w:val="center"/>
            <w:hideMark/>
          </w:tcPr>
          <w:p w:rsidR="00000000" w:rsidRDefault="00DA1786">
            <w:pPr>
              <w:rPr>
                <w:rFonts w:eastAsia="Times New Roman"/>
                <w:sz w:val="20"/>
                <w:szCs w:val="20"/>
              </w:rPr>
            </w:pPr>
          </w:p>
        </w:tc>
        <w:tc>
          <w:tcPr>
            <w:tcW w:w="612" w:type="pct"/>
            <w:vAlign w:val="center"/>
            <w:hideMark/>
          </w:tcPr>
          <w:p w:rsidR="00000000" w:rsidRDefault="00DA1786">
            <w:pPr>
              <w:rPr>
                <w:rFonts w:eastAsia="Times New Roman"/>
                <w:sz w:val="20"/>
                <w:szCs w:val="20"/>
              </w:rPr>
            </w:pPr>
          </w:p>
        </w:tc>
        <w:tc>
          <w:tcPr>
            <w:tcW w:w="5" w:type="pct"/>
            <w:vAlign w:val="center"/>
            <w:hideMark/>
          </w:tcPr>
          <w:p w:rsidR="00000000" w:rsidRDefault="00DA1786">
            <w:pPr>
              <w:rPr>
                <w:rFonts w:eastAsia="Times New Roman"/>
                <w:sz w:val="20"/>
                <w:szCs w:val="20"/>
              </w:rPr>
            </w:pPr>
          </w:p>
        </w:tc>
      </w:tr>
      <w:tr w:rsidR="00000000">
        <w:trPr>
          <w:divId w:val="1986080877"/>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DA1786">
            <w:pPr>
              <w:divId w:val="1398632095"/>
              <w:rPr>
                <w:rFonts w:eastAsia="Times New Roman"/>
              </w:rPr>
            </w:pPr>
            <w:r>
              <w:rPr>
                <w:rFonts w:eastAsia="Times New Roman"/>
                <w:b/>
                <w:bCs/>
                <w:color w:val="000000"/>
                <w:sz w:val="18"/>
                <w:szCs w:val="18"/>
              </w:rPr>
              <w:t>Signature</w:t>
            </w: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DA1786">
            <w:pP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DA1786">
            <w:pPr>
              <w:rPr>
                <w:rFonts w:eastAsia="Times New Roman"/>
              </w:rPr>
            </w:pPr>
            <w:r>
              <w:rPr>
                <w:rFonts w:eastAsia="Times New Roman"/>
                <w:b/>
                <w:bCs/>
                <w:color w:val="000000"/>
                <w:sz w:val="18"/>
                <w:szCs w:val="18"/>
              </w:rPr>
              <w:t>Title</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b/>
                <w:bCs/>
                <w:color w:val="000000"/>
                <w:sz w:val="20"/>
                <w:szCs w:val="20"/>
              </w:rPr>
              <w:t>Date</w:t>
            </w:r>
          </w:p>
        </w:tc>
      </w:tr>
      <w:tr w:rsidR="00000000">
        <w:trPr>
          <w:divId w:val="1986080877"/>
          <w:trHeight w:val="280"/>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Louis Arcudi III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A1786">
            <w:pPr>
              <w:divId w:val="1676691975"/>
              <w:rPr>
                <w:rFonts w:eastAsia="Times New Roman"/>
              </w:rPr>
            </w:pPr>
            <w:r>
              <w:rPr>
                <w:rFonts w:eastAsia="Times New Roman"/>
                <w:color w:val="000000"/>
                <w:sz w:val="18"/>
                <w:szCs w:val="18"/>
              </w:rPr>
              <w:t xml:space="preserve">President, Chief Executive Officer and Director </w:t>
            </w:r>
            <w:r>
              <w:rPr>
                <w:rFonts w:eastAsia="Times New Roman"/>
                <w:i/>
                <w:iCs/>
                <w:color w:val="000000"/>
                <w:sz w:val="18"/>
                <w:szCs w:val="18"/>
              </w:rPr>
              <w:t>(Principal Executive Officer)</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Louis Arcudi III</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tcBorders>
              <w:top w:val="single" w:sz="8" w:space="0" w:color="000000"/>
            </w:tcBorders>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280"/>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Jennifer Minai-Azary</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1786">
            <w:pPr>
              <w:divId w:val="287012612"/>
              <w:rPr>
                <w:rFonts w:eastAsia="Times New Roman"/>
              </w:rPr>
            </w:pPr>
            <w:r>
              <w:rPr>
                <w:rFonts w:eastAsia="Times New Roman"/>
                <w:color w:val="000000"/>
                <w:sz w:val="18"/>
                <w:szCs w:val="18"/>
              </w:rPr>
              <w:t>Chief Financial Officer</w:t>
            </w:r>
          </w:p>
          <w:p w:rsidR="00000000" w:rsidRDefault="00DA1786">
            <w:pPr>
              <w:divId w:val="88236129"/>
              <w:rPr>
                <w:rFonts w:eastAsia="Times New Roman"/>
              </w:rPr>
            </w:pPr>
            <w:r>
              <w:rPr>
                <w:rFonts w:eastAsia="Times New Roman"/>
                <w:i/>
                <w:iCs/>
                <w:color w:val="000000"/>
                <w:sz w:val="18"/>
                <w:szCs w:val="18"/>
              </w:rPr>
              <w:t>(Principal Financial Officer and Principal Accounting Officer)</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Jennifer Minai-Azary</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vMerge/>
            <w:vAlign w:val="center"/>
            <w:hideMark/>
          </w:tcPr>
          <w:p w:rsidR="00000000" w:rsidRDefault="00DA1786">
            <w:pP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Julia C. Owens, Ph.D.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Chairperson of the Board of Directors</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Julia C. Owens, Ph.D.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Carol Gallagher, Pharm.D.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Director</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Carol Gallagher, Pharm.D.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James Hindman</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Director</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James Hindman</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John P. Howe, III, M.D.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Director</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John P. Howe, III, M.D.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Geoff Nichol, M.B., Ch.B., M.B.A.</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Director</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Geoff Nichol, M.B., Ch.B., M.B.A.</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Height w:val="60"/>
        </w:trPr>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r w:rsidR="00000000">
        <w:trPr>
          <w:divId w:val="1986080877"/>
        </w:trPr>
        <w:tc>
          <w:tcPr>
            <w:tcW w:w="0" w:type="auto"/>
            <w:gridSpan w:val="3"/>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i/>
                <w:iCs/>
                <w:color w:val="000000"/>
                <w:sz w:val="18"/>
                <w:szCs w:val="18"/>
              </w:rPr>
              <w:t>/s/ Carole Nuechterlein, J.D.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Director</w:t>
            </w:r>
          </w:p>
        </w:tc>
        <w:tc>
          <w:tcPr>
            <w:tcW w:w="0" w:type="auto"/>
            <w:gridSpan w:val="3"/>
            <w:tcMar>
              <w:top w:w="30" w:type="dxa"/>
              <w:left w:w="20" w:type="dxa"/>
              <w:bottom w:w="30" w:type="dxa"/>
              <w:right w:w="20" w:type="dxa"/>
            </w:tcMar>
            <w:vAlign w:val="bottom"/>
            <w:hideMark/>
          </w:tcPr>
          <w:p w:rsidR="00000000" w:rsidRDefault="00DA1786">
            <w:pPr>
              <w:rPr>
                <w:rFonts w:eastAsia="Times New Roman"/>
              </w:rPr>
            </w:pPr>
            <w:r>
              <w:rPr>
                <w:rFonts w:eastAsia="Times New Roman"/>
                <w:color w:val="000000"/>
                <w:sz w:val="18"/>
                <w:szCs w:val="18"/>
              </w:rPr>
              <w:t>March 29, 2021</w:t>
            </w:r>
          </w:p>
        </w:tc>
      </w:tr>
      <w:tr w:rsidR="00000000">
        <w:trPr>
          <w:divId w:val="198608087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1786">
            <w:pPr>
              <w:jc w:val="center"/>
              <w:rPr>
                <w:rFonts w:eastAsia="Times New Roman"/>
              </w:rPr>
            </w:pPr>
            <w:r>
              <w:rPr>
                <w:rFonts w:eastAsia="Times New Roman"/>
                <w:color w:val="000000"/>
                <w:sz w:val="18"/>
                <w:szCs w:val="18"/>
              </w:rPr>
              <w:t>Carole Nuechterlein, J.D.</w:t>
            </w:r>
          </w:p>
        </w:tc>
        <w:tc>
          <w:tcPr>
            <w:tcW w:w="0" w:type="auto"/>
            <w:gridSpan w:val="3"/>
            <w:tcMar>
              <w:top w:w="0" w:type="dxa"/>
              <w:left w:w="20" w:type="dxa"/>
              <w:bottom w:w="0" w:type="dxa"/>
              <w:right w:w="20" w:type="dxa"/>
            </w:tcMar>
            <w:vAlign w:val="center"/>
            <w:hideMark/>
          </w:tcPr>
          <w:p w:rsidR="00000000" w:rsidRDefault="00DA1786">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A1786">
            <w:pPr>
              <w:rPr>
                <w:rFonts w:eastAsia="Times New Roman"/>
                <w:sz w:val="20"/>
                <w:szCs w:val="20"/>
              </w:rPr>
            </w:pPr>
          </w:p>
        </w:tc>
      </w:tr>
    </w:tbl>
    <w:p w:rsidR="00000000" w:rsidRDefault="00DA1786">
      <w:pPr>
        <w:divId w:val="1468820494"/>
        <w:rPr>
          <w:rFonts w:eastAsia="Times New Roman"/>
        </w:rPr>
      </w:pPr>
    </w:p>
    <w:p w:rsidR="00DA1786" w:rsidRDefault="00DA1786">
      <w:pPr>
        <w:ind w:firstLine="720"/>
        <w:jc w:val="center"/>
        <w:divId w:val="2055690008"/>
        <w:rPr>
          <w:rFonts w:eastAsia="Times New Roman"/>
        </w:rPr>
      </w:pPr>
      <w:r>
        <w:rPr>
          <w:rFonts w:eastAsia="Times New Roman"/>
          <w:color w:val="000000"/>
          <w:sz w:val="20"/>
          <w:szCs w:val="20"/>
        </w:rPr>
        <w:t>80</w:t>
      </w:r>
    </w:p>
    <w:sectPr w:rsidR="00DA178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1786"/>
    <w:rsid w:val="00DA1786"/>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xbrl.sec.gov/dei/2020-01-31"/>
  <w:attachedSchema w:val="http://fasb.org/us-gaap/2020-01-31"/>
  <w:attachedSchema w:val="http://xbrl.org/2006/xbrldi"/>
  <w:attachedSchema w:val="http://www.xbrl.org/2013/inlineXBRL"/>
  <w:attachedSchema w:val="http://fasb.org/srt/2020-01-31"/>
  <w:attachedSchema w:val="http://www.xbrl.org/2003/instance"/>
  <w:attachedSchema w:val="http://www.sec.gov/inlineXBRL/transformation/2015-08-31"/>
  <w:attachedSchema w:val="http://www.xbrl.org/2003/iso4217"/>
  <w:attachedSchema w:val="http://www.millendo.com/20201231"/>
  <w:attachedSchema w:val="http://www.xbrl.org/inlineXBRL/transformation/2015-02-26"/>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098">
      <w:marLeft w:val="0"/>
      <w:marRight w:val="0"/>
      <w:marTop w:val="240"/>
      <w:marBottom w:val="0"/>
      <w:divBdr>
        <w:top w:val="none" w:sz="0" w:space="0" w:color="auto"/>
        <w:left w:val="none" w:sz="0" w:space="0" w:color="auto"/>
        <w:bottom w:val="none" w:sz="0" w:space="0" w:color="auto"/>
        <w:right w:val="none" w:sz="0" w:space="0" w:color="auto"/>
      </w:divBdr>
    </w:div>
    <w:div w:id="6565842">
      <w:marLeft w:val="0"/>
      <w:marRight w:val="0"/>
      <w:marTop w:val="240"/>
      <w:marBottom w:val="0"/>
      <w:divBdr>
        <w:top w:val="none" w:sz="0" w:space="0" w:color="auto"/>
        <w:left w:val="none" w:sz="0" w:space="0" w:color="auto"/>
        <w:bottom w:val="none" w:sz="0" w:space="0" w:color="auto"/>
        <w:right w:val="none" w:sz="0" w:space="0" w:color="auto"/>
      </w:divBdr>
    </w:div>
    <w:div w:id="9722480">
      <w:marLeft w:val="0"/>
      <w:marRight w:val="0"/>
      <w:marTop w:val="240"/>
      <w:marBottom w:val="0"/>
      <w:divBdr>
        <w:top w:val="none" w:sz="0" w:space="0" w:color="auto"/>
        <w:left w:val="none" w:sz="0" w:space="0" w:color="auto"/>
        <w:bottom w:val="none" w:sz="0" w:space="0" w:color="auto"/>
        <w:right w:val="none" w:sz="0" w:space="0" w:color="auto"/>
      </w:divBdr>
    </w:div>
    <w:div w:id="11928053">
      <w:marLeft w:val="0"/>
      <w:marRight w:val="0"/>
      <w:marTop w:val="240"/>
      <w:marBottom w:val="0"/>
      <w:divBdr>
        <w:top w:val="none" w:sz="0" w:space="0" w:color="auto"/>
        <w:left w:val="none" w:sz="0" w:space="0" w:color="auto"/>
        <w:bottom w:val="none" w:sz="0" w:space="0" w:color="auto"/>
        <w:right w:val="none" w:sz="0" w:space="0" w:color="auto"/>
      </w:divBdr>
    </w:div>
    <w:div w:id="14119668">
      <w:marLeft w:val="0"/>
      <w:marRight w:val="0"/>
      <w:marTop w:val="160"/>
      <w:marBottom w:val="0"/>
      <w:divBdr>
        <w:top w:val="none" w:sz="0" w:space="0" w:color="auto"/>
        <w:left w:val="none" w:sz="0" w:space="0" w:color="auto"/>
        <w:bottom w:val="none" w:sz="0" w:space="0" w:color="auto"/>
        <w:right w:val="none" w:sz="0" w:space="0" w:color="auto"/>
      </w:divBdr>
    </w:div>
    <w:div w:id="16809558">
      <w:marLeft w:val="0"/>
      <w:marRight w:val="0"/>
      <w:marTop w:val="0"/>
      <w:marBottom w:val="0"/>
      <w:divBdr>
        <w:top w:val="none" w:sz="0" w:space="0" w:color="auto"/>
        <w:left w:val="none" w:sz="0" w:space="0" w:color="auto"/>
        <w:bottom w:val="none" w:sz="0" w:space="0" w:color="auto"/>
        <w:right w:val="none" w:sz="0" w:space="0" w:color="auto"/>
      </w:divBdr>
    </w:div>
    <w:div w:id="19742324">
      <w:marLeft w:val="0"/>
      <w:marRight w:val="0"/>
      <w:marTop w:val="160"/>
      <w:marBottom w:val="0"/>
      <w:divBdr>
        <w:top w:val="none" w:sz="0" w:space="0" w:color="auto"/>
        <w:left w:val="none" w:sz="0" w:space="0" w:color="auto"/>
        <w:bottom w:val="none" w:sz="0" w:space="0" w:color="auto"/>
        <w:right w:val="none" w:sz="0" w:space="0" w:color="auto"/>
      </w:divBdr>
    </w:div>
    <w:div w:id="24720790">
      <w:marLeft w:val="0"/>
      <w:marRight w:val="0"/>
      <w:marTop w:val="0"/>
      <w:marBottom w:val="0"/>
      <w:divBdr>
        <w:top w:val="none" w:sz="0" w:space="0" w:color="auto"/>
        <w:left w:val="none" w:sz="0" w:space="0" w:color="auto"/>
        <w:bottom w:val="none" w:sz="0" w:space="0" w:color="auto"/>
        <w:right w:val="none" w:sz="0" w:space="0" w:color="auto"/>
      </w:divBdr>
      <w:divsChild>
        <w:div w:id="2037267874">
          <w:marLeft w:val="0"/>
          <w:marRight w:val="0"/>
          <w:marTop w:val="0"/>
          <w:marBottom w:val="0"/>
          <w:divBdr>
            <w:top w:val="none" w:sz="0" w:space="0" w:color="auto"/>
            <w:left w:val="none" w:sz="0" w:space="0" w:color="auto"/>
            <w:bottom w:val="none" w:sz="0" w:space="0" w:color="auto"/>
            <w:right w:val="none" w:sz="0" w:space="0" w:color="auto"/>
          </w:divBdr>
        </w:div>
      </w:divsChild>
    </w:div>
    <w:div w:id="25102118">
      <w:marLeft w:val="0"/>
      <w:marRight w:val="0"/>
      <w:marTop w:val="240"/>
      <w:marBottom w:val="0"/>
      <w:divBdr>
        <w:top w:val="none" w:sz="0" w:space="0" w:color="auto"/>
        <w:left w:val="none" w:sz="0" w:space="0" w:color="auto"/>
        <w:bottom w:val="none" w:sz="0" w:space="0" w:color="auto"/>
        <w:right w:val="none" w:sz="0" w:space="0" w:color="auto"/>
      </w:divBdr>
    </w:div>
    <w:div w:id="30039180">
      <w:marLeft w:val="0"/>
      <w:marRight w:val="0"/>
      <w:marTop w:val="240"/>
      <w:marBottom w:val="0"/>
      <w:divBdr>
        <w:top w:val="none" w:sz="0" w:space="0" w:color="auto"/>
        <w:left w:val="none" w:sz="0" w:space="0" w:color="auto"/>
        <w:bottom w:val="none" w:sz="0" w:space="0" w:color="auto"/>
        <w:right w:val="none" w:sz="0" w:space="0" w:color="auto"/>
      </w:divBdr>
    </w:div>
    <w:div w:id="41445144">
      <w:marLeft w:val="0"/>
      <w:marRight w:val="0"/>
      <w:marTop w:val="24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sChild>
        <w:div w:id="1160466261">
          <w:marLeft w:val="0"/>
          <w:marRight w:val="0"/>
          <w:marTop w:val="0"/>
          <w:marBottom w:val="0"/>
          <w:divBdr>
            <w:top w:val="none" w:sz="0" w:space="0" w:color="auto"/>
            <w:left w:val="none" w:sz="0" w:space="0" w:color="auto"/>
            <w:bottom w:val="none" w:sz="0" w:space="0" w:color="auto"/>
            <w:right w:val="none" w:sz="0" w:space="0" w:color="auto"/>
          </w:divBdr>
          <w:divsChild>
            <w:div w:id="594946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8699832">
      <w:marLeft w:val="0"/>
      <w:marRight w:val="0"/>
      <w:marTop w:val="240"/>
      <w:marBottom w:val="0"/>
      <w:divBdr>
        <w:top w:val="none" w:sz="0" w:space="0" w:color="auto"/>
        <w:left w:val="none" w:sz="0" w:space="0" w:color="auto"/>
        <w:bottom w:val="none" w:sz="0" w:space="0" w:color="auto"/>
        <w:right w:val="none" w:sz="0" w:space="0" w:color="auto"/>
      </w:divBdr>
    </w:div>
    <w:div w:id="49043854">
      <w:marLeft w:val="0"/>
      <w:marRight w:val="0"/>
      <w:marTop w:val="0"/>
      <w:marBottom w:val="120"/>
      <w:divBdr>
        <w:top w:val="none" w:sz="0" w:space="0" w:color="auto"/>
        <w:left w:val="none" w:sz="0" w:space="0" w:color="auto"/>
        <w:bottom w:val="none" w:sz="0" w:space="0" w:color="auto"/>
        <w:right w:val="none" w:sz="0" w:space="0" w:color="auto"/>
      </w:divBdr>
    </w:div>
    <w:div w:id="51388037">
      <w:marLeft w:val="0"/>
      <w:marRight w:val="0"/>
      <w:marTop w:val="240"/>
      <w:marBottom w:val="0"/>
      <w:divBdr>
        <w:top w:val="none" w:sz="0" w:space="0" w:color="auto"/>
        <w:left w:val="none" w:sz="0" w:space="0" w:color="auto"/>
        <w:bottom w:val="none" w:sz="0" w:space="0" w:color="auto"/>
        <w:right w:val="none" w:sz="0" w:space="0" w:color="auto"/>
      </w:divBdr>
    </w:div>
    <w:div w:id="53621981">
      <w:marLeft w:val="0"/>
      <w:marRight w:val="0"/>
      <w:marTop w:val="240"/>
      <w:marBottom w:val="0"/>
      <w:divBdr>
        <w:top w:val="none" w:sz="0" w:space="0" w:color="auto"/>
        <w:left w:val="none" w:sz="0" w:space="0" w:color="auto"/>
        <w:bottom w:val="none" w:sz="0" w:space="0" w:color="auto"/>
        <w:right w:val="none" w:sz="0" w:space="0" w:color="auto"/>
      </w:divBdr>
    </w:div>
    <w:div w:id="60174273">
      <w:marLeft w:val="0"/>
      <w:marRight w:val="0"/>
      <w:marTop w:val="160"/>
      <w:marBottom w:val="0"/>
      <w:divBdr>
        <w:top w:val="none" w:sz="0" w:space="0" w:color="auto"/>
        <w:left w:val="none" w:sz="0" w:space="0" w:color="auto"/>
        <w:bottom w:val="none" w:sz="0" w:space="0" w:color="auto"/>
        <w:right w:val="none" w:sz="0" w:space="0" w:color="auto"/>
      </w:divBdr>
    </w:div>
    <w:div w:id="60757457">
      <w:marLeft w:val="0"/>
      <w:marRight w:val="0"/>
      <w:marTop w:val="240"/>
      <w:marBottom w:val="0"/>
      <w:divBdr>
        <w:top w:val="none" w:sz="0" w:space="0" w:color="auto"/>
        <w:left w:val="none" w:sz="0" w:space="0" w:color="auto"/>
        <w:bottom w:val="none" w:sz="0" w:space="0" w:color="auto"/>
        <w:right w:val="none" w:sz="0" w:space="0" w:color="auto"/>
      </w:divBdr>
    </w:div>
    <w:div w:id="62678963">
      <w:marLeft w:val="0"/>
      <w:marRight w:val="0"/>
      <w:marTop w:val="160"/>
      <w:marBottom w:val="0"/>
      <w:divBdr>
        <w:top w:val="none" w:sz="0" w:space="0" w:color="auto"/>
        <w:left w:val="none" w:sz="0" w:space="0" w:color="auto"/>
        <w:bottom w:val="none" w:sz="0" w:space="0" w:color="auto"/>
        <w:right w:val="none" w:sz="0" w:space="0" w:color="auto"/>
      </w:divBdr>
    </w:div>
    <w:div w:id="62801435">
      <w:marLeft w:val="0"/>
      <w:marRight w:val="0"/>
      <w:marTop w:val="240"/>
      <w:marBottom w:val="0"/>
      <w:divBdr>
        <w:top w:val="none" w:sz="0" w:space="0" w:color="auto"/>
        <w:left w:val="none" w:sz="0" w:space="0" w:color="auto"/>
        <w:bottom w:val="none" w:sz="0" w:space="0" w:color="auto"/>
        <w:right w:val="none" w:sz="0" w:space="0" w:color="auto"/>
      </w:divBdr>
    </w:div>
    <w:div w:id="62991637">
      <w:marLeft w:val="0"/>
      <w:marRight w:val="0"/>
      <w:marTop w:val="60"/>
      <w:marBottom w:val="0"/>
      <w:divBdr>
        <w:top w:val="none" w:sz="0" w:space="0" w:color="auto"/>
        <w:left w:val="none" w:sz="0" w:space="0" w:color="auto"/>
        <w:bottom w:val="none" w:sz="0" w:space="0" w:color="auto"/>
        <w:right w:val="none" w:sz="0" w:space="0" w:color="auto"/>
      </w:divBdr>
    </w:div>
    <w:div w:id="65342971">
      <w:marLeft w:val="0"/>
      <w:marRight w:val="0"/>
      <w:marTop w:val="240"/>
      <w:marBottom w:val="0"/>
      <w:divBdr>
        <w:top w:val="none" w:sz="0" w:space="0" w:color="auto"/>
        <w:left w:val="none" w:sz="0" w:space="0" w:color="auto"/>
        <w:bottom w:val="none" w:sz="0" w:space="0" w:color="auto"/>
        <w:right w:val="none" w:sz="0" w:space="0" w:color="auto"/>
      </w:divBdr>
    </w:div>
    <w:div w:id="66349197">
      <w:marLeft w:val="0"/>
      <w:marRight w:val="0"/>
      <w:marTop w:val="160"/>
      <w:marBottom w:val="0"/>
      <w:divBdr>
        <w:top w:val="none" w:sz="0" w:space="0" w:color="auto"/>
        <w:left w:val="none" w:sz="0" w:space="0" w:color="auto"/>
        <w:bottom w:val="none" w:sz="0" w:space="0" w:color="auto"/>
        <w:right w:val="none" w:sz="0" w:space="0" w:color="auto"/>
      </w:divBdr>
    </w:div>
    <w:div w:id="67191085">
      <w:marLeft w:val="0"/>
      <w:marRight w:val="0"/>
      <w:marTop w:val="160"/>
      <w:marBottom w:val="0"/>
      <w:divBdr>
        <w:top w:val="none" w:sz="0" w:space="0" w:color="auto"/>
        <w:left w:val="none" w:sz="0" w:space="0" w:color="auto"/>
        <w:bottom w:val="none" w:sz="0" w:space="0" w:color="auto"/>
        <w:right w:val="none" w:sz="0" w:space="0" w:color="auto"/>
      </w:divBdr>
    </w:div>
    <w:div w:id="70978742">
      <w:marLeft w:val="0"/>
      <w:marRight w:val="0"/>
      <w:marTop w:val="240"/>
      <w:marBottom w:val="0"/>
      <w:divBdr>
        <w:top w:val="none" w:sz="0" w:space="0" w:color="auto"/>
        <w:left w:val="none" w:sz="0" w:space="0" w:color="auto"/>
        <w:bottom w:val="none" w:sz="0" w:space="0" w:color="auto"/>
        <w:right w:val="none" w:sz="0" w:space="0" w:color="auto"/>
      </w:divBdr>
    </w:div>
    <w:div w:id="71246255">
      <w:marLeft w:val="0"/>
      <w:marRight w:val="0"/>
      <w:marTop w:val="240"/>
      <w:marBottom w:val="0"/>
      <w:divBdr>
        <w:top w:val="none" w:sz="0" w:space="0" w:color="auto"/>
        <w:left w:val="none" w:sz="0" w:space="0" w:color="auto"/>
        <w:bottom w:val="none" w:sz="0" w:space="0" w:color="auto"/>
        <w:right w:val="none" w:sz="0" w:space="0" w:color="auto"/>
      </w:divBdr>
    </w:div>
    <w:div w:id="72512735">
      <w:marLeft w:val="0"/>
      <w:marRight w:val="0"/>
      <w:marTop w:val="240"/>
      <w:marBottom w:val="0"/>
      <w:divBdr>
        <w:top w:val="none" w:sz="0" w:space="0" w:color="auto"/>
        <w:left w:val="none" w:sz="0" w:space="0" w:color="auto"/>
        <w:bottom w:val="none" w:sz="0" w:space="0" w:color="auto"/>
        <w:right w:val="none" w:sz="0" w:space="0" w:color="auto"/>
      </w:divBdr>
    </w:div>
    <w:div w:id="73476658">
      <w:marLeft w:val="0"/>
      <w:marRight w:val="0"/>
      <w:marTop w:val="240"/>
      <w:marBottom w:val="0"/>
      <w:divBdr>
        <w:top w:val="none" w:sz="0" w:space="0" w:color="auto"/>
        <w:left w:val="none" w:sz="0" w:space="0" w:color="auto"/>
        <w:bottom w:val="none" w:sz="0" w:space="0" w:color="auto"/>
        <w:right w:val="none" w:sz="0" w:space="0" w:color="auto"/>
      </w:divBdr>
    </w:div>
    <w:div w:id="74788876">
      <w:marLeft w:val="0"/>
      <w:marRight w:val="0"/>
      <w:marTop w:val="240"/>
      <w:marBottom w:val="0"/>
      <w:divBdr>
        <w:top w:val="none" w:sz="0" w:space="0" w:color="auto"/>
        <w:left w:val="none" w:sz="0" w:space="0" w:color="auto"/>
        <w:bottom w:val="none" w:sz="0" w:space="0" w:color="auto"/>
        <w:right w:val="none" w:sz="0" w:space="0" w:color="auto"/>
      </w:divBdr>
    </w:div>
    <w:div w:id="75639841">
      <w:marLeft w:val="0"/>
      <w:marRight w:val="0"/>
      <w:marTop w:val="160"/>
      <w:marBottom w:val="0"/>
      <w:divBdr>
        <w:top w:val="none" w:sz="0" w:space="0" w:color="auto"/>
        <w:left w:val="none" w:sz="0" w:space="0" w:color="auto"/>
        <w:bottom w:val="none" w:sz="0" w:space="0" w:color="auto"/>
        <w:right w:val="none" w:sz="0" w:space="0" w:color="auto"/>
      </w:divBdr>
    </w:div>
    <w:div w:id="77096660">
      <w:marLeft w:val="0"/>
      <w:marRight w:val="0"/>
      <w:marTop w:val="120"/>
      <w:marBottom w:val="0"/>
      <w:divBdr>
        <w:top w:val="none" w:sz="0" w:space="0" w:color="auto"/>
        <w:left w:val="none" w:sz="0" w:space="0" w:color="auto"/>
        <w:bottom w:val="none" w:sz="0" w:space="0" w:color="auto"/>
        <w:right w:val="none" w:sz="0" w:space="0" w:color="auto"/>
      </w:divBdr>
    </w:div>
    <w:div w:id="79257520">
      <w:marLeft w:val="0"/>
      <w:marRight w:val="0"/>
      <w:marTop w:val="160"/>
      <w:marBottom w:val="0"/>
      <w:divBdr>
        <w:top w:val="none" w:sz="0" w:space="0" w:color="auto"/>
        <w:left w:val="none" w:sz="0" w:space="0" w:color="auto"/>
        <w:bottom w:val="none" w:sz="0" w:space="0" w:color="auto"/>
        <w:right w:val="none" w:sz="0" w:space="0" w:color="auto"/>
      </w:divBdr>
    </w:div>
    <w:div w:id="81338173">
      <w:marLeft w:val="0"/>
      <w:marRight w:val="0"/>
      <w:marTop w:val="0"/>
      <w:marBottom w:val="0"/>
      <w:divBdr>
        <w:top w:val="none" w:sz="0" w:space="0" w:color="auto"/>
        <w:left w:val="none" w:sz="0" w:space="0" w:color="auto"/>
        <w:bottom w:val="none" w:sz="0" w:space="0" w:color="auto"/>
        <w:right w:val="none" w:sz="0" w:space="0" w:color="auto"/>
      </w:divBdr>
      <w:divsChild>
        <w:div w:id="508257197">
          <w:marLeft w:val="0"/>
          <w:marRight w:val="0"/>
          <w:marTop w:val="0"/>
          <w:marBottom w:val="0"/>
          <w:divBdr>
            <w:top w:val="none" w:sz="0" w:space="0" w:color="auto"/>
            <w:left w:val="none" w:sz="0" w:space="0" w:color="auto"/>
            <w:bottom w:val="none" w:sz="0" w:space="0" w:color="auto"/>
            <w:right w:val="none" w:sz="0" w:space="0" w:color="auto"/>
          </w:divBdr>
          <w:divsChild>
            <w:div w:id="6613970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2650741">
      <w:marLeft w:val="0"/>
      <w:marRight w:val="0"/>
      <w:marTop w:val="240"/>
      <w:marBottom w:val="0"/>
      <w:divBdr>
        <w:top w:val="none" w:sz="0" w:space="0" w:color="auto"/>
        <w:left w:val="none" w:sz="0" w:space="0" w:color="auto"/>
        <w:bottom w:val="none" w:sz="0" w:space="0" w:color="auto"/>
        <w:right w:val="none" w:sz="0" w:space="0" w:color="auto"/>
      </w:divBdr>
    </w:div>
    <w:div w:id="83839039">
      <w:marLeft w:val="0"/>
      <w:marRight w:val="0"/>
      <w:marTop w:val="240"/>
      <w:marBottom w:val="0"/>
      <w:divBdr>
        <w:top w:val="none" w:sz="0" w:space="0" w:color="auto"/>
        <w:left w:val="none" w:sz="0" w:space="0" w:color="auto"/>
        <w:bottom w:val="none" w:sz="0" w:space="0" w:color="auto"/>
        <w:right w:val="none" w:sz="0" w:space="0" w:color="auto"/>
      </w:divBdr>
    </w:div>
    <w:div w:id="87318218">
      <w:marLeft w:val="0"/>
      <w:marRight w:val="0"/>
      <w:marTop w:val="240"/>
      <w:marBottom w:val="0"/>
      <w:divBdr>
        <w:top w:val="none" w:sz="0" w:space="0" w:color="auto"/>
        <w:left w:val="none" w:sz="0" w:space="0" w:color="auto"/>
        <w:bottom w:val="none" w:sz="0" w:space="0" w:color="auto"/>
        <w:right w:val="none" w:sz="0" w:space="0" w:color="auto"/>
      </w:divBdr>
    </w:div>
    <w:div w:id="88626286">
      <w:marLeft w:val="0"/>
      <w:marRight w:val="0"/>
      <w:marTop w:val="0"/>
      <w:marBottom w:val="120"/>
      <w:divBdr>
        <w:top w:val="none" w:sz="0" w:space="0" w:color="auto"/>
        <w:left w:val="none" w:sz="0" w:space="0" w:color="auto"/>
        <w:bottom w:val="none" w:sz="0" w:space="0" w:color="auto"/>
        <w:right w:val="none" w:sz="0" w:space="0" w:color="auto"/>
      </w:divBdr>
    </w:div>
    <w:div w:id="89158037">
      <w:marLeft w:val="0"/>
      <w:marRight w:val="0"/>
      <w:marTop w:val="0"/>
      <w:marBottom w:val="0"/>
      <w:divBdr>
        <w:top w:val="none" w:sz="0" w:space="0" w:color="auto"/>
        <w:left w:val="none" w:sz="0" w:space="0" w:color="auto"/>
        <w:bottom w:val="none" w:sz="0" w:space="0" w:color="auto"/>
        <w:right w:val="none" w:sz="0" w:space="0" w:color="auto"/>
      </w:divBdr>
      <w:divsChild>
        <w:div w:id="1612323135">
          <w:marLeft w:val="0"/>
          <w:marRight w:val="0"/>
          <w:marTop w:val="0"/>
          <w:marBottom w:val="0"/>
          <w:divBdr>
            <w:top w:val="none" w:sz="0" w:space="0" w:color="auto"/>
            <w:left w:val="none" w:sz="0" w:space="0" w:color="auto"/>
            <w:bottom w:val="none" w:sz="0" w:space="0" w:color="auto"/>
            <w:right w:val="none" w:sz="0" w:space="0" w:color="auto"/>
          </w:divBdr>
          <w:divsChild>
            <w:div w:id="10848866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351392">
      <w:marLeft w:val="0"/>
      <w:marRight w:val="0"/>
      <w:marTop w:val="0"/>
      <w:marBottom w:val="0"/>
      <w:divBdr>
        <w:top w:val="none" w:sz="0" w:space="0" w:color="auto"/>
        <w:left w:val="none" w:sz="0" w:space="0" w:color="auto"/>
        <w:bottom w:val="none" w:sz="0" w:space="0" w:color="auto"/>
        <w:right w:val="none" w:sz="0" w:space="0" w:color="auto"/>
      </w:divBdr>
      <w:divsChild>
        <w:div w:id="644165615">
          <w:marLeft w:val="0"/>
          <w:marRight w:val="0"/>
          <w:marTop w:val="0"/>
          <w:marBottom w:val="0"/>
          <w:divBdr>
            <w:top w:val="none" w:sz="0" w:space="0" w:color="auto"/>
            <w:left w:val="none" w:sz="0" w:space="0" w:color="auto"/>
            <w:bottom w:val="none" w:sz="0" w:space="0" w:color="auto"/>
            <w:right w:val="none" w:sz="0" w:space="0" w:color="auto"/>
          </w:divBdr>
        </w:div>
      </w:divsChild>
    </w:div>
    <w:div w:id="89787334">
      <w:marLeft w:val="0"/>
      <w:marRight w:val="0"/>
      <w:marTop w:val="240"/>
      <w:marBottom w:val="0"/>
      <w:divBdr>
        <w:top w:val="none" w:sz="0" w:space="0" w:color="auto"/>
        <w:left w:val="none" w:sz="0" w:space="0" w:color="auto"/>
        <w:bottom w:val="none" w:sz="0" w:space="0" w:color="auto"/>
        <w:right w:val="none" w:sz="0" w:space="0" w:color="auto"/>
      </w:divBdr>
    </w:div>
    <w:div w:id="93137254">
      <w:marLeft w:val="0"/>
      <w:marRight w:val="0"/>
      <w:marTop w:val="240"/>
      <w:marBottom w:val="0"/>
      <w:divBdr>
        <w:top w:val="none" w:sz="0" w:space="0" w:color="auto"/>
        <w:left w:val="none" w:sz="0" w:space="0" w:color="auto"/>
        <w:bottom w:val="none" w:sz="0" w:space="0" w:color="auto"/>
        <w:right w:val="none" w:sz="0" w:space="0" w:color="auto"/>
      </w:divBdr>
    </w:div>
    <w:div w:id="95563734">
      <w:marLeft w:val="0"/>
      <w:marRight w:val="0"/>
      <w:marTop w:val="240"/>
      <w:marBottom w:val="0"/>
      <w:divBdr>
        <w:top w:val="none" w:sz="0" w:space="0" w:color="auto"/>
        <w:left w:val="none" w:sz="0" w:space="0" w:color="auto"/>
        <w:bottom w:val="none" w:sz="0" w:space="0" w:color="auto"/>
        <w:right w:val="none" w:sz="0" w:space="0" w:color="auto"/>
      </w:divBdr>
    </w:div>
    <w:div w:id="97142148">
      <w:marLeft w:val="0"/>
      <w:marRight w:val="0"/>
      <w:marTop w:val="240"/>
      <w:marBottom w:val="0"/>
      <w:divBdr>
        <w:top w:val="none" w:sz="0" w:space="0" w:color="auto"/>
        <w:left w:val="none" w:sz="0" w:space="0" w:color="auto"/>
        <w:bottom w:val="none" w:sz="0" w:space="0" w:color="auto"/>
        <w:right w:val="none" w:sz="0" w:space="0" w:color="auto"/>
      </w:divBdr>
    </w:div>
    <w:div w:id="98262462">
      <w:marLeft w:val="0"/>
      <w:marRight w:val="0"/>
      <w:marTop w:val="240"/>
      <w:marBottom w:val="120"/>
      <w:divBdr>
        <w:top w:val="none" w:sz="0" w:space="0" w:color="auto"/>
        <w:left w:val="none" w:sz="0" w:space="0" w:color="auto"/>
        <w:bottom w:val="none" w:sz="0" w:space="0" w:color="auto"/>
        <w:right w:val="none" w:sz="0" w:space="0" w:color="auto"/>
      </w:divBdr>
    </w:div>
    <w:div w:id="99878356">
      <w:marLeft w:val="0"/>
      <w:marRight w:val="0"/>
      <w:marTop w:val="240"/>
      <w:marBottom w:val="0"/>
      <w:divBdr>
        <w:top w:val="none" w:sz="0" w:space="0" w:color="auto"/>
        <w:left w:val="none" w:sz="0" w:space="0" w:color="auto"/>
        <w:bottom w:val="none" w:sz="0" w:space="0" w:color="auto"/>
        <w:right w:val="none" w:sz="0" w:space="0" w:color="auto"/>
      </w:divBdr>
    </w:div>
    <w:div w:id="102308495">
      <w:marLeft w:val="0"/>
      <w:marRight w:val="0"/>
      <w:marTop w:val="0"/>
      <w:marBottom w:val="0"/>
      <w:divBdr>
        <w:top w:val="none" w:sz="0" w:space="0" w:color="auto"/>
        <w:left w:val="none" w:sz="0" w:space="0" w:color="auto"/>
        <w:bottom w:val="none" w:sz="0" w:space="0" w:color="auto"/>
        <w:right w:val="none" w:sz="0" w:space="0" w:color="auto"/>
      </w:divBdr>
      <w:divsChild>
        <w:div w:id="503975290">
          <w:marLeft w:val="0"/>
          <w:marRight w:val="0"/>
          <w:marTop w:val="0"/>
          <w:marBottom w:val="0"/>
          <w:divBdr>
            <w:top w:val="none" w:sz="0" w:space="0" w:color="auto"/>
            <w:left w:val="none" w:sz="0" w:space="0" w:color="auto"/>
            <w:bottom w:val="none" w:sz="0" w:space="0" w:color="auto"/>
            <w:right w:val="none" w:sz="0" w:space="0" w:color="auto"/>
          </w:divBdr>
          <w:divsChild>
            <w:div w:id="17653737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2459639">
      <w:marLeft w:val="0"/>
      <w:marRight w:val="0"/>
      <w:marTop w:val="160"/>
      <w:marBottom w:val="0"/>
      <w:divBdr>
        <w:top w:val="none" w:sz="0" w:space="0" w:color="auto"/>
        <w:left w:val="none" w:sz="0" w:space="0" w:color="auto"/>
        <w:bottom w:val="none" w:sz="0" w:space="0" w:color="auto"/>
        <w:right w:val="none" w:sz="0" w:space="0" w:color="auto"/>
      </w:divBdr>
    </w:div>
    <w:div w:id="102653260">
      <w:marLeft w:val="0"/>
      <w:marRight w:val="0"/>
      <w:marTop w:val="240"/>
      <w:marBottom w:val="0"/>
      <w:divBdr>
        <w:top w:val="none" w:sz="0" w:space="0" w:color="auto"/>
        <w:left w:val="none" w:sz="0" w:space="0" w:color="auto"/>
        <w:bottom w:val="none" w:sz="0" w:space="0" w:color="auto"/>
        <w:right w:val="none" w:sz="0" w:space="0" w:color="auto"/>
      </w:divBdr>
    </w:div>
    <w:div w:id="105974677">
      <w:marLeft w:val="0"/>
      <w:marRight w:val="0"/>
      <w:marTop w:val="240"/>
      <w:marBottom w:val="0"/>
      <w:divBdr>
        <w:top w:val="none" w:sz="0" w:space="0" w:color="auto"/>
        <w:left w:val="none" w:sz="0" w:space="0" w:color="auto"/>
        <w:bottom w:val="none" w:sz="0" w:space="0" w:color="auto"/>
        <w:right w:val="none" w:sz="0" w:space="0" w:color="auto"/>
      </w:divBdr>
    </w:div>
    <w:div w:id="106245502">
      <w:marLeft w:val="0"/>
      <w:marRight w:val="0"/>
      <w:marTop w:val="240"/>
      <w:marBottom w:val="0"/>
      <w:divBdr>
        <w:top w:val="none" w:sz="0" w:space="0" w:color="auto"/>
        <w:left w:val="none" w:sz="0" w:space="0" w:color="auto"/>
        <w:bottom w:val="none" w:sz="0" w:space="0" w:color="auto"/>
        <w:right w:val="none" w:sz="0" w:space="0" w:color="auto"/>
      </w:divBdr>
    </w:div>
    <w:div w:id="109518062">
      <w:marLeft w:val="0"/>
      <w:marRight w:val="0"/>
      <w:marTop w:val="0"/>
      <w:marBottom w:val="0"/>
      <w:divBdr>
        <w:top w:val="none" w:sz="0" w:space="0" w:color="auto"/>
        <w:left w:val="none" w:sz="0" w:space="0" w:color="auto"/>
        <w:bottom w:val="none" w:sz="0" w:space="0" w:color="auto"/>
        <w:right w:val="none" w:sz="0" w:space="0" w:color="auto"/>
      </w:divBdr>
      <w:divsChild>
        <w:div w:id="1438791093">
          <w:marLeft w:val="0"/>
          <w:marRight w:val="0"/>
          <w:marTop w:val="0"/>
          <w:marBottom w:val="0"/>
          <w:divBdr>
            <w:top w:val="none" w:sz="0" w:space="0" w:color="auto"/>
            <w:left w:val="none" w:sz="0" w:space="0" w:color="auto"/>
            <w:bottom w:val="none" w:sz="0" w:space="0" w:color="auto"/>
            <w:right w:val="none" w:sz="0" w:space="0" w:color="auto"/>
          </w:divBdr>
        </w:div>
      </w:divsChild>
    </w:div>
    <w:div w:id="110780453">
      <w:marLeft w:val="0"/>
      <w:marRight w:val="0"/>
      <w:marTop w:val="160"/>
      <w:marBottom w:val="0"/>
      <w:divBdr>
        <w:top w:val="none" w:sz="0" w:space="0" w:color="auto"/>
        <w:left w:val="none" w:sz="0" w:space="0" w:color="auto"/>
        <w:bottom w:val="none" w:sz="0" w:space="0" w:color="auto"/>
        <w:right w:val="none" w:sz="0" w:space="0" w:color="auto"/>
      </w:divBdr>
    </w:div>
    <w:div w:id="115874346">
      <w:marLeft w:val="0"/>
      <w:marRight w:val="0"/>
      <w:marTop w:val="0"/>
      <w:marBottom w:val="0"/>
      <w:divBdr>
        <w:top w:val="none" w:sz="0" w:space="0" w:color="auto"/>
        <w:left w:val="none" w:sz="0" w:space="0" w:color="auto"/>
        <w:bottom w:val="none" w:sz="0" w:space="0" w:color="auto"/>
        <w:right w:val="none" w:sz="0" w:space="0" w:color="auto"/>
      </w:divBdr>
      <w:divsChild>
        <w:div w:id="1845171588">
          <w:marLeft w:val="0"/>
          <w:marRight w:val="0"/>
          <w:marTop w:val="0"/>
          <w:marBottom w:val="0"/>
          <w:divBdr>
            <w:top w:val="none" w:sz="0" w:space="0" w:color="auto"/>
            <w:left w:val="none" w:sz="0" w:space="0" w:color="auto"/>
            <w:bottom w:val="none" w:sz="0" w:space="0" w:color="auto"/>
            <w:right w:val="none" w:sz="0" w:space="0" w:color="auto"/>
          </w:divBdr>
        </w:div>
      </w:divsChild>
    </w:div>
    <w:div w:id="119811283">
      <w:marLeft w:val="0"/>
      <w:marRight w:val="0"/>
      <w:marTop w:val="0"/>
      <w:marBottom w:val="0"/>
      <w:divBdr>
        <w:top w:val="none" w:sz="0" w:space="0" w:color="auto"/>
        <w:left w:val="none" w:sz="0" w:space="0" w:color="auto"/>
        <w:bottom w:val="none" w:sz="0" w:space="0" w:color="auto"/>
        <w:right w:val="none" w:sz="0" w:space="0" w:color="auto"/>
      </w:divBdr>
    </w:div>
    <w:div w:id="120274789">
      <w:marLeft w:val="0"/>
      <w:marRight w:val="0"/>
      <w:marTop w:val="0"/>
      <w:marBottom w:val="0"/>
      <w:divBdr>
        <w:top w:val="none" w:sz="0" w:space="0" w:color="auto"/>
        <w:left w:val="none" w:sz="0" w:space="0" w:color="auto"/>
        <w:bottom w:val="none" w:sz="0" w:space="0" w:color="auto"/>
        <w:right w:val="none" w:sz="0" w:space="0" w:color="auto"/>
      </w:divBdr>
      <w:divsChild>
        <w:div w:id="559874839">
          <w:marLeft w:val="0"/>
          <w:marRight w:val="0"/>
          <w:marTop w:val="0"/>
          <w:marBottom w:val="0"/>
          <w:divBdr>
            <w:top w:val="none" w:sz="0" w:space="0" w:color="auto"/>
            <w:left w:val="none" w:sz="0" w:space="0" w:color="auto"/>
            <w:bottom w:val="none" w:sz="0" w:space="0" w:color="auto"/>
            <w:right w:val="none" w:sz="0" w:space="0" w:color="auto"/>
          </w:divBdr>
        </w:div>
      </w:divsChild>
    </w:div>
    <w:div w:id="120392136">
      <w:marLeft w:val="0"/>
      <w:marRight w:val="0"/>
      <w:marTop w:val="240"/>
      <w:marBottom w:val="0"/>
      <w:divBdr>
        <w:top w:val="none" w:sz="0" w:space="0" w:color="auto"/>
        <w:left w:val="none" w:sz="0" w:space="0" w:color="auto"/>
        <w:bottom w:val="none" w:sz="0" w:space="0" w:color="auto"/>
        <w:right w:val="none" w:sz="0" w:space="0" w:color="auto"/>
      </w:divBdr>
    </w:div>
    <w:div w:id="123349453">
      <w:marLeft w:val="0"/>
      <w:marRight w:val="0"/>
      <w:marTop w:val="240"/>
      <w:marBottom w:val="0"/>
      <w:divBdr>
        <w:top w:val="none" w:sz="0" w:space="0" w:color="auto"/>
        <w:left w:val="none" w:sz="0" w:space="0" w:color="auto"/>
        <w:bottom w:val="none" w:sz="0" w:space="0" w:color="auto"/>
        <w:right w:val="none" w:sz="0" w:space="0" w:color="auto"/>
      </w:divBdr>
    </w:div>
    <w:div w:id="124785188">
      <w:marLeft w:val="0"/>
      <w:marRight w:val="0"/>
      <w:marTop w:val="160"/>
      <w:marBottom w:val="0"/>
      <w:divBdr>
        <w:top w:val="none" w:sz="0" w:space="0" w:color="auto"/>
        <w:left w:val="none" w:sz="0" w:space="0" w:color="auto"/>
        <w:bottom w:val="none" w:sz="0" w:space="0" w:color="auto"/>
        <w:right w:val="none" w:sz="0" w:space="0" w:color="auto"/>
      </w:divBdr>
    </w:div>
    <w:div w:id="125317668">
      <w:marLeft w:val="0"/>
      <w:marRight w:val="0"/>
      <w:marTop w:val="0"/>
      <w:marBottom w:val="0"/>
      <w:divBdr>
        <w:top w:val="none" w:sz="0" w:space="0" w:color="auto"/>
        <w:left w:val="none" w:sz="0" w:space="0" w:color="auto"/>
        <w:bottom w:val="none" w:sz="0" w:space="0" w:color="auto"/>
        <w:right w:val="none" w:sz="0" w:space="0" w:color="auto"/>
      </w:divBdr>
      <w:divsChild>
        <w:div w:id="1649044881">
          <w:marLeft w:val="0"/>
          <w:marRight w:val="0"/>
          <w:marTop w:val="0"/>
          <w:marBottom w:val="0"/>
          <w:divBdr>
            <w:top w:val="none" w:sz="0" w:space="0" w:color="auto"/>
            <w:left w:val="none" w:sz="0" w:space="0" w:color="auto"/>
            <w:bottom w:val="none" w:sz="0" w:space="0" w:color="auto"/>
            <w:right w:val="none" w:sz="0" w:space="0" w:color="auto"/>
          </w:divBdr>
          <w:divsChild>
            <w:div w:id="17066342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6628704">
      <w:marLeft w:val="0"/>
      <w:marRight w:val="0"/>
      <w:marTop w:val="160"/>
      <w:marBottom w:val="0"/>
      <w:divBdr>
        <w:top w:val="none" w:sz="0" w:space="0" w:color="auto"/>
        <w:left w:val="none" w:sz="0" w:space="0" w:color="auto"/>
        <w:bottom w:val="none" w:sz="0" w:space="0" w:color="auto"/>
        <w:right w:val="none" w:sz="0" w:space="0" w:color="auto"/>
      </w:divBdr>
    </w:div>
    <w:div w:id="127943020">
      <w:marLeft w:val="0"/>
      <w:marRight w:val="0"/>
      <w:marTop w:val="0"/>
      <w:marBottom w:val="0"/>
      <w:divBdr>
        <w:top w:val="none" w:sz="0" w:space="0" w:color="auto"/>
        <w:left w:val="none" w:sz="0" w:space="0" w:color="auto"/>
        <w:bottom w:val="none" w:sz="0" w:space="0" w:color="auto"/>
        <w:right w:val="none" w:sz="0" w:space="0" w:color="auto"/>
      </w:divBdr>
      <w:divsChild>
        <w:div w:id="611129176">
          <w:marLeft w:val="0"/>
          <w:marRight w:val="0"/>
          <w:marTop w:val="0"/>
          <w:marBottom w:val="0"/>
          <w:divBdr>
            <w:top w:val="none" w:sz="0" w:space="0" w:color="auto"/>
            <w:left w:val="none" w:sz="0" w:space="0" w:color="auto"/>
            <w:bottom w:val="none" w:sz="0" w:space="0" w:color="auto"/>
            <w:right w:val="none" w:sz="0" w:space="0" w:color="auto"/>
          </w:divBdr>
        </w:div>
      </w:divsChild>
    </w:div>
    <w:div w:id="128403755">
      <w:marLeft w:val="0"/>
      <w:marRight w:val="0"/>
      <w:marTop w:val="240"/>
      <w:marBottom w:val="0"/>
      <w:divBdr>
        <w:top w:val="none" w:sz="0" w:space="0" w:color="auto"/>
        <w:left w:val="none" w:sz="0" w:space="0" w:color="auto"/>
        <w:bottom w:val="none" w:sz="0" w:space="0" w:color="auto"/>
        <w:right w:val="none" w:sz="0" w:space="0" w:color="auto"/>
      </w:divBdr>
    </w:div>
    <w:div w:id="129985159">
      <w:marLeft w:val="0"/>
      <w:marRight w:val="0"/>
      <w:marTop w:val="120"/>
      <w:marBottom w:val="0"/>
      <w:divBdr>
        <w:top w:val="none" w:sz="0" w:space="0" w:color="auto"/>
        <w:left w:val="none" w:sz="0" w:space="0" w:color="auto"/>
        <w:bottom w:val="none" w:sz="0" w:space="0" w:color="auto"/>
        <w:right w:val="none" w:sz="0" w:space="0" w:color="auto"/>
      </w:divBdr>
    </w:div>
    <w:div w:id="131868171">
      <w:marLeft w:val="0"/>
      <w:marRight w:val="0"/>
      <w:marTop w:val="240"/>
      <w:marBottom w:val="0"/>
      <w:divBdr>
        <w:top w:val="none" w:sz="0" w:space="0" w:color="auto"/>
        <w:left w:val="none" w:sz="0" w:space="0" w:color="auto"/>
        <w:bottom w:val="none" w:sz="0" w:space="0" w:color="auto"/>
        <w:right w:val="none" w:sz="0" w:space="0" w:color="auto"/>
      </w:divBdr>
    </w:div>
    <w:div w:id="135220602">
      <w:marLeft w:val="0"/>
      <w:marRight w:val="0"/>
      <w:marTop w:val="240"/>
      <w:marBottom w:val="0"/>
      <w:divBdr>
        <w:top w:val="none" w:sz="0" w:space="0" w:color="auto"/>
        <w:left w:val="none" w:sz="0" w:space="0" w:color="auto"/>
        <w:bottom w:val="none" w:sz="0" w:space="0" w:color="auto"/>
        <w:right w:val="none" w:sz="0" w:space="0" w:color="auto"/>
      </w:divBdr>
    </w:div>
    <w:div w:id="135227996">
      <w:marLeft w:val="0"/>
      <w:marRight w:val="0"/>
      <w:marTop w:val="240"/>
      <w:marBottom w:val="0"/>
      <w:divBdr>
        <w:top w:val="none" w:sz="0" w:space="0" w:color="auto"/>
        <w:left w:val="none" w:sz="0" w:space="0" w:color="auto"/>
        <w:bottom w:val="none" w:sz="0" w:space="0" w:color="auto"/>
        <w:right w:val="none" w:sz="0" w:space="0" w:color="auto"/>
      </w:divBdr>
    </w:div>
    <w:div w:id="135949176">
      <w:marLeft w:val="0"/>
      <w:marRight w:val="0"/>
      <w:marTop w:val="160"/>
      <w:marBottom w:val="0"/>
      <w:divBdr>
        <w:top w:val="none" w:sz="0" w:space="0" w:color="auto"/>
        <w:left w:val="none" w:sz="0" w:space="0" w:color="auto"/>
        <w:bottom w:val="none" w:sz="0" w:space="0" w:color="auto"/>
        <w:right w:val="none" w:sz="0" w:space="0" w:color="auto"/>
      </w:divBdr>
    </w:div>
    <w:div w:id="137504477">
      <w:marLeft w:val="0"/>
      <w:marRight w:val="0"/>
      <w:marTop w:val="240"/>
      <w:marBottom w:val="0"/>
      <w:divBdr>
        <w:top w:val="none" w:sz="0" w:space="0" w:color="auto"/>
        <w:left w:val="none" w:sz="0" w:space="0" w:color="auto"/>
        <w:bottom w:val="none" w:sz="0" w:space="0" w:color="auto"/>
        <w:right w:val="none" w:sz="0" w:space="0" w:color="auto"/>
      </w:divBdr>
    </w:div>
    <w:div w:id="139614638">
      <w:marLeft w:val="0"/>
      <w:marRight w:val="0"/>
      <w:marTop w:val="240"/>
      <w:marBottom w:val="0"/>
      <w:divBdr>
        <w:top w:val="none" w:sz="0" w:space="0" w:color="auto"/>
        <w:left w:val="none" w:sz="0" w:space="0" w:color="auto"/>
        <w:bottom w:val="none" w:sz="0" w:space="0" w:color="auto"/>
        <w:right w:val="none" w:sz="0" w:space="0" w:color="auto"/>
      </w:divBdr>
    </w:div>
    <w:div w:id="141309779">
      <w:marLeft w:val="0"/>
      <w:marRight w:val="0"/>
      <w:marTop w:val="240"/>
      <w:marBottom w:val="0"/>
      <w:divBdr>
        <w:top w:val="none" w:sz="0" w:space="0" w:color="auto"/>
        <w:left w:val="none" w:sz="0" w:space="0" w:color="auto"/>
        <w:bottom w:val="none" w:sz="0" w:space="0" w:color="auto"/>
        <w:right w:val="none" w:sz="0" w:space="0" w:color="auto"/>
      </w:divBdr>
    </w:div>
    <w:div w:id="142545465">
      <w:marLeft w:val="0"/>
      <w:marRight w:val="0"/>
      <w:marTop w:val="0"/>
      <w:marBottom w:val="120"/>
      <w:divBdr>
        <w:top w:val="none" w:sz="0" w:space="0" w:color="auto"/>
        <w:left w:val="none" w:sz="0" w:space="0" w:color="auto"/>
        <w:bottom w:val="none" w:sz="0" w:space="0" w:color="auto"/>
        <w:right w:val="none" w:sz="0" w:space="0" w:color="auto"/>
      </w:divBdr>
    </w:div>
    <w:div w:id="143205377">
      <w:marLeft w:val="0"/>
      <w:marRight w:val="0"/>
      <w:marTop w:val="0"/>
      <w:marBottom w:val="0"/>
      <w:divBdr>
        <w:top w:val="none" w:sz="0" w:space="0" w:color="auto"/>
        <w:left w:val="none" w:sz="0" w:space="0" w:color="auto"/>
        <w:bottom w:val="none" w:sz="0" w:space="0" w:color="auto"/>
        <w:right w:val="none" w:sz="0" w:space="0" w:color="auto"/>
      </w:divBdr>
      <w:divsChild>
        <w:div w:id="2754561">
          <w:marLeft w:val="0"/>
          <w:marRight w:val="0"/>
          <w:marTop w:val="0"/>
          <w:marBottom w:val="0"/>
          <w:divBdr>
            <w:top w:val="none" w:sz="0" w:space="0" w:color="auto"/>
            <w:left w:val="none" w:sz="0" w:space="0" w:color="auto"/>
            <w:bottom w:val="none" w:sz="0" w:space="0" w:color="auto"/>
            <w:right w:val="none" w:sz="0" w:space="0" w:color="auto"/>
          </w:divBdr>
          <w:divsChild>
            <w:div w:id="322900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6284736">
      <w:marLeft w:val="0"/>
      <w:marRight w:val="0"/>
      <w:marTop w:val="240"/>
      <w:marBottom w:val="0"/>
      <w:divBdr>
        <w:top w:val="none" w:sz="0" w:space="0" w:color="auto"/>
        <w:left w:val="none" w:sz="0" w:space="0" w:color="auto"/>
        <w:bottom w:val="none" w:sz="0" w:space="0" w:color="auto"/>
        <w:right w:val="none" w:sz="0" w:space="0" w:color="auto"/>
      </w:divBdr>
    </w:div>
    <w:div w:id="147672931">
      <w:marLeft w:val="0"/>
      <w:marRight w:val="0"/>
      <w:marTop w:val="240"/>
      <w:marBottom w:val="0"/>
      <w:divBdr>
        <w:top w:val="none" w:sz="0" w:space="0" w:color="auto"/>
        <w:left w:val="none" w:sz="0" w:space="0" w:color="auto"/>
        <w:bottom w:val="none" w:sz="0" w:space="0" w:color="auto"/>
        <w:right w:val="none" w:sz="0" w:space="0" w:color="auto"/>
      </w:divBdr>
    </w:div>
    <w:div w:id="148179175">
      <w:marLeft w:val="0"/>
      <w:marRight w:val="0"/>
      <w:marTop w:val="0"/>
      <w:marBottom w:val="0"/>
      <w:divBdr>
        <w:top w:val="none" w:sz="0" w:space="0" w:color="auto"/>
        <w:left w:val="none" w:sz="0" w:space="0" w:color="auto"/>
        <w:bottom w:val="none" w:sz="0" w:space="0" w:color="auto"/>
        <w:right w:val="none" w:sz="0" w:space="0" w:color="auto"/>
      </w:divBdr>
      <w:divsChild>
        <w:div w:id="938101008">
          <w:marLeft w:val="0"/>
          <w:marRight w:val="0"/>
          <w:marTop w:val="0"/>
          <w:marBottom w:val="0"/>
          <w:divBdr>
            <w:top w:val="none" w:sz="0" w:space="0" w:color="auto"/>
            <w:left w:val="none" w:sz="0" w:space="0" w:color="auto"/>
            <w:bottom w:val="none" w:sz="0" w:space="0" w:color="auto"/>
            <w:right w:val="none" w:sz="0" w:space="0" w:color="auto"/>
          </w:divBdr>
          <w:divsChild>
            <w:div w:id="12237134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951223">
      <w:marLeft w:val="0"/>
      <w:marRight w:val="0"/>
      <w:marTop w:val="240"/>
      <w:marBottom w:val="0"/>
      <w:divBdr>
        <w:top w:val="none" w:sz="0" w:space="0" w:color="auto"/>
        <w:left w:val="none" w:sz="0" w:space="0" w:color="auto"/>
        <w:bottom w:val="none" w:sz="0" w:space="0" w:color="auto"/>
        <w:right w:val="none" w:sz="0" w:space="0" w:color="auto"/>
      </w:divBdr>
    </w:div>
    <w:div w:id="151138318">
      <w:marLeft w:val="0"/>
      <w:marRight w:val="0"/>
      <w:marTop w:val="240"/>
      <w:marBottom w:val="0"/>
      <w:divBdr>
        <w:top w:val="none" w:sz="0" w:space="0" w:color="auto"/>
        <w:left w:val="none" w:sz="0" w:space="0" w:color="auto"/>
        <w:bottom w:val="none" w:sz="0" w:space="0" w:color="auto"/>
        <w:right w:val="none" w:sz="0" w:space="0" w:color="auto"/>
      </w:divBdr>
    </w:div>
    <w:div w:id="155271373">
      <w:marLeft w:val="0"/>
      <w:marRight w:val="0"/>
      <w:marTop w:val="0"/>
      <w:marBottom w:val="0"/>
      <w:divBdr>
        <w:top w:val="none" w:sz="0" w:space="0" w:color="auto"/>
        <w:left w:val="none" w:sz="0" w:space="0" w:color="auto"/>
        <w:bottom w:val="none" w:sz="0" w:space="0" w:color="auto"/>
        <w:right w:val="none" w:sz="0" w:space="0" w:color="auto"/>
      </w:divBdr>
    </w:div>
    <w:div w:id="156263498">
      <w:marLeft w:val="0"/>
      <w:marRight w:val="0"/>
      <w:marTop w:val="240"/>
      <w:marBottom w:val="0"/>
      <w:divBdr>
        <w:top w:val="none" w:sz="0" w:space="0" w:color="auto"/>
        <w:left w:val="none" w:sz="0" w:space="0" w:color="auto"/>
        <w:bottom w:val="none" w:sz="0" w:space="0" w:color="auto"/>
        <w:right w:val="none" w:sz="0" w:space="0" w:color="auto"/>
      </w:divBdr>
    </w:div>
    <w:div w:id="157119828">
      <w:marLeft w:val="0"/>
      <w:marRight w:val="0"/>
      <w:marTop w:val="240"/>
      <w:marBottom w:val="0"/>
      <w:divBdr>
        <w:top w:val="none" w:sz="0" w:space="0" w:color="auto"/>
        <w:left w:val="none" w:sz="0" w:space="0" w:color="auto"/>
        <w:bottom w:val="none" w:sz="0" w:space="0" w:color="auto"/>
        <w:right w:val="none" w:sz="0" w:space="0" w:color="auto"/>
      </w:divBdr>
    </w:div>
    <w:div w:id="159740797">
      <w:marLeft w:val="0"/>
      <w:marRight w:val="0"/>
      <w:marTop w:val="240"/>
      <w:marBottom w:val="0"/>
      <w:divBdr>
        <w:top w:val="none" w:sz="0" w:space="0" w:color="auto"/>
        <w:left w:val="none" w:sz="0" w:space="0" w:color="auto"/>
        <w:bottom w:val="none" w:sz="0" w:space="0" w:color="auto"/>
        <w:right w:val="none" w:sz="0" w:space="0" w:color="auto"/>
      </w:divBdr>
    </w:div>
    <w:div w:id="167133471">
      <w:marLeft w:val="0"/>
      <w:marRight w:val="0"/>
      <w:marTop w:val="240"/>
      <w:marBottom w:val="0"/>
      <w:divBdr>
        <w:top w:val="none" w:sz="0" w:space="0" w:color="auto"/>
        <w:left w:val="none" w:sz="0" w:space="0" w:color="auto"/>
        <w:bottom w:val="none" w:sz="0" w:space="0" w:color="auto"/>
        <w:right w:val="none" w:sz="0" w:space="0" w:color="auto"/>
      </w:divBdr>
    </w:div>
    <w:div w:id="170996540">
      <w:marLeft w:val="0"/>
      <w:marRight w:val="0"/>
      <w:marTop w:val="240"/>
      <w:marBottom w:val="0"/>
      <w:divBdr>
        <w:top w:val="none" w:sz="0" w:space="0" w:color="auto"/>
        <w:left w:val="none" w:sz="0" w:space="0" w:color="auto"/>
        <w:bottom w:val="none" w:sz="0" w:space="0" w:color="auto"/>
        <w:right w:val="none" w:sz="0" w:space="0" w:color="auto"/>
      </w:divBdr>
    </w:div>
    <w:div w:id="171531684">
      <w:marLeft w:val="0"/>
      <w:marRight w:val="0"/>
      <w:marTop w:val="0"/>
      <w:marBottom w:val="0"/>
      <w:divBdr>
        <w:top w:val="none" w:sz="0" w:space="0" w:color="auto"/>
        <w:left w:val="none" w:sz="0" w:space="0" w:color="auto"/>
        <w:bottom w:val="none" w:sz="0" w:space="0" w:color="auto"/>
        <w:right w:val="none" w:sz="0" w:space="0" w:color="auto"/>
      </w:divBdr>
      <w:divsChild>
        <w:div w:id="1821576363">
          <w:marLeft w:val="0"/>
          <w:marRight w:val="0"/>
          <w:marTop w:val="0"/>
          <w:marBottom w:val="0"/>
          <w:divBdr>
            <w:top w:val="none" w:sz="0" w:space="0" w:color="auto"/>
            <w:left w:val="none" w:sz="0" w:space="0" w:color="auto"/>
            <w:bottom w:val="none" w:sz="0" w:space="0" w:color="auto"/>
            <w:right w:val="none" w:sz="0" w:space="0" w:color="auto"/>
          </w:divBdr>
          <w:divsChild>
            <w:div w:id="21210261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2451730">
      <w:marLeft w:val="0"/>
      <w:marRight w:val="0"/>
      <w:marTop w:val="240"/>
      <w:marBottom w:val="0"/>
      <w:divBdr>
        <w:top w:val="none" w:sz="0" w:space="0" w:color="auto"/>
        <w:left w:val="none" w:sz="0" w:space="0" w:color="auto"/>
        <w:bottom w:val="none" w:sz="0" w:space="0" w:color="auto"/>
        <w:right w:val="none" w:sz="0" w:space="0" w:color="auto"/>
      </w:divBdr>
    </w:div>
    <w:div w:id="173497565">
      <w:marLeft w:val="0"/>
      <w:marRight w:val="0"/>
      <w:marTop w:val="240"/>
      <w:marBottom w:val="0"/>
      <w:divBdr>
        <w:top w:val="none" w:sz="0" w:space="0" w:color="auto"/>
        <w:left w:val="none" w:sz="0" w:space="0" w:color="auto"/>
        <w:bottom w:val="none" w:sz="0" w:space="0" w:color="auto"/>
        <w:right w:val="none" w:sz="0" w:space="0" w:color="auto"/>
      </w:divBdr>
    </w:div>
    <w:div w:id="175117123">
      <w:marLeft w:val="0"/>
      <w:marRight w:val="0"/>
      <w:marTop w:val="240"/>
      <w:marBottom w:val="0"/>
      <w:divBdr>
        <w:top w:val="none" w:sz="0" w:space="0" w:color="auto"/>
        <w:left w:val="none" w:sz="0" w:space="0" w:color="auto"/>
        <w:bottom w:val="none" w:sz="0" w:space="0" w:color="auto"/>
        <w:right w:val="none" w:sz="0" w:space="0" w:color="auto"/>
      </w:divBdr>
    </w:div>
    <w:div w:id="176382515">
      <w:marLeft w:val="0"/>
      <w:marRight w:val="0"/>
      <w:marTop w:val="0"/>
      <w:marBottom w:val="0"/>
      <w:divBdr>
        <w:top w:val="none" w:sz="0" w:space="0" w:color="auto"/>
        <w:left w:val="none" w:sz="0" w:space="0" w:color="auto"/>
        <w:bottom w:val="none" w:sz="0" w:space="0" w:color="auto"/>
        <w:right w:val="none" w:sz="0" w:space="0" w:color="auto"/>
      </w:divBdr>
      <w:divsChild>
        <w:div w:id="2001155266">
          <w:marLeft w:val="0"/>
          <w:marRight w:val="0"/>
          <w:marTop w:val="0"/>
          <w:marBottom w:val="0"/>
          <w:divBdr>
            <w:top w:val="none" w:sz="0" w:space="0" w:color="auto"/>
            <w:left w:val="none" w:sz="0" w:space="0" w:color="auto"/>
            <w:bottom w:val="none" w:sz="0" w:space="0" w:color="auto"/>
            <w:right w:val="none" w:sz="0" w:space="0" w:color="auto"/>
          </w:divBdr>
        </w:div>
      </w:divsChild>
    </w:div>
    <w:div w:id="176383784">
      <w:marLeft w:val="0"/>
      <w:marRight w:val="0"/>
      <w:marTop w:val="240"/>
      <w:marBottom w:val="0"/>
      <w:divBdr>
        <w:top w:val="none" w:sz="0" w:space="0" w:color="auto"/>
        <w:left w:val="none" w:sz="0" w:space="0" w:color="auto"/>
        <w:bottom w:val="none" w:sz="0" w:space="0" w:color="auto"/>
        <w:right w:val="none" w:sz="0" w:space="0" w:color="auto"/>
      </w:divBdr>
    </w:div>
    <w:div w:id="178006213">
      <w:marLeft w:val="0"/>
      <w:marRight w:val="0"/>
      <w:marTop w:val="240"/>
      <w:marBottom w:val="0"/>
      <w:divBdr>
        <w:top w:val="none" w:sz="0" w:space="0" w:color="auto"/>
        <w:left w:val="none" w:sz="0" w:space="0" w:color="auto"/>
        <w:bottom w:val="none" w:sz="0" w:space="0" w:color="auto"/>
        <w:right w:val="none" w:sz="0" w:space="0" w:color="auto"/>
      </w:divBdr>
    </w:div>
    <w:div w:id="179122764">
      <w:marLeft w:val="0"/>
      <w:marRight w:val="0"/>
      <w:marTop w:val="60"/>
      <w:marBottom w:val="0"/>
      <w:divBdr>
        <w:top w:val="none" w:sz="0" w:space="0" w:color="auto"/>
        <w:left w:val="none" w:sz="0" w:space="0" w:color="auto"/>
        <w:bottom w:val="none" w:sz="0" w:space="0" w:color="auto"/>
        <w:right w:val="none" w:sz="0" w:space="0" w:color="auto"/>
      </w:divBdr>
    </w:div>
    <w:div w:id="186793743">
      <w:marLeft w:val="0"/>
      <w:marRight w:val="0"/>
      <w:marTop w:val="240"/>
      <w:marBottom w:val="0"/>
      <w:divBdr>
        <w:top w:val="none" w:sz="0" w:space="0" w:color="auto"/>
        <w:left w:val="none" w:sz="0" w:space="0" w:color="auto"/>
        <w:bottom w:val="none" w:sz="0" w:space="0" w:color="auto"/>
        <w:right w:val="none" w:sz="0" w:space="0" w:color="auto"/>
      </w:divBdr>
    </w:div>
    <w:div w:id="189101206">
      <w:marLeft w:val="0"/>
      <w:marRight w:val="0"/>
      <w:marTop w:val="0"/>
      <w:marBottom w:val="0"/>
      <w:divBdr>
        <w:top w:val="none" w:sz="0" w:space="0" w:color="auto"/>
        <w:left w:val="none" w:sz="0" w:space="0" w:color="auto"/>
        <w:bottom w:val="none" w:sz="0" w:space="0" w:color="auto"/>
        <w:right w:val="none" w:sz="0" w:space="0" w:color="auto"/>
      </w:divBdr>
      <w:divsChild>
        <w:div w:id="963314798">
          <w:marLeft w:val="0"/>
          <w:marRight w:val="0"/>
          <w:marTop w:val="0"/>
          <w:marBottom w:val="0"/>
          <w:divBdr>
            <w:top w:val="none" w:sz="0" w:space="0" w:color="auto"/>
            <w:left w:val="none" w:sz="0" w:space="0" w:color="auto"/>
            <w:bottom w:val="none" w:sz="0" w:space="0" w:color="auto"/>
            <w:right w:val="none" w:sz="0" w:space="0" w:color="auto"/>
          </w:divBdr>
          <w:divsChild>
            <w:div w:id="14404184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1387020">
      <w:marLeft w:val="0"/>
      <w:marRight w:val="0"/>
      <w:marTop w:val="240"/>
      <w:marBottom w:val="0"/>
      <w:divBdr>
        <w:top w:val="none" w:sz="0" w:space="0" w:color="auto"/>
        <w:left w:val="none" w:sz="0" w:space="0" w:color="auto"/>
        <w:bottom w:val="none" w:sz="0" w:space="0" w:color="auto"/>
        <w:right w:val="none" w:sz="0" w:space="0" w:color="auto"/>
      </w:divBdr>
    </w:div>
    <w:div w:id="192960780">
      <w:marLeft w:val="0"/>
      <w:marRight w:val="0"/>
      <w:marTop w:val="240"/>
      <w:marBottom w:val="0"/>
      <w:divBdr>
        <w:top w:val="none" w:sz="0" w:space="0" w:color="auto"/>
        <w:left w:val="none" w:sz="0" w:space="0" w:color="auto"/>
        <w:bottom w:val="none" w:sz="0" w:space="0" w:color="auto"/>
        <w:right w:val="none" w:sz="0" w:space="0" w:color="auto"/>
      </w:divBdr>
    </w:div>
    <w:div w:id="194276751">
      <w:marLeft w:val="0"/>
      <w:marRight w:val="0"/>
      <w:marTop w:val="240"/>
      <w:marBottom w:val="0"/>
      <w:divBdr>
        <w:top w:val="none" w:sz="0" w:space="0" w:color="auto"/>
        <w:left w:val="none" w:sz="0" w:space="0" w:color="auto"/>
        <w:bottom w:val="none" w:sz="0" w:space="0" w:color="auto"/>
        <w:right w:val="none" w:sz="0" w:space="0" w:color="auto"/>
      </w:divBdr>
    </w:div>
    <w:div w:id="196966110">
      <w:marLeft w:val="0"/>
      <w:marRight w:val="0"/>
      <w:marTop w:val="0"/>
      <w:marBottom w:val="0"/>
      <w:divBdr>
        <w:top w:val="none" w:sz="0" w:space="0" w:color="auto"/>
        <w:left w:val="none" w:sz="0" w:space="0" w:color="auto"/>
        <w:bottom w:val="none" w:sz="0" w:space="0" w:color="auto"/>
        <w:right w:val="none" w:sz="0" w:space="0" w:color="auto"/>
      </w:divBdr>
    </w:div>
    <w:div w:id="199633561">
      <w:marLeft w:val="0"/>
      <w:marRight w:val="0"/>
      <w:marTop w:val="240"/>
      <w:marBottom w:val="0"/>
      <w:divBdr>
        <w:top w:val="none" w:sz="0" w:space="0" w:color="auto"/>
        <w:left w:val="none" w:sz="0" w:space="0" w:color="auto"/>
        <w:bottom w:val="none" w:sz="0" w:space="0" w:color="auto"/>
        <w:right w:val="none" w:sz="0" w:space="0" w:color="auto"/>
      </w:divBdr>
    </w:div>
    <w:div w:id="200745607">
      <w:marLeft w:val="0"/>
      <w:marRight w:val="0"/>
      <w:marTop w:val="240"/>
      <w:marBottom w:val="0"/>
      <w:divBdr>
        <w:top w:val="none" w:sz="0" w:space="0" w:color="auto"/>
        <w:left w:val="none" w:sz="0" w:space="0" w:color="auto"/>
        <w:bottom w:val="none" w:sz="0" w:space="0" w:color="auto"/>
        <w:right w:val="none" w:sz="0" w:space="0" w:color="auto"/>
      </w:divBdr>
    </w:div>
    <w:div w:id="201871526">
      <w:marLeft w:val="0"/>
      <w:marRight w:val="0"/>
      <w:marTop w:val="240"/>
      <w:marBottom w:val="0"/>
      <w:divBdr>
        <w:top w:val="none" w:sz="0" w:space="0" w:color="auto"/>
        <w:left w:val="none" w:sz="0" w:space="0" w:color="auto"/>
        <w:bottom w:val="none" w:sz="0" w:space="0" w:color="auto"/>
        <w:right w:val="none" w:sz="0" w:space="0" w:color="auto"/>
      </w:divBdr>
    </w:div>
    <w:div w:id="204024939">
      <w:marLeft w:val="0"/>
      <w:marRight w:val="0"/>
      <w:marTop w:val="0"/>
      <w:marBottom w:val="0"/>
      <w:divBdr>
        <w:top w:val="none" w:sz="0" w:space="0" w:color="auto"/>
        <w:left w:val="none" w:sz="0" w:space="0" w:color="auto"/>
        <w:bottom w:val="none" w:sz="0" w:space="0" w:color="auto"/>
        <w:right w:val="none" w:sz="0" w:space="0" w:color="auto"/>
      </w:divBdr>
      <w:divsChild>
        <w:div w:id="804394733">
          <w:marLeft w:val="0"/>
          <w:marRight w:val="0"/>
          <w:marTop w:val="0"/>
          <w:marBottom w:val="0"/>
          <w:divBdr>
            <w:top w:val="none" w:sz="0" w:space="0" w:color="auto"/>
            <w:left w:val="none" w:sz="0" w:space="0" w:color="auto"/>
            <w:bottom w:val="none" w:sz="0" w:space="0" w:color="auto"/>
            <w:right w:val="none" w:sz="0" w:space="0" w:color="auto"/>
          </w:divBdr>
          <w:divsChild>
            <w:div w:id="10179710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6011311">
      <w:marLeft w:val="0"/>
      <w:marRight w:val="0"/>
      <w:marTop w:val="240"/>
      <w:marBottom w:val="0"/>
      <w:divBdr>
        <w:top w:val="none" w:sz="0" w:space="0" w:color="auto"/>
        <w:left w:val="none" w:sz="0" w:space="0" w:color="auto"/>
        <w:bottom w:val="none" w:sz="0" w:space="0" w:color="auto"/>
        <w:right w:val="none" w:sz="0" w:space="0" w:color="auto"/>
      </w:divBdr>
    </w:div>
    <w:div w:id="216745881">
      <w:marLeft w:val="0"/>
      <w:marRight w:val="0"/>
      <w:marTop w:val="240"/>
      <w:marBottom w:val="0"/>
      <w:divBdr>
        <w:top w:val="none" w:sz="0" w:space="0" w:color="auto"/>
        <w:left w:val="none" w:sz="0" w:space="0" w:color="auto"/>
        <w:bottom w:val="none" w:sz="0" w:space="0" w:color="auto"/>
        <w:right w:val="none" w:sz="0" w:space="0" w:color="auto"/>
      </w:divBdr>
    </w:div>
    <w:div w:id="216939542">
      <w:marLeft w:val="0"/>
      <w:marRight w:val="0"/>
      <w:marTop w:val="240"/>
      <w:marBottom w:val="0"/>
      <w:divBdr>
        <w:top w:val="none" w:sz="0" w:space="0" w:color="auto"/>
        <w:left w:val="none" w:sz="0" w:space="0" w:color="auto"/>
        <w:bottom w:val="none" w:sz="0" w:space="0" w:color="auto"/>
        <w:right w:val="none" w:sz="0" w:space="0" w:color="auto"/>
      </w:divBdr>
    </w:div>
    <w:div w:id="218173421">
      <w:marLeft w:val="0"/>
      <w:marRight w:val="0"/>
      <w:marTop w:val="240"/>
      <w:marBottom w:val="0"/>
      <w:divBdr>
        <w:top w:val="none" w:sz="0" w:space="0" w:color="auto"/>
        <w:left w:val="none" w:sz="0" w:space="0" w:color="auto"/>
        <w:bottom w:val="none" w:sz="0" w:space="0" w:color="auto"/>
        <w:right w:val="none" w:sz="0" w:space="0" w:color="auto"/>
      </w:divBdr>
    </w:div>
    <w:div w:id="218594651">
      <w:marLeft w:val="0"/>
      <w:marRight w:val="0"/>
      <w:marTop w:val="0"/>
      <w:marBottom w:val="0"/>
      <w:divBdr>
        <w:top w:val="none" w:sz="0" w:space="0" w:color="auto"/>
        <w:left w:val="none" w:sz="0" w:space="0" w:color="auto"/>
        <w:bottom w:val="none" w:sz="0" w:space="0" w:color="auto"/>
        <w:right w:val="none" w:sz="0" w:space="0" w:color="auto"/>
      </w:divBdr>
      <w:divsChild>
        <w:div w:id="1882673134">
          <w:marLeft w:val="0"/>
          <w:marRight w:val="0"/>
          <w:marTop w:val="0"/>
          <w:marBottom w:val="0"/>
          <w:divBdr>
            <w:top w:val="none" w:sz="0" w:space="0" w:color="auto"/>
            <w:left w:val="none" w:sz="0" w:space="0" w:color="auto"/>
            <w:bottom w:val="none" w:sz="0" w:space="0" w:color="auto"/>
            <w:right w:val="none" w:sz="0" w:space="0" w:color="auto"/>
          </w:divBdr>
        </w:div>
      </w:divsChild>
    </w:div>
    <w:div w:id="223297801">
      <w:marLeft w:val="0"/>
      <w:marRight w:val="0"/>
      <w:marTop w:val="240"/>
      <w:marBottom w:val="0"/>
      <w:divBdr>
        <w:top w:val="none" w:sz="0" w:space="0" w:color="auto"/>
        <w:left w:val="none" w:sz="0" w:space="0" w:color="auto"/>
        <w:bottom w:val="none" w:sz="0" w:space="0" w:color="auto"/>
        <w:right w:val="none" w:sz="0" w:space="0" w:color="auto"/>
      </w:divBdr>
    </w:div>
    <w:div w:id="224099813">
      <w:marLeft w:val="0"/>
      <w:marRight w:val="0"/>
      <w:marTop w:val="240"/>
      <w:marBottom w:val="0"/>
      <w:divBdr>
        <w:top w:val="none" w:sz="0" w:space="0" w:color="auto"/>
        <w:left w:val="none" w:sz="0" w:space="0" w:color="auto"/>
        <w:bottom w:val="none" w:sz="0" w:space="0" w:color="auto"/>
        <w:right w:val="none" w:sz="0" w:space="0" w:color="auto"/>
      </w:divBdr>
    </w:div>
    <w:div w:id="224881901">
      <w:marLeft w:val="0"/>
      <w:marRight w:val="0"/>
      <w:marTop w:val="240"/>
      <w:marBottom w:val="0"/>
      <w:divBdr>
        <w:top w:val="none" w:sz="0" w:space="0" w:color="auto"/>
        <w:left w:val="none" w:sz="0" w:space="0" w:color="auto"/>
        <w:bottom w:val="none" w:sz="0" w:space="0" w:color="auto"/>
        <w:right w:val="none" w:sz="0" w:space="0" w:color="auto"/>
      </w:divBdr>
    </w:div>
    <w:div w:id="230778178">
      <w:marLeft w:val="0"/>
      <w:marRight w:val="0"/>
      <w:marTop w:val="0"/>
      <w:marBottom w:val="0"/>
      <w:divBdr>
        <w:top w:val="none" w:sz="0" w:space="0" w:color="auto"/>
        <w:left w:val="none" w:sz="0" w:space="0" w:color="auto"/>
        <w:bottom w:val="none" w:sz="0" w:space="0" w:color="auto"/>
        <w:right w:val="none" w:sz="0" w:space="0" w:color="auto"/>
      </w:divBdr>
      <w:divsChild>
        <w:div w:id="1559631714">
          <w:marLeft w:val="0"/>
          <w:marRight w:val="0"/>
          <w:marTop w:val="0"/>
          <w:marBottom w:val="0"/>
          <w:divBdr>
            <w:top w:val="none" w:sz="0" w:space="0" w:color="auto"/>
            <w:left w:val="none" w:sz="0" w:space="0" w:color="auto"/>
            <w:bottom w:val="none" w:sz="0" w:space="0" w:color="auto"/>
            <w:right w:val="none" w:sz="0" w:space="0" w:color="auto"/>
          </w:divBdr>
          <w:divsChild>
            <w:div w:id="10153497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32474391">
      <w:marLeft w:val="0"/>
      <w:marRight w:val="0"/>
      <w:marTop w:val="240"/>
      <w:marBottom w:val="0"/>
      <w:divBdr>
        <w:top w:val="none" w:sz="0" w:space="0" w:color="auto"/>
        <w:left w:val="none" w:sz="0" w:space="0" w:color="auto"/>
        <w:bottom w:val="none" w:sz="0" w:space="0" w:color="auto"/>
        <w:right w:val="none" w:sz="0" w:space="0" w:color="auto"/>
      </w:divBdr>
    </w:div>
    <w:div w:id="234315636">
      <w:marLeft w:val="0"/>
      <w:marRight w:val="0"/>
      <w:marTop w:val="240"/>
      <w:marBottom w:val="0"/>
      <w:divBdr>
        <w:top w:val="none" w:sz="0" w:space="0" w:color="auto"/>
        <w:left w:val="none" w:sz="0" w:space="0" w:color="auto"/>
        <w:bottom w:val="none" w:sz="0" w:space="0" w:color="auto"/>
        <w:right w:val="none" w:sz="0" w:space="0" w:color="auto"/>
      </w:divBdr>
    </w:div>
    <w:div w:id="238566864">
      <w:marLeft w:val="0"/>
      <w:marRight w:val="0"/>
      <w:marTop w:val="0"/>
      <w:marBottom w:val="0"/>
      <w:divBdr>
        <w:top w:val="none" w:sz="0" w:space="0" w:color="auto"/>
        <w:left w:val="none" w:sz="0" w:space="0" w:color="auto"/>
        <w:bottom w:val="none" w:sz="0" w:space="0" w:color="auto"/>
        <w:right w:val="none" w:sz="0" w:space="0" w:color="auto"/>
      </w:divBdr>
      <w:divsChild>
        <w:div w:id="801457727">
          <w:marLeft w:val="0"/>
          <w:marRight w:val="0"/>
          <w:marTop w:val="0"/>
          <w:marBottom w:val="0"/>
          <w:divBdr>
            <w:top w:val="none" w:sz="0" w:space="0" w:color="auto"/>
            <w:left w:val="none" w:sz="0" w:space="0" w:color="auto"/>
            <w:bottom w:val="none" w:sz="0" w:space="0" w:color="auto"/>
            <w:right w:val="none" w:sz="0" w:space="0" w:color="auto"/>
          </w:divBdr>
          <w:divsChild>
            <w:div w:id="16583377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40718691">
      <w:marLeft w:val="0"/>
      <w:marRight w:val="0"/>
      <w:marTop w:val="240"/>
      <w:marBottom w:val="0"/>
      <w:divBdr>
        <w:top w:val="none" w:sz="0" w:space="0" w:color="auto"/>
        <w:left w:val="none" w:sz="0" w:space="0" w:color="auto"/>
        <w:bottom w:val="none" w:sz="0" w:space="0" w:color="auto"/>
        <w:right w:val="none" w:sz="0" w:space="0" w:color="auto"/>
      </w:divBdr>
    </w:div>
    <w:div w:id="244192860">
      <w:marLeft w:val="0"/>
      <w:marRight w:val="0"/>
      <w:marTop w:val="160"/>
      <w:marBottom w:val="0"/>
      <w:divBdr>
        <w:top w:val="none" w:sz="0" w:space="0" w:color="auto"/>
        <w:left w:val="none" w:sz="0" w:space="0" w:color="auto"/>
        <w:bottom w:val="none" w:sz="0" w:space="0" w:color="auto"/>
        <w:right w:val="none" w:sz="0" w:space="0" w:color="auto"/>
      </w:divBdr>
    </w:div>
    <w:div w:id="247690484">
      <w:marLeft w:val="0"/>
      <w:marRight w:val="0"/>
      <w:marTop w:val="0"/>
      <w:marBottom w:val="0"/>
      <w:divBdr>
        <w:top w:val="none" w:sz="0" w:space="0" w:color="auto"/>
        <w:left w:val="none" w:sz="0" w:space="0" w:color="auto"/>
        <w:bottom w:val="none" w:sz="0" w:space="0" w:color="auto"/>
        <w:right w:val="none" w:sz="0" w:space="0" w:color="auto"/>
      </w:divBdr>
      <w:divsChild>
        <w:div w:id="1462115013">
          <w:marLeft w:val="0"/>
          <w:marRight w:val="0"/>
          <w:marTop w:val="0"/>
          <w:marBottom w:val="0"/>
          <w:divBdr>
            <w:top w:val="none" w:sz="0" w:space="0" w:color="auto"/>
            <w:left w:val="none" w:sz="0" w:space="0" w:color="auto"/>
            <w:bottom w:val="none" w:sz="0" w:space="0" w:color="auto"/>
            <w:right w:val="none" w:sz="0" w:space="0" w:color="auto"/>
          </w:divBdr>
          <w:divsChild>
            <w:div w:id="13921905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48275108">
      <w:marLeft w:val="0"/>
      <w:marRight w:val="0"/>
      <w:marTop w:val="240"/>
      <w:marBottom w:val="0"/>
      <w:divBdr>
        <w:top w:val="none" w:sz="0" w:space="0" w:color="auto"/>
        <w:left w:val="none" w:sz="0" w:space="0" w:color="auto"/>
        <w:bottom w:val="none" w:sz="0" w:space="0" w:color="auto"/>
        <w:right w:val="none" w:sz="0" w:space="0" w:color="auto"/>
      </w:divBdr>
    </w:div>
    <w:div w:id="249631267">
      <w:marLeft w:val="0"/>
      <w:marRight w:val="0"/>
      <w:marTop w:val="0"/>
      <w:marBottom w:val="0"/>
      <w:divBdr>
        <w:top w:val="none" w:sz="0" w:space="0" w:color="auto"/>
        <w:left w:val="none" w:sz="0" w:space="0" w:color="auto"/>
        <w:bottom w:val="none" w:sz="0" w:space="0" w:color="auto"/>
        <w:right w:val="none" w:sz="0" w:space="0" w:color="auto"/>
      </w:divBdr>
      <w:divsChild>
        <w:div w:id="804352345">
          <w:marLeft w:val="0"/>
          <w:marRight w:val="0"/>
          <w:marTop w:val="0"/>
          <w:marBottom w:val="0"/>
          <w:divBdr>
            <w:top w:val="none" w:sz="0" w:space="0" w:color="auto"/>
            <w:left w:val="none" w:sz="0" w:space="0" w:color="auto"/>
            <w:bottom w:val="none" w:sz="0" w:space="0" w:color="auto"/>
            <w:right w:val="none" w:sz="0" w:space="0" w:color="auto"/>
          </w:divBdr>
        </w:div>
      </w:divsChild>
    </w:div>
    <w:div w:id="252007751">
      <w:marLeft w:val="0"/>
      <w:marRight w:val="0"/>
      <w:marTop w:val="60"/>
      <w:marBottom w:val="0"/>
      <w:divBdr>
        <w:top w:val="none" w:sz="0" w:space="0" w:color="auto"/>
        <w:left w:val="none" w:sz="0" w:space="0" w:color="auto"/>
        <w:bottom w:val="none" w:sz="0" w:space="0" w:color="auto"/>
        <w:right w:val="none" w:sz="0" w:space="0" w:color="auto"/>
      </w:divBdr>
    </w:div>
    <w:div w:id="254170269">
      <w:marLeft w:val="0"/>
      <w:marRight w:val="0"/>
      <w:marTop w:val="240"/>
      <w:marBottom w:val="0"/>
      <w:divBdr>
        <w:top w:val="none" w:sz="0" w:space="0" w:color="auto"/>
        <w:left w:val="none" w:sz="0" w:space="0" w:color="auto"/>
        <w:bottom w:val="none" w:sz="0" w:space="0" w:color="auto"/>
        <w:right w:val="none" w:sz="0" w:space="0" w:color="auto"/>
      </w:divBdr>
    </w:div>
    <w:div w:id="254554366">
      <w:marLeft w:val="0"/>
      <w:marRight w:val="0"/>
      <w:marTop w:val="240"/>
      <w:marBottom w:val="0"/>
      <w:divBdr>
        <w:top w:val="none" w:sz="0" w:space="0" w:color="auto"/>
        <w:left w:val="none" w:sz="0" w:space="0" w:color="auto"/>
        <w:bottom w:val="none" w:sz="0" w:space="0" w:color="auto"/>
        <w:right w:val="none" w:sz="0" w:space="0" w:color="auto"/>
      </w:divBdr>
    </w:div>
    <w:div w:id="255018394">
      <w:marLeft w:val="0"/>
      <w:marRight w:val="0"/>
      <w:marTop w:val="240"/>
      <w:marBottom w:val="0"/>
      <w:divBdr>
        <w:top w:val="none" w:sz="0" w:space="0" w:color="auto"/>
        <w:left w:val="none" w:sz="0" w:space="0" w:color="auto"/>
        <w:bottom w:val="none" w:sz="0" w:space="0" w:color="auto"/>
        <w:right w:val="none" w:sz="0" w:space="0" w:color="auto"/>
      </w:divBdr>
    </w:div>
    <w:div w:id="256642092">
      <w:marLeft w:val="0"/>
      <w:marRight w:val="0"/>
      <w:marTop w:val="240"/>
      <w:marBottom w:val="0"/>
      <w:divBdr>
        <w:top w:val="none" w:sz="0" w:space="0" w:color="auto"/>
        <w:left w:val="none" w:sz="0" w:space="0" w:color="auto"/>
        <w:bottom w:val="none" w:sz="0" w:space="0" w:color="auto"/>
        <w:right w:val="none" w:sz="0" w:space="0" w:color="auto"/>
      </w:divBdr>
    </w:div>
    <w:div w:id="256788152">
      <w:marLeft w:val="0"/>
      <w:marRight w:val="0"/>
      <w:marTop w:val="0"/>
      <w:marBottom w:val="0"/>
      <w:divBdr>
        <w:top w:val="none" w:sz="0" w:space="0" w:color="auto"/>
        <w:left w:val="none" w:sz="0" w:space="0" w:color="auto"/>
        <w:bottom w:val="none" w:sz="0" w:space="0" w:color="auto"/>
        <w:right w:val="none" w:sz="0" w:space="0" w:color="auto"/>
      </w:divBdr>
      <w:divsChild>
        <w:div w:id="650870043">
          <w:marLeft w:val="0"/>
          <w:marRight w:val="0"/>
          <w:marTop w:val="0"/>
          <w:marBottom w:val="0"/>
          <w:divBdr>
            <w:top w:val="none" w:sz="0" w:space="0" w:color="auto"/>
            <w:left w:val="none" w:sz="0" w:space="0" w:color="auto"/>
            <w:bottom w:val="none" w:sz="0" w:space="0" w:color="auto"/>
            <w:right w:val="none" w:sz="0" w:space="0" w:color="auto"/>
          </w:divBdr>
          <w:divsChild>
            <w:div w:id="8282490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7056469">
      <w:marLeft w:val="0"/>
      <w:marRight w:val="0"/>
      <w:marTop w:val="240"/>
      <w:marBottom w:val="0"/>
      <w:divBdr>
        <w:top w:val="none" w:sz="0" w:space="0" w:color="auto"/>
        <w:left w:val="none" w:sz="0" w:space="0" w:color="auto"/>
        <w:bottom w:val="none" w:sz="0" w:space="0" w:color="auto"/>
        <w:right w:val="none" w:sz="0" w:space="0" w:color="auto"/>
      </w:divBdr>
    </w:div>
    <w:div w:id="265816428">
      <w:marLeft w:val="0"/>
      <w:marRight w:val="0"/>
      <w:marTop w:val="0"/>
      <w:marBottom w:val="120"/>
      <w:divBdr>
        <w:top w:val="none" w:sz="0" w:space="0" w:color="auto"/>
        <w:left w:val="none" w:sz="0" w:space="0" w:color="auto"/>
        <w:bottom w:val="none" w:sz="0" w:space="0" w:color="auto"/>
        <w:right w:val="none" w:sz="0" w:space="0" w:color="auto"/>
      </w:divBdr>
      <w:divsChild>
        <w:div w:id="917904328">
          <w:marLeft w:val="0"/>
          <w:marRight w:val="0"/>
          <w:marTop w:val="80"/>
          <w:marBottom w:val="0"/>
          <w:divBdr>
            <w:top w:val="none" w:sz="0" w:space="0" w:color="auto"/>
            <w:left w:val="none" w:sz="0" w:space="0" w:color="auto"/>
            <w:bottom w:val="none" w:sz="0" w:space="0" w:color="auto"/>
            <w:right w:val="none" w:sz="0" w:space="0" w:color="auto"/>
          </w:divBdr>
        </w:div>
      </w:divsChild>
    </w:div>
    <w:div w:id="265892962">
      <w:marLeft w:val="0"/>
      <w:marRight w:val="0"/>
      <w:marTop w:val="0"/>
      <w:marBottom w:val="0"/>
      <w:divBdr>
        <w:top w:val="none" w:sz="0" w:space="0" w:color="auto"/>
        <w:left w:val="none" w:sz="0" w:space="0" w:color="auto"/>
        <w:bottom w:val="none" w:sz="0" w:space="0" w:color="auto"/>
        <w:right w:val="none" w:sz="0" w:space="0" w:color="auto"/>
      </w:divBdr>
      <w:divsChild>
        <w:div w:id="756948341">
          <w:marLeft w:val="0"/>
          <w:marRight w:val="0"/>
          <w:marTop w:val="0"/>
          <w:marBottom w:val="0"/>
          <w:divBdr>
            <w:top w:val="none" w:sz="0" w:space="0" w:color="auto"/>
            <w:left w:val="none" w:sz="0" w:space="0" w:color="auto"/>
            <w:bottom w:val="none" w:sz="0" w:space="0" w:color="auto"/>
            <w:right w:val="none" w:sz="0" w:space="0" w:color="auto"/>
          </w:divBdr>
          <w:divsChild>
            <w:div w:id="11246136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6737060">
      <w:marLeft w:val="0"/>
      <w:marRight w:val="0"/>
      <w:marTop w:val="0"/>
      <w:marBottom w:val="0"/>
      <w:divBdr>
        <w:top w:val="none" w:sz="0" w:space="0" w:color="auto"/>
        <w:left w:val="none" w:sz="0" w:space="0" w:color="auto"/>
        <w:bottom w:val="none" w:sz="0" w:space="0" w:color="auto"/>
        <w:right w:val="none" w:sz="0" w:space="0" w:color="auto"/>
      </w:divBdr>
      <w:divsChild>
        <w:div w:id="455410191">
          <w:marLeft w:val="0"/>
          <w:marRight w:val="0"/>
          <w:marTop w:val="0"/>
          <w:marBottom w:val="0"/>
          <w:divBdr>
            <w:top w:val="none" w:sz="0" w:space="0" w:color="auto"/>
            <w:left w:val="none" w:sz="0" w:space="0" w:color="auto"/>
            <w:bottom w:val="none" w:sz="0" w:space="0" w:color="auto"/>
            <w:right w:val="none" w:sz="0" w:space="0" w:color="auto"/>
          </w:divBdr>
          <w:divsChild>
            <w:div w:id="11872544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6931741">
      <w:marLeft w:val="0"/>
      <w:marRight w:val="0"/>
      <w:marTop w:val="160"/>
      <w:marBottom w:val="0"/>
      <w:divBdr>
        <w:top w:val="none" w:sz="0" w:space="0" w:color="auto"/>
        <w:left w:val="none" w:sz="0" w:space="0" w:color="auto"/>
        <w:bottom w:val="none" w:sz="0" w:space="0" w:color="auto"/>
        <w:right w:val="none" w:sz="0" w:space="0" w:color="auto"/>
      </w:divBdr>
    </w:div>
    <w:div w:id="267591626">
      <w:marLeft w:val="0"/>
      <w:marRight w:val="0"/>
      <w:marTop w:val="240"/>
      <w:marBottom w:val="0"/>
      <w:divBdr>
        <w:top w:val="none" w:sz="0" w:space="0" w:color="auto"/>
        <w:left w:val="none" w:sz="0" w:space="0" w:color="auto"/>
        <w:bottom w:val="none" w:sz="0" w:space="0" w:color="auto"/>
        <w:right w:val="none" w:sz="0" w:space="0" w:color="auto"/>
      </w:divBdr>
    </w:div>
    <w:div w:id="272636363">
      <w:marLeft w:val="0"/>
      <w:marRight w:val="0"/>
      <w:marTop w:val="240"/>
      <w:marBottom w:val="0"/>
      <w:divBdr>
        <w:top w:val="none" w:sz="0" w:space="0" w:color="auto"/>
        <w:left w:val="none" w:sz="0" w:space="0" w:color="auto"/>
        <w:bottom w:val="none" w:sz="0" w:space="0" w:color="auto"/>
        <w:right w:val="none" w:sz="0" w:space="0" w:color="auto"/>
      </w:divBdr>
    </w:div>
    <w:div w:id="274559973">
      <w:marLeft w:val="0"/>
      <w:marRight w:val="0"/>
      <w:marTop w:val="120"/>
      <w:marBottom w:val="0"/>
      <w:divBdr>
        <w:top w:val="none" w:sz="0" w:space="0" w:color="auto"/>
        <w:left w:val="none" w:sz="0" w:space="0" w:color="auto"/>
        <w:bottom w:val="none" w:sz="0" w:space="0" w:color="auto"/>
        <w:right w:val="none" w:sz="0" w:space="0" w:color="auto"/>
      </w:divBdr>
    </w:div>
    <w:div w:id="274797350">
      <w:marLeft w:val="0"/>
      <w:marRight w:val="0"/>
      <w:marTop w:val="240"/>
      <w:marBottom w:val="0"/>
      <w:divBdr>
        <w:top w:val="none" w:sz="0" w:space="0" w:color="auto"/>
        <w:left w:val="none" w:sz="0" w:space="0" w:color="auto"/>
        <w:bottom w:val="none" w:sz="0" w:space="0" w:color="auto"/>
        <w:right w:val="none" w:sz="0" w:space="0" w:color="auto"/>
      </w:divBdr>
    </w:div>
    <w:div w:id="278076016">
      <w:marLeft w:val="0"/>
      <w:marRight w:val="0"/>
      <w:marTop w:val="240"/>
      <w:marBottom w:val="0"/>
      <w:divBdr>
        <w:top w:val="none" w:sz="0" w:space="0" w:color="auto"/>
        <w:left w:val="none" w:sz="0" w:space="0" w:color="auto"/>
        <w:bottom w:val="none" w:sz="0" w:space="0" w:color="auto"/>
        <w:right w:val="none" w:sz="0" w:space="0" w:color="auto"/>
      </w:divBdr>
    </w:div>
    <w:div w:id="280188693">
      <w:marLeft w:val="0"/>
      <w:marRight w:val="0"/>
      <w:marTop w:val="240"/>
      <w:marBottom w:val="0"/>
      <w:divBdr>
        <w:top w:val="none" w:sz="0" w:space="0" w:color="auto"/>
        <w:left w:val="none" w:sz="0" w:space="0" w:color="auto"/>
        <w:bottom w:val="none" w:sz="0" w:space="0" w:color="auto"/>
        <w:right w:val="none" w:sz="0" w:space="0" w:color="auto"/>
      </w:divBdr>
    </w:div>
    <w:div w:id="286279349">
      <w:marLeft w:val="0"/>
      <w:marRight w:val="0"/>
      <w:marTop w:val="240"/>
      <w:marBottom w:val="0"/>
      <w:divBdr>
        <w:top w:val="none" w:sz="0" w:space="0" w:color="auto"/>
        <w:left w:val="none" w:sz="0" w:space="0" w:color="auto"/>
        <w:bottom w:val="none" w:sz="0" w:space="0" w:color="auto"/>
        <w:right w:val="none" w:sz="0" w:space="0" w:color="auto"/>
      </w:divBdr>
    </w:div>
    <w:div w:id="286354448">
      <w:marLeft w:val="0"/>
      <w:marRight w:val="0"/>
      <w:marTop w:val="0"/>
      <w:marBottom w:val="0"/>
      <w:divBdr>
        <w:top w:val="none" w:sz="0" w:space="0" w:color="auto"/>
        <w:left w:val="none" w:sz="0" w:space="0" w:color="auto"/>
        <w:bottom w:val="none" w:sz="0" w:space="0" w:color="auto"/>
        <w:right w:val="none" w:sz="0" w:space="0" w:color="auto"/>
      </w:divBdr>
    </w:div>
    <w:div w:id="287054123">
      <w:marLeft w:val="0"/>
      <w:marRight w:val="0"/>
      <w:marTop w:val="240"/>
      <w:marBottom w:val="0"/>
      <w:divBdr>
        <w:top w:val="none" w:sz="0" w:space="0" w:color="auto"/>
        <w:left w:val="none" w:sz="0" w:space="0" w:color="auto"/>
        <w:bottom w:val="none" w:sz="0" w:space="0" w:color="auto"/>
        <w:right w:val="none" w:sz="0" w:space="0" w:color="auto"/>
      </w:divBdr>
    </w:div>
    <w:div w:id="288124467">
      <w:marLeft w:val="0"/>
      <w:marRight w:val="0"/>
      <w:marTop w:val="0"/>
      <w:marBottom w:val="0"/>
      <w:divBdr>
        <w:top w:val="none" w:sz="0" w:space="0" w:color="auto"/>
        <w:left w:val="none" w:sz="0" w:space="0" w:color="auto"/>
        <w:bottom w:val="none" w:sz="0" w:space="0" w:color="auto"/>
        <w:right w:val="none" w:sz="0" w:space="0" w:color="auto"/>
      </w:divBdr>
      <w:divsChild>
        <w:div w:id="128867805">
          <w:marLeft w:val="0"/>
          <w:marRight w:val="0"/>
          <w:marTop w:val="0"/>
          <w:marBottom w:val="0"/>
          <w:divBdr>
            <w:top w:val="none" w:sz="0" w:space="0" w:color="auto"/>
            <w:left w:val="none" w:sz="0" w:space="0" w:color="auto"/>
            <w:bottom w:val="none" w:sz="0" w:space="0" w:color="auto"/>
            <w:right w:val="none" w:sz="0" w:space="0" w:color="auto"/>
          </w:divBdr>
        </w:div>
      </w:divsChild>
    </w:div>
    <w:div w:id="293798692">
      <w:marLeft w:val="0"/>
      <w:marRight w:val="0"/>
      <w:marTop w:val="160"/>
      <w:marBottom w:val="0"/>
      <w:divBdr>
        <w:top w:val="none" w:sz="0" w:space="0" w:color="auto"/>
        <w:left w:val="none" w:sz="0" w:space="0" w:color="auto"/>
        <w:bottom w:val="none" w:sz="0" w:space="0" w:color="auto"/>
        <w:right w:val="none" w:sz="0" w:space="0" w:color="auto"/>
      </w:divBdr>
    </w:div>
    <w:div w:id="295382477">
      <w:marLeft w:val="0"/>
      <w:marRight w:val="0"/>
      <w:marTop w:val="240"/>
      <w:marBottom w:val="0"/>
      <w:divBdr>
        <w:top w:val="none" w:sz="0" w:space="0" w:color="auto"/>
        <w:left w:val="none" w:sz="0" w:space="0" w:color="auto"/>
        <w:bottom w:val="none" w:sz="0" w:space="0" w:color="auto"/>
        <w:right w:val="none" w:sz="0" w:space="0" w:color="auto"/>
      </w:divBdr>
    </w:div>
    <w:div w:id="297883373">
      <w:marLeft w:val="0"/>
      <w:marRight w:val="0"/>
      <w:marTop w:val="240"/>
      <w:marBottom w:val="0"/>
      <w:divBdr>
        <w:top w:val="none" w:sz="0" w:space="0" w:color="auto"/>
        <w:left w:val="none" w:sz="0" w:space="0" w:color="auto"/>
        <w:bottom w:val="none" w:sz="0" w:space="0" w:color="auto"/>
        <w:right w:val="none" w:sz="0" w:space="0" w:color="auto"/>
      </w:divBdr>
    </w:div>
    <w:div w:id="300038820">
      <w:marLeft w:val="0"/>
      <w:marRight w:val="0"/>
      <w:marTop w:val="60"/>
      <w:marBottom w:val="0"/>
      <w:divBdr>
        <w:top w:val="none" w:sz="0" w:space="0" w:color="auto"/>
        <w:left w:val="none" w:sz="0" w:space="0" w:color="auto"/>
        <w:bottom w:val="none" w:sz="0" w:space="0" w:color="auto"/>
        <w:right w:val="none" w:sz="0" w:space="0" w:color="auto"/>
      </w:divBdr>
    </w:div>
    <w:div w:id="302661797">
      <w:marLeft w:val="0"/>
      <w:marRight w:val="0"/>
      <w:marTop w:val="240"/>
      <w:marBottom w:val="0"/>
      <w:divBdr>
        <w:top w:val="none" w:sz="0" w:space="0" w:color="auto"/>
        <w:left w:val="none" w:sz="0" w:space="0" w:color="auto"/>
        <w:bottom w:val="none" w:sz="0" w:space="0" w:color="auto"/>
        <w:right w:val="none" w:sz="0" w:space="0" w:color="auto"/>
      </w:divBdr>
    </w:div>
    <w:div w:id="302927402">
      <w:marLeft w:val="0"/>
      <w:marRight w:val="0"/>
      <w:marTop w:val="60"/>
      <w:marBottom w:val="0"/>
      <w:divBdr>
        <w:top w:val="none" w:sz="0" w:space="0" w:color="auto"/>
        <w:left w:val="none" w:sz="0" w:space="0" w:color="auto"/>
        <w:bottom w:val="none" w:sz="0" w:space="0" w:color="auto"/>
        <w:right w:val="none" w:sz="0" w:space="0" w:color="auto"/>
      </w:divBdr>
    </w:div>
    <w:div w:id="303314042">
      <w:marLeft w:val="0"/>
      <w:marRight w:val="0"/>
      <w:marTop w:val="0"/>
      <w:marBottom w:val="120"/>
      <w:divBdr>
        <w:top w:val="none" w:sz="0" w:space="0" w:color="auto"/>
        <w:left w:val="none" w:sz="0" w:space="0" w:color="auto"/>
        <w:bottom w:val="none" w:sz="0" w:space="0" w:color="auto"/>
        <w:right w:val="none" w:sz="0" w:space="0" w:color="auto"/>
      </w:divBdr>
    </w:div>
    <w:div w:id="304512036">
      <w:marLeft w:val="0"/>
      <w:marRight w:val="0"/>
      <w:marTop w:val="0"/>
      <w:marBottom w:val="0"/>
      <w:divBdr>
        <w:top w:val="none" w:sz="0" w:space="0" w:color="auto"/>
        <w:left w:val="none" w:sz="0" w:space="0" w:color="auto"/>
        <w:bottom w:val="none" w:sz="0" w:space="0" w:color="auto"/>
        <w:right w:val="none" w:sz="0" w:space="0" w:color="auto"/>
      </w:divBdr>
      <w:divsChild>
        <w:div w:id="1795708291">
          <w:marLeft w:val="0"/>
          <w:marRight w:val="0"/>
          <w:marTop w:val="0"/>
          <w:marBottom w:val="0"/>
          <w:divBdr>
            <w:top w:val="none" w:sz="0" w:space="0" w:color="auto"/>
            <w:left w:val="none" w:sz="0" w:space="0" w:color="auto"/>
            <w:bottom w:val="none" w:sz="0" w:space="0" w:color="auto"/>
            <w:right w:val="none" w:sz="0" w:space="0" w:color="auto"/>
          </w:divBdr>
        </w:div>
      </w:divsChild>
    </w:div>
    <w:div w:id="309943119">
      <w:marLeft w:val="0"/>
      <w:marRight w:val="0"/>
      <w:marTop w:val="0"/>
      <w:marBottom w:val="0"/>
      <w:divBdr>
        <w:top w:val="none" w:sz="0" w:space="0" w:color="auto"/>
        <w:left w:val="none" w:sz="0" w:space="0" w:color="auto"/>
        <w:bottom w:val="none" w:sz="0" w:space="0" w:color="auto"/>
        <w:right w:val="none" w:sz="0" w:space="0" w:color="auto"/>
      </w:divBdr>
      <w:divsChild>
        <w:div w:id="870261362">
          <w:marLeft w:val="0"/>
          <w:marRight w:val="0"/>
          <w:marTop w:val="0"/>
          <w:marBottom w:val="0"/>
          <w:divBdr>
            <w:top w:val="none" w:sz="0" w:space="0" w:color="auto"/>
            <w:left w:val="none" w:sz="0" w:space="0" w:color="auto"/>
            <w:bottom w:val="none" w:sz="0" w:space="0" w:color="auto"/>
            <w:right w:val="none" w:sz="0" w:space="0" w:color="auto"/>
          </w:divBdr>
          <w:divsChild>
            <w:div w:id="668026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10212788">
      <w:marLeft w:val="0"/>
      <w:marRight w:val="0"/>
      <w:marTop w:val="240"/>
      <w:marBottom w:val="0"/>
      <w:divBdr>
        <w:top w:val="none" w:sz="0" w:space="0" w:color="auto"/>
        <w:left w:val="none" w:sz="0" w:space="0" w:color="auto"/>
        <w:bottom w:val="none" w:sz="0" w:space="0" w:color="auto"/>
        <w:right w:val="none" w:sz="0" w:space="0" w:color="auto"/>
      </w:divBdr>
    </w:div>
    <w:div w:id="310520079">
      <w:marLeft w:val="0"/>
      <w:marRight w:val="0"/>
      <w:marTop w:val="240"/>
      <w:marBottom w:val="0"/>
      <w:divBdr>
        <w:top w:val="none" w:sz="0" w:space="0" w:color="auto"/>
        <w:left w:val="none" w:sz="0" w:space="0" w:color="auto"/>
        <w:bottom w:val="none" w:sz="0" w:space="0" w:color="auto"/>
        <w:right w:val="none" w:sz="0" w:space="0" w:color="auto"/>
      </w:divBdr>
    </w:div>
    <w:div w:id="315652579">
      <w:marLeft w:val="0"/>
      <w:marRight w:val="0"/>
      <w:marTop w:val="240"/>
      <w:marBottom w:val="0"/>
      <w:divBdr>
        <w:top w:val="none" w:sz="0" w:space="0" w:color="auto"/>
        <w:left w:val="none" w:sz="0" w:space="0" w:color="auto"/>
        <w:bottom w:val="none" w:sz="0" w:space="0" w:color="auto"/>
        <w:right w:val="none" w:sz="0" w:space="0" w:color="auto"/>
      </w:divBdr>
    </w:div>
    <w:div w:id="317660208">
      <w:marLeft w:val="0"/>
      <w:marRight w:val="0"/>
      <w:marTop w:val="0"/>
      <w:marBottom w:val="0"/>
      <w:divBdr>
        <w:top w:val="none" w:sz="0" w:space="0" w:color="auto"/>
        <w:left w:val="none" w:sz="0" w:space="0" w:color="auto"/>
        <w:bottom w:val="none" w:sz="0" w:space="0" w:color="auto"/>
        <w:right w:val="none" w:sz="0" w:space="0" w:color="auto"/>
      </w:divBdr>
      <w:divsChild>
        <w:div w:id="1335450334">
          <w:marLeft w:val="0"/>
          <w:marRight w:val="0"/>
          <w:marTop w:val="0"/>
          <w:marBottom w:val="0"/>
          <w:divBdr>
            <w:top w:val="none" w:sz="0" w:space="0" w:color="auto"/>
            <w:left w:val="none" w:sz="0" w:space="0" w:color="auto"/>
            <w:bottom w:val="none" w:sz="0" w:space="0" w:color="auto"/>
            <w:right w:val="none" w:sz="0" w:space="0" w:color="auto"/>
          </w:divBdr>
          <w:divsChild>
            <w:div w:id="10417816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19388362">
      <w:marLeft w:val="0"/>
      <w:marRight w:val="0"/>
      <w:marTop w:val="240"/>
      <w:marBottom w:val="0"/>
      <w:divBdr>
        <w:top w:val="none" w:sz="0" w:space="0" w:color="auto"/>
        <w:left w:val="none" w:sz="0" w:space="0" w:color="auto"/>
        <w:bottom w:val="none" w:sz="0" w:space="0" w:color="auto"/>
        <w:right w:val="none" w:sz="0" w:space="0" w:color="auto"/>
      </w:divBdr>
    </w:div>
    <w:div w:id="319428331">
      <w:marLeft w:val="0"/>
      <w:marRight w:val="0"/>
      <w:marTop w:val="240"/>
      <w:marBottom w:val="0"/>
      <w:divBdr>
        <w:top w:val="none" w:sz="0" w:space="0" w:color="auto"/>
        <w:left w:val="none" w:sz="0" w:space="0" w:color="auto"/>
        <w:bottom w:val="none" w:sz="0" w:space="0" w:color="auto"/>
        <w:right w:val="none" w:sz="0" w:space="0" w:color="auto"/>
      </w:divBdr>
    </w:div>
    <w:div w:id="319506809">
      <w:marLeft w:val="0"/>
      <w:marRight w:val="0"/>
      <w:marTop w:val="0"/>
      <w:marBottom w:val="120"/>
      <w:divBdr>
        <w:top w:val="none" w:sz="0" w:space="0" w:color="auto"/>
        <w:left w:val="none" w:sz="0" w:space="0" w:color="auto"/>
        <w:bottom w:val="none" w:sz="0" w:space="0" w:color="auto"/>
        <w:right w:val="none" w:sz="0" w:space="0" w:color="auto"/>
      </w:divBdr>
    </w:div>
    <w:div w:id="322857569">
      <w:marLeft w:val="0"/>
      <w:marRight w:val="0"/>
      <w:marTop w:val="240"/>
      <w:marBottom w:val="0"/>
      <w:divBdr>
        <w:top w:val="none" w:sz="0" w:space="0" w:color="auto"/>
        <w:left w:val="none" w:sz="0" w:space="0" w:color="auto"/>
        <w:bottom w:val="none" w:sz="0" w:space="0" w:color="auto"/>
        <w:right w:val="none" w:sz="0" w:space="0" w:color="auto"/>
      </w:divBdr>
    </w:div>
    <w:div w:id="324478893">
      <w:marLeft w:val="0"/>
      <w:marRight w:val="0"/>
      <w:marTop w:val="240"/>
      <w:marBottom w:val="0"/>
      <w:divBdr>
        <w:top w:val="none" w:sz="0" w:space="0" w:color="auto"/>
        <w:left w:val="none" w:sz="0" w:space="0" w:color="auto"/>
        <w:bottom w:val="none" w:sz="0" w:space="0" w:color="auto"/>
        <w:right w:val="none" w:sz="0" w:space="0" w:color="auto"/>
      </w:divBdr>
    </w:div>
    <w:div w:id="326056908">
      <w:marLeft w:val="0"/>
      <w:marRight w:val="0"/>
      <w:marTop w:val="240"/>
      <w:marBottom w:val="0"/>
      <w:divBdr>
        <w:top w:val="none" w:sz="0" w:space="0" w:color="auto"/>
        <w:left w:val="none" w:sz="0" w:space="0" w:color="auto"/>
        <w:bottom w:val="none" w:sz="0" w:space="0" w:color="auto"/>
        <w:right w:val="none" w:sz="0" w:space="0" w:color="auto"/>
      </w:divBdr>
    </w:div>
    <w:div w:id="326790532">
      <w:marLeft w:val="0"/>
      <w:marRight w:val="0"/>
      <w:marTop w:val="160"/>
      <w:marBottom w:val="0"/>
      <w:divBdr>
        <w:top w:val="none" w:sz="0" w:space="0" w:color="auto"/>
        <w:left w:val="none" w:sz="0" w:space="0" w:color="auto"/>
        <w:bottom w:val="none" w:sz="0" w:space="0" w:color="auto"/>
        <w:right w:val="none" w:sz="0" w:space="0" w:color="auto"/>
      </w:divBdr>
    </w:div>
    <w:div w:id="327633844">
      <w:marLeft w:val="0"/>
      <w:marRight w:val="0"/>
      <w:marTop w:val="240"/>
      <w:marBottom w:val="0"/>
      <w:divBdr>
        <w:top w:val="none" w:sz="0" w:space="0" w:color="auto"/>
        <w:left w:val="none" w:sz="0" w:space="0" w:color="auto"/>
        <w:bottom w:val="none" w:sz="0" w:space="0" w:color="auto"/>
        <w:right w:val="none" w:sz="0" w:space="0" w:color="auto"/>
      </w:divBdr>
    </w:div>
    <w:div w:id="330260982">
      <w:marLeft w:val="0"/>
      <w:marRight w:val="0"/>
      <w:marTop w:val="240"/>
      <w:marBottom w:val="0"/>
      <w:divBdr>
        <w:top w:val="none" w:sz="0" w:space="0" w:color="auto"/>
        <w:left w:val="none" w:sz="0" w:space="0" w:color="auto"/>
        <w:bottom w:val="none" w:sz="0" w:space="0" w:color="auto"/>
        <w:right w:val="none" w:sz="0" w:space="0" w:color="auto"/>
      </w:divBdr>
    </w:div>
    <w:div w:id="331834342">
      <w:marLeft w:val="0"/>
      <w:marRight w:val="0"/>
      <w:marTop w:val="240"/>
      <w:marBottom w:val="0"/>
      <w:divBdr>
        <w:top w:val="none" w:sz="0" w:space="0" w:color="auto"/>
        <w:left w:val="none" w:sz="0" w:space="0" w:color="auto"/>
        <w:bottom w:val="none" w:sz="0" w:space="0" w:color="auto"/>
        <w:right w:val="none" w:sz="0" w:space="0" w:color="auto"/>
      </w:divBdr>
    </w:div>
    <w:div w:id="336463832">
      <w:marLeft w:val="0"/>
      <w:marRight w:val="0"/>
      <w:marTop w:val="240"/>
      <w:marBottom w:val="0"/>
      <w:divBdr>
        <w:top w:val="none" w:sz="0" w:space="0" w:color="auto"/>
        <w:left w:val="none" w:sz="0" w:space="0" w:color="auto"/>
        <w:bottom w:val="none" w:sz="0" w:space="0" w:color="auto"/>
        <w:right w:val="none" w:sz="0" w:space="0" w:color="auto"/>
      </w:divBdr>
    </w:div>
    <w:div w:id="341665161">
      <w:marLeft w:val="0"/>
      <w:marRight w:val="0"/>
      <w:marTop w:val="0"/>
      <w:marBottom w:val="0"/>
      <w:divBdr>
        <w:top w:val="none" w:sz="0" w:space="0" w:color="auto"/>
        <w:left w:val="none" w:sz="0" w:space="0" w:color="auto"/>
        <w:bottom w:val="none" w:sz="0" w:space="0" w:color="auto"/>
        <w:right w:val="none" w:sz="0" w:space="0" w:color="auto"/>
      </w:divBdr>
    </w:div>
    <w:div w:id="346516850">
      <w:marLeft w:val="0"/>
      <w:marRight w:val="0"/>
      <w:marTop w:val="0"/>
      <w:marBottom w:val="0"/>
      <w:divBdr>
        <w:top w:val="none" w:sz="0" w:space="0" w:color="auto"/>
        <w:left w:val="none" w:sz="0" w:space="0" w:color="auto"/>
        <w:bottom w:val="none" w:sz="0" w:space="0" w:color="auto"/>
        <w:right w:val="none" w:sz="0" w:space="0" w:color="auto"/>
      </w:divBdr>
      <w:divsChild>
        <w:div w:id="1409574082">
          <w:marLeft w:val="0"/>
          <w:marRight w:val="0"/>
          <w:marTop w:val="0"/>
          <w:marBottom w:val="0"/>
          <w:divBdr>
            <w:top w:val="none" w:sz="0" w:space="0" w:color="auto"/>
            <w:left w:val="none" w:sz="0" w:space="0" w:color="auto"/>
            <w:bottom w:val="none" w:sz="0" w:space="0" w:color="auto"/>
            <w:right w:val="none" w:sz="0" w:space="0" w:color="auto"/>
          </w:divBdr>
          <w:divsChild>
            <w:div w:id="6749656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47104416">
      <w:marLeft w:val="0"/>
      <w:marRight w:val="0"/>
      <w:marTop w:val="0"/>
      <w:marBottom w:val="0"/>
      <w:divBdr>
        <w:top w:val="none" w:sz="0" w:space="0" w:color="auto"/>
        <w:left w:val="none" w:sz="0" w:space="0" w:color="auto"/>
        <w:bottom w:val="none" w:sz="0" w:space="0" w:color="auto"/>
        <w:right w:val="none" w:sz="0" w:space="0" w:color="auto"/>
      </w:divBdr>
      <w:divsChild>
        <w:div w:id="1955163548">
          <w:marLeft w:val="0"/>
          <w:marRight w:val="0"/>
          <w:marTop w:val="0"/>
          <w:marBottom w:val="0"/>
          <w:divBdr>
            <w:top w:val="none" w:sz="0" w:space="0" w:color="auto"/>
            <w:left w:val="none" w:sz="0" w:space="0" w:color="auto"/>
            <w:bottom w:val="none" w:sz="0" w:space="0" w:color="auto"/>
            <w:right w:val="none" w:sz="0" w:space="0" w:color="auto"/>
          </w:divBdr>
        </w:div>
      </w:divsChild>
    </w:div>
    <w:div w:id="347484619">
      <w:marLeft w:val="0"/>
      <w:marRight w:val="0"/>
      <w:marTop w:val="240"/>
      <w:marBottom w:val="0"/>
      <w:divBdr>
        <w:top w:val="none" w:sz="0" w:space="0" w:color="auto"/>
        <w:left w:val="none" w:sz="0" w:space="0" w:color="auto"/>
        <w:bottom w:val="none" w:sz="0" w:space="0" w:color="auto"/>
        <w:right w:val="none" w:sz="0" w:space="0" w:color="auto"/>
      </w:divBdr>
    </w:div>
    <w:div w:id="348215909">
      <w:marLeft w:val="0"/>
      <w:marRight w:val="0"/>
      <w:marTop w:val="0"/>
      <w:marBottom w:val="0"/>
      <w:divBdr>
        <w:top w:val="none" w:sz="0" w:space="0" w:color="auto"/>
        <w:left w:val="none" w:sz="0" w:space="0" w:color="auto"/>
        <w:bottom w:val="none" w:sz="0" w:space="0" w:color="auto"/>
        <w:right w:val="none" w:sz="0" w:space="0" w:color="auto"/>
      </w:divBdr>
      <w:divsChild>
        <w:div w:id="588999194">
          <w:marLeft w:val="0"/>
          <w:marRight w:val="0"/>
          <w:marTop w:val="0"/>
          <w:marBottom w:val="0"/>
          <w:divBdr>
            <w:top w:val="none" w:sz="0" w:space="0" w:color="auto"/>
            <w:left w:val="none" w:sz="0" w:space="0" w:color="auto"/>
            <w:bottom w:val="none" w:sz="0" w:space="0" w:color="auto"/>
            <w:right w:val="none" w:sz="0" w:space="0" w:color="auto"/>
          </w:divBdr>
          <w:divsChild>
            <w:div w:id="3481470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49840092">
      <w:marLeft w:val="0"/>
      <w:marRight w:val="0"/>
      <w:marTop w:val="0"/>
      <w:marBottom w:val="0"/>
      <w:divBdr>
        <w:top w:val="none" w:sz="0" w:space="0" w:color="auto"/>
        <w:left w:val="none" w:sz="0" w:space="0" w:color="auto"/>
        <w:bottom w:val="none" w:sz="0" w:space="0" w:color="auto"/>
        <w:right w:val="none" w:sz="0" w:space="0" w:color="auto"/>
      </w:divBdr>
      <w:divsChild>
        <w:div w:id="926646095">
          <w:marLeft w:val="0"/>
          <w:marRight w:val="0"/>
          <w:marTop w:val="0"/>
          <w:marBottom w:val="0"/>
          <w:divBdr>
            <w:top w:val="none" w:sz="0" w:space="0" w:color="auto"/>
            <w:left w:val="none" w:sz="0" w:space="0" w:color="auto"/>
            <w:bottom w:val="none" w:sz="0" w:space="0" w:color="auto"/>
            <w:right w:val="none" w:sz="0" w:space="0" w:color="auto"/>
          </w:divBdr>
        </w:div>
      </w:divsChild>
    </w:div>
    <w:div w:id="352146165">
      <w:marLeft w:val="0"/>
      <w:marRight w:val="0"/>
      <w:marTop w:val="240"/>
      <w:marBottom w:val="0"/>
      <w:divBdr>
        <w:top w:val="none" w:sz="0" w:space="0" w:color="auto"/>
        <w:left w:val="none" w:sz="0" w:space="0" w:color="auto"/>
        <w:bottom w:val="none" w:sz="0" w:space="0" w:color="auto"/>
        <w:right w:val="none" w:sz="0" w:space="0" w:color="auto"/>
      </w:divBdr>
    </w:div>
    <w:div w:id="352852323">
      <w:marLeft w:val="0"/>
      <w:marRight w:val="0"/>
      <w:marTop w:val="240"/>
      <w:marBottom w:val="0"/>
      <w:divBdr>
        <w:top w:val="none" w:sz="0" w:space="0" w:color="auto"/>
        <w:left w:val="none" w:sz="0" w:space="0" w:color="auto"/>
        <w:bottom w:val="none" w:sz="0" w:space="0" w:color="auto"/>
        <w:right w:val="none" w:sz="0" w:space="0" w:color="auto"/>
      </w:divBdr>
    </w:div>
    <w:div w:id="354817625">
      <w:marLeft w:val="0"/>
      <w:marRight w:val="0"/>
      <w:marTop w:val="240"/>
      <w:marBottom w:val="0"/>
      <w:divBdr>
        <w:top w:val="none" w:sz="0" w:space="0" w:color="auto"/>
        <w:left w:val="none" w:sz="0" w:space="0" w:color="auto"/>
        <w:bottom w:val="none" w:sz="0" w:space="0" w:color="auto"/>
        <w:right w:val="none" w:sz="0" w:space="0" w:color="auto"/>
      </w:divBdr>
    </w:div>
    <w:div w:id="357199525">
      <w:marLeft w:val="0"/>
      <w:marRight w:val="0"/>
      <w:marTop w:val="240"/>
      <w:marBottom w:val="0"/>
      <w:divBdr>
        <w:top w:val="none" w:sz="0" w:space="0" w:color="auto"/>
        <w:left w:val="none" w:sz="0" w:space="0" w:color="auto"/>
        <w:bottom w:val="none" w:sz="0" w:space="0" w:color="auto"/>
        <w:right w:val="none" w:sz="0" w:space="0" w:color="auto"/>
      </w:divBdr>
    </w:div>
    <w:div w:id="358239401">
      <w:marLeft w:val="0"/>
      <w:marRight w:val="0"/>
      <w:marTop w:val="240"/>
      <w:marBottom w:val="0"/>
      <w:divBdr>
        <w:top w:val="none" w:sz="0" w:space="0" w:color="auto"/>
        <w:left w:val="none" w:sz="0" w:space="0" w:color="auto"/>
        <w:bottom w:val="none" w:sz="0" w:space="0" w:color="auto"/>
        <w:right w:val="none" w:sz="0" w:space="0" w:color="auto"/>
      </w:divBdr>
    </w:div>
    <w:div w:id="361169953">
      <w:marLeft w:val="0"/>
      <w:marRight w:val="0"/>
      <w:marTop w:val="0"/>
      <w:marBottom w:val="0"/>
      <w:divBdr>
        <w:top w:val="none" w:sz="0" w:space="0" w:color="auto"/>
        <w:left w:val="none" w:sz="0" w:space="0" w:color="auto"/>
        <w:bottom w:val="none" w:sz="0" w:space="0" w:color="auto"/>
        <w:right w:val="none" w:sz="0" w:space="0" w:color="auto"/>
      </w:divBdr>
      <w:divsChild>
        <w:div w:id="1552962133">
          <w:marLeft w:val="0"/>
          <w:marRight w:val="0"/>
          <w:marTop w:val="0"/>
          <w:marBottom w:val="0"/>
          <w:divBdr>
            <w:top w:val="none" w:sz="0" w:space="0" w:color="auto"/>
            <w:left w:val="none" w:sz="0" w:space="0" w:color="auto"/>
            <w:bottom w:val="none" w:sz="0" w:space="0" w:color="auto"/>
            <w:right w:val="none" w:sz="0" w:space="0" w:color="auto"/>
          </w:divBdr>
          <w:divsChild>
            <w:div w:id="949749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62290929">
      <w:marLeft w:val="0"/>
      <w:marRight w:val="0"/>
      <w:marTop w:val="240"/>
      <w:marBottom w:val="0"/>
      <w:divBdr>
        <w:top w:val="none" w:sz="0" w:space="0" w:color="auto"/>
        <w:left w:val="none" w:sz="0" w:space="0" w:color="auto"/>
        <w:bottom w:val="none" w:sz="0" w:space="0" w:color="auto"/>
        <w:right w:val="none" w:sz="0" w:space="0" w:color="auto"/>
      </w:divBdr>
    </w:div>
    <w:div w:id="368070039">
      <w:marLeft w:val="0"/>
      <w:marRight w:val="0"/>
      <w:marTop w:val="0"/>
      <w:marBottom w:val="0"/>
      <w:divBdr>
        <w:top w:val="none" w:sz="0" w:space="0" w:color="auto"/>
        <w:left w:val="none" w:sz="0" w:space="0" w:color="auto"/>
        <w:bottom w:val="none" w:sz="0" w:space="0" w:color="auto"/>
        <w:right w:val="none" w:sz="0" w:space="0" w:color="auto"/>
      </w:divBdr>
      <w:divsChild>
        <w:div w:id="1893955496">
          <w:marLeft w:val="0"/>
          <w:marRight w:val="0"/>
          <w:marTop w:val="0"/>
          <w:marBottom w:val="0"/>
          <w:divBdr>
            <w:top w:val="none" w:sz="0" w:space="0" w:color="auto"/>
            <w:left w:val="none" w:sz="0" w:space="0" w:color="auto"/>
            <w:bottom w:val="none" w:sz="0" w:space="0" w:color="auto"/>
            <w:right w:val="none" w:sz="0" w:space="0" w:color="auto"/>
          </w:divBdr>
        </w:div>
      </w:divsChild>
    </w:div>
    <w:div w:id="373702033">
      <w:marLeft w:val="0"/>
      <w:marRight w:val="0"/>
      <w:marTop w:val="240"/>
      <w:marBottom w:val="0"/>
      <w:divBdr>
        <w:top w:val="none" w:sz="0" w:space="0" w:color="auto"/>
        <w:left w:val="none" w:sz="0" w:space="0" w:color="auto"/>
        <w:bottom w:val="none" w:sz="0" w:space="0" w:color="auto"/>
        <w:right w:val="none" w:sz="0" w:space="0" w:color="auto"/>
      </w:divBdr>
    </w:div>
    <w:div w:id="379134172">
      <w:marLeft w:val="0"/>
      <w:marRight w:val="0"/>
      <w:marTop w:val="240"/>
      <w:marBottom w:val="0"/>
      <w:divBdr>
        <w:top w:val="none" w:sz="0" w:space="0" w:color="auto"/>
        <w:left w:val="none" w:sz="0" w:space="0" w:color="auto"/>
        <w:bottom w:val="none" w:sz="0" w:space="0" w:color="auto"/>
        <w:right w:val="none" w:sz="0" w:space="0" w:color="auto"/>
      </w:divBdr>
    </w:div>
    <w:div w:id="380835672">
      <w:marLeft w:val="0"/>
      <w:marRight w:val="0"/>
      <w:marTop w:val="240"/>
      <w:marBottom w:val="0"/>
      <w:divBdr>
        <w:top w:val="none" w:sz="0" w:space="0" w:color="auto"/>
        <w:left w:val="none" w:sz="0" w:space="0" w:color="auto"/>
        <w:bottom w:val="none" w:sz="0" w:space="0" w:color="auto"/>
        <w:right w:val="none" w:sz="0" w:space="0" w:color="auto"/>
      </w:divBdr>
    </w:div>
    <w:div w:id="384107965">
      <w:marLeft w:val="0"/>
      <w:marRight w:val="0"/>
      <w:marTop w:val="240"/>
      <w:marBottom w:val="0"/>
      <w:divBdr>
        <w:top w:val="none" w:sz="0" w:space="0" w:color="auto"/>
        <w:left w:val="none" w:sz="0" w:space="0" w:color="auto"/>
        <w:bottom w:val="none" w:sz="0" w:space="0" w:color="auto"/>
        <w:right w:val="none" w:sz="0" w:space="0" w:color="auto"/>
      </w:divBdr>
    </w:div>
    <w:div w:id="388263915">
      <w:marLeft w:val="0"/>
      <w:marRight w:val="0"/>
      <w:marTop w:val="0"/>
      <w:marBottom w:val="0"/>
      <w:divBdr>
        <w:top w:val="none" w:sz="0" w:space="0" w:color="auto"/>
        <w:left w:val="none" w:sz="0" w:space="0" w:color="auto"/>
        <w:bottom w:val="none" w:sz="0" w:space="0" w:color="auto"/>
        <w:right w:val="none" w:sz="0" w:space="0" w:color="auto"/>
      </w:divBdr>
      <w:divsChild>
        <w:div w:id="514727962">
          <w:marLeft w:val="0"/>
          <w:marRight w:val="0"/>
          <w:marTop w:val="0"/>
          <w:marBottom w:val="0"/>
          <w:divBdr>
            <w:top w:val="none" w:sz="0" w:space="0" w:color="auto"/>
            <w:left w:val="none" w:sz="0" w:space="0" w:color="auto"/>
            <w:bottom w:val="none" w:sz="0" w:space="0" w:color="auto"/>
            <w:right w:val="none" w:sz="0" w:space="0" w:color="auto"/>
          </w:divBdr>
          <w:divsChild>
            <w:div w:id="4559533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90931469">
      <w:marLeft w:val="0"/>
      <w:marRight w:val="0"/>
      <w:marTop w:val="240"/>
      <w:marBottom w:val="0"/>
      <w:divBdr>
        <w:top w:val="none" w:sz="0" w:space="0" w:color="auto"/>
        <w:left w:val="none" w:sz="0" w:space="0" w:color="auto"/>
        <w:bottom w:val="none" w:sz="0" w:space="0" w:color="auto"/>
        <w:right w:val="none" w:sz="0" w:space="0" w:color="auto"/>
      </w:divBdr>
    </w:div>
    <w:div w:id="392512490">
      <w:marLeft w:val="0"/>
      <w:marRight w:val="0"/>
      <w:marTop w:val="240"/>
      <w:marBottom w:val="0"/>
      <w:divBdr>
        <w:top w:val="none" w:sz="0" w:space="0" w:color="auto"/>
        <w:left w:val="none" w:sz="0" w:space="0" w:color="auto"/>
        <w:bottom w:val="none" w:sz="0" w:space="0" w:color="auto"/>
        <w:right w:val="none" w:sz="0" w:space="0" w:color="auto"/>
      </w:divBdr>
    </w:div>
    <w:div w:id="393431692">
      <w:marLeft w:val="0"/>
      <w:marRight w:val="0"/>
      <w:marTop w:val="240"/>
      <w:marBottom w:val="0"/>
      <w:divBdr>
        <w:top w:val="none" w:sz="0" w:space="0" w:color="auto"/>
        <w:left w:val="none" w:sz="0" w:space="0" w:color="auto"/>
        <w:bottom w:val="none" w:sz="0" w:space="0" w:color="auto"/>
        <w:right w:val="none" w:sz="0" w:space="0" w:color="auto"/>
      </w:divBdr>
    </w:div>
    <w:div w:id="396125731">
      <w:marLeft w:val="0"/>
      <w:marRight w:val="0"/>
      <w:marTop w:val="240"/>
      <w:marBottom w:val="0"/>
      <w:divBdr>
        <w:top w:val="none" w:sz="0" w:space="0" w:color="auto"/>
        <w:left w:val="none" w:sz="0" w:space="0" w:color="auto"/>
        <w:bottom w:val="none" w:sz="0" w:space="0" w:color="auto"/>
        <w:right w:val="none" w:sz="0" w:space="0" w:color="auto"/>
      </w:divBdr>
    </w:div>
    <w:div w:id="399180854">
      <w:marLeft w:val="0"/>
      <w:marRight w:val="0"/>
      <w:marTop w:val="240"/>
      <w:marBottom w:val="0"/>
      <w:divBdr>
        <w:top w:val="none" w:sz="0" w:space="0" w:color="auto"/>
        <w:left w:val="none" w:sz="0" w:space="0" w:color="auto"/>
        <w:bottom w:val="none" w:sz="0" w:space="0" w:color="auto"/>
        <w:right w:val="none" w:sz="0" w:space="0" w:color="auto"/>
      </w:divBdr>
    </w:div>
    <w:div w:id="400103807">
      <w:marLeft w:val="0"/>
      <w:marRight w:val="0"/>
      <w:marTop w:val="240"/>
      <w:marBottom w:val="0"/>
      <w:divBdr>
        <w:top w:val="none" w:sz="0" w:space="0" w:color="auto"/>
        <w:left w:val="none" w:sz="0" w:space="0" w:color="auto"/>
        <w:bottom w:val="none" w:sz="0" w:space="0" w:color="auto"/>
        <w:right w:val="none" w:sz="0" w:space="0" w:color="auto"/>
      </w:divBdr>
    </w:div>
    <w:div w:id="401028109">
      <w:marLeft w:val="0"/>
      <w:marRight w:val="0"/>
      <w:marTop w:val="0"/>
      <w:marBottom w:val="0"/>
      <w:divBdr>
        <w:top w:val="none" w:sz="0" w:space="0" w:color="auto"/>
        <w:left w:val="none" w:sz="0" w:space="0" w:color="auto"/>
        <w:bottom w:val="none" w:sz="0" w:space="0" w:color="auto"/>
        <w:right w:val="none" w:sz="0" w:space="0" w:color="auto"/>
      </w:divBdr>
      <w:divsChild>
        <w:div w:id="1763794441">
          <w:marLeft w:val="0"/>
          <w:marRight w:val="0"/>
          <w:marTop w:val="0"/>
          <w:marBottom w:val="0"/>
          <w:divBdr>
            <w:top w:val="none" w:sz="0" w:space="0" w:color="auto"/>
            <w:left w:val="none" w:sz="0" w:space="0" w:color="auto"/>
            <w:bottom w:val="none" w:sz="0" w:space="0" w:color="auto"/>
            <w:right w:val="none" w:sz="0" w:space="0" w:color="auto"/>
          </w:divBdr>
        </w:div>
      </w:divsChild>
    </w:div>
    <w:div w:id="403262796">
      <w:marLeft w:val="0"/>
      <w:marRight w:val="0"/>
      <w:marTop w:val="0"/>
      <w:marBottom w:val="0"/>
      <w:divBdr>
        <w:top w:val="none" w:sz="0" w:space="0" w:color="auto"/>
        <w:left w:val="none" w:sz="0" w:space="0" w:color="auto"/>
        <w:bottom w:val="none" w:sz="0" w:space="0" w:color="auto"/>
        <w:right w:val="none" w:sz="0" w:space="0" w:color="auto"/>
      </w:divBdr>
      <w:divsChild>
        <w:div w:id="430590034">
          <w:marLeft w:val="0"/>
          <w:marRight w:val="0"/>
          <w:marTop w:val="0"/>
          <w:marBottom w:val="0"/>
          <w:divBdr>
            <w:top w:val="none" w:sz="0" w:space="0" w:color="auto"/>
            <w:left w:val="none" w:sz="0" w:space="0" w:color="auto"/>
            <w:bottom w:val="none" w:sz="0" w:space="0" w:color="auto"/>
            <w:right w:val="none" w:sz="0" w:space="0" w:color="auto"/>
          </w:divBdr>
          <w:divsChild>
            <w:div w:id="5202417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4494450">
      <w:marLeft w:val="0"/>
      <w:marRight w:val="0"/>
      <w:marTop w:val="240"/>
      <w:marBottom w:val="0"/>
      <w:divBdr>
        <w:top w:val="none" w:sz="0" w:space="0" w:color="auto"/>
        <w:left w:val="none" w:sz="0" w:space="0" w:color="auto"/>
        <w:bottom w:val="none" w:sz="0" w:space="0" w:color="auto"/>
        <w:right w:val="none" w:sz="0" w:space="0" w:color="auto"/>
      </w:divBdr>
    </w:div>
    <w:div w:id="404953924">
      <w:marLeft w:val="0"/>
      <w:marRight w:val="0"/>
      <w:marTop w:val="160"/>
      <w:marBottom w:val="0"/>
      <w:divBdr>
        <w:top w:val="none" w:sz="0" w:space="0" w:color="auto"/>
        <w:left w:val="none" w:sz="0" w:space="0" w:color="auto"/>
        <w:bottom w:val="none" w:sz="0" w:space="0" w:color="auto"/>
        <w:right w:val="none" w:sz="0" w:space="0" w:color="auto"/>
      </w:divBdr>
    </w:div>
    <w:div w:id="407463847">
      <w:marLeft w:val="0"/>
      <w:marRight w:val="0"/>
      <w:marTop w:val="240"/>
      <w:marBottom w:val="0"/>
      <w:divBdr>
        <w:top w:val="none" w:sz="0" w:space="0" w:color="auto"/>
        <w:left w:val="none" w:sz="0" w:space="0" w:color="auto"/>
        <w:bottom w:val="none" w:sz="0" w:space="0" w:color="auto"/>
        <w:right w:val="none" w:sz="0" w:space="0" w:color="auto"/>
      </w:divBdr>
    </w:div>
    <w:div w:id="408188090">
      <w:marLeft w:val="0"/>
      <w:marRight w:val="0"/>
      <w:marTop w:val="240"/>
      <w:marBottom w:val="0"/>
      <w:divBdr>
        <w:top w:val="none" w:sz="0" w:space="0" w:color="auto"/>
        <w:left w:val="none" w:sz="0" w:space="0" w:color="auto"/>
        <w:bottom w:val="none" w:sz="0" w:space="0" w:color="auto"/>
        <w:right w:val="none" w:sz="0" w:space="0" w:color="auto"/>
      </w:divBdr>
    </w:div>
    <w:div w:id="408499164">
      <w:marLeft w:val="0"/>
      <w:marRight w:val="0"/>
      <w:marTop w:val="240"/>
      <w:marBottom w:val="0"/>
      <w:divBdr>
        <w:top w:val="none" w:sz="0" w:space="0" w:color="auto"/>
        <w:left w:val="none" w:sz="0" w:space="0" w:color="auto"/>
        <w:bottom w:val="none" w:sz="0" w:space="0" w:color="auto"/>
        <w:right w:val="none" w:sz="0" w:space="0" w:color="auto"/>
      </w:divBdr>
    </w:div>
    <w:div w:id="408504222">
      <w:marLeft w:val="0"/>
      <w:marRight w:val="0"/>
      <w:marTop w:val="0"/>
      <w:marBottom w:val="0"/>
      <w:divBdr>
        <w:top w:val="none" w:sz="0" w:space="0" w:color="auto"/>
        <w:left w:val="none" w:sz="0" w:space="0" w:color="auto"/>
        <w:bottom w:val="none" w:sz="0" w:space="0" w:color="auto"/>
        <w:right w:val="none" w:sz="0" w:space="0" w:color="auto"/>
      </w:divBdr>
      <w:divsChild>
        <w:div w:id="641737104">
          <w:marLeft w:val="0"/>
          <w:marRight w:val="0"/>
          <w:marTop w:val="0"/>
          <w:marBottom w:val="0"/>
          <w:divBdr>
            <w:top w:val="none" w:sz="0" w:space="0" w:color="auto"/>
            <w:left w:val="none" w:sz="0" w:space="0" w:color="auto"/>
            <w:bottom w:val="none" w:sz="0" w:space="0" w:color="auto"/>
            <w:right w:val="none" w:sz="0" w:space="0" w:color="auto"/>
          </w:divBdr>
          <w:divsChild>
            <w:div w:id="17835678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14279033">
      <w:marLeft w:val="0"/>
      <w:marRight w:val="0"/>
      <w:marTop w:val="160"/>
      <w:marBottom w:val="0"/>
      <w:divBdr>
        <w:top w:val="none" w:sz="0" w:space="0" w:color="auto"/>
        <w:left w:val="none" w:sz="0" w:space="0" w:color="auto"/>
        <w:bottom w:val="none" w:sz="0" w:space="0" w:color="auto"/>
        <w:right w:val="none" w:sz="0" w:space="0" w:color="auto"/>
      </w:divBdr>
    </w:div>
    <w:div w:id="414280344">
      <w:marLeft w:val="0"/>
      <w:marRight w:val="0"/>
      <w:marTop w:val="0"/>
      <w:marBottom w:val="120"/>
      <w:divBdr>
        <w:top w:val="none" w:sz="0" w:space="0" w:color="auto"/>
        <w:left w:val="none" w:sz="0" w:space="0" w:color="auto"/>
        <w:bottom w:val="none" w:sz="0" w:space="0" w:color="auto"/>
        <w:right w:val="none" w:sz="0" w:space="0" w:color="auto"/>
      </w:divBdr>
    </w:div>
    <w:div w:id="417212624">
      <w:marLeft w:val="0"/>
      <w:marRight w:val="0"/>
      <w:marTop w:val="240"/>
      <w:marBottom w:val="0"/>
      <w:divBdr>
        <w:top w:val="none" w:sz="0" w:space="0" w:color="auto"/>
        <w:left w:val="none" w:sz="0" w:space="0" w:color="auto"/>
        <w:bottom w:val="none" w:sz="0" w:space="0" w:color="auto"/>
        <w:right w:val="none" w:sz="0" w:space="0" w:color="auto"/>
      </w:divBdr>
    </w:div>
    <w:div w:id="418403289">
      <w:marLeft w:val="0"/>
      <w:marRight w:val="0"/>
      <w:marTop w:val="240"/>
      <w:marBottom w:val="0"/>
      <w:divBdr>
        <w:top w:val="none" w:sz="0" w:space="0" w:color="auto"/>
        <w:left w:val="none" w:sz="0" w:space="0" w:color="auto"/>
        <w:bottom w:val="none" w:sz="0" w:space="0" w:color="auto"/>
        <w:right w:val="none" w:sz="0" w:space="0" w:color="auto"/>
      </w:divBdr>
    </w:div>
    <w:div w:id="419182166">
      <w:marLeft w:val="0"/>
      <w:marRight w:val="0"/>
      <w:marTop w:val="240"/>
      <w:marBottom w:val="0"/>
      <w:divBdr>
        <w:top w:val="none" w:sz="0" w:space="0" w:color="auto"/>
        <w:left w:val="none" w:sz="0" w:space="0" w:color="auto"/>
        <w:bottom w:val="none" w:sz="0" w:space="0" w:color="auto"/>
        <w:right w:val="none" w:sz="0" w:space="0" w:color="auto"/>
      </w:divBdr>
    </w:div>
    <w:div w:id="419565197">
      <w:marLeft w:val="0"/>
      <w:marRight w:val="0"/>
      <w:marTop w:val="240"/>
      <w:marBottom w:val="0"/>
      <w:divBdr>
        <w:top w:val="none" w:sz="0" w:space="0" w:color="auto"/>
        <w:left w:val="none" w:sz="0" w:space="0" w:color="auto"/>
        <w:bottom w:val="none" w:sz="0" w:space="0" w:color="auto"/>
        <w:right w:val="none" w:sz="0" w:space="0" w:color="auto"/>
      </w:divBdr>
    </w:div>
    <w:div w:id="420301472">
      <w:marLeft w:val="0"/>
      <w:marRight w:val="0"/>
      <w:marTop w:val="240"/>
      <w:marBottom w:val="0"/>
      <w:divBdr>
        <w:top w:val="none" w:sz="0" w:space="0" w:color="auto"/>
        <w:left w:val="none" w:sz="0" w:space="0" w:color="auto"/>
        <w:bottom w:val="none" w:sz="0" w:space="0" w:color="auto"/>
        <w:right w:val="none" w:sz="0" w:space="0" w:color="auto"/>
      </w:divBdr>
    </w:div>
    <w:div w:id="420419924">
      <w:marLeft w:val="0"/>
      <w:marRight w:val="0"/>
      <w:marTop w:val="240"/>
      <w:marBottom w:val="0"/>
      <w:divBdr>
        <w:top w:val="none" w:sz="0" w:space="0" w:color="auto"/>
        <w:left w:val="none" w:sz="0" w:space="0" w:color="auto"/>
        <w:bottom w:val="none" w:sz="0" w:space="0" w:color="auto"/>
        <w:right w:val="none" w:sz="0" w:space="0" w:color="auto"/>
      </w:divBdr>
    </w:div>
    <w:div w:id="422066589">
      <w:marLeft w:val="0"/>
      <w:marRight w:val="0"/>
      <w:marTop w:val="240"/>
      <w:marBottom w:val="0"/>
      <w:divBdr>
        <w:top w:val="none" w:sz="0" w:space="0" w:color="auto"/>
        <w:left w:val="none" w:sz="0" w:space="0" w:color="auto"/>
        <w:bottom w:val="none" w:sz="0" w:space="0" w:color="auto"/>
        <w:right w:val="none" w:sz="0" w:space="0" w:color="auto"/>
      </w:divBdr>
    </w:div>
    <w:div w:id="428738057">
      <w:marLeft w:val="0"/>
      <w:marRight w:val="0"/>
      <w:marTop w:val="240"/>
      <w:marBottom w:val="0"/>
      <w:divBdr>
        <w:top w:val="none" w:sz="0" w:space="0" w:color="auto"/>
        <w:left w:val="none" w:sz="0" w:space="0" w:color="auto"/>
        <w:bottom w:val="none" w:sz="0" w:space="0" w:color="auto"/>
        <w:right w:val="none" w:sz="0" w:space="0" w:color="auto"/>
      </w:divBdr>
    </w:div>
    <w:div w:id="429090091">
      <w:marLeft w:val="0"/>
      <w:marRight w:val="0"/>
      <w:marTop w:val="0"/>
      <w:marBottom w:val="0"/>
      <w:divBdr>
        <w:top w:val="none" w:sz="0" w:space="0" w:color="auto"/>
        <w:left w:val="none" w:sz="0" w:space="0" w:color="auto"/>
        <w:bottom w:val="none" w:sz="0" w:space="0" w:color="auto"/>
        <w:right w:val="none" w:sz="0" w:space="0" w:color="auto"/>
      </w:divBdr>
      <w:divsChild>
        <w:div w:id="1615483113">
          <w:marLeft w:val="0"/>
          <w:marRight w:val="0"/>
          <w:marTop w:val="0"/>
          <w:marBottom w:val="0"/>
          <w:divBdr>
            <w:top w:val="none" w:sz="0" w:space="0" w:color="auto"/>
            <w:left w:val="none" w:sz="0" w:space="0" w:color="auto"/>
            <w:bottom w:val="none" w:sz="0" w:space="0" w:color="auto"/>
            <w:right w:val="none" w:sz="0" w:space="0" w:color="auto"/>
          </w:divBdr>
          <w:divsChild>
            <w:div w:id="16706724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35444715">
      <w:marLeft w:val="0"/>
      <w:marRight w:val="0"/>
      <w:marTop w:val="160"/>
      <w:marBottom w:val="0"/>
      <w:divBdr>
        <w:top w:val="none" w:sz="0" w:space="0" w:color="auto"/>
        <w:left w:val="none" w:sz="0" w:space="0" w:color="auto"/>
        <w:bottom w:val="none" w:sz="0" w:space="0" w:color="auto"/>
        <w:right w:val="none" w:sz="0" w:space="0" w:color="auto"/>
      </w:divBdr>
    </w:div>
    <w:div w:id="435834925">
      <w:marLeft w:val="0"/>
      <w:marRight w:val="0"/>
      <w:marTop w:val="240"/>
      <w:marBottom w:val="0"/>
      <w:divBdr>
        <w:top w:val="none" w:sz="0" w:space="0" w:color="auto"/>
        <w:left w:val="none" w:sz="0" w:space="0" w:color="auto"/>
        <w:bottom w:val="none" w:sz="0" w:space="0" w:color="auto"/>
        <w:right w:val="none" w:sz="0" w:space="0" w:color="auto"/>
      </w:divBdr>
    </w:div>
    <w:div w:id="435910760">
      <w:marLeft w:val="0"/>
      <w:marRight w:val="0"/>
      <w:marTop w:val="0"/>
      <w:marBottom w:val="0"/>
      <w:divBdr>
        <w:top w:val="none" w:sz="0" w:space="0" w:color="auto"/>
        <w:left w:val="none" w:sz="0" w:space="0" w:color="auto"/>
        <w:bottom w:val="none" w:sz="0" w:space="0" w:color="auto"/>
        <w:right w:val="none" w:sz="0" w:space="0" w:color="auto"/>
      </w:divBdr>
      <w:divsChild>
        <w:div w:id="1287151877">
          <w:marLeft w:val="0"/>
          <w:marRight w:val="0"/>
          <w:marTop w:val="0"/>
          <w:marBottom w:val="0"/>
          <w:divBdr>
            <w:top w:val="none" w:sz="0" w:space="0" w:color="auto"/>
            <w:left w:val="none" w:sz="0" w:space="0" w:color="auto"/>
            <w:bottom w:val="none" w:sz="0" w:space="0" w:color="auto"/>
            <w:right w:val="none" w:sz="0" w:space="0" w:color="auto"/>
          </w:divBdr>
        </w:div>
      </w:divsChild>
    </w:div>
    <w:div w:id="436408678">
      <w:marLeft w:val="0"/>
      <w:marRight w:val="0"/>
      <w:marTop w:val="0"/>
      <w:marBottom w:val="0"/>
      <w:divBdr>
        <w:top w:val="none" w:sz="0" w:space="0" w:color="auto"/>
        <w:left w:val="none" w:sz="0" w:space="0" w:color="auto"/>
        <w:bottom w:val="none" w:sz="0" w:space="0" w:color="auto"/>
        <w:right w:val="none" w:sz="0" w:space="0" w:color="auto"/>
      </w:divBdr>
    </w:div>
    <w:div w:id="438062466">
      <w:marLeft w:val="0"/>
      <w:marRight w:val="0"/>
      <w:marTop w:val="240"/>
      <w:marBottom w:val="0"/>
      <w:divBdr>
        <w:top w:val="none" w:sz="0" w:space="0" w:color="auto"/>
        <w:left w:val="none" w:sz="0" w:space="0" w:color="auto"/>
        <w:bottom w:val="none" w:sz="0" w:space="0" w:color="auto"/>
        <w:right w:val="none" w:sz="0" w:space="0" w:color="auto"/>
      </w:divBdr>
    </w:div>
    <w:div w:id="439110607">
      <w:marLeft w:val="0"/>
      <w:marRight w:val="0"/>
      <w:marTop w:val="0"/>
      <w:marBottom w:val="0"/>
      <w:divBdr>
        <w:top w:val="none" w:sz="0" w:space="0" w:color="auto"/>
        <w:left w:val="none" w:sz="0" w:space="0" w:color="auto"/>
        <w:bottom w:val="none" w:sz="0" w:space="0" w:color="auto"/>
        <w:right w:val="none" w:sz="0" w:space="0" w:color="auto"/>
      </w:divBdr>
      <w:divsChild>
        <w:div w:id="630214645">
          <w:marLeft w:val="0"/>
          <w:marRight w:val="0"/>
          <w:marTop w:val="0"/>
          <w:marBottom w:val="0"/>
          <w:divBdr>
            <w:top w:val="none" w:sz="0" w:space="0" w:color="auto"/>
            <w:left w:val="none" w:sz="0" w:space="0" w:color="auto"/>
            <w:bottom w:val="none" w:sz="0" w:space="0" w:color="auto"/>
            <w:right w:val="none" w:sz="0" w:space="0" w:color="auto"/>
          </w:divBdr>
        </w:div>
      </w:divsChild>
    </w:div>
    <w:div w:id="440342718">
      <w:marLeft w:val="0"/>
      <w:marRight w:val="0"/>
      <w:marTop w:val="0"/>
      <w:marBottom w:val="120"/>
      <w:divBdr>
        <w:top w:val="none" w:sz="0" w:space="0" w:color="auto"/>
        <w:left w:val="none" w:sz="0" w:space="0" w:color="auto"/>
        <w:bottom w:val="none" w:sz="0" w:space="0" w:color="auto"/>
        <w:right w:val="none" w:sz="0" w:space="0" w:color="auto"/>
      </w:divBdr>
    </w:div>
    <w:div w:id="441072090">
      <w:marLeft w:val="0"/>
      <w:marRight w:val="0"/>
      <w:marTop w:val="240"/>
      <w:marBottom w:val="0"/>
      <w:divBdr>
        <w:top w:val="none" w:sz="0" w:space="0" w:color="auto"/>
        <w:left w:val="none" w:sz="0" w:space="0" w:color="auto"/>
        <w:bottom w:val="none" w:sz="0" w:space="0" w:color="auto"/>
        <w:right w:val="none" w:sz="0" w:space="0" w:color="auto"/>
      </w:divBdr>
    </w:div>
    <w:div w:id="443232196">
      <w:marLeft w:val="0"/>
      <w:marRight w:val="0"/>
      <w:marTop w:val="240"/>
      <w:marBottom w:val="0"/>
      <w:divBdr>
        <w:top w:val="none" w:sz="0" w:space="0" w:color="auto"/>
        <w:left w:val="none" w:sz="0" w:space="0" w:color="auto"/>
        <w:bottom w:val="none" w:sz="0" w:space="0" w:color="auto"/>
        <w:right w:val="none" w:sz="0" w:space="0" w:color="auto"/>
      </w:divBdr>
    </w:div>
    <w:div w:id="443572755">
      <w:marLeft w:val="0"/>
      <w:marRight w:val="0"/>
      <w:marTop w:val="240"/>
      <w:marBottom w:val="0"/>
      <w:divBdr>
        <w:top w:val="none" w:sz="0" w:space="0" w:color="auto"/>
        <w:left w:val="none" w:sz="0" w:space="0" w:color="auto"/>
        <w:bottom w:val="none" w:sz="0" w:space="0" w:color="auto"/>
        <w:right w:val="none" w:sz="0" w:space="0" w:color="auto"/>
      </w:divBdr>
    </w:div>
    <w:div w:id="448814070">
      <w:marLeft w:val="0"/>
      <w:marRight w:val="0"/>
      <w:marTop w:val="240"/>
      <w:marBottom w:val="0"/>
      <w:divBdr>
        <w:top w:val="none" w:sz="0" w:space="0" w:color="auto"/>
        <w:left w:val="none" w:sz="0" w:space="0" w:color="auto"/>
        <w:bottom w:val="none" w:sz="0" w:space="0" w:color="auto"/>
        <w:right w:val="none" w:sz="0" w:space="0" w:color="auto"/>
      </w:divBdr>
    </w:div>
    <w:div w:id="453715814">
      <w:marLeft w:val="0"/>
      <w:marRight w:val="0"/>
      <w:marTop w:val="0"/>
      <w:marBottom w:val="0"/>
      <w:divBdr>
        <w:top w:val="none" w:sz="0" w:space="0" w:color="auto"/>
        <w:left w:val="none" w:sz="0" w:space="0" w:color="auto"/>
        <w:bottom w:val="none" w:sz="0" w:space="0" w:color="auto"/>
        <w:right w:val="none" w:sz="0" w:space="0" w:color="auto"/>
      </w:divBdr>
      <w:divsChild>
        <w:div w:id="758523137">
          <w:marLeft w:val="0"/>
          <w:marRight w:val="0"/>
          <w:marTop w:val="0"/>
          <w:marBottom w:val="0"/>
          <w:divBdr>
            <w:top w:val="none" w:sz="0" w:space="0" w:color="auto"/>
            <w:left w:val="none" w:sz="0" w:space="0" w:color="auto"/>
            <w:bottom w:val="none" w:sz="0" w:space="0" w:color="auto"/>
            <w:right w:val="none" w:sz="0" w:space="0" w:color="auto"/>
          </w:divBdr>
          <w:divsChild>
            <w:div w:id="2901380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6993217">
      <w:marLeft w:val="0"/>
      <w:marRight w:val="0"/>
      <w:marTop w:val="160"/>
      <w:marBottom w:val="0"/>
      <w:divBdr>
        <w:top w:val="none" w:sz="0" w:space="0" w:color="auto"/>
        <w:left w:val="none" w:sz="0" w:space="0" w:color="auto"/>
        <w:bottom w:val="none" w:sz="0" w:space="0" w:color="auto"/>
        <w:right w:val="none" w:sz="0" w:space="0" w:color="auto"/>
      </w:divBdr>
    </w:div>
    <w:div w:id="457525636">
      <w:marLeft w:val="0"/>
      <w:marRight w:val="0"/>
      <w:marTop w:val="240"/>
      <w:marBottom w:val="0"/>
      <w:divBdr>
        <w:top w:val="none" w:sz="0" w:space="0" w:color="auto"/>
        <w:left w:val="none" w:sz="0" w:space="0" w:color="auto"/>
        <w:bottom w:val="none" w:sz="0" w:space="0" w:color="auto"/>
        <w:right w:val="none" w:sz="0" w:space="0" w:color="auto"/>
      </w:divBdr>
    </w:div>
    <w:div w:id="459691512">
      <w:marLeft w:val="0"/>
      <w:marRight w:val="0"/>
      <w:marTop w:val="240"/>
      <w:marBottom w:val="0"/>
      <w:divBdr>
        <w:top w:val="none" w:sz="0" w:space="0" w:color="auto"/>
        <w:left w:val="none" w:sz="0" w:space="0" w:color="auto"/>
        <w:bottom w:val="none" w:sz="0" w:space="0" w:color="auto"/>
        <w:right w:val="none" w:sz="0" w:space="0" w:color="auto"/>
      </w:divBdr>
    </w:div>
    <w:div w:id="461071199">
      <w:marLeft w:val="0"/>
      <w:marRight w:val="0"/>
      <w:marTop w:val="0"/>
      <w:marBottom w:val="0"/>
      <w:divBdr>
        <w:top w:val="none" w:sz="0" w:space="0" w:color="auto"/>
        <w:left w:val="none" w:sz="0" w:space="0" w:color="auto"/>
        <w:bottom w:val="none" w:sz="0" w:space="0" w:color="auto"/>
        <w:right w:val="none" w:sz="0" w:space="0" w:color="auto"/>
      </w:divBdr>
      <w:divsChild>
        <w:div w:id="859390354">
          <w:marLeft w:val="0"/>
          <w:marRight w:val="0"/>
          <w:marTop w:val="0"/>
          <w:marBottom w:val="0"/>
          <w:divBdr>
            <w:top w:val="none" w:sz="0" w:space="0" w:color="auto"/>
            <w:left w:val="none" w:sz="0" w:space="0" w:color="auto"/>
            <w:bottom w:val="none" w:sz="0" w:space="0" w:color="auto"/>
            <w:right w:val="none" w:sz="0" w:space="0" w:color="auto"/>
          </w:divBdr>
        </w:div>
      </w:divsChild>
    </w:div>
    <w:div w:id="461268025">
      <w:marLeft w:val="0"/>
      <w:marRight w:val="0"/>
      <w:marTop w:val="240"/>
      <w:marBottom w:val="0"/>
      <w:divBdr>
        <w:top w:val="none" w:sz="0" w:space="0" w:color="auto"/>
        <w:left w:val="none" w:sz="0" w:space="0" w:color="auto"/>
        <w:bottom w:val="none" w:sz="0" w:space="0" w:color="auto"/>
        <w:right w:val="none" w:sz="0" w:space="0" w:color="auto"/>
      </w:divBdr>
    </w:div>
    <w:div w:id="463936313">
      <w:marLeft w:val="0"/>
      <w:marRight w:val="0"/>
      <w:marTop w:val="240"/>
      <w:marBottom w:val="0"/>
      <w:divBdr>
        <w:top w:val="none" w:sz="0" w:space="0" w:color="auto"/>
        <w:left w:val="none" w:sz="0" w:space="0" w:color="auto"/>
        <w:bottom w:val="none" w:sz="0" w:space="0" w:color="auto"/>
        <w:right w:val="none" w:sz="0" w:space="0" w:color="auto"/>
      </w:divBdr>
    </w:div>
    <w:div w:id="466551713">
      <w:marLeft w:val="0"/>
      <w:marRight w:val="0"/>
      <w:marTop w:val="240"/>
      <w:marBottom w:val="0"/>
      <w:divBdr>
        <w:top w:val="none" w:sz="0" w:space="0" w:color="auto"/>
        <w:left w:val="none" w:sz="0" w:space="0" w:color="auto"/>
        <w:bottom w:val="none" w:sz="0" w:space="0" w:color="auto"/>
        <w:right w:val="none" w:sz="0" w:space="0" w:color="auto"/>
      </w:divBdr>
    </w:div>
    <w:div w:id="468740595">
      <w:marLeft w:val="0"/>
      <w:marRight w:val="0"/>
      <w:marTop w:val="240"/>
      <w:marBottom w:val="0"/>
      <w:divBdr>
        <w:top w:val="none" w:sz="0" w:space="0" w:color="auto"/>
        <w:left w:val="none" w:sz="0" w:space="0" w:color="auto"/>
        <w:bottom w:val="none" w:sz="0" w:space="0" w:color="auto"/>
        <w:right w:val="none" w:sz="0" w:space="0" w:color="auto"/>
      </w:divBdr>
    </w:div>
    <w:div w:id="469980235">
      <w:marLeft w:val="0"/>
      <w:marRight w:val="0"/>
      <w:marTop w:val="60"/>
      <w:marBottom w:val="0"/>
      <w:divBdr>
        <w:top w:val="none" w:sz="0" w:space="0" w:color="auto"/>
        <w:left w:val="none" w:sz="0" w:space="0" w:color="auto"/>
        <w:bottom w:val="none" w:sz="0" w:space="0" w:color="auto"/>
        <w:right w:val="none" w:sz="0" w:space="0" w:color="auto"/>
      </w:divBdr>
    </w:div>
    <w:div w:id="471753018">
      <w:marLeft w:val="0"/>
      <w:marRight w:val="0"/>
      <w:marTop w:val="240"/>
      <w:marBottom w:val="0"/>
      <w:divBdr>
        <w:top w:val="none" w:sz="0" w:space="0" w:color="auto"/>
        <w:left w:val="none" w:sz="0" w:space="0" w:color="auto"/>
        <w:bottom w:val="none" w:sz="0" w:space="0" w:color="auto"/>
        <w:right w:val="none" w:sz="0" w:space="0" w:color="auto"/>
      </w:divBdr>
    </w:div>
    <w:div w:id="471867660">
      <w:marLeft w:val="0"/>
      <w:marRight w:val="0"/>
      <w:marTop w:val="240"/>
      <w:marBottom w:val="0"/>
      <w:divBdr>
        <w:top w:val="none" w:sz="0" w:space="0" w:color="auto"/>
        <w:left w:val="none" w:sz="0" w:space="0" w:color="auto"/>
        <w:bottom w:val="none" w:sz="0" w:space="0" w:color="auto"/>
        <w:right w:val="none" w:sz="0" w:space="0" w:color="auto"/>
      </w:divBdr>
    </w:div>
    <w:div w:id="474183618">
      <w:marLeft w:val="0"/>
      <w:marRight w:val="0"/>
      <w:marTop w:val="160"/>
      <w:marBottom w:val="0"/>
      <w:divBdr>
        <w:top w:val="none" w:sz="0" w:space="0" w:color="auto"/>
        <w:left w:val="none" w:sz="0" w:space="0" w:color="auto"/>
        <w:bottom w:val="none" w:sz="0" w:space="0" w:color="auto"/>
        <w:right w:val="none" w:sz="0" w:space="0" w:color="auto"/>
      </w:divBdr>
    </w:div>
    <w:div w:id="476385778">
      <w:marLeft w:val="0"/>
      <w:marRight w:val="0"/>
      <w:marTop w:val="0"/>
      <w:marBottom w:val="0"/>
      <w:divBdr>
        <w:top w:val="none" w:sz="0" w:space="0" w:color="auto"/>
        <w:left w:val="none" w:sz="0" w:space="0" w:color="auto"/>
        <w:bottom w:val="none" w:sz="0" w:space="0" w:color="auto"/>
        <w:right w:val="none" w:sz="0" w:space="0" w:color="auto"/>
      </w:divBdr>
    </w:div>
    <w:div w:id="476454698">
      <w:marLeft w:val="0"/>
      <w:marRight w:val="0"/>
      <w:marTop w:val="240"/>
      <w:marBottom w:val="0"/>
      <w:divBdr>
        <w:top w:val="none" w:sz="0" w:space="0" w:color="auto"/>
        <w:left w:val="none" w:sz="0" w:space="0" w:color="auto"/>
        <w:bottom w:val="none" w:sz="0" w:space="0" w:color="auto"/>
        <w:right w:val="none" w:sz="0" w:space="0" w:color="auto"/>
      </w:divBdr>
    </w:div>
    <w:div w:id="478809283">
      <w:marLeft w:val="0"/>
      <w:marRight w:val="0"/>
      <w:marTop w:val="240"/>
      <w:marBottom w:val="0"/>
      <w:divBdr>
        <w:top w:val="none" w:sz="0" w:space="0" w:color="auto"/>
        <w:left w:val="none" w:sz="0" w:space="0" w:color="auto"/>
        <w:bottom w:val="none" w:sz="0" w:space="0" w:color="auto"/>
        <w:right w:val="none" w:sz="0" w:space="0" w:color="auto"/>
      </w:divBdr>
    </w:div>
    <w:div w:id="479805234">
      <w:marLeft w:val="0"/>
      <w:marRight w:val="0"/>
      <w:marTop w:val="240"/>
      <w:marBottom w:val="0"/>
      <w:divBdr>
        <w:top w:val="none" w:sz="0" w:space="0" w:color="auto"/>
        <w:left w:val="none" w:sz="0" w:space="0" w:color="auto"/>
        <w:bottom w:val="none" w:sz="0" w:space="0" w:color="auto"/>
        <w:right w:val="none" w:sz="0" w:space="0" w:color="auto"/>
      </w:divBdr>
    </w:div>
    <w:div w:id="480194255">
      <w:marLeft w:val="0"/>
      <w:marRight w:val="0"/>
      <w:marTop w:val="240"/>
      <w:marBottom w:val="0"/>
      <w:divBdr>
        <w:top w:val="none" w:sz="0" w:space="0" w:color="auto"/>
        <w:left w:val="none" w:sz="0" w:space="0" w:color="auto"/>
        <w:bottom w:val="none" w:sz="0" w:space="0" w:color="auto"/>
        <w:right w:val="none" w:sz="0" w:space="0" w:color="auto"/>
      </w:divBdr>
    </w:div>
    <w:div w:id="482158576">
      <w:marLeft w:val="0"/>
      <w:marRight w:val="0"/>
      <w:marTop w:val="240"/>
      <w:marBottom w:val="0"/>
      <w:divBdr>
        <w:top w:val="none" w:sz="0" w:space="0" w:color="auto"/>
        <w:left w:val="none" w:sz="0" w:space="0" w:color="auto"/>
        <w:bottom w:val="none" w:sz="0" w:space="0" w:color="auto"/>
        <w:right w:val="none" w:sz="0" w:space="0" w:color="auto"/>
      </w:divBdr>
    </w:div>
    <w:div w:id="482624572">
      <w:marLeft w:val="0"/>
      <w:marRight w:val="0"/>
      <w:marTop w:val="240"/>
      <w:marBottom w:val="0"/>
      <w:divBdr>
        <w:top w:val="none" w:sz="0" w:space="0" w:color="auto"/>
        <w:left w:val="none" w:sz="0" w:space="0" w:color="auto"/>
        <w:bottom w:val="none" w:sz="0" w:space="0" w:color="auto"/>
        <w:right w:val="none" w:sz="0" w:space="0" w:color="auto"/>
      </w:divBdr>
    </w:div>
    <w:div w:id="485241213">
      <w:marLeft w:val="0"/>
      <w:marRight w:val="0"/>
      <w:marTop w:val="0"/>
      <w:marBottom w:val="0"/>
      <w:divBdr>
        <w:top w:val="none" w:sz="0" w:space="0" w:color="auto"/>
        <w:left w:val="none" w:sz="0" w:space="0" w:color="auto"/>
        <w:bottom w:val="none" w:sz="0" w:space="0" w:color="auto"/>
        <w:right w:val="none" w:sz="0" w:space="0" w:color="auto"/>
      </w:divBdr>
      <w:divsChild>
        <w:div w:id="60299570">
          <w:marLeft w:val="0"/>
          <w:marRight w:val="0"/>
          <w:marTop w:val="0"/>
          <w:marBottom w:val="0"/>
          <w:divBdr>
            <w:top w:val="none" w:sz="0" w:space="0" w:color="auto"/>
            <w:left w:val="none" w:sz="0" w:space="0" w:color="auto"/>
            <w:bottom w:val="none" w:sz="0" w:space="0" w:color="auto"/>
            <w:right w:val="none" w:sz="0" w:space="0" w:color="auto"/>
          </w:divBdr>
        </w:div>
      </w:divsChild>
    </w:div>
    <w:div w:id="486477006">
      <w:marLeft w:val="0"/>
      <w:marRight w:val="0"/>
      <w:marTop w:val="240"/>
      <w:marBottom w:val="0"/>
      <w:divBdr>
        <w:top w:val="none" w:sz="0" w:space="0" w:color="auto"/>
        <w:left w:val="none" w:sz="0" w:space="0" w:color="auto"/>
        <w:bottom w:val="none" w:sz="0" w:space="0" w:color="auto"/>
        <w:right w:val="none" w:sz="0" w:space="0" w:color="auto"/>
      </w:divBdr>
    </w:div>
    <w:div w:id="489637983">
      <w:marLeft w:val="0"/>
      <w:marRight w:val="0"/>
      <w:marTop w:val="240"/>
      <w:marBottom w:val="0"/>
      <w:divBdr>
        <w:top w:val="none" w:sz="0" w:space="0" w:color="auto"/>
        <w:left w:val="none" w:sz="0" w:space="0" w:color="auto"/>
        <w:bottom w:val="none" w:sz="0" w:space="0" w:color="auto"/>
        <w:right w:val="none" w:sz="0" w:space="0" w:color="auto"/>
      </w:divBdr>
    </w:div>
    <w:div w:id="490100275">
      <w:marLeft w:val="0"/>
      <w:marRight w:val="0"/>
      <w:marTop w:val="160"/>
      <w:marBottom w:val="0"/>
      <w:divBdr>
        <w:top w:val="none" w:sz="0" w:space="0" w:color="auto"/>
        <w:left w:val="none" w:sz="0" w:space="0" w:color="auto"/>
        <w:bottom w:val="none" w:sz="0" w:space="0" w:color="auto"/>
        <w:right w:val="none" w:sz="0" w:space="0" w:color="auto"/>
      </w:divBdr>
    </w:div>
    <w:div w:id="490633832">
      <w:marLeft w:val="0"/>
      <w:marRight w:val="0"/>
      <w:marTop w:val="120"/>
      <w:marBottom w:val="0"/>
      <w:divBdr>
        <w:top w:val="none" w:sz="0" w:space="0" w:color="auto"/>
        <w:left w:val="none" w:sz="0" w:space="0" w:color="auto"/>
        <w:bottom w:val="none" w:sz="0" w:space="0" w:color="auto"/>
        <w:right w:val="none" w:sz="0" w:space="0" w:color="auto"/>
      </w:divBdr>
    </w:div>
    <w:div w:id="494882116">
      <w:marLeft w:val="0"/>
      <w:marRight w:val="0"/>
      <w:marTop w:val="240"/>
      <w:marBottom w:val="0"/>
      <w:divBdr>
        <w:top w:val="none" w:sz="0" w:space="0" w:color="auto"/>
        <w:left w:val="none" w:sz="0" w:space="0" w:color="auto"/>
        <w:bottom w:val="none" w:sz="0" w:space="0" w:color="auto"/>
        <w:right w:val="none" w:sz="0" w:space="0" w:color="auto"/>
      </w:divBdr>
    </w:div>
    <w:div w:id="497959116">
      <w:marLeft w:val="0"/>
      <w:marRight w:val="0"/>
      <w:marTop w:val="240"/>
      <w:marBottom w:val="0"/>
      <w:divBdr>
        <w:top w:val="none" w:sz="0" w:space="0" w:color="auto"/>
        <w:left w:val="none" w:sz="0" w:space="0" w:color="auto"/>
        <w:bottom w:val="none" w:sz="0" w:space="0" w:color="auto"/>
        <w:right w:val="none" w:sz="0" w:space="0" w:color="auto"/>
      </w:divBdr>
    </w:div>
    <w:div w:id="499850625">
      <w:marLeft w:val="0"/>
      <w:marRight w:val="0"/>
      <w:marTop w:val="0"/>
      <w:marBottom w:val="0"/>
      <w:divBdr>
        <w:top w:val="none" w:sz="0" w:space="0" w:color="auto"/>
        <w:left w:val="none" w:sz="0" w:space="0" w:color="auto"/>
        <w:bottom w:val="none" w:sz="0" w:space="0" w:color="auto"/>
        <w:right w:val="none" w:sz="0" w:space="0" w:color="auto"/>
      </w:divBdr>
    </w:div>
    <w:div w:id="503397091">
      <w:marLeft w:val="0"/>
      <w:marRight w:val="0"/>
      <w:marTop w:val="0"/>
      <w:marBottom w:val="0"/>
      <w:divBdr>
        <w:top w:val="none" w:sz="0" w:space="0" w:color="auto"/>
        <w:left w:val="none" w:sz="0" w:space="0" w:color="auto"/>
        <w:bottom w:val="none" w:sz="0" w:space="0" w:color="auto"/>
        <w:right w:val="none" w:sz="0" w:space="0" w:color="auto"/>
      </w:divBdr>
      <w:divsChild>
        <w:div w:id="688484824">
          <w:marLeft w:val="0"/>
          <w:marRight w:val="0"/>
          <w:marTop w:val="0"/>
          <w:marBottom w:val="0"/>
          <w:divBdr>
            <w:top w:val="none" w:sz="0" w:space="0" w:color="auto"/>
            <w:left w:val="none" w:sz="0" w:space="0" w:color="auto"/>
            <w:bottom w:val="none" w:sz="0" w:space="0" w:color="auto"/>
            <w:right w:val="none" w:sz="0" w:space="0" w:color="auto"/>
          </w:divBdr>
        </w:div>
      </w:divsChild>
    </w:div>
    <w:div w:id="503979909">
      <w:marLeft w:val="0"/>
      <w:marRight w:val="0"/>
      <w:marTop w:val="0"/>
      <w:marBottom w:val="0"/>
      <w:divBdr>
        <w:top w:val="none" w:sz="0" w:space="0" w:color="auto"/>
        <w:left w:val="none" w:sz="0" w:space="0" w:color="auto"/>
        <w:bottom w:val="none" w:sz="0" w:space="0" w:color="auto"/>
        <w:right w:val="none" w:sz="0" w:space="0" w:color="auto"/>
      </w:divBdr>
      <w:divsChild>
        <w:div w:id="1607151416">
          <w:marLeft w:val="0"/>
          <w:marRight w:val="0"/>
          <w:marTop w:val="0"/>
          <w:marBottom w:val="0"/>
          <w:divBdr>
            <w:top w:val="none" w:sz="0" w:space="0" w:color="auto"/>
            <w:left w:val="none" w:sz="0" w:space="0" w:color="auto"/>
            <w:bottom w:val="none" w:sz="0" w:space="0" w:color="auto"/>
            <w:right w:val="none" w:sz="0" w:space="0" w:color="auto"/>
          </w:divBdr>
          <w:divsChild>
            <w:div w:id="1765952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08909245">
      <w:marLeft w:val="0"/>
      <w:marRight w:val="0"/>
      <w:marTop w:val="0"/>
      <w:marBottom w:val="0"/>
      <w:divBdr>
        <w:top w:val="none" w:sz="0" w:space="0" w:color="auto"/>
        <w:left w:val="none" w:sz="0" w:space="0" w:color="auto"/>
        <w:bottom w:val="none" w:sz="0" w:space="0" w:color="auto"/>
        <w:right w:val="none" w:sz="0" w:space="0" w:color="auto"/>
      </w:divBdr>
      <w:divsChild>
        <w:div w:id="2048681855">
          <w:marLeft w:val="0"/>
          <w:marRight w:val="0"/>
          <w:marTop w:val="0"/>
          <w:marBottom w:val="0"/>
          <w:divBdr>
            <w:top w:val="none" w:sz="0" w:space="0" w:color="auto"/>
            <w:left w:val="none" w:sz="0" w:space="0" w:color="auto"/>
            <w:bottom w:val="none" w:sz="0" w:space="0" w:color="auto"/>
            <w:right w:val="none" w:sz="0" w:space="0" w:color="auto"/>
          </w:divBdr>
        </w:div>
      </w:divsChild>
    </w:div>
    <w:div w:id="510224888">
      <w:marLeft w:val="0"/>
      <w:marRight w:val="0"/>
      <w:marTop w:val="160"/>
      <w:marBottom w:val="0"/>
      <w:divBdr>
        <w:top w:val="none" w:sz="0" w:space="0" w:color="auto"/>
        <w:left w:val="none" w:sz="0" w:space="0" w:color="auto"/>
        <w:bottom w:val="none" w:sz="0" w:space="0" w:color="auto"/>
        <w:right w:val="none" w:sz="0" w:space="0" w:color="auto"/>
      </w:divBdr>
    </w:div>
    <w:div w:id="511337966">
      <w:marLeft w:val="0"/>
      <w:marRight w:val="0"/>
      <w:marTop w:val="240"/>
      <w:marBottom w:val="0"/>
      <w:divBdr>
        <w:top w:val="none" w:sz="0" w:space="0" w:color="auto"/>
        <w:left w:val="none" w:sz="0" w:space="0" w:color="auto"/>
        <w:bottom w:val="none" w:sz="0" w:space="0" w:color="auto"/>
        <w:right w:val="none" w:sz="0" w:space="0" w:color="auto"/>
      </w:divBdr>
    </w:div>
    <w:div w:id="513767771">
      <w:marLeft w:val="0"/>
      <w:marRight w:val="0"/>
      <w:marTop w:val="160"/>
      <w:marBottom w:val="0"/>
      <w:divBdr>
        <w:top w:val="none" w:sz="0" w:space="0" w:color="auto"/>
        <w:left w:val="none" w:sz="0" w:space="0" w:color="auto"/>
        <w:bottom w:val="none" w:sz="0" w:space="0" w:color="auto"/>
        <w:right w:val="none" w:sz="0" w:space="0" w:color="auto"/>
      </w:divBdr>
    </w:div>
    <w:div w:id="514392811">
      <w:marLeft w:val="0"/>
      <w:marRight w:val="0"/>
      <w:marTop w:val="240"/>
      <w:marBottom w:val="0"/>
      <w:divBdr>
        <w:top w:val="none" w:sz="0" w:space="0" w:color="auto"/>
        <w:left w:val="none" w:sz="0" w:space="0" w:color="auto"/>
        <w:bottom w:val="none" w:sz="0" w:space="0" w:color="auto"/>
        <w:right w:val="none" w:sz="0" w:space="0" w:color="auto"/>
      </w:divBdr>
    </w:div>
    <w:div w:id="514806756">
      <w:marLeft w:val="0"/>
      <w:marRight w:val="0"/>
      <w:marTop w:val="0"/>
      <w:marBottom w:val="0"/>
      <w:divBdr>
        <w:top w:val="none" w:sz="0" w:space="0" w:color="auto"/>
        <w:left w:val="none" w:sz="0" w:space="0" w:color="auto"/>
        <w:bottom w:val="none" w:sz="0" w:space="0" w:color="auto"/>
        <w:right w:val="none" w:sz="0" w:space="0" w:color="auto"/>
      </w:divBdr>
      <w:divsChild>
        <w:div w:id="1661811744">
          <w:marLeft w:val="0"/>
          <w:marRight w:val="0"/>
          <w:marTop w:val="0"/>
          <w:marBottom w:val="0"/>
          <w:divBdr>
            <w:top w:val="none" w:sz="0" w:space="0" w:color="auto"/>
            <w:left w:val="none" w:sz="0" w:space="0" w:color="auto"/>
            <w:bottom w:val="none" w:sz="0" w:space="0" w:color="auto"/>
            <w:right w:val="none" w:sz="0" w:space="0" w:color="auto"/>
          </w:divBdr>
        </w:div>
      </w:divsChild>
    </w:div>
    <w:div w:id="522598302">
      <w:marLeft w:val="0"/>
      <w:marRight w:val="0"/>
      <w:marTop w:val="240"/>
      <w:marBottom w:val="0"/>
      <w:divBdr>
        <w:top w:val="none" w:sz="0" w:space="0" w:color="auto"/>
        <w:left w:val="none" w:sz="0" w:space="0" w:color="auto"/>
        <w:bottom w:val="none" w:sz="0" w:space="0" w:color="auto"/>
        <w:right w:val="none" w:sz="0" w:space="0" w:color="auto"/>
      </w:divBdr>
    </w:div>
    <w:div w:id="526941988">
      <w:marLeft w:val="0"/>
      <w:marRight w:val="0"/>
      <w:marTop w:val="240"/>
      <w:marBottom w:val="0"/>
      <w:divBdr>
        <w:top w:val="none" w:sz="0" w:space="0" w:color="auto"/>
        <w:left w:val="none" w:sz="0" w:space="0" w:color="auto"/>
        <w:bottom w:val="none" w:sz="0" w:space="0" w:color="auto"/>
        <w:right w:val="none" w:sz="0" w:space="0" w:color="auto"/>
      </w:divBdr>
    </w:div>
    <w:div w:id="529221541">
      <w:marLeft w:val="0"/>
      <w:marRight w:val="0"/>
      <w:marTop w:val="240"/>
      <w:marBottom w:val="0"/>
      <w:divBdr>
        <w:top w:val="none" w:sz="0" w:space="0" w:color="auto"/>
        <w:left w:val="none" w:sz="0" w:space="0" w:color="auto"/>
        <w:bottom w:val="none" w:sz="0" w:space="0" w:color="auto"/>
        <w:right w:val="none" w:sz="0" w:space="0" w:color="auto"/>
      </w:divBdr>
    </w:div>
    <w:div w:id="533494360">
      <w:marLeft w:val="0"/>
      <w:marRight w:val="0"/>
      <w:marTop w:val="0"/>
      <w:marBottom w:val="0"/>
      <w:divBdr>
        <w:top w:val="none" w:sz="0" w:space="0" w:color="auto"/>
        <w:left w:val="none" w:sz="0" w:space="0" w:color="auto"/>
        <w:bottom w:val="none" w:sz="0" w:space="0" w:color="auto"/>
        <w:right w:val="none" w:sz="0" w:space="0" w:color="auto"/>
      </w:divBdr>
      <w:divsChild>
        <w:div w:id="1232764677">
          <w:marLeft w:val="0"/>
          <w:marRight w:val="0"/>
          <w:marTop w:val="0"/>
          <w:marBottom w:val="0"/>
          <w:divBdr>
            <w:top w:val="none" w:sz="0" w:space="0" w:color="auto"/>
            <w:left w:val="none" w:sz="0" w:space="0" w:color="auto"/>
            <w:bottom w:val="none" w:sz="0" w:space="0" w:color="auto"/>
            <w:right w:val="none" w:sz="0" w:space="0" w:color="auto"/>
          </w:divBdr>
        </w:div>
      </w:divsChild>
    </w:div>
    <w:div w:id="536160963">
      <w:marLeft w:val="0"/>
      <w:marRight w:val="0"/>
      <w:marTop w:val="160"/>
      <w:marBottom w:val="0"/>
      <w:divBdr>
        <w:top w:val="none" w:sz="0" w:space="0" w:color="auto"/>
        <w:left w:val="none" w:sz="0" w:space="0" w:color="auto"/>
        <w:bottom w:val="none" w:sz="0" w:space="0" w:color="auto"/>
        <w:right w:val="none" w:sz="0" w:space="0" w:color="auto"/>
      </w:divBdr>
    </w:div>
    <w:div w:id="536166178">
      <w:marLeft w:val="0"/>
      <w:marRight w:val="0"/>
      <w:marTop w:val="60"/>
      <w:marBottom w:val="0"/>
      <w:divBdr>
        <w:top w:val="none" w:sz="0" w:space="0" w:color="auto"/>
        <w:left w:val="none" w:sz="0" w:space="0" w:color="auto"/>
        <w:bottom w:val="none" w:sz="0" w:space="0" w:color="auto"/>
        <w:right w:val="none" w:sz="0" w:space="0" w:color="auto"/>
      </w:divBdr>
    </w:div>
    <w:div w:id="537623953">
      <w:marLeft w:val="0"/>
      <w:marRight w:val="0"/>
      <w:marTop w:val="0"/>
      <w:marBottom w:val="0"/>
      <w:divBdr>
        <w:top w:val="none" w:sz="0" w:space="0" w:color="auto"/>
        <w:left w:val="none" w:sz="0" w:space="0" w:color="auto"/>
        <w:bottom w:val="none" w:sz="0" w:space="0" w:color="auto"/>
        <w:right w:val="none" w:sz="0" w:space="0" w:color="auto"/>
      </w:divBdr>
      <w:divsChild>
        <w:div w:id="2122340069">
          <w:marLeft w:val="0"/>
          <w:marRight w:val="0"/>
          <w:marTop w:val="0"/>
          <w:marBottom w:val="0"/>
          <w:divBdr>
            <w:top w:val="none" w:sz="0" w:space="0" w:color="auto"/>
            <w:left w:val="none" w:sz="0" w:space="0" w:color="auto"/>
            <w:bottom w:val="none" w:sz="0" w:space="0" w:color="auto"/>
            <w:right w:val="none" w:sz="0" w:space="0" w:color="auto"/>
          </w:divBdr>
        </w:div>
      </w:divsChild>
    </w:div>
    <w:div w:id="538053756">
      <w:marLeft w:val="0"/>
      <w:marRight w:val="0"/>
      <w:marTop w:val="0"/>
      <w:marBottom w:val="0"/>
      <w:divBdr>
        <w:top w:val="none" w:sz="0" w:space="0" w:color="auto"/>
        <w:left w:val="none" w:sz="0" w:space="0" w:color="auto"/>
        <w:bottom w:val="none" w:sz="0" w:space="0" w:color="auto"/>
        <w:right w:val="none" w:sz="0" w:space="0" w:color="auto"/>
      </w:divBdr>
      <w:divsChild>
        <w:div w:id="77947364">
          <w:marLeft w:val="0"/>
          <w:marRight w:val="0"/>
          <w:marTop w:val="0"/>
          <w:marBottom w:val="0"/>
          <w:divBdr>
            <w:top w:val="none" w:sz="0" w:space="0" w:color="auto"/>
            <w:left w:val="none" w:sz="0" w:space="0" w:color="auto"/>
            <w:bottom w:val="none" w:sz="0" w:space="0" w:color="auto"/>
            <w:right w:val="none" w:sz="0" w:space="0" w:color="auto"/>
          </w:divBdr>
        </w:div>
      </w:divsChild>
    </w:div>
    <w:div w:id="541866819">
      <w:marLeft w:val="0"/>
      <w:marRight w:val="0"/>
      <w:marTop w:val="160"/>
      <w:marBottom w:val="0"/>
      <w:divBdr>
        <w:top w:val="none" w:sz="0" w:space="0" w:color="auto"/>
        <w:left w:val="none" w:sz="0" w:space="0" w:color="auto"/>
        <w:bottom w:val="none" w:sz="0" w:space="0" w:color="auto"/>
        <w:right w:val="none" w:sz="0" w:space="0" w:color="auto"/>
      </w:divBdr>
    </w:div>
    <w:div w:id="542329765">
      <w:marLeft w:val="0"/>
      <w:marRight w:val="0"/>
      <w:marTop w:val="240"/>
      <w:marBottom w:val="0"/>
      <w:divBdr>
        <w:top w:val="none" w:sz="0" w:space="0" w:color="auto"/>
        <w:left w:val="none" w:sz="0" w:space="0" w:color="auto"/>
        <w:bottom w:val="none" w:sz="0" w:space="0" w:color="auto"/>
        <w:right w:val="none" w:sz="0" w:space="0" w:color="auto"/>
      </w:divBdr>
    </w:div>
    <w:div w:id="547690686">
      <w:marLeft w:val="0"/>
      <w:marRight w:val="0"/>
      <w:marTop w:val="240"/>
      <w:marBottom w:val="0"/>
      <w:divBdr>
        <w:top w:val="none" w:sz="0" w:space="0" w:color="auto"/>
        <w:left w:val="none" w:sz="0" w:space="0" w:color="auto"/>
        <w:bottom w:val="none" w:sz="0" w:space="0" w:color="auto"/>
        <w:right w:val="none" w:sz="0" w:space="0" w:color="auto"/>
      </w:divBdr>
    </w:div>
    <w:div w:id="550842649">
      <w:marLeft w:val="0"/>
      <w:marRight w:val="0"/>
      <w:marTop w:val="0"/>
      <w:marBottom w:val="0"/>
      <w:divBdr>
        <w:top w:val="none" w:sz="0" w:space="0" w:color="auto"/>
        <w:left w:val="none" w:sz="0" w:space="0" w:color="auto"/>
        <w:bottom w:val="none" w:sz="0" w:space="0" w:color="auto"/>
        <w:right w:val="none" w:sz="0" w:space="0" w:color="auto"/>
      </w:divBdr>
    </w:div>
    <w:div w:id="550845794">
      <w:marLeft w:val="0"/>
      <w:marRight w:val="0"/>
      <w:marTop w:val="240"/>
      <w:marBottom w:val="0"/>
      <w:divBdr>
        <w:top w:val="none" w:sz="0" w:space="0" w:color="auto"/>
        <w:left w:val="none" w:sz="0" w:space="0" w:color="auto"/>
        <w:bottom w:val="none" w:sz="0" w:space="0" w:color="auto"/>
        <w:right w:val="none" w:sz="0" w:space="0" w:color="auto"/>
      </w:divBdr>
    </w:div>
    <w:div w:id="552153608">
      <w:marLeft w:val="0"/>
      <w:marRight w:val="0"/>
      <w:marTop w:val="60"/>
      <w:marBottom w:val="0"/>
      <w:divBdr>
        <w:top w:val="none" w:sz="0" w:space="0" w:color="auto"/>
        <w:left w:val="none" w:sz="0" w:space="0" w:color="auto"/>
        <w:bottom w:val="none" w:sz="0" w:space="0" w:color="auto"/>
        <w:right w:val="none" w:sz="0" w:space="0" w:color="auto"/>
      </w:divBdr>
    </w:div>
    <w:div w:id="555122500">
      <w:marLeft w:val="0"/>
      <w:marRight w:val="0"/>
      <w:marTop w:val="240"/>
      <w:marBottom w:val="0"/>
      <w:divBdr>
        <w:top w:val="none" w:sz="0" w:space="0" w:color="auto"/>
        <w:left w:val="none" w:sz="0" w:space="0" w:color="auto"/>
        <w:bottom w:val="none" w:sz="0" w:space="0" w:color="auto"/>
        <w:right w:val="none" w:sz="0" w:space="0" w:color="auto"/>
      </w:divBdr>
    </w:div>
    <w:div w:id="556206615">
      <w:marLeft w:val="0"/>
      <w:marRight w:val="0"/>
      <w:marTop w:val="240"/>
      <w:marBottom w:val="0"/>
      <w:divBdr>
        <w:top w:val="none" w:sz="0" w:space="0" w:color="auto"/>
        <w:left w:val="none" w:sz="0" w:space="0" w:color="auto"/>
        <w:bottom w:val="none" w:sz="0" w:space="0" w:color="auto"/>
        <w:right w:val="none" w:sz="0" w:space="0" w:color="auto"/>
      </w:divBdr>
    </w:div>
    <w:div w:id="558901499">
      <w:marLeft w:val="0"/>
      <w:marRight w:val="0"/>
      <w:marTop w:val="240"/>
      <w:marBottom w:val="0"/>
      <w:divBdr>
        <w:top w:val="none" w:sz="0" w:space="0" w:color="auto"/>
        <w:left w:val="none" w:sz="0" w:space="0" w:color="auto"/>
        <w:bottom w:val="none" w:sz="0" w:space="0" w:color="auto"/>
        <w:right w:val="none" w:sz="0" w:space="0" w:color="auto"/>
      </w:divBdr>
    </w:div>
    <w:div w:id="560874589">
      <w:marLeft w:val="0"/>
      <w:marRight w:val="0"/>
      <w:marTop w:val="0"/>
      <w:marBottom w:val="0"/>
      <w:divBdr>
        <w:top w:val="none" w:sz="0" w:space="0" w:color="auto"/>
        <w:left w:val="none" w:sz="0" w:space="0" w:color="auto"/>
        <w:bottom w:val="none" w:sz="0" w:space="0" w:color="auto"/>
        <w:right w:val="none" w:sz="0" w:space="0" w:color="auto"/>
      </w:divBdr>
      <w:divsChild>
        <w:div w:id="1947926529">
          <w:marLeft w:val="0"/>
          <w:marRight w:val="0"/>
          <w:marTop w:val="0"/>
          <w:marBottom w:val="0"/>
          <w:divBdr>
            <w:top w:val="none" w:sz="0" w:space="0" w:color="auto"/>
            <w:left w:val="none" w:sz="0" w:space="0" w:color="auto"/>
            <w:bottom w:val="none" w:sz="0" w:space="0" w:color="auto"/>
            <w:right w:val="none" w:sz="0" w:space="0" w:color="auto"/>
          </w:divBdr>
          <w:divsChild>
            <w:div w:id="20470182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65074668">
      <w:marLeft w:val="0"/>
      <w:marRight w:val="0"/>
      <w:marTop w:val="240"/>
      <w:marBottom w:val="0"/>
      <w:divBdr>
        <w:top w:val="none" w:sz="0" w:space="0" w:color="auto"/>
        <w:left w:val="none" w:sz="0" w:space="0" w:color="auto"/>
        <w:bottom w:val="none" w:sz="0" w:space="0" w:color="auto"/>
        <w:right w:val="none" w:sz="0" w:space="0" w:color="auto"/>
      </w:divBdr>
    </w:div>
    <w:div w:id="569510317">
      <w:marLeft w:val="0"/>
      <w:marRight w:val="0"/>
      <w:marTop w:val="160"/>
      <w:marBottom w:val="0"/>
      <w:divBdr>
        <w:top w:val="none" w:sz="0" w:space="0" w:color="auto"/>
        <w:left w:val="none" w:sz="0" w:space="0" w:color="auto"/>
        <w:bottom w:val="none" w:sz="0" w:space="0" w:color="auto"/>
        <w:right w:val="none" w:sz="0" w:space="0" w:color="auto"/>
      </w:divBdr>
    </w:div>
    <w:div w:id="569778438">
      <w:marLeft w:val="0"/>
      <w:marRight w:val="0"/>
      <w:marTop w:val="240"/>
      <w:marBottom w:val="0"/>
      <w:divBdr>
        <w:top w:val="none" w:sz="0" w:space="0" w:color="auto"/>
        <w:left w:val="none" w:sz="0" w:space="0" w:color="auto"/>
        <w:bottom w:val="none" w:sz="0" w:space="0" w:color="auto"/>
        <w:right w:val="none" w:sz="0" w:space="0" w:color="auto"/>
      </w:divBdr>
    </w:div>
    <w:div w:id="570114470">
      <w:marLeft w:val="0"/>
      <w:marRight w:val="0"/>
      <w:marTop w:val="240"/>
      <w:marBottom w:val="0"/>
      <w:divBdr>
        <w:top w:val="none" w:sz="0" w:space="0" w:color="auto"/>
        <w:left w:val="none" w:sz="0" w:space="0" w:color="auto"/>
        <w:bottom w:val="none" w:sz="0" w:space="0" w:color="auto"/>
        <w:right w:val="none" w:sz="0" w:space="0" w:color="auto"/>
      </w:divBdr>
    </w:div>
    <w:div w:id="570241552">
      <w:marLeft w:val="0"/>
      <w:marRight w:val="0"/>
      <w:marTop w:val="0"/>
      <w:marBottom w:val="0"/>
      <w:divBdr>
        <w:top w:val="none" w:sz="0" w:space="0" w:color="auto"/>
        <w:left w:val="none" w:sz="0" w:space="0" w:color="auto"/>
        <w:bottom w:val="none" w:sz="0" w:space="0" w:color="auto"/>
        <w:right w:val="none" w:sz="0" w:space="0" w:color="auto"/>
      </w:divBdr>
      <w:divsChild>
        <w:div w:id="226458323">
          <w:marLeft w:val="0"/>
          <w:marRight w:val="0"/>
          <w:marTop w:val="0"/>
          <w:marBottom w:val="0"/>
          <w:divBdr>
            <w:top w:val="none" w:sz="0" w:space="0" w:color="auto"/>
            <w:left w:val="none" w:sz="0" w:space="0" w:color="auto"/>
            <w:bottom w:val="none" w:sz="0" w:space="0" w:color="auto"/>
            <w:right w:val="none" w:sz="0" w:space="0" w:color="auto"/>
          </w:divBdr>
        </w:div>
      </w:divsChild>
    </w:div>
    <w:div w:id="570386707">
      <w:marLeft w:val="0"/>
      <w:marRight w:val="0"/>
      <w:marTop w:val="40"/>
      <w:marBottom w:val="0"/>
      <w:divBdr>
        <w:top w:val="none" w:sz="0" w:space="0" w:color="auto"/>
        <w:left w:val="none" w:sz="0" w:space="0" w:color="auto"/>
        <w:bottom w:val="none" w:sz="0" w:space="0" w:color="auto"/>
        <w:right w:val="none" w:sz="0" w:space="0" w:color="auto"/>
      </w:divBdr>
    </w:div>
    <w:div w:id="570506068">
      <w:marLeft w:val="0"/>
      <w:marRight w:val="0"/>
      <w:marTop w:val="160"/>
      <w:marBottom w:val="0"/>
      <w:divBdr>
        <w:top w:val="none" w:sz="0" w:space="0" w:color="auto"/>
        <w:left w:val="none" w:sz="0" w:space="0" w:color="auto"/>
        <w:bottom w:val="none" w:sz="0" w:space="0" w:color="auto"/>
        <w:right w:val="none" w:sz="0" w:space="0" w:color="auto"/>
      </w:divBdr>
    </w:div>
    <w:div w:id="573515737">
      <w:marLeft w:val="0"/>
      <w:marRight w:val="0"/>
      <w:marTop w:val="0"/>
      <w:marBottom w:val="0"/>
      <w:divBdr>
        <w:top w:val="none" w:sz="0" w:space="0" w:color="auto"/>
        <w:left w:val="none" w:sz="0" w:space="0" w:color="auto"/>
        <w:bottom w:val="none" w:sz="0" w:space="0" w:color="auto"/>
        <w:right w:val="none" w:sz="0" w:space="0" w:color="auto"/>
      </w:divBdr>
      <w:divsChild>
        <w:div w:id="1372219627">
          <w:marLeft w:val="0"/>
          <w:marRight w:val="0"/>
          <w:marTop w:val="0"/>
          <w:marBottom w:val="0"/>
          <w:divBdr>
            <w:top w:val="none" w:sz="0" w:space="0" w:color="auto"/>
            <w:left w:val="none" w:sz="0" w:space="0" w:color="auto"/>
            <w:bottom w:val="none" w:sz="0" w:space="0" w:color="auto"/>
            <w:right w:val="none" w:sz="0" w:space="0" w:color="auto"/>
          </w:divBdr>
        </w:div>
      </w:divsChild>
    </w:div>
    <w:div w:id="573705281">
      <w:marLeft w:val="0"/>
      <w:marRight w:val="0"/>
      <w:marTop w:val="0"/>
      <w:marBottom w:val="120"/>
      <w:divBdr>
        <w:top w:val="none" w:sz="0" w:space="0" w:color="auto"/>
        <w:left w:val="none" w:sz="0" w:space="0" w:color="auto"/>
        <w:bottom w:val="none" w:sz="0" w:space="0" w:color="auto"/>
        <w:right w:val="none" w:sz="0" w:space="0" w:color="auto"/>
      </w:divBdr>
    </w:div>
    <w:div w:id="578712674">
      <w:marLeft w:val="0"/>
      <w:marRight w:val="0"/>
      <w:marTop w:val="0"/>
      <w:marBottom w:val="0"/>
      <w:divBdr>
        <w:top w:val="none" w:sz="0" w:space="0" w:color="auto"/>
        <w:left w:val="none" w:sz="0" w:space="0" w:color="auto"/>
        <w:bottom w:val="none" w:sz="0" w:space="0" w:color="auto"/>
        <w:right w:val="none" w:sz="0" w:space="0" w:color="auto"/>
      </w:divBdr>
      <w:divsChild>
        <w:div w:id="685906997">
          <w:marLeft w:val="0"/>
          <w:marRight w:val="0"/>
          <w:marTop w:val="0"/>
          <w:marBottom w:val="0"/>
          <w:divBdr>
            <w:top w:val="none" w:sz="0" w:space="0" w:color="auto"/>
            <w:left w:val="none" w:sz="0" w:space="0" w:color="auto"/>
            <w:bottom w:val="none" w:sz="0" w:space="0" w:color="auto"/>
            <w:right w:val="none" w:sz="0" w:space="0" w:color="auto"/>
          </w:divBdr>
          <w:divsChild>
            <w:div w:id="7453412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8545031">
      <w:marLeft w:val="0"/>
      <w:marRight w:val="0"/>
      <w:marTop w:val="240"/>
      <w:marBottom w:val="0"/>
      <w:divBdr>
        <w:top w:val="none" w:sz="0" w:space="0" w:color="auto"/>
        <w:left w:val="none" w:sz="0" w:space="0" w:color="auto"/>
        <w:bottom w:val="none" w:sz="0" w:space="0" w:color="auto"/>
        <w:right w:val="none" w:sz="0" w:space="0" w:color="auto"/>
      </w:divBdr>
    </w:div>
    <w:div w:id="588582804">
      <w:marLeft w:val="0"/>
      <w:marRight w:val="0"/>
      <w:marTop w:val="240"/>
      <w:marBottom w:val="0"/>
      <w:divBdr>
        <w:top w:val="none" w:sz="0" w:space="0" w:color="auto"/>
        <w:left w:val="none" w:sz="0" w:space="0" w:color="auto"/>
        <w:bottom w:val="none" w:sz="0" w:space="0" w:color="auto"/>
        <w:right w:val="none" w:sz="0" w:space="0" w:color="auto"/>
      </w:divBdr>
    </w:div>
    <w:div w:id="589656003">
      <w:marLeft w:val="0"/>
      <w:marRight w:val="0"/>
      <w:marTop w:val="240"/>
      <w:marBottom w:val="0"/>
      <w:divBdr>
        <w:top w:val="none" w:sz="0" w:space="0" w:color="auto"/>
        <w:left w:val="none" w:sz="0" w:space="0" w:color="auto"/>
        <w:bottom w:val="none" w:sz="0" w:space="0" w:color="auto"/>
        <w:right w:val="none" w:sz="0" w:space="0" w:color="auto"/>
      </w:divBdr>
    </w:div>
    <w:div w:id="594362222">
      <w:marLeft w:val="0"/>
      <w:marRight w:val="0"/>
      <w:marTop w:val="240"/>
      <w:marBottom w:val="0"/>
      <w:divBdr>
        <w:top w:val="none" w:sz="0" w:space="0" w:color="auto"/>
        <w:left w:val="none" w:sz="0" w:space="0" w:color="auto"/>
        <w:bottom w:val="none" w:sz="0" w:space="0" w:color="auto"/>
        <w:right w:val="none" w:sz="0" w:space="0" w:color="auto"/>
      </w:divBdr>
    </w:div>
    <w:div w:id="596448235">
      <w:marLeft w:val="0"/>
      <w:marRight w:val="0"/>
      <w:marTop w:val="120"/>
      <w:marBottom w:val="0"/>
      <w:divBdr>
        <w:top w:val="none" w:sz="0" w:space="0" w:color="auto"/>
        <w:left w:val="none" w:sz="0" w:space="0" w:color="auto"/>
        <w:bottom w:val="none" w:sz="0" w:space="0" w:color="auto"/>
        <w:right w:val="none" w:sz="0" w:space="0" w:color="auto"/>
      </w:divBdr>
    </w:div>
    <w:div w:id="598369613">
      <w:marLeft w:val="0"/>
      <w:marRight w:val="0"/>
      <w:marTop w:val="240"/>
      <w:marBottom w:val="0"/>
      <w:divBdr>
        <w:top w:val="none" w:sz="0" w:space="0" w:color="auto"/>
        <w:left w:val="none" w:sz="0" w:space="0" w:color="auto"/>
        <w:bottom w:val="none" w:sz="0" w:space="0" w:color="auto"/>
        <w:right w:val="none" w:sz="0" w:space="0" w:color="auto"/>
      </w:divBdr>
    </w:div>
    <w:div w:id="598416862">
      <w:marLeft w:val="0"/>
      <w:marRight w:val="0"/>
      <w:marTop w:val="0"/>
      <w:marBottom w:val="0"/>
      <w:divBdr>
        <w:top w:val="none" w:sz="0" w:space="0" w:color="auto"/>
        <w:left w:val="none" w:sz="0" w:space="0" w:color="auto"/>
        <w:bottom w:val="none" w:sz="0" w:space="0" w:color="auto"/>
        <w:right w:val="none" w:sz="0" w:space="0" w:color="auto"/>
      </w:divBdr>
      <w:divsChild>
        <w:div w:id="143471747">
          <w:marLeft w:val="0"/>
          <w:marRight w:val="0"/>
          <w:marTop w:val="0"/>
          <w:marBottom w:val="0"/>
          <w:divBdr>
            <w:top w:val="none" w:sz="0" w:space="0" w:color="auto"/>
            <w:left w:val="none" w:sz="0" w:space="0" w:color="auto"/>
            <w:bottom w:val="none" w:sz="0" w:space="0" w:color="auto"/>
            <w:right w:val="none" w:sz="0" w:space="0" w:color="auto"/>
          </w:divBdr>
          <w:divsChild>
            <w:div w:id="4900961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01375862">
      <w:marLeft w:val="0"/>
      <w:marRight w:val="0"/>
      <w:marTop w:val="240"/>
      <w:marBottom w:val="0"/>
      <w:divBdr>
        <w:top w:val="none" w:sz="0" w:space="0" w:color="auto"/>
        <w:left w:val="none" w:sz="0" w:space="0" w:color="auto"/>
        <w:bottom w:val="none" w:sz="0" w:space="0" w:color="auto"/>
        <w:right w:val="none" w:sz="0" w:space="0" w:color="auto"/>
      </w:divBdr>
    </w:div>
    <w:div w:id="605695017">
      <w:marLeft w:val="0"/>
      <w:marRight w:val="0"/>
      <w:marTop w:val="240"/>
      <w:marBottom w:val="0"/>
      <w:divBdr>
        <w:top w:val="none" w:sz="0" w:space="0" w:color="auto"/>
        <w:left w:val="none" w:sz="0" w:space="0" w:color="auto"/>
        <w:bottom w:val="none" w:sz="0" w:space="0" w:color="auto"/>
        <w:right w:val="none" w:sz="0" w:space="0" w:color="auto"/>
      </w:divBdr>
    </w:div>
    <w:div w:id="606040475">
      <w:marLeft w:val="0"/>
      <w:marRight w:val="0"/>
      <w:marTop w:val="240"/>
      <w:marBottom w:val="0"/>
      <w:divBdr>
        <w:top w:val="none" w:sz="0" w:space="0" w:color="auto"/>
        <w:left w:val="none" w:sz="0" w:space="0" w:color="auto"/>
        <w:bottom w:val="none" w:sz="0" w:space="0" w:color="auto"/>
        <w:right w:val="none" w:sz="0" w:space="0" w:color="auto"/>
      </w:divBdr>
    </w:div>
    <w:div w:id="606079953">
      <w:marLeft w:val="0"/>
      <w:marRight w:val="0"/>
      <w:marTop w:val="240"/>
      <w:marBottom w:val="0"/>
      <w:divBdr>
        <w:top w:val="none" w:sz="0" w:space="0" w:color="auto"/>
        <w:left w:val="none" w:sz="0" w:space="0" w:color="auto"/>
        <w:bottom w:val="none" w:sz="0" w:space="0" w:color="auto"/>
        <w:right w:val="none" w:sz="0" w:space="0" w:color="auto"/>
      </w:divBdr>
    </w:div>
    <w:div w:id="608053070">
      <w:marLeft w:val="0"/>
      <w:marRight w:val="0"/>
      <w:marTop w:val="240"/>
      <w:marBottom w:val="0"/>
      <w:divBdr>
        <w:top w:val="none" w:sz="0" w:space="0" w:color="auto"/>
        <w:left w:val="none" w:sz="0" w:space="0" w:color="auto"/>
        <w:bottom w:val="none" w:sz="0" w:space="0" w:color="auto"/>
        <w:right w:val="none" w:sz="0" w:space="0" w:color="auto"/>
      </w:divBdr>
    </w:div>
    <w:div w:id="609361766">
      <w:marLeft w:val="0"/>
      <w:marRight w:val="0"/>
      <w:marTop w:val="0"/>
      <w:marBottom w:val="0"/>
      <w:divBdr>
        <w:top w:val="none" w:sz="0" w:space="0" w:color="auto"/>
        <w:left w:val="none" w:sz="0" w:space="0" w:color="auto"/>
        <w:bottom w:val="none" w:sz="0" w:space="0" w:color="auto"/>
        <w:right w:val="none" w:sz="0" w:space="0" w:color="auto"/>
      </w:divBdr>
      <w:divsChild>
        <w:div w:id="594019376">
          <w:marLeft w:val="0"/>
          <w:marRight w:val="0"/>
          <w:marTop w:val="0"/>
          <w:marBottom w:val="0"/>
          <w:divBdr>
            <w:top w:val="none" w:sz="0" w:space="0" w:color="auto"/>
            <w:left w:val="none" w:sz="0" w:space="0" w:color="auto"/>
            <w:bottom w:val="none" w:sz="0" w:space="0" w:color="auto"/>
            <w:right w:val="none" w:sz="0" w:space="0" w:color="auto"/>
          </w:divBdr>
        </w:div>
      </w:divsChild>
    </w:div>
    <w:div w:id="611136402">
      <w:marLeft w:val="0"/>
      <w:marRight w:val="0"/>
      <w:marTop w:val="0"/>
      <w:marBottom w:val="120"/>
      <w:divBdr>
        <w:top w:val="none" w:sz="0" w:space="0" w:color="auto"/>
        <w:left w:val="none" w:sz="0" w:space="0" w:color="auto"/>
        <w:bottom w:val="none" w:sz="0" w:space="0" w:color="auto"/>
        <w:right w:val="none" w:sz="0" w:space="0" w:color="auto"/>
      </w:divBdr>
    </w:div>
    <w:div w:id="614752849">
      <w:marLeft w:val="0"/>
      <w:marRight w:val="0"/>
      <w:marTop w:val="240"/>
      <w:marBottom w:val="0"/>
      <w:divBdr>
        <w:top w:val="none" w:sz="0" w:space="0" w:color="auto"/>
        <w:left w:val="none" w:sz="0" w:space="0" w:color="auto"/>
        <w:bottom w:val="none" w:sz="0" w:space="0" w:color="auto"/>
        <w:right w:val="none" w:sz="0" w:space="0" w:color="auto"/>
      </w:divBdr>
    </w:div>
    <w:div w:id="614870308">
      <w:marLeft w:val="0"/>
      <w:marRight w:val="0"/>
      <w:marTop w:val="240"/>
      <w:marBottom w:val="0"/>
      <w:divBdr>
        <w:top w:val="none" w:sz="0" w:space="0" w:color="auto"/>
        <w:left w:val="none" w:sz="0" w:space="0" w:color="auto"/>
        <w:bottom w:val="none" w:sz="0" w:space="0" w:color="auto"/>
        <w:right w:val="none" w:sz="0" w:space="0" w:color="auto"/>
      </w:divBdr>
    </w:div>
    <w:div w:id="615019387">
      <w:marLeft w:val="0"/>
      <w:marRight w:val="0"/>
      <w:marTop w:val="240"/>
      <w:marBottom w:val="0"/>
      <w:divBdr>
        <w:top w:val="none" w:sz="0" w:space="0" w:color="auto"/>
        <w:left w:val="none" w:sz="0" w:space="0" w:color="auto"/>
        <w:bottom w:val="none" w:sz="0" w:space="0" w:color="auto"/>
        <w:right w:val="none" w:sz="0" w:space="0" w:color="auto"/>
      </w:divBdr>
    </w:div>
    <w:div w:id="616908648">
      <w:marLeft w:val="0"/>
      <w:marRight w:val="0"/>
      <w:marTop w:val="160"/>
      <w:marBottom w:val="0"/>
      <w:divBdr>
        <w:top w:val="none" w:sz="0" w:space="0" w:color="auto"/>
        <w:left w:val="none" w:sz="0" w:space="0" w:color="auto"/>
        <w:bottom w:val="none" w:sz="0" w:space="0" w:color="auto"/>
        <w:right w:val="none" w:sz="0" w:space="0" w:color="auto"/>
      </w:divBdr>
    </w:div>
    <w:div w:id="619604557">
      <w:marLeft w:val="0"/>
      <w:marRight w:val="0"/>
      <w:marTop w:val="0"/>
      <w:marBottom w:val="0"/>
      <w:divBdr>
        <w:top w:val="none" w:sz="0" w:space="0" w:color="auto"/>
        <w:left w:val="none" w:sz="0" w:space="0" w:color="auto"/>
        <w:bottom w:val="none" w:sz="0" w:space="0" w:color="auto"/>
        <w:right w:val="none" w:sz="0" w:space="0" w:color="auto"/>
      </w:divBdr>
    </w:div>
    <w:div w:id="620112057">
      <w:marLeft w:val="0"/>
      <w:marRight w:val="0"/>
      <w:marTop w:val="240"/>
      <w:marBottom w:val="0"/>
      <w:divBdr>
        <w:top w:val="none" w:sz="0" w:space="0" w:color="auto"/>
        <w:left w:val="none" w:sz="0" w:space="0" w:color="auto"/>
        <w:bottom w:val="none" w:sz="0" w:space="0" w:color="auto"/>
        <w:right w:val="none" w:sz="0" w:space="0" w:color="auto"/>
      </w:divBdr>
    </w:div>
    <w:div w:id="622424919">
      <w:marLeft w:val="0"/>
      <w:marRight w:val="0"/>
      <w:marTop w:val="240"/>
      <w:marBottom w:val="0"/>
      <w:divBdr>
        <w:top w:val="none" w:sz="0" w:space="0" w:color="auto"/>
        <w:left w:val="none" w:sz="0" w:space="0" w:color="auto"/>
        <w:bottom w:val="none" w:sz="0" w:space="0" w:color="auto"/>
        <w:right w:val="none" w:sz="0" w:space="0" w:color="auto"/>
      </w:divBdr>
    </w:div>
    <w:div w:id="623074221">
      <w:marLeft w:val="0"/>
      <w:marRight w:val="0"/>
      <w:marTop w:val="240"/>
      <w:marBottom w:val="0"/>
      <w:divBdr>
        <w:top w:val="none" w:sz="0" w:space="0" w:color="auto"/>
        <w:left w:val="none" w:sz="0" w:space="0" w:color="auto"/>
        <w:bottom w:val="none" w:sz="0" w:space="0" w:color="auto"/>
        <w:right w:val="none" w:sz="0" w:space="0" w:color="auto"/>
      </w:divBdr>
    </w:div>
    <w:div w:id="625237926">
      <w:marLeft w:val="0"/>
      <w:marRight w:val="0"/>
      <w:marTop w:val="240"/>
      <w:marBottom w:val="0"/>
      <w:divBdr>
        <w:top w:val="none" w:sz="0" w:space="0" w:color="auto"/>
        <w:left w:val="none" w:sz="0" w:space="0" w:color="auto"/>
        <w:bottom w:val="none" w:sz="0" w:space="0" w:color="auto"/>
        <w:right w:val="none" w:sz="0" w:space="0" w:color="auto"/>
      </w:divBdr>
    </w:div>
    <w:div w:id="627659977">
      <w:marLeft w:val="0"/>
      <w:marRight w:val="0"/>
      <w:marTop w:val="0"/>
      <w:marBottom w:val="120"/>
      <w:divBdr>
        <w:top w:val="none" w:sz="0" w:space="0" w:color="auto"/>
        <w:left w:val="none" w:sz="0" w:space="0" w:color="auto"/>
        <w:bottom w:val="none" w:sz="0" w:space="0" w:color="auto"/>
        <w:right w:val="none" w:sz="0" w:space="0" w:color="auto"/>
      </w:divBdr>
    </w:div>
    <w:div w:id="630672037">
      <w:marLeft w:val="0"/>
      <w:marRight w:val="0"/>
      <w:marTop w:val="0"/>
      <w:marBottom w:val="0"/>
      <w:divBdr>
        <w:top w:val="none" w:sz="0" w:space="0" w:color="auto"/>
        <w:left w:val="none" w:sz="0" w:space="0" w:color="auto"/>
        <w:bottom w:val="none" w:sz="0" w:space="0" w:color="auto"/>
        <w:right w:val="none" w:sz="0" w:space="0" w:color="auto"/>
      </w:divBdr>
      <w:divsChild>
        <w:div w:id="1132358277">
          <w:marLeft w:val="0"/>
          <w:marRight w:val="0"/>
          <w:marTop w:val="0"/>
          <w:marBottom w:val="0"/>
          <w:divBdr>
            <w:top w:val="none" w:sz="0" w:space="0" w:color="auto"/>
            <w:left w:val="none" w:sz="0" w:space="0" w:color="auto"/>
            <w:bottom w:val="none" w:sz="0" w:space="0" w:color="auto"/>
            <w:right w:val="none" w:sz="0" w:space="0" w:color="auto"/>
          </w:divBdr>
        </w:div>
      </w:divsChild>
    </w:div>
    <w:div w:id="632642274">
      <w:marLeft w:val="0"/>
      <w:marRight w:val="0"/>
      <w:marTop w:val="240"/>
      <w:marBottom w:val="0"/>
      <w:divBdr>
        <w:top w:val="none" w:sz="0" w:space="0" w:color="auto"/>
        <w:left w:val="none" w:sz="0" w:space="0" w:color="auto"/>
        <w:bottom w:val="none" w:sz="0" w:space="0" w:color="auto"/>
        <w:right w:val="none" w:sz="0" w:space="0" w:color="auto"/>
      </w:divBdr>
    </w:div>
    <w:div w:id="634603842">
      <w:marLeft w:val="0"/>
      <w:marRight w:val="0"/>
      <w:marTop w:val="240"/>
      <w:marBottom w:val="0"/>
      <w:divBdr>
        <w:top w:val="none" w:sz="0" w:space="0" w:color="auto"/>
        <w:left w:val="none" w:sz="0" w:space="0" w:color="auto"/>
        <w:bottom w:val="none" w:sz="0" w:space="0" w:color="auto"/>
        <w:right w:val="none" w:sz="0" w:space="0" w:color="auto"/>
      </w:divBdr>
    </w:div>
    <w:div w:id="635372465">
      <w:marLeft w:val="0"/>
      <w:marRight w:val="0"/>
      <w:marTop w:val="0"/>
      <w:marBottom w:val="0"/>
      <w:divBdr>
        <w:top w:val="none" w:sz="0" w:space="0" w:color="auto"/>
        <w:left w:val="none" w:sz="0" w:space="0" w:color="auto"/>
        <w:bottom w:val="none" w:sz="0" w:space="0" w:color="auto"/>
        <w:right w:val="none" w:sz="0" w:space="0" w:color="auto"/>
      </w:divBdr>
    </w:div>
    <w:div w:id="644971801">
      <w:marLeft w:val="0"/>
      <w:marRight w:val="0"/>
      <w:marTop w:val="240"/>
      <w:marBottom w:val="0"/>
      <w:divBdr>
        <w:top w:val="none" w:sz="0" w:space="0" w:color="auto"/>
        <w:left w:val="none" w:sz="0" w:space="0" w:color="auto"/>
        <w:bottom w:val="none" w:sz="0" w:space="0" w:color="auto"/>
        <w:right w:val="none" w:sz="0" w:space="0" w:color="auto"/>
      </w:divBdr>
    </w:div>
    <w:div w:id="645595193">
      <w:marLeft w:val="0"/>
      <w:marRight w:val="0"/>
      <w:marTop w:val="240"/>
      <w:marBottom w:val="0"/>
      <w:divBdr>
        <w:top w:val="none" w:sz="0" w:space="0" w:color="auto"/>
        <w:left w:val="none" w:sz="0" w:space="0" w:color="auto"/>
        <w:bottom w:val="none" w:sz="0" w:space="0" w:color="auto"/>
        <w:right w:val="none" w:sz="0" w:space="0" w:color="auto"/>
      </w:divBdr>
    </w:div>
    <w:div w:id="649528861">
      <w:marLeft w:val="0"/>
      <w:marRight w:val="0"/>
      <w:marTop w:val="240"/>
      <w:marBottom w:val="0"/>
      <w:divBdr>
        <w:top w:val="none" w:sz="0" w:space="0" w:color="auto"/>
        <w:left w:val="none" w:sz="0" w:space="0" w:color="auto"/>
        <w:bottom w:val="none" w:sz="0" w:space="0" w:color="auto"/>
        <w:right w:val="none" w:sz="0" w:space="0" w:color="auto"/>
      </w:divBdr>
    </w:div>
    <w:div w:id="650402035">
      <w:marLeft w:val="0"/>
      <w:marRight w:val="0"/>
      <w:marTop w:val="0"/>
      <w:marBottom w:val="120"/>
      <w:divBdr>
        <w:top w:val="none" w:sz="0" w:space="0" w:color="auto"/>
        <w:left w:val="none" w:sz="0" w:space="0" w:color="auto"/>
        <w:bottom w:val="none" w:sz="0" w:space="0" w:color="auto"/>
        <w:right w:val="none" w:sz="0" w:space="0" w:color="auto"/>
      </w:divBdr>
    </w:div>
    <w:div w:id="651568955">
      <w:marLeft w:val="0"/>
      <w:marRight w:val="0"/>
      <w:marTop w:val="0"/>
      <w:marBottom w:val="0"/>
      <w:divBdr>
        <w:top w:val="none" w:sz="0" w:space="0" w:color="auto"/>
        <w:left w:val="none" w:sz="0" w:space="0" w:color="auto"/>
        <w:bottom w:val="none" w:sz="0" w:space="0" w:color="auto"/>
        <w:right w:val="none" w:sz="0" w:space="0" w:color="auto"/>
      </w:divBdr>
      <w:divsChild>
        <w:div w:id="487403701">
          <w:marLeft w:val="0"/>
          <w:marRight w:val="0"/>
          <w:marTop w:val="0"/>
          <w:marBottom w:val="0"/>
          <w:divBdr>
            <w:top w:val="none" w:sz="0" w:space="0" w:color="auto"/>
            <w:left w:val="none" w:sz="0" w:space="0" w:color="auto"/>
            <w:bottom w:val="none" w:sz="0" w:space="0" w:color="auto"/>
            <w:right w:val="none" w:sz="0" w:space="0" w:color="auto"/>
          </w:divBdr>
        </w:div>
      </w:divsChild>
    </w:div>
    <w:div w:id="652413081">
      <w:marLeft w:val="0"/>
      <w:marRight w:val="0"/>
      <w:marTop w:val="240"/>
      <w:marBottom w:val="0"/>
      <w:divBdr>
        <w:top w:val="none" w:sz="0" w:space="0" w:color="auto"/>
        <w:left w:val="none" w:sz="0" w:space="0" w:color="auto"/>
        <w:bottom w:val="none" w:sz="0" w:space="0" w:color="auto"/>
        <w:right w:val="none" w:sz="0" w:space="0" w:color="auto"/>
      </w:divBdr>
    </w:div>
    <w:div w:id="652418949">
      <w:marLeft w:val="0"/>
      <w:marRight w:val="0"/>
      <w:marTop w:val="0"/>
      <w:marBottom w:val="0"/>
      <w:divBdr>
        <w:top w:val="none" w:sz="0" w:space="0" w:color="auto"/>
        <w:left w:val="none" w:sz="0" w:space="0" w:color="auto"/>
        <w:bottom w:val="none" w:sz="0" w:space="0" w:color="auto"/>
        <w:right w:val="none" w:sz="0" w:space="0" w:color="auto"/>
      </w:divBdr>
      <w:divsChild>
        <w:div w:id="1303341705">
          <w:marLeft w:val="0"/>
          <w:marRight w:val="0"/>
          <w:marTop w:val="0"/>
          <w:marBottom w:val="0"/>
          <w:divBdr>
            <w:top w:val="none" w:sz="0" w:space="0" w:color="auto"/>
            <w:left w:val="none" w:sz="0" w:space="0" w:color="auto"/>
            <w:bottom w:val="none" w:sz="0" w:space="0" w:color="auto"/>
            <w:right w:val="none" w:sz="0" w:space="0" w:color="auto"/>
          </w:divBdr>
        </w:div>
      </w:divsChild>
    </w:div>
    <w:div w:id="659193654">
      <w:marLeft w:val="0"/>
      <w:marRight w:val="0"/>
      <w:marTop w:val="160"/>
      <w:marBottom w:val="0"/>
      <w:divBdr>
        <w:top w:val="none" w:sz="0" w:space="0" w:color="auto"/>
        <w:left w:val="none" w:sz="0" w:space="0" w:color="auto"/>
        <w:bottom w:val="none" w:sz="0" w:space="0" w:color="auto"/>
        <w:right w:val="none" w:sz="0" w:space="0" w:color="auto"/>
      </w:divBdr>
    </w:div>
    <w:div w:id="659388792">
      <w:marLeft w:val="0"/>
      <w:marRight w:val="0"/>
      <w:marTop w:val="240"/>
      <w:marBottom w:val="0"/>
      <w:divBdr>
        <w:top w:val="none" w:sz="0" w:space="0" w:color="auto"/>
        <w:left w:val="none" w:sz="0" w:space="0" w:color="auto"/>
        <w:bottom w:val="none" w:sz="0" w:space="0" w:color="auto"/>
        <w:right w:val="none" w:sz="0" w:space="0" w:color="auto"/>
      </w:divBdr>
    </w:div>
    <w:div w:id="659701172">
      <w:marLeft w:val="0"/>
      <w:marRight w:val="0"/>
      <w:marTop w:val="0"/>
      <w:marBottom w:val="0"/>
      <w:divBdr>
        <w:top w:val="none" w:sz="0" w:space="0" w:color="auto"/>
        <w:left w:val="none" w:sz="0" w:space="0" w:color="auto"/>
        <w:bottom w:val="none" w:sz="0" w:space="0" w:color="auto"/>
        <w:right w:val="none" w:sz="0" w:space="0" w:color="auto"/>
      </w:divBdr>
      <w:divsChild>
        <w:div w:id="1449857637">
          <w:marLeft w:val="0"/>
          <w:marRight w:val="0"/>
          <w:marTop w:val="0"/>
          <w:marBottom w:val="0"/>
          <w:divBdr>
            <w:top w:val="none" w:sz="0" w:space="0" w:color="auto"/>
            <w:left w:val="none" w:sz="0" w:space="0" w:color="auto"/>
            <w:bottom w:val="none" w:sz="0" w:space="0" w:color="auto"/>
            <w:right w:val="none" w:sz="0" w:space="0" w:color="auto"/>
          </w:divBdr>
          <w:divsChild>
            <w:div w:id="3096045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60430391">
      <w:marLeft w:val="0"/>
      <w:marRight w:val="0"/>
      <w:marTop w:val="240"/>
      <w:marBottom w:val="0"/>
      <w:divBdr>
        <w:top w:val="none" w:sz="0" w:space="0" w:color="auto"/>
        <w:left w:val="none" w:sz="0" w:space="0" w:color="auto"/>
        <w:bottom w:val="none" w:sz="0" w:space="0" w:color="auto"/>
        <w:right w:val="none" w:sz="0" w:space="0" w:color="auto"/>
      </w:divBdr>
    </w:div>
    <w:div w:id="663631255">
      <w:marLeft w:val="0"/>
      <w:marRight w:val="0"/>
      <w:marTop w:val="240"/>
      <w:marBottom w:val="0"/>
      <w:divBdr>
        <w:top w:val="none" w:sz="0" w:space="0" w:color="auto"/>
        <w:left w:val="none" w:sz="0" w:space="0" w:color="auto"/>
        <w:bottom w:val="none" w:sz="0" w:space="0" w:color="auto"/>
        <w:right w:val="none" w:sz="0" w:space="0" w:color="auto"/>
      </w:divBdr>
    </w:div>
    <w:div w:id="669333245">
      <w:marLeft w:val="0"/>
      <w:marRight w:val="0"/>
      <w:marTop w:val="240"/>
      <w:marBottom w:val="0"/>
      <w:divBdr>
        <w:top w:val="none" w:sz="0" w:space="0" w:color="auto"/>
        <w:left w:val="none" w:sz="0" w:space="0" w:color="auto"/>
        <w:bottom w:val="none" w:sz="0" w:space="0" w:color="auto"/>
        <w:right w:val="none" w:sz="0" w:space="0" w:color="auto"/>
      </w:divBdr>
    </w:div>
    <w:div w:id="669988075">
      <w:marLeft w:val="0"/>
      <w:marRight w:val="0"/>
      <w:marTop w:val="240"/>
      <w:marBottom w:val="0"/>
      <w:divBdr>
        <w:top w:val="none" w:sz="0" w:space="0" w:color="auto"/>
        <w:left w:val="none" w:sz="0" w:space="0" w:color="auto"/>
        <w:bottom w:val="none" w:sz="0" w:space="0" w:color="auto"/>
        <w:right w:val="none" w:sz="0" w:space="0" w:color="auto"/>
      </w:divBdr>
    </w:div>
    <w:div w:id="670253476">
      <w:marLeft w:val="0"/>
      <w:marRight w:val="0"/>
      <w:marTop w:val="240"/>
      <w:marBottom w:val="0"/>
      <w:divBdr>
        <w:top w:val="none" w:sz="0" w:space="0" w:color="auto"/>
        <w:left w:val="none" w:sz="0" w:space="0" w:color="auto"/>
        <w:bottom w:val="none" w:sz="0" w:space="0" w:color="auto"/>
        <w:right w:val="none" w:sz="0" w:space="0" w:color="auto"/>
      </w:divBdr>
    </w:div>
    <w:div w:id="672492472">
      <w:marLeft w:val="0"/>
      <w:marRight w:val="0"/>
      <w:marTop w:val="240"/>
      <w:marBottom w:val="0"/>
      <w:divBdr>
        <w:top w:val="none" w:sz="0" w:space="0" w:color="auto"/>
        <w:left w:val="none" w:sz="0" w:space="0" w:color="auto"/>
        <w:bottom w:val="none" w:sz="0" w:space="0" w:color="auto"/>
        <w:right w:val="none" w:sz="0" w:space="0" w:color="auto"/>
      </w:divBdr>
    </w:div>
    <w:div w:id="672875599">
      <w:marLeft w:val="0"/>
      <w:marRight w:val="0"/>
      <w:marTop w:val="240"/>
      <w:marBottom w:val="0"/>
      <w:divBdr>
        <w:top w:val="none" w:sz="0" w:space="0" w:color="auto"/>
        <w:left w:val="none" w:sz="0" w:space="0" w:color="auto"/>
        <w:bottom w:val="none" w:sz="0" w:space="0" w:color="auto"/>
        <w:right w:val="none" w:sz="0" w:space="0" w:color="auto"/>
      </w:divBdr>
    </w:div>
    <w:div w:id="672876695">
      <w:marLeft w:val="0"/>
      <w:marRight w:val="0"/>
      <w:marTop w:val="240"/>
      <w:marBottom w:val="0"/>
      <w:divBdr>
        <w:top w:val="none" w:sz="0" w:space="0" w:color="auto"/>
        <w:left w:val="none" w:sz="0" w:space="0" w:color="auto"/>
        <w:bottom w:val="none" w:sz="0" w:space="0" w:color="auto"/>
        <w:right w:val="none" w:sz="0" w:space="0" w:color="auto"/>
      </w:divBdr>
    </w:div>
    <w:div w:id="674304911">
      <w:marLeft w:val="0"/>
      <w:marRight w:val="0"/>
      <w:marTop w:val="240"/>
      <w:marBottom w:val="0"/>
      <w:divBdr>
        <w:top w:val="none" w:sz="0" w:space="0" w:color="auto"/>
        <w:left w:val="none" w:sz="0" w:space="0" w:color="auto"/>
        <w:bottom w:val="none" w:sz="0" w:space="0" w:color="auto"/>
        <w:right w:val="none" w:sz="0" w:space="0" w:color="auto"/>
      </w:divBdr>
    </w:div>
    <w:div w:id="675310345">
      <w:marLeft w:val="0"/>
      <w:marRight w:val="0"/>
      <w:marTop w:val="240"/>
      <w:marBottom w:val="0"/>
      <w:divBdr>
        <w:top w:val="none" w:sz="0" w:space="0" w:color="auto"/>
        <w:left w:val="none" w:sz="0" w:space="0" w:color="auto"/>
        <w:bottom w:val="none" w:sz="0" w:space="0" w:color="auto"/>
        <w:right w:val="none" w:sz="0" w:space="0" w:color="auto"/>
      </w:divBdr>
    </w:div>
    <w:div w:id="677854252">
      <w:marLeft w:val="0"/>
      <w:marRight w:val="0"/>
      <w:marTop w:val="240"/>
      <w:marBottom w:val="0"/>
      <w:divBdr>
        <w:top w:val="none" w:sz="0" w:space="0" w:color="auto"/>
        <w:left w:val="none" w:sz="0" w:space="0" w:color="auto"/>
        <w:bottom w:val="none" w:sz="0" w:space="0" w:color="auto"/>
        <w:right w:val="none" w:sz="0" w:space="0" w:color="auto"/>
      </w:divBdr>
    </w:div>
    <w:div w:id="679091250">
      <w:marLeft w:val="0"/>
      <w:marRight w:val="0"/>
      <w:marTop w:val="120"/>
      <w:marBottom w:val="0"/>
      <w:divBdr>
        <w:top w:val="none" w:sz="0" w:space="0" w:color="auto"/>
        <w:left w:val="none" w:sz="0" w:space="0" w:color="auto"/>
        <w:bottom w:val="none" w:sz="0" w:space="0" w:color="auto"/>
        <w:right w:val="none" w:sz="0" w:space="0" w:color="auto"/>
      </w:divBdr>
    </w:div>
    <w:div w:id="683482680">
      <w:marLeft w:val="0"/>
      <w:marRight w:val="0"/>
      <w:marTop w:val="240"/>
      <w:marBottom w:val="0"/>
      <w:divBdr>
        <w:top w:val="none" w:sz="0" w:space="0" w:color="auto"/>
        <w:left w:val="none" w:sz="0" w:space="0" w:color="auto"/>
        <w:bottom w:val="none" w:sz="0" w:space="0" w:color="auto"/>
        <w:right w:val="none" w:sz="0" w:space="0" w:color="auto"/>
      </w:divBdr>
    </w:div>
    <w:div w:id="686516440">
      <w:marLeft w:val="0"/>
      <w:marRight w:val="0"/>
      <w:marTop w:val="240"/>
      <w:marBottom w:val="0"/>
      <w:divBdr>
        <w:top w:val="none" w:sz="0" w:space="0" w:color="auto"/>
        <w:left w:val="none" w:sz="0" w:space="0" w:color="auto"/>
        <w:bottom w:val="none" w:sz="0" w:space="0" w:color="auto"/>
        <w:right w:val="none" w:sz="0" w:space="0" w:color="auto"/>
      </w:divBdr>
    </w:div>
    <w:div w:id="689913617">
      <w:marLeft w:val="0"/>
      <w:marRight w:val="0"/>
      <w:marTop w:val="240"/>
      <w:marBottom w:val="0"/>
      <w:divBdr>
        <w:top w:val="none" w:sz="0" w:space="0" w:color="auto"/>
        <w:left w:val="none" w:sz="0" w:space="0" w:color="auto"/>
        <w:bottom w:val="none" w:sz="0" w:space="0" w:color="auto"/>
        <w:right w:val="none" w:sz="0" w:space="0" w:color="auto"/>
      </w:divBdr>
    </w:div>
    <w:div w:id="690034018">
      <w:marLeft w:val="0"/>
      <w:marRight w:val="0"/>
      <w:marTop w:val="240"/>
      <w:marBottom w:val="0"/>
      <w:divBdr>
        <w:top w:val="none" w:sz="0" w:space="0" w:color="auto"/>
        <w:left w:val="none" w:sz="0" w:space="0" w:color="auto"/>
        <w:bottom w:val="none" w:sz="0" w:space="0" w:color="auto"/>
        <w:right w:val="none" w:sz="0" w:space="0" w:color="auto"/>
      </w:divBdr>
    </w:div>
    <w:div w:id="690422305">
      <w:marLeft w:val="0"/>
      <w:marRight w:val="0"/>
      <w:marTop w:val="240"/>
      <w:marBottom w:val="0"/>
      <w:divBdr>
        <w:top w:val="none" w:sz="0" w:space="0" w:color="auto"/>
        <w:left w:val="none" w:sz="0" w:space="0" w:color="auto"/>
        <w:bottom w:val="none" w:sz="0" w:space="0" w:color="auto"/>
        <w:right w:val="none" w:sz="0" w:space="0" w:color="auto"/>
      </w:divBdr>
    </w:div>
    <w:div w:id="691107707">
      <w:marLeft w:val="0"/>
      <w:marRight w:val="0"/>
      <w:marTop w:val="0"/>
      <w:marBottom w:val="0"/>
      <w:divBdr>
        <w:top w:val="none" w:sz="0" w:space="0" w:color="auto"/>
        <w:left w:val="none" w:sz="0" w:space="0" w:color="auto"/>
        <w:bottom w:val="none" w:sz="0" w:space="0" w:color="auto"/>
        <w:right w:val="none" w:sz="0" w:space="0" w:color="auto"/>
      </w:divBdr>
      <w:divsChild>
        <w:div w:id="1954747278">
          <w:marLeft w:val="0"/>
          <w:marRight w:val="0"/>
          <w:marTop w:val="0"/>
          <w:marBottom w:val="0"/>
          <w:divBdr>
            <w:top w:val="none" w:sz="0" w:space="0" w:color="auto"/>
            <w:left w:val="none" w:sz="0" w:space="0" w:color="auto"/>
            <w:bottom w:val="none" w:sz="0" w:space="0" w:color="auto"/>
            <w:right w:val="none" w:sz="0" w:space="0" w:color="auto"/>
          </w:divBdr>
          <w:divsChild>
            <w:div w:id="16417629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92994642">
      <w:marLeft w:val="0"/>
      <w:marRight w:val="0"/>
      <w:marTop w:val="240"/>
      <w:marBottom w:val="0"/>
      <w:divBdr>
        <w:top w:val="none" w:sz="0" w:space="0" w:color="auto"/>
        <w:left w:val="none" w:sz="0" w:space="0" w:color="auto"/>
        <w:bottom w:val="none" w:sz="0" w:space="0" w:color="auto"/>
        <w:right w:val="none" w:sz="0" w:space="0" w:color="auto"/>
      </w:divBdr>
    </w:div>
    <w:div w:id="693191429">
      <w:marLeft w:val="0"/>
      <w:marRight w:val="0"/>
      <w:marTop w:val="0"/>
      <w:marBottom w:val="120"/>
      <w:divBdr>
        <w:top w:val="none" w:sz="0" w:space="0" w:color="auto"/>
        <w:left w:val="none" w:sz="0" w:space="0" w:color="auto"/>
        <w:bottom w:val="none" w:sz="0" w:space="0" w:color="auto"/>
        <w:right w:val="none" w:sz="0" w:space="0" w:color="auto"/>
      </w:divBdr>
      <w:divsChild>
        <w:div w:id="232668725">
          <w:marLeft w:val="0"/>
          <w:marRight w:val="0"/>
          <w:marTop w:val="60"/>
          <w:marBottom w:val="0"/>
          <w:divBdr>
            <w:top w:val="none" w:sz="0" w:space="0" w:color="auto"/>
            <w:left w:val="none" w:sz="0" w:space="0" w:color="auto"/>
            <w:bottom w:val="none" w:sz="0" w:space="0" w:color="auto"/>
            <w:right w:val="none" w:sz="0" w:space="0" w:color="auto"/>
          </w:divBdr>
        </w:div>
        <w:div w:id="562720328">
          <w:marLeft w:val="0"/>
          <w:marRight w:val="0"/>
          <w:marTop w:val="60"/>
          <w:marBottom w:val="0"/>
          <w:divBdr>
            <w:top w:val="none" w:sz="0" w:space="0" w:color="auto"/>
            <w:left w:val="none" w:sz="0" w:space="0" w:color="auto"/>
            <w:bottom w:val="none" w:sz="0" w:space="0" w:color="auto"/>
            <w:right w:val="none" w:sz="0" w:space="0" w:color="auto"/>
          </w:divBdr>
        </w:div>
      </w:divsChild>
    </w:div>
    <w:div w:id="695887261">
      <w:marLeft w:val="0"/>
      <w:marRight w:val="0"/>
      <w:marTop w:val="240"/>
      <w:marBottom w:val="0"/>
      <w:divBdr>
        <w:top w:val="none" w:sz="0" w:space="0" w:color="auto"/>
        <w:left w:val="none" w:sz="0" w:space="0" w:color="auto"/>
        <w:bottom w:val="none" w:sz="0" w:space="0" w:color="auto"/>
        <w:right w:val="none" w:sz="0" w:space="0" w:color="auto"/>
      </w:divBdr>
    </w:div>
    <w:div w:id="699162143">
      <w:marLeft w:val="0"/>
      <w:marRight w:val="0"/>
      <w:marTop w:val="240"/>
      <w:marBottom w:val="0"/>
      <w:divBdr>
        <w:top w:val="none" w:sz="0" w:space="0" w:color="auto"/>
        <w:left w:val="none" w:sz="0" w:space="0" w:color="auto"/>
        <w:bottom w:val="none" w:sz="0" w:space="0" w:color="auto"/>
        <w:right w:val="none" w:sz="0" w:space="0" w:color="auto"/>
      </w:divBdr>
    </w:div>
    <w:div w:id="699820063">
      <w:marLeft w:val="0"/>
      <w:marRight w:val="0"/>
      <w:marTop w:val="240"/>
      <w:marBottom w:val="0"/>
      <w:divBdr>
        <w:top w:val="none" w:sz="0" w:space="0" w:color="auto"/>
        <w:left w:val="none" w:sz="0" w:space="0" w:color="auto"/>
        <w:bottom w:val="none" w:sz="0" w:space="0" w:color="auto"/>
        <w:right w:val="none" w:sz="0" w:space="0" w:color="auto"/>
      </w:divBdr>
    </w:div>
    <w:div w:id="700471722">
      <w:marLeft w:val="0"/>
      <w:marRight w:val="0"/>
      <w:marTop w:val="240"/>
      <w:marBottom w:val="0"/>
      <w:divBdr>
        <w:top w:val="none" w:sz="0" w:space="0" w:color="auto"/>
        <w:left w:val="none" w:sz="0" w:space="0" w:color="auto"/>
        <w:bottom w:val="none" w:sz="0" w:space="0" w:color="auto"/>
        <w:right w:val="none" w:sz="0" w:space="0" w:color="auto"/>
      </w:divBdr>
    </w:div>
    <w:div w:id="700475939">
      <w:marLeft w:val="0"/>
      <w:marRight w:val="0"/>
      <w:marTop w:val="240"/>
      <w:marBottom w:val="0"/>
      <w:divBdr>
        <w:top w:val="none" w:sz="0" w:space="0" w:color="auto"/>
        <w:left w:val="none" w:sz="0" w:space="0" w:color="auto"/>
        <w:bottom w:val="none" w:sz="0" w:space="0" w:color="auto"/>
        <w:right w:val="none" w:sz="0" w:space="0" w:color="auto"/>
      </w:divBdr>
    </w:div>
    <w:div w:id="702944102">
      <w:marLeft w:val="0"/>
      <w:marRight w:val="0"/>
      <w:marTop w:val="240"/>
      <w:marBottom w:val="0"/>
      <w:divBdr>
        <w:top w:val="none" w:sz="0" w:space="0" w:color="auto"/>
        <w:left w:val="none" w:sz="0" w:space="0" w:color="auto"/>
        <w:bottom w:val="none" w:sz="0" w:space="0" w:color="auto"/>
        <w:right w:val="none" w:sz="0" w:space="0" w:color="auto"/>
      </w:divBdr>
    </w:div>
    <w:div w:id="704906735">
      <w:marLeft w:val="0"/>
      <w:marRight w:val="0"/>
      <w:marTop w:val="240"/>
      <w:marBottom w:val="0"/>
      <w:divBdr>
        <w:top w:val="none" w:sz="0" w:space="0" w:color="auto"/>
        <w:left w:val="none" w:sz="0" w:space="0" w:color="auto"/>
        <w:bottom w:val="none" w:sz="0" w:space="0" w:color="auto"/>
        <w:right w:val="none" w:sz="0" w:space="0" w:color="auto"/>
      </w:divBdr>
    </w:div>
    <w:div w:id="706369078">
      <w:marLeft w:val="0"/>
      <w:marRight w:val="0"/>
      <w:marTop w:val="0"/>
      <w:marBottom w:val="0"/>
      <w:divBdr>
        <w:top w:val="none" w:sz="0" w:space="0" w:color="auto"/>
        <w:left w:val="none" w:sz="0" w:space="0" w:color="auto"/>
        <w:bottom w:val="none" w:sz="0" w:space="0" w:color="auto"/>
        <w:right w:val="none" w:sz="0" w:space="0" w:color="auto"/>
      </w:divBdr>
    </w:div>
    <w:div w:id="708185287">
      <w:marLeft w:val="0"/>
      <w:marRight w:val="0"/>
      <w:marTop w:val="240"/>
      <w:marBottom w:val="0"/>
      <w:divBdr>
        <w:top w:val="none" w:sz="0" w:space="0" w:color="auto"/>
        <w:left w:val="none" w:sz="0" w:space="0" w:color="auto"/>
        <w:bottom w:val="none" w:sz="0" w:space="0" w:color="auto"/>
        <w:right w:val="none" w:sz="0" w:space="0" w:color="auto"/>
      </w:divBdr>
    </w:div>
    <w:div w:id="708990824">
      <w:marLeft w:val="0"/>
      <w:marRight w:val="0"/>
      <w:marTop w:val="240"/>
      <w:marBottom w:val="0"/>
      <w:divBdr>
        <w:top w:val="none" w:sz="0" w:space="0" w:color="auto"/>
        <w:left w:val="none" w:sz="0" w:space="0" w:color="auto"/>
        <w:bottom w:val="none" w:sz="0" w:space="0" w:color="auto"/>
        <w:right w:val="none" w:sz="0" w:space="0" w:color="auto"/>
      </w:divBdr>
    </w:div>
    <w:div w:id="710501295">
      <w:marLeft w:val="0"/>
      <w:marRight w:val="0"/>
      <w:marTop w:val="160"/>
      <w:marBottom w:val="0"/>
      <w:divBdr>
        <w:top w:val="none" w:sz="0" w:space="0" w:color="auto"/>
        <w:left w:val="none" w:sz="0" w:space="0" w:color="auto"/>
        <w:bottom w:val="none" w:sz="0" w:space="0" w:color="auto"/>
        <w:right w:val="none" w:sz="0" w:space="0" w:color="auto"/>
      </w:divBdr>
    </w:div>
    <w:div w:id="711004505">
      <w:marLeft w:val="0"/>
      <w:marRight w:val="0"/>
      <w:marTop w:val="240"/>
      <w:marBottom w:val="0"/>
      <w:divBdr>
        <w:top w:val="none" w:sz="0" w:space="0" w:color="auto"/>
        <w:left w:val="none" w:sz="0" w:space="0" w:color="auto"/>
        <w:bottom w:val="none" w:sz="0" w:space="0" w:color="auto"/>
        <w:right w:val="none" w:sz="0" w:space="0" w:color="auto"/>
      </w:divBdr>
    </w:div>
    <w:div w:id="712197673">
      <w:marLeft w:val="0"/>
      <w:marRight w:val="0"/>
      <w:marTop w:val="0"/>
      <w:marBottom w:val="0"/>
      <w:divBdr>
        <w:top w:val="none" w:sz="0" w:space="0" w:color="auto"/>
        <w:left w:val="none" w:sz="0" w:space="0" w:color="auto"/>
        <w:bottom w:val="none" w:sz="0" w:space="0" w:color="auto"/>
        <w:right w:val="none" w:sz="0" w:space="0" w:color="auto"/>
      </w:divBdr>
      <w:divsChild>
        <w:div w:id="2019190515">
          <w:marLeft w:val="0"/>
          <w:marRight w:val="0"/>
          <w:marTop w:val="0"/>
          <w:marBottom w:val="0"/>
          <w:divBdr>
            <w:top w:val="none" w:sz="0" w:space="0" w:color="auto"/>
            <w:left w:val="none" w:sz="0" w:space="0" w:color="auto"/>
            <w:bottom w:val="none" w:sz="0" w:space="0" w:color="auto"/>
            <w:right w:val="none" w:sz="0" w:space="0" w:color="auto"/>
          </w:divBdr>
          <w:divsChild>
            <w:div w:id="12042959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8286812">
      <w:marLeft w:val="0"/>
      <w:marRight w:val="0"/>
      <w:marTop w:val="240"/>
      <w:marBottom w:val="0"/>
      <w:divBdr>
        <w:top w:val="none" w:sz="0" w:space="0" w:color="auto"/>
        <w:left w:val="none" w:sz="0" w:space="0" w:color="auto"/>
        <w:bottom w:val="none" w:sz="0" w:space="0" w:color="auto"/>
        <w:right w:val="none" w:sz="0" w:space="0" w:color="auto"/>
      </w:divBdr>
    </w:div>
    <w:div w:id="718750372">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120"/>
      <w:divBdr>
        <w:top w:val="none" w:sz="0" w:space="0" w:color="auto"/>
        <w:left w:val="none" w:sz="0" w:space="0" w:color="auto"/>
        <w:bottom w:val="none" w:sz="0" w:space="0" w:color="auto"/>
        <w:right w:val="none" w:sz="0" w:space="0" w:color="auto"/>
      </w:divBdr>
      <w:divsChild>
        <w:div w:id="822965265">
          <w:marLeft w:val="0"/>
          <w:marRight w:val="0"/>
          <w:marTop w:val="0"/>
          <w:marBottom w:val="0"/>
          <w:divBdr>
            <w:top w:val="none" w:sz="0" w:space="0" w:color="auto"/>
            <w:left w:val="none" w:sz="0" w:space="0" w:color="auto"/>
            <w:bottom w:val="none" w:sz="0" w:space="0" w:color="auto"/>
            <w:right w:val="none" w:sz="0" w:space="0" w:color="auto"/>
          </w:divBdr>
        </w:div>
        <w:div w:id="1347827476">
          <w:marLeft w:val="0"/>
          <w:marRight w:val="0"/>
          <w:marTop w:val="0"/>
          <w:marBottom w:val="0"/>
          <w:divBdr>
            <w:top w:val="none" w:sz="0" w:space="0" w:color="auto"/>
            <w:left w:val="none" w:sz="0" w:space="0" w:color="auto"/>
            <w:bottom w:val="none" w:sz="0" w:space="0" w:color="auto"/>
            <w:right w:val="none" w:sz="0" w:space="0" w:color="auto"/>
          </w:divBdr>
        </w:div>
      </w:divsChild>
    </w:div>
    <w:div w:id="723718990">
      <w:marLeft w:val="0"/>
      <w:marRight w:val="0"/>
      <w:marTop w:val="240"/>
      <w:marBottom w:val="0"/>
      <w:divBdr>
        <w:top w:val="none" w:sz="0" w:space="0" w:color="auto"/>
        <w:left w:val="none" w:sz="0" w:space="0" w:color="auto"/>
        <w:bottom w:val="none" w:sz="0" w:space="0" w:color="auto"/>
        <w:right w:val="none" w:sz="0" w:space="0" w:color="auto"/>
      </w:divBdr>
    </w:div>
    <w:div w:id="726611420">
      <w:marLeft w:val="0"/>
      <w:marRight w:val="0"/>
      <w:marTop w:val="0"/>
      <w:marBottom w:val="0"/>
      <w:divBdr>
        <w:top w:val="none" w:sz="0" w:space="0" w:color="auto"/>
        <w:left w:val="none" w:sz="0" w:space="0" w:color="auto"/>
        <w:bottom w:val="none" w:sz="0" w:space="0" w:color="auto"/>
        <w:right w:val="none" w:sz="0" w:space="0" w:color="auto"/>
      </w:divBdr>
      <w:divsChild>
        <w:div w:id="1781951587">
          <w:marLeft w:val="0"/>
          <w:marRight w:val="0"/>
          <w:marTop w:val="0"/>
          <w:marBottom w:val="0"/>
          <w:divBdr>
            <w:top w:val="none" w:sz="0" w:space="0" w:color="auto"/>
            <w:left w:val="none" w:sz="0" w:space="0" w:color="auto"/>
            <w:bottom w:val="none" w:sz="0" w:space="0" w:color="auto"/>
            <w:right w:val="none" w:sz="0" w:space="0" w:color="auto"/>
          </w:divBdr>
          <w:divsChild>
            <w:div w:id="10925069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27000395">
      <w:marLeft w:val="0"/>
      <w:marRight w:val="0"/>
      <w:marTop w:val="240"/>
      <w:marBottom w:val="0"/>
      <w:divBdr>
        <w:top w:val="none" w:sz="0" w:space="0" w:color="auto"/>
        <w:left w:val="none" w:sz="0" w:space="0" w:color="auto"/>
        <w:bottom w:val="none" w:sz="0" w:space="0" w:color="auto"/>
        <w:right w:val="none" w:sz="0" w:space="0" w:color="auto"/>
      </w:divBdr>
    </w:div>
    <w:div w:id="728573665">
      <w:marLeft w:val="0"/>
      <w:marRight w:val="0"/>
      <w:marTop w:val="240"/>
      <w:marBottom w:val="0"/>
      <w:divBdr>
        <w:top w:val="none" w:sz="0" w:space="0" w:color="auto"/>
        <w:left w:val="none" w:sz="0" w:space="0" w:color="auto"/>
        <w:bottom w:val="none" w:sz="0" w:space="0" w:color="auto"/>
        <w:right w:val="none" w:sz="0" w:space="0" w:color="auto"/>
      </w:divBdr>
    </w:div>
    <w:div w:id="728959723">
      <w:marLeft w:val="0"/>
      <w:marRight w:val="0"/>
      <w:marTop w:val="160"/>
      <w:marBottom w:val="0"/>
      <w:divBdr>
        <w:top w:val="none" w:sz="0" w:space="0" w:color="auto"/>
        <w:left w:val="none" w:sz="0" w:space="0" w:color="auto"/>
        <w:bottom w:val="none" w:sz="0" w:space="0" w:color="auto"/>
        <w:right w:val="none" w:sz="0" w:space="0" w:color="auto"/>
      </w:divBdr>
    </w:div>
    <w:div w:id="733359110">
      <w:marLeft w:val="0"/>
      <w:marRight w:val="0"/>
      <w:marTop w:val="0"/>
      <w:marBottom w:val="0"/>
      <w:divBdr>
        <w:top w:val="none" w:sz="0" w:space="0" w:color="auto"/>
        <w:left w:val="none" w:sz="0" w:space="0" w:color="auto"/>
        <w:bottom w:val="none" w:sz="0" w:space="0" w:color="auto"/>
        <w:right w:val="none" w:sz="0" w:space="0" w:color="auto"/>
      </w:divBdr>
      <w:divsChild>
        <w:div w:id="419831267">
          <w:marLeft w:val="0"/>
          <w:marRight w:val="0"/>
          <w:marTop w:val="0"/>
          <w:marBottom w:val="0"/>
          <w:divBdr>
            <w:top w:val="none" w:sz="0" w:space="0" w:color="auto"/>
            <w:left w:val="none" w:sz="0" w:space="0" w:color="auto"/>
            <w:bottom w:val="none" w:sz="0" w:space="0" w:color="auto"/>
            <w:right w:val="none" w:sz="0" w:space="0" w:color="auto"/>
          </w:divBdr>
          <w:divsChild>
            <w:div w:id="2337846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35326384">
      <w:marLeft w:val="0"/>
      <w:marRight w:val="0"/>
      <w:marTop w:val="240"/>
      <w:marBottom w:val="0"/>
      <w:divBdr>
        <w:top w:val="none" w:sz="0" w:space="0" w:color="auto"/>
        <w:left w:val="none" w:sz="0" w:space="0" w:color="auto"/>
        <w:bottom w:val="none" w:sz="0" w:space="0" w:color="auto"/>
        <w:right w:val="none" w:sz="0" w:space="0" w:color="auto"/>
      </w:divBdr>
    </w:div>
    <w:div w:id="737092117">
      <w:marLeft w:val="0"/>
      <w:marRight w:val="0"/>
      <w:marTop w:val="240"/>
      <w:marBottom w:val="0"/>
      <w:divBdr>
        <w:top w:val="none" w:sz="0" w:space="0" w:color="auto"/>
        <w:left w:val="none" w:sz="0" w:space="0" w:color="auto"/>
        <w:bottom w:val="none" w:sz="0" w:space="0" w:color="auto"/>
        <w:right w:val="none" w:sz="0" w:space="0" w:color="auto"/>
      </w:divBdr>
    </w:div>
    <w:div w:id="748576968">
      <w:marLeft w:val="0"/>
      <w:marRight w:val="0"/>
      <w:marTop w:val="0"/>
      <w:marBottom w:val="0"/>
      <w:divBdr>
        <w:top w:val="none" w:sz="0" w:space="0" w:color="auto"/>
        <w:left w:val="none" w:sz="0" w:space="0" w:color="auto"/>
        <w:bottom w:val="none" w:sz="0" w:space="0" w:color="auto"/>
        <w:right w:val="none" w:sz="0" w:space="0" w:color="auto"/>
      </w:divBdr>
      <w:divsChild>
        <w:div w:id="1742481252">
          <w:marLeft w:val="0"/>
          <w:marRight w:val="0"/>
          <w:marTop w:val="0"/>
          <w:marBottom w:val="0"/>
          <w:divBdr>
            <w:top w:val="none" w:sz="0" w:space="0" w:color="auto"/>
            <w:left w:val="none" w:sz="0" w:space="0" w:color="auto"/>
            <w:bottom w:val="none" w:sz="0" w:space="0" w:color="auto"/>
            <w:right w:val="none" w:sz="0" w:space="0" w:color="auto"/>
          </w:divBdr>
          <w:divsChild>
            <w:div w:id="6254284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49695866">
      <w:marLeft w:val="0"/>
      <w:marRight w:val="0"/>
      <w:marTop w:val="240"/>
      <w:marBottom w:val="0"/>
      <w:divBdr>
        <w:top w:val="none" w:sz="0" w:space="0" w:color="auto"/>
        <w:left w:val="none" w:sz="0" w:space="0" w:color="auto"/>
        <w:bottom w:val="none" w:sz="0" w:space="0" w:color="auto"/>
        <w:right w:val="none" w:sz="0" w:space="0" w:color="auto"/>
      </w:divBdr>
    </w:div>
    <w:div w:id="749933230">
      <w:marLeft w:val="0"/>
      <w:marRight w:val="0"/>
      <w:marTop w:val="240"/>
      <w:marBottom w:val="0"/>
      <w:divBdr>
        <w:top w:val="none" w:sz="0" w:space="0" w:color="auto"/>
        <w:left w:val="none" w:sz="0" w:space="0" w:color="auto"/>
        <w:bottom w:val="none" w:sz="0" w:space="0" w:color="auto"/>
        <w:right w:val="none" w:sz="0" w:space="0" w:color="auto"/>
      </w:divBdr>
    </w:div>
    <w:div w:id="752162861">
      <w:marLeft w:val="0"/>
      <w:marRight w:val="0"/>
      <w:marTop w:val="240"/>
      <w:marBottom w:val="0"/>
      <w:divBdr>
        <w:top w:val="none" w:sz="0" w:space="0" w:color="auto"/>
        <w:left w:val="none" w:sz="0" w:space="0" w:color="auto"/>
        <w:bottom w:val="none" w:sz="0" w:space="0" w:color="auto"/>
        <w:right w:val="none" w:sz="0" w:space="0" w:color="auto"/>
      </w:divBdr>
    </w:div>
    <w:div w:id="757749790">
      <w:marLeft w:val="0"/>
      <w:marRight w:val="0"/>
      <w:marTop w:val="120"/>
      <w:marBottom w:val="0"/>
      <w:divBdr>
        <w:top w:val="none" w:sz="0" w:space="0" w:color="auto"/>
        <w:left w:val="none" w:sz="0" w:space="0" w:color="auto"/>
        <w:bottom w:val="none" w:sz="0" w:space="0" w:color="auto"/>
        <w:right w:val="none" w:sz="0" w:space="0" w:color="auto"/>
      </w:divBdr>
    </w:div>
    <w:div w:id="760880534">
      <w:marLeft w:val="0"/>
      <w:marRight w:val="0"/>
      <w:marTop w:val="240"/>
      <w:marBottom w:val="0"/>
      <w:divBdr>
        <w:top w:val="none" w:sz="0" w:space="0" w:color="auto"/>
        <w:left w:val="none" w:sz="0" w:space="0" w:color="auto"/>
        <w:bottom w:val="none" w:sz="0" w:space="0" w:color="auto"/>
        <w:right w:val="none" w:sz="0" w:space="0" w:color="auto"/>
      </w:divBdr>
    </w:div>
    <w:div w:id="763844718">
      <w:marLeft w:val="0"/>
      <w:marRight w:val="0"/>
      <w:marTop w:val="0"/>
      <w:marBottom w:val="0"/>
      <w:divBdr>
        <w:top w:val="none" w:sz="0" w:space="0" w:color="auto"/>
        <w:left w:val="none" w:sz="0" w:space="0" w:color="auto"/>
        <w:bottom w:val="none" w:sz="0" w:space="0" w:color="auto"/>
        <w:right w:val="none" w:sz="0" w:space="0" w:color="auto"/>
      </w:divBdr>
      <w:divsChild>
        <w:div w:id="1215390054">
          <w:marLeft w:val="0"/>
          <w:marRight w:val="0"/>
          <w:marTop w:val="0"/>
          <w:marBottom w:val="0"/>
          <w:divBdr>
            <w:top w:val="none" w:sz="0" w:space="0" w:color="auto"/>
            <w:left w:val="none" w:sz="0" w:space="0" w:color="auto"/>
            <w:bottom w:val="none" w:sz="0" w:space="0" w:color="auto"/>
            <w:right w:val="none" w:sz="0" w:space="0" w:color="auto"/>
          </w:divBdr>
          <w:divsChild>
            <w:div w:id="4065399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5659471">
      <w:marLeft w:val="0"/>
      <w:marRight w:val="0"/>
      <w:marTop w:val="0"/>
      <w:marBottom w:val="0"/>
      <w:divBdr>
        <w:top w:val="none" w:sz="0" w:space="0" w:color="auto"/>
        <w:left w:val="none" w:sz="0" w:space="0" w:color="auto"/>
        <w:bottom w:val="none" w:sz="0" w:space="0" w:color="auto"/>
        <w:right w:val="none" w:sz="0" w:space="0" w:color="auto"/>
      </w:divBdr>
      <w:divsChild>
        <w:div w:id="197473368">
          <w:marLeft w:val="0"/>
          <w:marRight w:val="0"/>
          <w:marTop w:val="0"/>
          <w:marBottom w:val="0"/>
          <w:divBdr>
            <w:top w:val="none" w:sz="0" w:space="0" w:color="auto"/>
            <w:left w:val="none" w:sz="0" w:space="0" w:color="auto"/>
            <w:bottom w:val="none" w:sz="0" w:space="0" w:color="auto"/>
            <w:right w:val="none" w:sz="0" w:space="0" w:color="auto"/>
          </w:divBdr>
        </w:div>
      </w:divsChild>
    </w:div>
    <w:div w:id="766459245">
      <w:marLeft w:val="0"/>
      <w:marRight w:val="0"/>
      <w:marTop w:val="0"/>
      <w:marBottom w:val="0"/>
      <w:divBdr>
        <w:top w:val="none" w:sz="0" w:space="0" w:color="auto"/>
        <w:left w:val="none" w:sz="0" w:space="0" w:color="auto"/>
        <w:bottom w:val="none" w:sz="0" w:space="0" w:color="auto"/>
        <w:right w:val="none" w:sz="0" w:space="0" w:color="auto"/>
      </w:divBdr>
      <w:divsChild>
        <w:div w:id="1972204463">
          <w:marLeft w:val="0"/>
          <w:marRight w:val="0"/>
          <w:marTop w:val="0"/>
          <w:marBottom w:val="0"/>
          <w:divBdr>
            <w:top w:val="none" w:sz="0" w:space="0" w:color="auto"/>
            <w:left w:val="none" w:sz="0" w:space="0" w:color="auto"/>
            <w:bottom w:val="none" w:sz="0" w:space="0" w:color="auto"/>
            <w:right w:val="none" w:sz="0" w:space="0" w:color="auto"/>
          </w:divBdr>
        </w:div>
      </w:divsChild>
    </w:div>
    <w:div w:id="767769841">
      <w:marLeft w:val="0"/>
      <w:marRight w:val="0"/>
      <w:marTop w:val="240"/>
      <w:marBottom w:val="0"/>
      <w:divBdr>
        <w:top w:val="none" w:sz="0" w:space="0" w:color="auto"/>
        <w:left w:val="none" w:sz="0" w:space="0" w:color="auto"/>
        <w:bottom w:val="none" w:sz="0" w:space="0" w:color="auto"/>
        <w:right w:val="none" w:sz="0" w:space="0" w:color="auto"/>
      </w:divBdr>
    </w:div>
    <w:div w:id="773206737">
      <w:marLeft w:val="0"/>
      <w:marRight w:val="0"/>
      <w:marTop w:val="160"/>
      <w:marBottom w:val="0"/>
      <w:divBdr>
        <w:top w:val="none" w:sz="0" w:space="0" w:color="auto"/>
        <w:left w:val="none" w:sz="0" w:space="0" w:color="auto"/>
        <w:bottom w:val="none" w:sz="0" w:space="0" w:color="auto"/>
        <w:right w:val="none" w:sz="0" w:space="0" w:color="auto"/>
      </w:divBdr>
    </w:div>
    <w:div w:id="774716728">
      <w:marLeft w:val="0"/>
      <w:marRight w:val="0"/>
      <w:marTop w:val="240"/>
      <w:marBottom w:val="0"/>
      <w:divBdr>
        <w:top w:val="none" w:sz="0" w:space="0" w:color="auto"/>
        <w:left w:val="none" w:sz="0" w:space="0" w:color="auto"/>
        <w:bottom w:val="none" w:sz="0" w:space="0" w:color="auto"/>
        <w:right w:val="none" w:sz="0" w:space="0" w:color="auto"/>
      </w:divBdr>
    </w:div>
    <w:div w:id="777799545">
      <w:marLeft w:val="0"/>
      <w:marRight w:val="0"/>
      <w:marTop w:val="240"/>
      <w:marBottom w:val="0"/>
      <w:divBdr>
        <w:top w:val="none" w:sz="0" w:space="0" w:color="auto"/>
        <w:left w:val="none" w:sz="0" w:space="0" w:color="auto"/>
        <w:bottom w:val="none" w:sz="0" w:space="0" w:color="auto"/>
        <w:right w:val="none" w:sz="0" w:space="0" w:color="auto"/>
      </w:divBdr>
    </w:div>
    <w:div w:id="778336957">
      <w:marLeft w:val="0"/>
      <w:marRight w:val="0"/>
      <w:marTop w:val="160"/>
      <w:marBottom w:val="0"/>
      <w:divBdr>
        <w:top w:val="none" w:sz="0" w:space="0" w:color="auto"/>
        <w:left w:val="none" w:sz="0" w:space="0" w:color="auto"/>
        <w:bottom w:val="none" w:sz="0" w:space="0" w:color="auto"/>
        <w:right w:val="none" w:sz="0" w:space="0" w:color="auto"/>
      </w:divBdr>
    </w:div>
    <w:div w:id="779881656">
      <w:marLeft w:val="0"/>
      <w:marRight w:val="0"/>
      <w:marTop w:val="240"/>
      <w:marBottom w:val="0"/>
      <w:divBdr>
        <w:top w:val="none" w:sz="0" w:space="0" w:color="auto"/>
        <w:left w:val="none" w:sz="0" w:space="0" w:color="auto"/>
        <w:bottom w:val="none" w:sz="0" w:space="0" w:color="auto"/>
        <w:right w:val="none" w:sz="0" w:space="0" w:color="auto"/>
      </w:divBdr>
    </w:div>
    <w:div w:id="786002034">
      <w:marLeft w:val="0"/>
      <w:marRight w:val="0"/>
      <w:marTop w:val="240"/>
      <w:marBottom w:val="0"/>
      <w:divBdr>
        <w:top w:val="none" w:sz="0" w:space="0" w:color="auto"/>
        <w:left w:val="none" w:sz="0" w:space="0" w:color="auto"/>
        <w:bottom w:val="none" w:sz="0" w:space="0" w:color="auto"/>
        <w:right w:val="none" w:sz="0" w:space="0" w:color="auto"/>
      </w:divBdr>
    </w:div>
    <w:div w:id="787893221">
      <w:marLeft w:val="0"/>
      <w:marRight w:val="0"/>
      <w:marTop w:val="240"/>
      <w:marBottom w:val="0"/>
      <w:divBdr>
        <w:top w:val="none" w:sz="0" w:space="0" w:color="auto"/>
        <w:left w:val="none" w:sz="0" w:space="0" w:color="auto"/>
        <w:bottom w:val="none" w:sz="0" w:space="0" w:color="auto"/>
        <w:right w:val="none" w:sz="0" w:space="0" w:color="auto"/>
      </w:divBdr>
    </w:div>
    <w:div w:id="791946079">
      <w:marLeft w:val="0"/>
      <w:marRight w:val="0"/>
      <w:marTop w:val="240"/>
      <w:marBottom w:val="0"/>
      <w:divBdr>
        <w:top w:val="none" w:sz="0" w:space="0" w:color="auto"/>
        <w:left w:val="none" w:sz="0" w:space="0" w:color="auto"/>
        <w:bottom w:val="none" w:sz="0" w:space="0" w:color="auto"/>
        <w:right w:val="none" w:sz="0" w:space="0" w:color="auto"/>
      </w:divBdr>
    </w:div>
    <w:div w:id="792359498">
      <w:marLeft w:val="0"/>
      <w:marRight w:val="0"/>
      <w:marTop w:val="240"/>
      <w:marBottom w:val="0"/>
      <w:divBdr>
        <w:top w:val="none" w:sz="0" w:space="0" w:color="auto"/>
        <w:left w:val="none" w:sz="0" w:space="0" w:color="auto"/>
        <w:bottom w:val="none" w:sz="0" w:space="0" w:color="auto"/>
        <w:right w:val="none" w:sz="0" w:space="0" w:color="auto"/>
      </w:divBdr>
    </w:div>
    <w:div w:id="794182604">
      <w:marLeft w:val="0"/>
      <w:marRight w:val="0"/>
      <w:marTop w:val="240"/>
      <w:marBottom w:val="0"/>
      <w:divBdr>
        <w:top w:val="none" w:sz="0" w:space="0" w:color="auto"/>
        <w:left w:val="none" w:sz="0" w:space="0" w:color="auto"/>
        <w:bottom w:val="none" w:sz="0" w:space="0" w:color="auto"/>
        <w:right w:val="none" w:sz="0" w:space="0" w:color="auto"/>
      </w:divBdr>
    </w:div>
    <w:div w:id="796991629">
      <w:marLeft w:val="0"/>
      <w:marRight w:val="0"/>
      <w:marTop w:val="240"/>
      <w:marBottom w:val="0"/>
      <w:divBdr>
        <w:top w:val="none" w:sz="0" w:space="0" w:color="auto"/>
        <w:left w:val="none" w:sz="0" w:space="0" w:color="auto"/>
        <w:bottom w:val="none" w:sz="0" w:space="0" w:color="auto"/>
        <w:right w:val="none" w:sz="0" w:space="0" w:color="auto"/>
      </w:divBdr>
    </w:div>
    <w:div w:id="799957152">
      <w:marLeft w:val="0"/>
      <w:marRight w:val="0"/>
      <w:marTop w:val="0"/>
      <w:marBottom w:val="0"/>
      <w:divBdr>
        <w:top w:val="none" w:sz="0" w:space="0" w:color="auto"/>
        <w:left w:val="none" w:sz="0" w:space="0" w:color="auto"/>
        <w:bottom w:val="none" w:sz="0" w:space="0" w:color="auto"/>
        <w:right w:val="none" w:sz="0" w:space="0" w:color="auto"/>
      </w:divBdr>
      <w:divsChild>
        <w:div w:id="1729642241">
          <w:marLeft w:val="0"/>
          <w:marRight w:val="0"/>
          <w:marTop w:val="0"/>
          <w:marBottom w:val="0"/>
          <w:divBdr>
            <w:top w:val="none" w:sz="0" w:space="0" w:color="auto"/>
            <w:left w:val="none" w:sz="0" w:space="0" w:color="auto"/>
            <w:bottom w:val="none" w:sz="0" w:space="0" w:color="auto"/>
            <w:right w:val="none" w:sz="0" w:space="0" w:color="auto"/>
          </w:divBdr>
        </w:div>
      </w:divsChild>
    </w:div>
    <w:div w:id="802042575">
      <w:marLeft w:val="0"/>
      <w:marRight w:val="0"/>
      <w:marTop w:val="160"/>
      <w:marBottom w:val="0"/>
      <w:divBdr>
        <w:top w:val="none" w:sz="0" w:space="0" w:color="auto"/>
        <w:left w:val="none" w:sz="0" w:space="0" w:color="auto"/>
        <w:bottom w:val="none" w:sz="0" w:space="0" w:color="auto"/>
        <w:right w:val="none" w:sz="0" w:space="0" w:color="auto"/>
      </w:divBdr>
    </w:div>
    <w:div w:id="802239333">
      <w:marLeft w:val="0"/>
      <w:marRight w:val="0"/>
      <w:marTop w:val="240"/>
      <w:marBottom w:val="0"/>
      <w:divBdr>
        <w:top w:val="none" w:sz="0" w:space="0" w:color="auto"/>
        <w:left w:val="none" w:sz="0" w:space="0" w:color="auto"/>
        <w:bottom w:val="none" w:sz="0" w:space="0" w:color="auto"/>
        <w:right w:val="none" w:sz="0" w:space="0" w:color="auto"/>
      </w:divBdr>
    </w:div>
    <w:div w:id="806320399">
      <w:marLeft w:val="0"/>
      <w:marRight w:val="0"/>
      <w:marTop w:val="240"/>
      <w:marBottom w:val="0"/>
      <w:divBdr>
        <w:top w:val="none" w:sz="0" w:space="0" w:color="auto"/>
        <w:left w:val="none" w:sz="0" w:space="0" w:color="auto"/>
        <w:bottom w:val="none" w:sz="0" w:space="0" w:color="auto"/>
        <w:right w:val="none" w:sz="0" w:space="0" w:color="auto"/>
      </w:divBdr>
    </w:div>
    <w:div w:id="807822763">
      <w:marLeft w:val="0"/>
      <w:marRight w:val="0"/>
      <w:marTop w:val="240"/>
      <w:marBottom w:val="0"/>
      <w:divBdr>
        <w:top w:val="none" w:sz="0" w:space="0" w:color="auto"/>
        <w:left w:val="none" w:sz="0" w:space="0" w:color="auto"/>
        <w:bottom w:val="none" w:sz="0" w:space="0" w:color="auto"/>
        <w:right w:val="none" w:sz="0" w:space="0" w:color="auto"/>
      </w:divBdr>
    </w:div>
    <w:div w:id="815031816">
      <w:marLeft w:val="0"/>
      <w:marRight w:val="0"/>
      <w:marTop w:val="240"/>
      <w:marBottom w:val="0"/>
      <w:divBdr>
        <w:top w:val="none" w:sz="0" w:space="0" w:color="auto"/>
        <w:left w:val="none" w:sz="0" w:space="0" w:color="auto"/>
        <w:bottom w:val="none" w:sz="0" w:space="0" w:color="auto"/>
        <w:right w:val="none" w:sz="0" w:space="0" w:color="auto"/>
      </w:divBdr>
    </w:div>
    <w:div w:id="819155289">
      <w:marLeft w:val="0"/>
      <w:marRight w:val="0"/>
      <w:marTop w:val="240"/>
      <w:marBottom w:val="0"/>
      <w:divBdr>
        <w:top w:val="none" w:sz="0" w:space="0" w:color="auto"/>
        <w:left w:val="none" w:sz="0" w:space="0" w:color="auto"/>
        <w:bottom w:val="none" w:sz="0" w:space="0" w:color="auto"/>
        <w:right w:val="none" w:sz="0" w:space="0" w:color="auto"/>
      </w:divBdr>
    </w:div>
    <w:div w:id="820997262">
      <w:marLeft w:val="0"/>
      <w:marRight w:val="0"/>
      <w:marTop w:val="120"/>
      <w:marBottom w:val="0"/>
      <w:divBdr>
        <w:top w:val="none" w:sz="0" w:space="0" w:color="auto"/>
        <w:left w:val="none" w:sz="0" w:space="0" w:color="auto"/>
        <w:bottom w:val="none" w:sz="0" w:space="0" w:color="auto"/>
        <w:right w:val="none" w:sz="0" w:space="0" w:color="auto"/>
      </w:divBdr>
    </w:div>
    <w:div w:id="822891182">
      <w:marLeft w:val="0"/>
      <w:marRight w:val="0"/>
      <w:marTop w:val="240"/>
      <w:marBottom w:val="0"/>
      <w:divBdr>
        <w:top w:val="none" w:sz="0" w:space="0" w:color="auto"/>
        <w:left w:val="none" w:sz="0" w:space="0" w:color="auto"/>
        <w:bottom w:val="none" w:sz="0" w:space="0" w:color="auto"/>
        <w:right w:val="none" w:sz="0" w:space="0" w:color="auto"/>
      </w:divBdr>
    </w:div>
    <w:div w:id="823862734">
      <w:marLeft w:val="0"/>
      <w:marRight w:val="0"/>
      <w:marTop w:val="240"/>
      <w:marBottom w:val="0"/>
      <w:divBdr>
        <w:top w:val="none" w:sz="0" w:space="0" w:color="auto"/>
        <w:left w:val="none" w:sz="0" w:space="0" w:color="auto"/>
        <w:bottom w:val="none" w:sz="0" w:space="0" w:color="auto"/>
        <w:right w:val="none" w:sz="0" w:space="0" w:color="auto"/>
      </w:divBdr>
    </w:div>
    <w:div w:id="826096449">
      <w:marLeft w:val="0"/>
      <w:marRight w:val="0"/>
      <w:marTop w:val="240"/>
      <w:marBottom w:val="0"/>
      <w:divBdr>
        <w:top w:val="none" w:sz="0" w:space="0" w:color="auto"/>
        <w:left w:val="none" w:sz="0" w:space="0" w:color="auto"/>
        <w:bottom w:val="none" w:sz="0" w:space="0" w:color="auto"/>
        <w:right w:val="none" w:sz="0" w:space="0" w:color="auto"/>
      </w:divBdr>
    </w:div>
    <w:div w:id="827358713">
      <w:marLeft w:val="0"/>
      <w:marRight w:val="0"/>
      <w:marTop w:val="240"/>
      <w:marBottom w:val="240"/>
      <w:divBdr>
        <w:top w:val="none" w:sz="0" w:space="0" w:color="auto"/>
        <w:left w:val="none" w:sz="0" w:space="0" w:color="auto"/>
        <w:bottom w:val="none" w:sz="0" w:space="0" w:color="auto"/>
        <w:right w:val="none" w:sz="0" w:space="0" w:color="auto"/>
      </w:divBdr>
    </w:div>
    <w:div w:id="833954088">
      <w:marLeft w:val="0"/>
      <w:marRight w:val="0"/>
      <w:marTop w:val="240"/>
      <w:marBottom w:val="0"/>
      <w:divBdr>
        <w:top w:val="none" w:sz="0" w:space="0" w:color="auto"/>
        <w:left w:val="none" w:sz="0" w:space="0" w:color="auto"/>
        <w:bottom w:val="none" w:sz="0" w:space="0" w:color="auto"/>
        <w:right w:val="none" w:sz="0" w:space="0" w:color="auto"/>
      </w:divBdr>
    </w:div>
    <w:div w:id="834106618">
      <w:marLeft w:val="0"/>
      <w:marRight w:val="0"/>
      <w:marTop w:val="0"/>
      <w:marBottom w:val="0"/>
      <w:divBdr>
        <w:top w:val="none" w:sz="0" w:space="0" w:color="auto"/>
        <w:left w:val="none" w:sz="0" w:space="0" w:color="auto"/>
        <w:bottom w:val="none" w:sz="0" w:space="0" w:color="auto"/>
        <w:right w:val="none" w:sz="0" w:space="0" w:color="auto"/>
      </w:divBdr>
      <w:divsChild>
        <w:div w:id="660620604">
          <w:marLeft w:val="0"/>
          <w:marRight w:val="0"/>
          <w:marTop w:val="0"/>
          <w:marBottom w:val="0"/>
          <w:divBdr>
            <w:top w:val="none" w:sz="0" w:space="0" w:color="auto"/>
            <w:left w:val="none" w:sz="0" w:space="0" w:color="auto"/>
            <w:bottom w:val="none" w:sz="0" w:space="0" w:color="auto"/>
            <w:right w:val="none" w:sz="0" w:space="0" w:color="auto"/>
          </w:divBdr>
          <w:divsChild>
            <w:div w:id="10532400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37038575">
      <w:marLeft w:val="0"/>
      <w:marRight w:val="0"/>
      <w:marTop w:val="240"/>
      <w:marBottom w:val="0"/>
      <w:divBdr>
        <w:top w:val="none" w:sz="0" w:space="0" w:color="auto"/>
        <w:left w:val="none" w:sz="0" w:space="0" w:color="auto"/>
        <w:bottom w:val="none" w:sz="0" w:space="0" w:color="auto"/>
        <w:right w:val="none" w:sz="0" w:space="0" w:color="auto"/>
      </w:divBdr>
    </w:div>
    <w:div w:id="838279147">
      <w:marLeft w:val="0"/>
      <w:marRight w:val="0"/>
      <w:marTop w:val="0"/>
      <w:marBottom w:val="0"/>
      <w:divBdr>
        <w:top w:val="none" w:sz="0" w:space="0" w:color="auto"/>
        <w:left w:val="none" w:sz="0" w:space="0" w:color="auto"/>
        <w:bottom w:val="none" w:sz="0" w:space="0" w:color="auto"/>
        <w:right w:val="none" w:sz="0" w:space="0" w:color="auto"/>
      </w:divBdr>
      <w:divsChild>
        <w:div w:id="182523476">
          <w:marLeft w:val="0"/>
          <w:marRight w:val="0"/>
          <w:marTop w:val="0"/>
          <w:marBottom w:val="0"/>
          <w:divBdr>
            <w:top w:val="none" w:sz="0" w:space="0" w:color="auto"/>
            <w:left w:val="none" w:sz="0" w:space="0" w:color="auto"/>
            <w:bottom w:val="none" w:sz="0" w:space="0" w:color="auto"/>
            <w:right w:val="none" w:sz="0" w:space="0" w:color="auto"/>
          </w:divBdr>
        </w:div>
      </w:divsChild>
    </w:div>
    <w:div w:id="840239338">
      <w:marLeft w:val="0"/>
      <w:marRight w:val="0"/>
      <w:marTop w:val="240"/>
      <w:marBottom w:val="0"/>
      <w:divBdr>
        <w:top w:val="none" w:sz="0" w:space="0" w:color="auto"/>
        <w:left w:val="none" w:sz="0" w:space="0" w:color="auto"/>
        <w:bottom w:val="none" w:sz="0" w:space="0" w:color="auto"/>
        <w:right w:val="none" w:sz="0" w:space="0" w:color="auto"/>
      </w:divBdr>
    </w:div>
    <w:div w:id="840466399">
      <w:marLeft w:val="0"/>
      <w:marRight w:val="0"/>
      <w:marTop w:val="0"/>
      <w:marBottom w:val="0"/>
      <w:divBdr>
        <w:top w:val="none" w:sz="0" w:space="0" w:color="auto"/>
        <w:left w:val="none" w:sz="0" w:space="0" w:color="auto"/>
        <w:bottom w:val="none" w:sz="0" w:space="0" w:color="auto"/>
        <w:right w:val="none" w:sz="0" w:space="0" w:color="auto"/>
      </w:divBdr>
      <w:divsChild>
        <w:div w:id="1666323308">
          <w:marLeft w:val="0"/>
          <w:marRight w:val="0"/>
          <w:marTop w:val="0"/>
          <w:marBottom w:val="0"/>
          <w:divBdr>
            <w:top w:val="none" w:sz="0" w:space="0" w:color="auto"/>
            <w:left w:val="none" w:sz="0" w:space="0" w:color="auto"/>
            <w:bottom w:val="none" w:sz="0" w:space="0" w:color="auto"/>
            <w:right w:val="none" w:sz="0" w:space="0" w:color="auto"/>
          </w:divBdr>
        </w:div>
      </w:divsChild>
    </w:div>
    <w:div w:id="842860394">
      <w:marLeft w:val="0"/>
      <w:marRight w:val="0"/>
      <w:marTop w:val="240"/>
      <w:marBottom w:val="0"/>
      <w:divBdr>
        <w:top w:val="none" w:sz="0" w:space="0" w:color="auto"/>
        <w:left w:val="none" w:sz="0" w:space="0" w:color="auto"/>
        <w:bottom w:val="none" w:sz="0" w:space="0" w:color="auto"/>
        <w:right w:val="none" w:sz="0" w:space="0" w:color="auto"/>
      </w:divBdr>
    </w:div>
    <w:div w:id="843203260">
      <w:marLeft w:val="0"/>
      <w:marRight w:val="0"/>
      <w:marTop w:val="240"/>
      <w:marBottom w:val="0"/>
      <w:divBdr>
        <w:top w:val="none" w:sz="0" w:space="0" w:color="auto"/>
        <w:left w:val="none" w:sz="0" w:space="0" w:color="auto"/>
        <w:bottom w:val="none" w:sz="0" w:space="0" w:color="auto"/>
        <w:right w:val="none" w:sz="0" w:space="0" w:color="auto"/>
      </w:divBdr>
    </w:div>
    <w:div w:id="847214422">
      <w:marLeft w:val="0"/>
      <w:marRight w:val="0"/>
      <w:marTop w:val="160"/>
      <w:marBottom w:val="0"/>
      <w:divBdr>
        <w:top w:val="none" w:sz="0" w:space="0" w:color="auto"/>
        <w:left w:val="none" w:sz="0" w:space="0" w:color="auto"/>
        <w:bottom w:val="none" w:sz="0" w:space="0" w:color="auto"/>
        <w:right w:val="none" w:sz="0" w:space="0" w:color="auto"/>
      </w:divBdr>
    </w:div>
    <w:div w:id="849686914">
      <w:marLeft w:val="0"/>
      <w:marRight w:val="0"/>
      <w:marTop w:val="240"/>
      <w:marBottom w:val="120"/>
      <w:divBdr>
        <w:top w:val="none" w:sz="0" w:space="0" w:color="auto"/>
        <w:left w:val="none" w:sz="0" w:space="0" w:color="auto"/>
        <w:bottom w:val="none" w:sz="0" w:space="0" w:color="auto"/>
        <w:right w:val="none" w:sz="0" w:space="0" w:color="auto"/>
      </w:divBdr>
    </w:div>
    <w:div w:id="851378494">
      <w:marLeft w:val="0"/>
      <w:marRight w:val="0"/>
      <w:marTop w:val="240"/>
      <w:marBottom w:val="0"/>
      <w:divBdr>
        <w:top w:val="none" w:sz="0" w:space="0" w:color="auto"/>
        <w:left w:val="none" w:sz="0" w:space="0" w:color="auto"/>
        <w:bottom w:val="none" w:sz="0" w:space="0" w:color="auto"/>
        <w:right w:val="none" w:sz="0" w:space="0" w:color="auto"/>
      </w:divBdr>
    </w:div>
    <w:div w:id="852836991">
      <w:marLeft w:val="0"/>
      <w:marRight w:val="0"/>
      <w:marTop w:val="0"/>
      <w:marBottom w:val="0"/>
      <w:divBdr>
        <w:top w:val="none" w:sz="0" w:space="0" w:color="auto"/>
        <w:left w:val="none" w:sz="0" w:space="0" w:color="auto"/>
        <w:bottom w:val="none" w:sz="0" w:space="0" w:color="auto"/>
        <w:right w:val="none" w:sz="0" w:space="0" w:color="auto"/>
      </w:divBdr>
      <w:divsChild>
        <w:div w:id="670568420">
          <w:marLeft w:val="0"/>
          <w:marRight w:val="0"/>
          <w:marTop w:val="0"/>
          <w:marBottom w:val="0"/>
          <w:divBdr>
            <w:top w:val="none" w:sz="0" w:space="0" w:color="auto"/>
            <w:left w:val="none" w:sz="0" w:space="0" w:color="auto"/>
            <w:bottom w:val="none" w:sz="0" w:space="0" w:color="auto"/>
            <w:right w:val="none" w:sz="0" w:space="0" w:color="auto"/>
          </w:divBdr>
        </w:div>
      </w:divsChild>
    </w:div>
    <w:div w:id="854196535">
      <w:marLeft w:val="0"/>
      <w:marRight w:val="0"/>
      <w:marTop w:val="240"/>
      <w:marBottom w:val="0"/>
      <w:divBdr>
        <w:top w:val="none" w:sz="0" w:space="0" w:color="auto"/>
        <w:left w:val="none" w:sz="0" w:space="0" w:color="auto"/>
        <w:bottom w:val="none" w:sz="0" w:space="0" w:color="auto"/>
        <w:right w:val="none" w:sz="0" w:space="0" w:color="auto"/>
      </w:divBdr>
    </w:div>
    <w:div w:id="855925699">
      <w:marLeft w:val="0"/>
      <w:marRight w:val="0"/>
      <w:marTop w:val="0"/>
      <w:marBottom w:val="0"/>
      <w:divBdr>
        <w:top w:val="none" w:sz="0" w:space="0" w:color="auto"/>
        <w:left w:val="none" w:sz="0" w:space="0" w:color="auto"/>
        <w:bottom w:val="none" w:sz="0" w:space="0" w:color="auto"/>
        <w:right w:val="none" w:sz="0" w:space="0" w:color="auto"/>
      </w:divBdr>
      <w:divsChild>
        <w:div w:id="711000579">
          <w:marLeft w:val="0"/>
          <w:marRight w:val="0"/>
          <w:marTop w:val="0"/>
          <w:marBottom w:val="0"/>
          <w:divBdr>
            <w:top w:val="none" w:sz="0" w:space="0" w:color="auto"/>
            <w:left w:val="none" w:sz="0" w:space="0" w:color="auto"/>
            <w:bottom w:val="none" w:sz="0" w:space="0" w:color="auto"/>
            <w:right w:val="none" w:sz="0" w:space="0" w:color="auto"/>
          </w:divBdr>
        </w:div>
      </w:divsChild>
    </w:div>
    <w:div w:id="862863303">
      <w:marLeft w:val="0"/>
      <w:marRight w:val="0"/>
      <w:marTop w:val="240"/>
      <w:marBottom w:val="0"/>
      <w:divBdr>
        <w:top w:val="none" w:sz="0" w:space="0" w:color="auto"/>
        <w:left w:val="none" w:sz="0" w:space="0" w:color="auto"/>
        <w:bottom w:val="none" w:sz="0" w:space="0" w:color="auto"/>
        <w:right w:val="none" w:sz="0" w:space="0" w:color="auto"/>
      </w:divBdr>
    </w:div>
    <w:div w:id="865093590">
      <w:marLeft w:val="0"/>
      <w:marRight w:val="0"/>
      <w:marTop w:val="0"/>
      <w:marBottom w:val="0"/>
      <w:divBdr>
        <w:top w:val="none" w:sz="0" w:space="0" w:color="auto"/>
        <w:left w:val="none" w:sz="0" w:space="0" w:color="auto"/>
        <w:bottom w:val="none" w:sz="0" w:space="0" w:color="auto"/>
        <w:right w:val="none" w:sz="0" w:space="0" w:color="auto"/>
      </w:divBdr>
      <w:divsChild>
        <w:div w:id="1061634614">
          <w:marLeft w:val="0"/>
          <w:marRight w:val="0"/>
          <w:marTop w:val="0"/>
          <w:marBottom w:val="0"/>
          <w:divBdr>
            <w:top w:val="none" w:sz="0" w:space="0" w:color="auto"/>
            <w:left w:val="none" w:sz="0" w:space="0" w:color="auto"/>
            <w:bottom w:val="none" w:sz="0" w:space="0" w:color="auto"/>
            <w:right w:val="none" w:sz="0" w:space="0" w:color="auto"/>
          </w:divBdr>
          <w:divsChild>
            <w:div w:id="4144794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65100055">
      <w:marLeft w:val="0"/>
      <w:marRight w:val="0"/>
      <w:marTop w:val="240"/>
      <w:marBottom w:val="0"/>
      <w:divBdr>
        <w:top w:val="none" w:sz="0" w:space="0" w:color="auto"/>
        <w:left w:val="none" w:sz="0" w:space="0" w:color="auto"/>
        <w:bottom w:val="none" w:sz="0" w:space="0" w:color="auto"/>
        <w:right w:val="none" w:sz="0" w:space="0" w:color="auto"/>
      </w:divBdr>
    </w:div>
    <w:div w:id="865799259">
      <w:marLeft w:val="0"/>
      <w:marRight w:val="0"/>
      <w:marTop w:val="0"/>
      <w:marBottom w:val="0"/>
      <w:divBdr>
        <w:top w:val="none" w:sz="0" w:space="0" w:color="auto"/>
        <w:left w:val="none" w:sz="0" w:space="0" w:color="auto"/>
        <w:bottom w:val="none" w:sz="0" w:space="0" w:color="auto"/>
        <w:right w:val="none" w:sz="0" w:space="0" w:color="auto"/>
      </w:divBdr>
      <w:divsChild>
        <w:div w:id="1492209164">
          <w:marLeft w:val="0"/>
          <w:marRight w:val="0"/>
          <w:marTop w:val="0"/>
          <w:marBottom w:val="0"/>
          <w:divBdr>
            <w:top w:val="none" w:sz="0" w:space="0" w:color="auto"/>
            <w:left w:val="none" w:sz="0" w:space="0" w:color="auto"/>
            <w:bottom w:val="none" w:sz="0" w:space="0" w:color="auto"/>
            <w:right w:val="none" w:sz="0" w:space="0" w:color="auto"/>
          </w:divBdr>
          <w:divsChild>
            <w:div w:id="5178900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66069340">
      <w:marLeft w:val="0"/>
      <w:marRight w:val="0"/>
      <w:marTop w:val="240"/>
      <w:marBottom w:val="0"/>
      <w:divBdr>
        <w:top w:val="none" w:sz="0" w:space="0" w:color="auto"/>
        <w:left w:val="none" w:sz="0" w:space="0" w:color="auto"/>
        <w:bottom w:val="none" w:sz="0" w:space="0" w:color="auto"/>
        <w:right w:val="none" w:sz="0" w:space="0" w:color="auto"/>
      </w:divBdr>
    </w:div>
    <w:div w:id="866216518">
      <w:marLeft w:val="0"/>
      <w:marRight w:val="0"/>
      <w:marTop w:val="240"/>
      <w:marBottom w:val="0"/>
      <w:divBdr>
        <w:top w:val="none" w:sz="0" w:space="0" w:color="auto"/>
        <w:left w:val="none" w:sz="0" w:space="0" w:color="auto"/>
        <w:bottom w:val="none" w:sz="0" w:space="0" w:color="auto"/>
        <w:right w:val="none" w:sz="0" w:space="0" w:color="auto"/>
      </w:divBdr>
    </w:div>
    <w:div w:id="870459834">
      <w:marLeft w:val="0"/>
      <w:marRight w:val="0"/>
      <w:marTop w:val="240"/>
      <w:marBottom w:val="0"/>
      <w:divBdr>
        <w:top w:val="none" w:sz="0" w:space="0" w:color="auto"/>
        <w:left w:val="none" w:sz="0" w:space="0" w:color="auto"/>
        <w:bottom w:val="none" w:sz="0" w:space="0" w:color="auto"/>
        <w:right w:val="none" w:sz="0" w:space="0" w:color="auto"/>
      </w:divBdr>
    </w:div>
    <w:div w:id="873419321">
      <w:marLeft w:val="0"/>
      <w:marRight w:val="0"/>
      <w:marTop w:val="240"/>
      <w:marBottom w:val="0"/>
      <w:divBdr>
        <w:top w:val="none" w:sz="0" w:space="0" w:color="auto"/>
        <w:left w:val="none" w:sz="0" w:space="0" w:color="auto"/>
        <w:bottom w:val="none" w:sz="0" w:space="0" w:color="auto"/>
        <w:right w:val="none" w:sz="0" w:space="0" w:color="auto"/>
      </w:divBdr>
    </w:div>
    <w:div w:id="876044302">
      <w:marLeft w:val="0"/>
      <w:marRight w:val="0"/>
      <w:marTop w:val="0"/>
      <w:marBottom w:val="0"/>
      <w:divBdr>
        <w:top w:val="none" w:sz="0" w:space="0" w:color="auto"/>
        <w:left w:val="none" w:sz="0" w:space="0" w:color="auto"/>
        <w:bottom w:val="none" w:sz="0" w:space="0" w:color="auto"/>
        <w:right w:val="none" w:sz="0" w:space="0" w:color="auto"/>
      </w:divBdr>
      <w:divsChild>
        <w:div w:id="2029913363">
          <w:marLeft w:val="0"/>
          <w:marRight w:val="0"/>
          <w:marTop w:val="0"/>
          <w:marBottom w:val="0"/>
          <w:divBdr>
            <w:top w:val="none" w:sz="0" w:space="0" w:color="auto"/>
            <w:left w:val="none" w:sz="0" w:space="0" w:color="auto"/>
            <w:bottom w:val="none" w:sz="0" w:space="0" w:color="auto"/>
            <w:right w:val="none" w:sz="0" w:space="0" w:color="auto"/>
          </w:divBdr>
          <w:divsChild>
            <w:div w:id="696176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78126763">
      <w:marLeft w:val="0"/>
      <w:marRight w:val="0"/>
      <w:marTop w:val="40"/>
      <w:marBottom w:val="0"/>
      <w:divBdr>
        <w:top w:val="none" w:sz="0" w:space="0" w:color="auto"/>
        <w:left w:val="none" w:sz="0" w:space="0" w:color="auto"/>
        <w:bottom w:val="none" w:sz="0" w:space="0" w:color="auto"/>
        <w:right w:val="none" w:sz="0" w:space="0" w:color="auto"/>
      </w:divBdr>
    </w:div>
    <w:div w:id="878470291">
      <w:marLeft w:val="0"/>
      <w:marRight w:val="0"/>
      <w:marTop w:val="240"/>
      <w:marBottom w:val="0"/>
      <w:divBdr>
        <w:top w:val="none" w:sz="0" w:space="0" w:color="auto"/>
        <w:left w:val="none" w:sz="0" w:space="0" w:color="auto"/>
        <w:bottom w:val="none" w:sz="0" w:space="0" w:color="auto"/>
        <w:right w:val="none" w:sz="0" w:space="0" w:color="auto"/>
      </w:divBdr>
    </w:div>
    <w:div w:id="879050772">
      <w:marLeft w:val="0"/>
      <w:marRight w:val="0"/>
      <w:marTop w:val="120"/>
      <w:marBottom w:val="0"/>
      <w:divBdr>
        <w:top w:val="none" w:sz="0" w:space="0" w:color="auto"/>
        <w:left w:val="none" w:sz="0" w:space="0" w:color="auto"/>
        <w:bottom w:val="none" w:sz="0" w:space="0" w:color="auto"/>
        <w:right w:val="none" w:sz="0" w:space="0" w:color="auto"/>
      </w:divBdr>
    </w:div>
    <w:div w:id="879785493">
      <w:marLeft w:val="0"/>
      <w:marRight w:val="0"/>
      <w:marTop w:val="60"/>
      <w:marBottom w:val="0"/>
      <w:divBdr>
        <w:top w:val="none" w:sz="0" w:space="0" w:color="auto"/>
        <w:left w:val="none" w:sz="0" w:space="0" w:color="auto"/>
        <w:bottom w:val="none" w:sz="0" w:space="0" w:color="auto"/>
        <w:right w:val="none" w:sz="0" w:space="0" w:color="auto"/>
      </w:divBdr>
    </w:div>
    <w:div w:id="880480273">
      <w:marLeft w:val="0"/>
      <w:marRight w:val="0"/>
      <w:marTop w:val="240"/>
      <w:marBottom w:val="0"/>
      <w:divBdr>
        <w:top w:val="none" w:sz="0" w:space="0" w:color="auto"/>
        <w:left w:val="none" w:sz="0" w:space="0" w:color="auto"/>
        <w:bottom w:val="none" w:sz="0" w:space="0" w:color="auto"/>
        <w:right w:val="none" w:sz="0" w:space="0" w:color="auto"/>
      </w:divBdr>
    </w:div>
    <w:div w:id="881403046">
      <w:marLeft w:val="0"/>
      <w:marRight w:val="0"/>
      <w:marTop w:val="240"/>
      <w:marBottom w:val="120"/>
      <w:divBdr>
        <w:top w:val="none" w:sz="0" w:space="0" w:color="auto"/>
        <w:left w:val="none" w:sz="0" w:space="0" w:color="auto"/>
        <w:bottom w:val="none" w:sz="0" w:space="0" w:color="auto"/>
        <w:right w:val="none" w:sz="0" w:space="0" w:color="auto"/>
      </w:divBdr>
      <w:divsChild>
        <w:div w:id="577061288">
          <w:marLeft w:val="0"/>
          <w:marRight w:val="0"/>
          <w:marTop w:val="0"/>
          <w:marBottom w:val="0"/>
          <w:divBdr>
            <w:top w:val="none" w:sz="0" w:space="0" w:color="auto"/>
            <w:left w:val="none" w:sz="0" w:space="0" w:color="auto"/>
            <w:bottom w:val="none" w:sz="0" w:space="0" w:color="auto"/>
            <w:right w:val="none" w:sz="0" w:space="0" w:color="auto"/>
          </w:divBdr>
        </w:div>
        <w:div w:id="1651903548">
          <w:marLeft w:val="0"/>
          <w:marRight w:val="0"/>
          <w:marTop w:val="0"/>
          <w:marBottom w:val="0"/>
          <w:divBdr>
            <w:top w:val="none" w:sz="0" w:space="0" w:color="auto"/>
            <w:left w:val="none" w:sz="0" w:space="0" w:color="auto"/>
            <w:bottom w:val="none" w:sz="0" w:space="0" w:color="auto"/>
            <w:right w:val="none" w:sz="0" w:space="0" w:color="auto"/>
          </w:divBdr>
        </w:div>
        <w:div w:id="1842499601">
          <w:marLeft w:val="0"/>
          <w:marRight w:val="0"/>
          <w:marTop w:val="0"/>
          <w:marBottom w:val="0"/>
          <w:divBdr>
            <w:top w:val="none" w:sz="0" w:space="0" w:color="auto"/>
            <w:left w:val="none" w:sz="0" w:space="0" w:color="auto"/>
            <w:bottom w:val="none" w:sz="0" w:space="0" w:color="auto"/>
            <w:right w:val="none" w:sz="0" w:space="0" w:color="auto"/>
          </w:divBdr>
        </w:div>
        <w:div w:id="730929300">
          <w:marLeft w:val="0"/>
          <w:marRight w:val="0"/>
          <w:marTop w:val="0"/>
          <w:marBottom w:val="0"/>
          <w:divBdr>
            <w:top w:val="none" w:sz="0" w:space="0" w:color="auto"/>
            <w:left w:val="none" w:sz="0" w:space="0" w:color="auto"/>
            <w:bottom w:val="none" w:sz="0" w:space="0" w:color="auto"/>
            <w:right w:val="none" w:sz="0" w:space="0" w:color="auto"/>
          </w:divBdr>
        </w:div>
        <w:div w:id="1740207662">
          <w:marLeft w:val="0"/>
          <w:marRight w:val="0"/>
          <w:marTop w:val="0"/>
          <w:marBottom w:val="0"/>
          <w:divBdr>
            <w:top w:val="none" w:sz="0" w:space="0" w:color="auto"/>
            <w:left w:val="none" w:sz="0" w:space="0" w:color="auto"/>
            <w:bottom w:val="none" w:sz="0" w:space="0" w:color="auto"/>
            <w:right w:val="none" w:sz="0" w:space="0" w:color="auto"/>
          </w:divBdr>
        </w:div>
        <w:div w:id="1531719281">
          <w:marLeft w:val="0"/>
          <w:marRight w:val="0"/>
          <w:marTop w:val="0"/>
          <w:marBottom w:val="0"/>
          <w:divBdr>
            <w:top w:val="none" w:sz="0" w:space="0" w:color="auto"/>
            <w:left w:val="none" w:sz="0" w:space="0" w:color="auto"/>
            <w:bottom w:val="none" w:sz="0" w:space="0" w:color="auto"/>
            <w:right w:val="none" w:sz="0" w:space="0" w:color="auto"/>
          </w:divBdr>
        </w:div>
      </w:divsChild>
    </w:div>
    <w:div w:id="885601398">
      <w:marLeft w:val="0"/>
      <w:marRight w:val="0"/>
      <w:marTop w:val="240"/>
      <w:marBottom w:val="0"/>
      <w:divBdr>
        <w:top w:val="none" w:sz="0" w:space="0" w:color="auto"/>
        <w:left w:val="none" w:sz="0" w:space="0" w:color="auto"/>
        <w:bottom w:val="none" w:sz="0" w:space="0" w:color="auto"/>
        <w:right w:val="none" w:sz="0" w:space="0" w:color="auto"/>
      </w:divBdr>
    </w:div>
    <w:div w:id="890267929">
      <w:marLeft w:val="0"/>
      <w:marRight w:val="0"/>
      <w:marTop w:val="0"/>
      <w:marBottom w:val="0"/>
      <w:divBdr>
        <w:top w:val="none" w:sz="0" w:space="0" w:color="auto"/>
        <w:left w:val="none" w:sz="0" w:space="0" w:color="auto"/>
        <w:bottom w:val="none" w:sz="0" w:space="0" w:color="auto"/>
        <w:right w:val="none" w:sz="0" w:space="0" w:color="auto"/>
      </w:divBdr>
      <w:divsChild>
        <w:div w:id="279149541">
          <w:marLeft w:val="0"/>
          <w:marRight w:val="0"/>
          <w:marTop w:val="0"/>
          <w:marBottom w:val="0"/>
          <w:divBdr>
            <w:top w:val="none" w:sz="0" w:space="0" w:color="auto"/>
            <w:left w:val="none" w:sz="0" w:space="0" w:color="auto"/>
            <w:bottom w:val="none" w:sz="0" w:space="0" w:color="auto"/>
            <w:right w:val="none" w:sz="0" w:space="0" w:color="auto"/>
          </w:divBdr>
        </w:div>
      </w:divsChild>
    </w:div>
    <w:div w:id="893277656">
      <w:marLeft w:val="0"/>
      <w:marRight w:val="0"/>
      <w:marTop w:val="240"/>
      <w:marBottom w:val="0"/>
      <w:divBdr>
        <w:top w:val="none" w:sz="0" w:space="0" w:color="auto"/>
        <w:left w:val="none" w:sz="0" w:space="0" w:color="auto"/>
        <w:bottom w:val="none" w:sz="0" w:space="0" w:color="auto"/>
        <w:right w:val="none" w:sz="0" w:space="0" w:color="auto"/>
      </w:divBdr>
    </w:div>
    <w:div w:id="896816850">
      <w:marLeft w:val="0"/>
      <w:marRight w:val="0"/>
      <w:marTop w:val="160"/>
      <w:marBottom w:val="0"/>
      <w:divBdr>
        <w:top w:val="none" w:sz="0" w:space="0" w:color="auto"/>
        <w:left w:val="none" w:sz="0" w:space="0" w:color="auto"/>
        <w:bottom w:val="none" w:sz="0" w:space="0" w:color="auto"/>
        <w:right w:val="none" w:sz="0" w:space="0" w:color="auto"/>
      </w:divBdr>
    </w:div>
    <w:div w:id="897936995">
      <w:marLeft w:val="0"/>
      <w:marRight w:val="0"/>
      <w:marTop w:val="240"/>
      <w:marBottom w:val="0"/>
      <w:divBdr>
        <w:top w:val="none" w:sz="0" w:space="0" w:color="auto"/>
        <w:left w:val="none" w:sz="0" w:space="0" w:color="auto"/>
        <w:bottom w:val="none" w:sz="0" w:space="0" w:color="auto"/>
        <w:right w:val="none" w:sz="0" w:space="0" w:color="auto"/>
      </w:divBdr>
    </w:div>
    <w:div w:id="899486087">
      <w:marLeft w:val="0"/>
      <w:marRight w:val="0"/>
      <w:marTop w:val="0"/>
      <w:marBottom w:val="0"/>
      <w:divBdr>
        <w:top w:val="none" w:sz="0" w:space="0" w:color="auto"/>
        <w:left w:val="none" w:sz="0" w:space="0" w:color="auto"/>
        <w:bottom w:val="none" w:sz="0" w:space="0" w:color="auto"/>
        <w:right w:val="none" w:sz="0" w:space="0" w:color="auto"/>
      </w:divBdr>
      <w:divsChild>
        <w:div w:id="1798375239">
          <w:marLeft w:val="0"/>
          <w:marRight w:val="0"/>
          <w:marTop w:val="0"/>
          <w:marBottom w:val="0"/>
          <w:divBdr>
            <w:top w:val="none" w:sz="0" w:space="0" w:color="auto"/>
            <w:left w:val="none" w:sz="0" w:space="0" w:color="auto"/>
            <w:bottom w:val="none" w:sz="0" w:space="0" w:color="auto"/>
            <w:right w:val="none" w:sz="0" w:space="0" w:color="auto"/>
          </w:divBdr>
          <w:divsChild>
            <w:div w:id="5972528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02522490">
      <w:marLeft w:val="0"/>
      <w:marRight w:val="0"/>
      <w:marTop w:val="240"/>
      <w:marBottom w:val="0"/>
      <w:divBdr>
        <w:top w:val="none" w:sz="0" w:space="0" w:color="auto"/>
        <w:left w:val="none" w:sz="0" w:space="0" w:color="auto"/>
        <w:bottom w:val="none" w:sz="0" w:space="0" w:color="auto"/>
        <w:right w:val="none" w:sz="0" w:space="0" w:color="auto"/>
      </w:divBdr>
    </w:div>
    <w:div w:id="902712340">
      <w:marLeft w:val="0"/>
      <w:marRight w:val="0"/>
      <w:marTop w:val="0"/>
      <w:marBottom w:val="0"/>
      <w:divBdr>
        <w:top w:val="none" w:sz="0" w:space="0" w:color="auto"/>
        <w:left w:val="none" w:sz="0" w:space="0" w:color="auto"/>
        <w:bottom w:val="none" w:sz="0" w:space="0" w:color="auto"/>
        <w:right w:val="none" w:sz="0" w:space="0" w:color="auto"/>
      </w:divBdr>
    </w:div>
    <w:div w:id="905606533">
      <w:marLeft w:val="0"/>
      <w:marRight w:val="0"/>
      <w:marTop w:val="0"/>
      <w:marBottom w:val="0"/>
      <w:divBdr>
        <w:top w:val="none" w:sz="0" w:space="0" w:color="auto"/>
        <w:left w:val="none" w:sz="0" w:space="0" w:color="auto"/>
        <w:bottom w:val="none" w:sz="0" w:space="0" w:color="auto"/>
        <w:right w:val="none" w:sz="0" w:space="0" w:color="auto"/>
      </w:divBdr>
      <w:divsChild>
        <w:div w:id="2050302056">
          <w:marLeft w:val="0"/>
          <w:marRight w:val="0"/>
          <w:marTop w:val="0"/>
          <w:marBottom w:val="0"/>
          <w:divBdr>
            <w:top w:val="none" w:sz="0" w:space="0" w:color="auto"/>
            <w:left w:val="none" w:sz="0" w:space="0" w:color="auto"/>
            <w:bottom w:val="none" w:sz="0" w:space="0" w:color="auto"/>
            <w:right w:val="none" w:sz="0" w:space="0" w:color="auto"/>
          </w:divBdr>
          <w:divsChild>
            <w:div w:id="5066028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08003055">
      <w:marLeft w:val="0"/>
      <w:marRight w:val="0"/>
      <w:marTop w:val="240"/>
      <w:marBottom w:val="0"/>
      <w:divBdr>
        <w:top w:val="none" w:sz="0" w:space="0" w:color="auto"/>
        <w:left w:val="none" w:sz="0" w:space="0" w:color="auto"/>
        <w:bottom w:val="none" w:sz="0" w:space="0" w:color="auto"/>
        <w:right w:val="none" w:sz="0" w:space="0" w:color="auto"/>
      </w:divBdr>
    </w:div>
    <w:div w:id="912354937">
      <w:marLeft w:val="0"/>
      <w:marRight w:val="0"/>
      <w:marTop w:val="240"/>
      <w:marBottom w:val="0"/>
      <w:divBdr>
        <w:top w:val="none" w:sz="0" w:space="0" w:color="auto"/>
        <w:left w:val="none" w:sz="0" w:space="0" w:color="auto"/>
        <w:bottom w:val="none" w:sz="0" w:space="0" w:color="auto"/>
        <w:right w:val="none" w:sz="0" w:space="0" w:color="auto"/>
      </w:divBdr>
    </w:div>
    <w:div w:id="915549205">
      <w:marLeft w:val="0"/>
      <w:marRight w:val="0"/>
      <w:marTop w:val="240"/>
      <w:marBottom w:val="0"/>
      <w:divBdr>
        <w:top w:val="none" w:sz="0" w:space="0" w:color="auto"/>
        <w:left w:val="none" w:sz="0" w:space="0" w:color="auto"/>
        <w:bottom w:val="none" w:sz="0" w:space="0" w:color="auto"/>
        <w:right w:val="none" w:sz="0" w:space="0" w:color="auto"/>
      </w:divBdr>
    </w:div>
    <w:div w:id="917713666">
      <w:marLeft w:val="0"/>
      <w:marRight w:val="0"/>
      <w:marTop w:val="240"/>
      <w:marBottom w:val="0"/>
      <w:divBdr>
        <w:top w:val="none" w:sz="0" w:space="0" w:color="auto"/>
        <w:left w:val="none" w:sz="0" w:space="0" w:color="auto"/>
        <w:bottom w:val="none" w:sz="0" w:space="0" w:color="auto"/>
        <w:right w:val="none" w:sz="0" w:space="0" w:color="auto"/>
      </w:divBdr>
    </w:div>
    <w:div w:id="918637445">
      <w:marLeft w:val="0"/>
      <w:marRight w:val="0"/>
      <w:marTop w:val="240"/>
      <w:marBottom w:val="0"/>
      <w:divBdr>
        <w:top w:val="none" w:sz="0" w:space="0" w:color="auto"/>
        <w:left w:val="none" w:sz="0" w:space="0" w:color="auto"/>
        <w:bottom w:val="none" w:sz="0" w:space="0" w:color="auto"/>
        <w:right w:val="none" w:sz="0" w:space="0" w:color="auto"/>
      </w:divBdr>
    </w:div>
    <w:div w:id="922908135">
      <w:marLeft w:val="0"/>
      <w:marRight w:val="0"/>
      <w:marTop w:val="120"/>
      <w:marBottom w:val="0"/>
      <w:divBdr>
        <w:top w:val="none" w:sz="0" w:space="0" w:color="auto"/>
        <w:left w:val="none" w:sz="0" w:space="0" w:color="auto"/>
        <w:bottom w:val="none" w:sz="0" w:space="0" w:color="auto"/>
        <w:right w:val="none" w:sz="0" w:space="0" w:color="auto"/>
      </w:divBdr>
    </w:div>
    <w:div w:id="926502124">
      <w:marLeft w:val="0"/>
      <w:marRight w:val="0"/>
      <w:marTop w:val="240"/>
      <w:marBottom w:val="0"/>
      <w:divBdr>
        <w:top w:val="none" w:sz="0" w:space="0" w:color="auto"/>
        <w:left w:val="none" w:sz="0" w:space="0" w:color="auto"/>
        <w:bottom w:val="none" w:sz="0" w:space="0" w:color="auto"/>
        <w:right w:val="none" w:sz="0" w:space="0" w:color="auto"/>
      </w:divBdr>
    </w:div>
    <w:div w:id="926696747">
      <w:marLeft w:val="0"/>
      <w:marRight w:val="0"/>
      <w:marTop w:val="0"/>
      <w:marBottom w:val="0"/>
      <w:divBdr>
        <w:top w:val="none" w:sz="0" w:space="0" w:color="auto"/>
        <w:left w:val="none" w:sz="0" w:space="0" w:color="auto"/>
        <w:bottom w:val="none" w:sz="0" w:space="0" w:color="auto"/>
        <w:right w:val="none" w:sz="0" w:space="0" w:color="auto"/>
      </w:divBdr>
      <w:divsChild>
        <w:div w:id="106434466">
          <w:marLeft w:val="0"/>
          <w:marRight w:val="0"/>
          <w:marTop w:val="0"/>
          <w:marBottom w:val="0"/>
          <w:divBdr>
            <w:top w:val="none" w:sz="0" w:space="0" w:color="auto"/>
            <w:left w:val="none" w:sz="0" w:space="0" w:color="auto"/>
            <w:bottom w:val="none" w:sz="0" w:space="0" w:color="auto"/>
            <w:right w:val="none" w:sz="0" w:space="0" w:color="auto"/>
          </w:divBdr>
          <w:divsChild>
            <w:div w:id="9982648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29971055">
      <w:marLeft w:val="0"/>
      <w:marRight w:val="0"/>
      <w:marTop w:val="240"/>
      <w:marBottom w:val="0"/>
      <w:divBdr>
        <w:top w:val="none" w:sz="0" w:space="0" w:color="auto"/>
        <w:left w:val="none" w:sz="0" w:space="0" w:color="auto"/>
        <w:bottom w:val="none" w:sz="0" w:space="0" w:color="auto"/>
        <w:right w:val="none" w:sz="0" w:space="0" w:color="auto"/>
      </w:divBdr>
    </w:div>
    <w:div w:id="933636481">
      <w:marLeft w:val="0"/>
      <w:marRight w:val="0"/>
      <w:marTop w:val="160"/>
      <w:marBottom w:val="0"/>
      <w:divBdr>
        <w:top w:val="none" w:sz="0" w:space="0" w:color="auto"/>
        <w:left w:val="none" w:sz="0" w:space="0" w:color="auto"/>
        <w:bottom w:val="none" w:sz="0" w:space="0" w:color="auto"/>
        <w:right w:val="none" w:sz="0" w:space="0" w:color="auto"/>
      </w:divBdr>
    </w:div>
    <w:div w:id="936064602">
      <w:marLeft w:val="0"/>
      <w:marRight w:val="0"/>
      <w:marTop w:val="240"/>
      <w:marBottom w:val="0"/>
      <w:divBdr>
        <w:top w:val="none" w:sz="0" w:space="0" w:color="auto"/>
        <w:left w:val="none" w:sz="0" w:space="0" w:color="auto"/>
        <w:bottom w:val="none" w:sz="0" w:space="0" w:color="auto"/>
        <w:right w:val="none" w:sz="0" w:space="0" w:color="auto"/>
      </w:divBdr>
    </w:div>
    <w:div w:id="943028807">
      <w:marLeft w:val="0"/>
      <w:marRight w:val="0"/>
      <w:marTop w:val="0"/>
      <w:marBottom w:val="0"/>
      <w:divBdr>
        <w:top w:val="none" w:sz="0" w:space="0" w:color="auto"/>
        <w:left w:val="none" w:sz="0" w:space="0" w:color="auto"/>
        <w:bottom w:val="none" w:sz="0" w:space="0" w:color="auto"/>
        <w:right w:val="none" w:sz="0" w:space="0" w:color="auto"/>
      </w:divBdr>
      <w:divsChild>
        <w:div w:id="1967809404">
          <w:marLeft w:val="0"/>
          <w:marRight w:val="0"/>
          <w:marTop w:val="0"/>
          <w:marBottom w:val="0"/>
          <w:divBdr>
            <w:top w:val="none" w:sz="0" w:space="0" w:color="auto"/>
            <w:left w:val="none" w:sz="0" w:space="0" w:color="auto"/>
            <w:bottom w:val="none" w:sz="0" w:space="0" w:color="auto"/>
            <w:right w:val="none" w:sz="0" w:space="0" w:color="auto"/>
          </w:divBdr>
        </w:div>
      </w:divsChild>
    </w:div>
    <w:div w:id="943730446">
      <w:marLeft w:val="0"/>
      <w:marRight w:val="0"/>
      <w:marTop w:val="0"/>
      <w:marBottom w:val="0"/>
      <w:divBdr>
        <w:top w:val="none" w:sz="0" w:space="0" w:color="auto"/>
        <w:left w:val="none" w:sz="0" w:space="0" w:color="auto"/>
        <w:bottom w:val="none" w:sz="0" w:space="0" w:color="auto"/>
        <w:right w:val="none" w:sz="0" w:space="0" w:color="auto"/>
      </w:divBdr>
      <w:divsChild>
        <w:div w:id="1890722299">
          <w:marLeft w:val="0"/>
          <w:marRight w:val="0"/>
          <w:marTop w:val="0"/>
          <w:marBottom w:val="0"/>
          <w:divBdr>
            <w:top w:val="none" w:sz="0" w:space="0" w:color="auto"/>
            <w:left w:val="none" w:sz="0" w:space="0" w:color="auto"/>
            <w:bottom w:val="none" w:sz="0" w:space="0" w:color="auto"/>
            <w:right w:val="none" w:sz="0" w:space="0" w:color="auto"/>
          </w:divBdr>
        </w:div>
      </w:divsChild>
    </w:div>
    <w:div w:id="943995427">
      <w:marLeft w:val="0"/>
      <w:marRight w:val="0"/>
      <w:marTop w:val="240"/>
      <w:marBottom w:val="0"/>
      <w:divBdr>
        <w:top w:val="none" w:sz="0" w:space="0" w:color="auto"/>
        <w:left w:val="none" w:sz="0" w:space="0" w:color="auto"/>
        <w:bottom w:val="none" w:sz="0" w:space="0" w:color="auto"/>
        <w:right w:val="none" w:sz="0" w:space="0" w:color="auto"/>
      </w:divBdr>
    </w:div>
    <w:div w:id="944927354">
      <w:marLeft w:val="0"/>
      <w:marRight w:val="0"/>
      <w:marTop w:val="240"/>
      <w:marBottom w:val="0"/>
      <w:divBdr>
        <w:top w:val="none" w:sz="0" w:space="0" w:color="auto"/>
        <w:left w:val="none" w:sz="0" w:space="0" w:color="auto"/>
        <w:bottom w:val="none" w:sz="0" w:space="0" w:color="auto"/>
        <w:right w:val="none" w:sz="0" w:space="0" w:color="auto"/>
      </w:divBdr>
    </w:div>
    <w:div w:id="950817413">
      <w:marLeft w:val="0"/>
      <w:marRight w:val="0"/>
      <w:marTop w:val="240"/>
      <w:marBottom w:val="0"/>
      <w:divBdr>
        <w:top w:val="none" w:sz="0" w:space="0" w:color="auto"/>
        <w:left w:val="none" w:sz="0" w:space="0" w:color="auto"/>
        <w:bottom w:val="none" w:sz="0" w:space="0" w:color="auto"/>
        <w:right w:val="none" w:sz="0" w:space="0" w:color="auto"/>
      </w:divBdr>
    </w:div>
    <w:div w:id="950933418">
      <w:marLeft w:val="0"/>
      <w:marRight w:val="0"/>
      <w:marTop w:val="240"/>
      <w:marBottom w:val="0"/>
      <w:divBdr>
        <w:top w:val="none" w:sz="0" w:space="0" w:color="auto"/>
        <w:left w:val="none" w:sz="0" w:space="0" w:color="auto"/>
        <w:bottom w:val="none" w:sz="0" w:space="0" w:color="auto"/>
        <w:right w:val="none" w:sz="0" w:space="0" w:color="auto"/>
      </w:divBdr>
    </w:div>
    <w:div w:id="952128189">
      <w:marLeft w:val="0"/>
      <w:marRight w:val="0"/>
      <w:marTop w:val="160"/>
      <w:marBottom w:val="0"/>
      <w:divBdr>
        <w:top w:val="none" w:sz="0" w:space="0" w:color="auto"/>
        <w:left w:val="none" w:sz="0" w:space="0" w:color="auto"/>
        <w:bottom w:val="none" w:sz="0" w:space="0" w:color="auto"/>
        <w:right w:val="none" w:sz="0" w:space="0" w:color="auto"/>
      </w:divBdr>
    </w:div>
    <w:div w:id="953680471">
      <w:marLeft w:val="0"/>
      <w:marRight w:val="0"/>
      <w:marTop w:val="240"/>
      <w:marBottom w:val="0"/>
      <w:divBdr>
        <w:top w:val="none" w:sz="0" w:space="0" w:color="auto"/>
        <w:left w:val="none" w:sz="0" w:space="0" w:color="auto"/>
        <w:bottom w:val="none" w:sz="0" w:space="0" w:color="auto"/>
        <w:right w:val="none" w:sz="0" w:space="0" w:color="auto"/>
      </w:divBdr>
    </w:div>
    <w:div w:id="954018258">
      <w:marLeft w:val="0"/>
      <w:marRight w:val="0"/>
      <w:marTop w:val="0"/>
      <w:marBottom w:val="0"/>
      <w:divBdr>
        <w:top w:val="none" w:sz="0" w:space="0" w:color="auto"/>
        <w:left w:val="none" w:sz="0" w:space="0" w:color="auto"/>
        <w:bottom w:val="none" w:sz="0" w:space="0" w:color="auto"/>
        <w:right w:val="none" w:sz="0" w:space="0" w:color="auto"/>
      </w:divBdr>
      <w:divsChild>
        <w:div w:id="1874926285">
          <w:marLeft w:val="0"/>
          <w:marRight w:val="0"/>
          <w:marTop w:val="0"/>
          <w:marBottom w:val="0"/>
          <w:divBdr>
            <w:top w:val="none" w:sz="0" w:space="0" w:color="auto"/>
            <w:left w:val="none" w:sz="0" w:space="0" w:color="auto"/>
            <w:bottom w:val="none" w:sz="0" w:space="0" w:color="auto"/>
            <w:right w:val="none" w:sz="0" w:space="0" w:color="auto"/>
          </w:divBdr>
        </w:div>
      </w:divsChild>
    </w:div>
    <w:div w:id="954484808">
      <w:marLeft w:val="0"/>
      <w:marRight w:val="0"/>
      <w:marTop w:val="0"/>
      <w:marBottom w:val="0"/>
      <w:divBdr>
        <w:top w:val="none" w:sz="0" w:space="0" w:color="auto"/>
        <w:left w:val="none" w:sz="0" w:space="0" w:color="auto"/>
        <w:bottom w:val="none" w:sz="0" w:space="0" w:color="auto"/>
        <w:right w:val="none" w:sz="0" w:space="0" w:color="auto"/>
      </w:divBdr>
    </w:div>
    <w:div w:id="955645969">
      <w:marLeft w:val="0"/>
      <w:marRight w:val="0"/>
      <w:marTop w:val="240"/>
      <w:marBottom w:val="0"/>
      <w:divBdr>
        <w:top w:val="none" w:sz="0" w:space="0" w:color="auto"/>
        <w:left w:val="none" w:sz="0" w:space="0" w:color="auto"/>
        <w:bottom w:val="none" w:sz="0" w:space="0" w:color="auto"/>
        <w:right w:val="none" w:sz="0" w:space="0" w:color="auto"/>
      </w:divBdr>
    </w:div>
    <w:div w:id="955866667">
      <w:marLeft w:val="0"/>
      <w:marRight w:val="0"/>
      <w:marTop w:val="240"/>
      <w:marBottom w:val="0"/>
      <w:divBdr>
        <w:top w:val="none" w:sz="0" w:space="0" w:color="auto"/>
        <w:left w:val="none" w:sz="0" w:space="0" w:color="auto"/>
        <w:bottom w:val="none" w:sz="0" w:space="0" w:color="auto"/>
        <w:right w:val="none" w:sz="0" w:space="0" w:color="auto"/>
      </w:divBdr>
    </w:div>
    <w:div w:id="956721479">
      <w:marLeft w:val="0"/>
      <w:marRight w:val="0"/>
      <w:marTop w:val="0"/>
      <w:marBottom w:val="0"/>
      <w:divBdr>
        <w:top w:val="none" w:sz="0" w:space="0" w:color="auto"/>
        <w:left w:val="none" w:sz="0" w:space="0" w:color="auto"/>
        <w:bottom w:val="none" w:sz="0" w:space="0" w:color="auto"/>
        <w:right w:val="none" w:sz="0" w:space="0" w:color="auto"/>
      </w:divBdr>
      <w:divsChild>
        <w:div w:id="1986204781">
          <w:marLeft w:val="0"/>
          <w:marRight w:val="0"/>
          <w:marTop w:val="0"/>
          <w:marBottom w:val="0"/>
          <w:divBdr>
            <w:top w:val="none" w:sz="0" w:space="0" w:color="auto"/>
            <w:left w:val="none" w:sz="0" w:space="0" w:color="auto"/>
            <w:bottom w:val="none" w:sz="0" w:space="0" w:color="auto"/>
            <w:right w:val="none" w:sz="0" w:space="0" w:color="auto"/>
          </w:divBdr>
        </w:div>
      </w:divsChild>
    </w:div>
    <w:div w:id="958491463">
      <w:marLeft w:val="0"/>
      <w:marRight w:val="0"/>
      <w:marTop w:val="0"/>
      <w:marBottom w:val="0"/>
      <w:divBdr>
        <w:top w:val="none" w:sz="0" w:space="0" w:color="auto"/>
        <w:left w:val="none" w:sz="0" w:space="0" w:color="auto"/>
        <w:bottom w:val="none" w:sz="0" w:space="0" w:color="auto"/>
        <w:right w:val="none" w:sz="0" w:space="0" w:color="auto"/>
      </w:divBdr>
      <w:divsChild>
        <w:div w:id="96486820">
          <w:marLeft w:val="0"/>
          <w:marRight w:val="0"/>
          <w:marTop w:val="0"/>
          <w:marBottom w:val="0"/>
          <w:divBdr>
            <w:top w:val="none" w:sz="0" w:space="0" w:color="auto"/>
            <w:left w:val="none" w:sz="0" w:space="0" w:color="auto"/>
            <w:bottom w:val="none" w:sz="0" w:space="0" w:color="auto"/>
            <w:right w:val="none" w:sz="0" w:space="0" w:color="auto"/>
          </w:divBdr>
        </w:div>
      </w:divsChild>
    </w:div>
    <w:div w:id="968243326">
      <w:marLeft w:val="0"/>
      <w:marRight w:val="0"/>
      <w:marTop w:val="240"/>
      <w:marBottom w:val="0"/>
      <w:divBdr>
        <w:top w:val="none" w:sz="0" w:space="0" w:color="auto"/>
        <w:left w:val="none" w:sz="0" w:space="0" w:color="auto"/>
        <w:bottom w:val="none" w:sz="0" w:space="0" w:color="auto"/>
        <w:right w:val="none" w:sz="0" w:space="0" w:color="auto"/>
      </w:divBdr>
    </w:div>
    <w:div w:id="968321766">
      <w:marLeft w:val="0"/>
      <w:marRight w:val="0"/>
      <w:marTop w:val="240"/>
      <w:marBottom w:val="0"/>
      <w:divBdr>
        <w:top w:val="none" w:sz="0" w:space="0" w:color="auto"/>
        <w:left w:val="none" w:sz="0" w:space="0" w:color="auto"/>
        <w:bottom w:val="none" w:sz="0" w:space="0" w:color="auto"/>
        <w:right w:val="none" w:sz="0" w:space="0" w:color="auto"/>
      </w:divBdr>
    </w:div>
    <w:div w:id="968819256">
      <w:marLeft w:val="0"/>
      <w:marRight w:val="0"/>
      <w:marTop w:val="0"/>
      <w:marBottom w:val="0"/>
      <w:divBdr>
        <w:top w:val="none" w:sz="0" w:space="0" w:color="auto"/>
        <w:left w:val="none" w:sz="0" w:space="0" w:color="auto"/>
        <w:bottom w:val="none" w:sz="0" w:space="0" w:color="auto"/>
        <w:right w:val="none" w:sz="0" w:space="0" w:color="auto"/>
      </w:divBdr>
      <w:divsChild>
        <w:div w:id="1539775301">
          <w:marLeft w:val="0"/>
          <w:marRight w:val="0"/>
          <w:marTop w:val="0"/>
          <w:marBottom w:val="0"/>
          <w:divBdr>
            <w:top w:val="none" w:sz="0" w:space="0" w:color="auto"/>
            <w:left w:val="none" w:sz="0" w:space="0" w:color="auto"/>
            <w:bottom w:val="none" w:sz="0" w:space="0" w:color="auto"/>
            <w:right w:val="none" w:sz="0" w:space="0" w:color="auto"/>
          </w:divBdr>
        </w:div>
      </w:divsChild>
    </w:div>
    <w:div w:id="969625095">
      <w:marLeft w:val="0"/>
      <w:marRight w:val="0"/>
      <w:marTop w:val="0"/>
      <w:marBottom w:val="0"/>
      <w:divBdr>
        <w:top w:val="none" w:sz="0" w:space="0" w:color="auto"/>
        <w:left w:val="none" w:sz="0" w:space="0" w:color="auto"/>
        <w:bottom w:val="none" w:sz="0" w:space="0" w:color="auto"/>
        <w:right w:val="none" w:sz="0" w:space="0" w:color="auto"/>
      </w:divBdr>
      <w:divsChild>
        <w:div w:id="1785071935">
          <w:marLeft w:val="0"/>
          <w:marRight w:val="0"/>
          <w:marTop w:val="0"/>
          <w:marBottom w:val="0"/>
          <w:divBdr>
            <w:top w:val="none" w:sz="0" w:space="0" w:color="auto"/>
            <w:left w:val="none" w:sz="0" w:space="0" w:color="auto"/>
            <w:bottom w:val="none" w:sz="0" w:space="0" w:color="auto"/>
            <w:right w:val="none" w:sz="0" w:space="0" w:color="auto"/>
          </w:divBdr>
        </w:div>
      </w:divsChild>
    </w:div>
    <w:div w:id="971638912">
      <w:marLeft w:val="0"/>
      <w:marRight w:val="0"/>
      <w:marTop w:val="40"/>
      <w:marBottom w:val="0"/>
      <w:divBdr>
        <w:top w:val="none" w:sz="0" w:space="0" w:color="auto"/>
        <w:left w:val="none" w:sz="0" w:space="0" w:color="auto"/>
        <w:bottom w:val="none" w:sz="0" w:space="0" w:color="auto"/>
        <w:right w:val="none" w:sz="0" w:space="0" w:color="auto"/>
      </w:divBdr>
    </w:div>
    <w:div w:id="973291634">
      <w:marLeft w:val="0"/>
      <w:marRight w:val="0"/>
      <w:marTop w:val="240"/>
      <w:marBottom w:val="0"/>
      <w:divBdr>
        <w:top w:val="none" w:sz="0" w:space="0" w:color="auto"/>
        <w:left w:val="none" w:sz="0" w:space="0" w:color="auto"/>
        <w:bottom w:val="none" w:sz="0" w:space="0" w:color="auto"/>
        <w:right w:val="none" w:sz="0" w:space="0" w:color="auto"/>
      </w:divBdr>
    </w:div>
    <w:div w:id="975911047">
      <w:marLeft w:val="0"/>
      <w:marRight w:val="0"/>
      <w:marTop w:val="240"/>
      <w:marBottom w:val="0"/>
      <w:divBdr>
        <w:top w:val="none" w:sz="0" w:space="0" w:color="auto"/>
        <w:left w:val="none" w:sz="0" w:space="0" w:color="auto"/>
        <w:bottom w:val="none" w:sz="0" w:space="0" w:color="auto"/>
        <w:right w:val="none" w:sz="0" w:space="0" w:color="auto"/>
      </w:divBdr>
    </w:div>
    <w:div w:id="976842581">
      <w:marLeft w:val="0"/>
      <w:marRight w:val="0"/>
      <w:marTop w:val="240"/>
      <w:marBottom w:val="0"/>
      <w:divBdr>
        <w:top w:val="none" w:sz="0" w:space="0" w:color="auto"/>
        <w:left w:val="none" w:sz="0" w:space="0" w:color="auto"/>
        <w:bottom w:val="none" w:sz="0" w:space="0" w:color="auto"/>
        <w:right w:val="none" w:sz="0" w:space="0" w:color="auto"/>
      </w:divBdr>
    </w:div>
    <w:div w:id="979312713">
      <w:marLeft w:val="0"/>
      <w:marRight w:val="0"/>
      <w:marTop w:val="240"/>
      <w:marBottom w:val="0"/>
      <w:divBdr>
        <w:top w:val="none" w:sz="0" w:space="0" w:color="auto"/>
        <w:left w:val="none" w:sz="0" w:space="0" w:color="auto"/>
        <w:bottom w:val="none" w:sz="0" w:space="0" w:color="auto"/>
        <w:right w:val="none" w:sz="0" w:space="0" w:color="auto"/>
      </w:divBdr>
    </w:div>
    <w:div w:id="982077826">
      <w:marLeft w:val="0"/>
      <w:marRight w:val="0"/>
      <w:marTop w:val="0"/>
      <w:marBottom w:val="0"/>
      <w:divBdr>
        <w:top w:val="none" w:sz="0" w:space="0" w:color="auto"/>
        <w:left w:val="none" w:sz="0" w:space="0" w:color="auto"/>
        <w:bottom w:val="none" w:sz="0" w:space="0" w:color="auto"/>
        <w:right w:val="none" w:sz="0" w:space="0" w:color="auto"/>
      </w:divBdr>
      <w:divsChild>
        <w:div w:id="2025469897">
          <w:marLeft w:val="0"/>
          <w:marRight w:val="0"/>
          <w:marTop w:val="0"/>
          <w:marBottom w:val="0"/>
          <w:divBdr>
            <w:top w:val="none" w:sz="0" w:space="0" w:color="auto"/>
            <w:left w:val="none" w:sz="0" w:space="0" w:color="auto"/>
            <w:bottom w:val="none" w:sz="0" w:space="0" w:color="auto"/>
            <w:right w:val="none" w:sz="0" w:space="0" w:color="auto"/>
          </w:divBdr>
          <w:divsChild>
            <w:div w:id="10348434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83433726">
      <w:marLeft w:val="0"/>
      <w:marRight w:val="0"/>
      <w:marTop w:val="160"/>
      <w:marBottom w:val="0"/>
      <w:divBdr>
        <w:top w:val="none" w:sz="0" w:space="0" w:color="auto"/>
        <w:left w:val="none" w:sz="0" w:space="0" w:color="auto"/>
        <w:bottom w:val="none" w:sz="0" w:space="0" w:color="auto"/>
        <w:right w:val="none" w:sz="0" w:space="0" w:color="auto"/>
      </w:divBdr>
    </w:div>
    <w:div w:id="985551909">
      <w:marLeft w:val="0"/>
      <w:marRight w:val="0"/>
      <w:marTop w:val="240"/>
      <w:marBottom w:val="0"/>
      <w:divBdr>
        <w:top w:val="none" w:sz="0" w:space="0" w:color="auto"/>
        <w:left w:val="none" w:sz="0" w:space="0" w:color="auto"/>
        <w:bottom w:val="none" w:sz="0" w:space="0" w:color="auto"/>
        <w:right w:val="none" w:sz="0" w:space="0" w:color="auto"/>
      </w:divBdr>
    </w:div>
    <w:div w:id="986979895">
      <w:marLeft w:val="0"/>
      <w:marRight w:val="0"/>
      <w:marTop w:val="240"/>
      <w:marBottom w:val="0"/>
      <w:divBdr>
        <w:top w:val="none" w:sz="0" w:space="0" w:color="auto"/>
        <w:left w:val="none" w:sz="0" w:space="0" w:color="auto"/>
        <w:bottom w:val="none" w:sz="0" w:space="0" w:color="auto"/>
        <w:right w:val="none" w:sz="0" w:space="0" w:color="auto"/>
      </w:divBdr>
    </w:div>
    <w:div w:id="987906104">
      <w:marLeft w:val="0"/>
      <w:marRight w:val="0"/>
      <w:marTop w:val="240"/>
      <w:marBottom w:val="0"/>
      <w:divBdr>
        <w:top w:val="none" w:sz="0" w:space="0" w:color="auto"/>
        <w:left w:val="none" w:sz="0" w:space="0" w:color="auto"/>
        <w:bottom w:val="none" w:sz="0" w:space="0" w:color="auto"/>
        <w:right w:val="none" w:sz="0" w:space="0" w:color="auto"/>
      </w:divBdr>
    </w:div>
    <w:div w:id="988552353">
      <w:marLeft w:val="0"/>
      <w:marRight w:val="0"/>
      <w:marTop w:val="240"/>
      <w:marBottom w:val="0"/>
      <w:divBdr>
        <w:top w:val="none" w:sz="0" w:space="0" w:color="auto"/>
        <w:left w:val="none" w:sz="0" w:space="0" w:color="auto"/>
        <w:bottom w:val="none" w:sz="0" w:space="0" w:color="auto"/>
        <w:right w:val="none" w:sz="0" w:space="0" w:color="auto"/>
      </w:divBdr>
    </w:div>
    <w:div w:id="990721141">
      <w:marLeft w:val="0"/>
      <w:marRight w:val="0"/>
      <w:marTop w:val="120"/>
      <w:marBottom w:val="0"/>
      <w:divBdr>
        <w:top w:val="none" w:sz="0" w:space="0" w:color="auto"/>
        <w:left w:val="none" w:sz="0" w:space="0" w:color="auto"/>
        <w:bottom w:val="none" w:sz="0" w:space="0" w:color="auto"/>
        <w:right w:val="none" w:sz="0" w:space="0" w:color="auto"/>
      </w:divBdr>
    </w:div>
    <w:div w:id="991443312">
      <w:marLeft w:val="0"/>
      <w:marRight w:val="0"/>
      <w:marTop w:val="240"/>
      <w:marBottom w:val="0"/>
      <w:divBdr>
        <w:top w:val="none" w:sz="0" w:space="0" w:color="auto"/>
        <w:left w:val="none" w:sz="0" w:space="0" w:color="auto"/>
        <w:bottom w:val="none" w:sz="0" w:space="0" w:color="auto"/>
        <w:right w:val="none" w:sz="0" w:space="0" w:color="auto"/>
      </w:divBdr>
    </w:div>
    <w:div w:id="993070854">
      <w:marLeft w:val="0"/>
      <w:marRight w:val="0"/>
      <w:marTop w:val="240"/>
      <w:marBottom w:val="0"/>
      <w:divBdr>
        <w:top w:val="none" w:sz="0" w:space="0" w:color="auto"/>
        <w:left w:val="none" w:sz="0" w:space="0" w:color="auto"/>
        <w:bottom w:val="none" w:sz="0" w:space="0" w:color="auto"/>
        <w:right w:val="none" w:sz="0" w:space="0" w:color="auto"/>
      </w:divBdr>
    </w:div>
    <w:div w:id="993921294">
      <w:marLeft w:val="0"/>
      <w:marRight w:val="0"/>
      <w:marTop w:val="240"/>
      <w:marBottom w:val="0"/>
      <w:divBdr>
        <w:top w:val="none" w:sz="0" w:space="0" w:color="auto"/>
        <w:left w:val="none" w:sz="0" w:space="0" w:color="auto"/>
        <w:bottom w:val="none" w:sz="0" w:space="0" w:color="auto"/>
        <w:right w:val="none" w:sz="0" w:space="0" w:color="auto"/>
      </w:divBdr>
    </w:div>
    <w:div w:id="995493041">
      <w:marLeft w:val="0"/>
      <w:marRight w:val="0"/>
      <w:marTop w:val="240"/>
      <w:marBottom w:val="0"/>
      <w:divBdr>
        <w:top w:val="none" w:sz="0" w:space="0" w:color="auto"/>
        <w:left w:val="none" w:sz="0" w:space="0" w:color="auto"/>
        <w:bottom w:val="none" w:sz="0" w:space="0" w:color="auto"/>
        <w:right w:val="none" w:sz="0" w:space="0" w:color="auto"/>
      </w:divBdr>
    </w:div>
    <w:div w:id="1001009002">
      <w:marLeft w:val="0"/>
      <w:marRight w:val="0"/>
      <w:marTop w:val="0"/>
      <w:marBottom w:val="0"/>
      <w:divBdr>
        <w:top w:val="none" w:sz="0" w:space="0" w:color="auto"/>
        <w:left w:val="none" w:sz="0" w:space="0" w:color="auto"/>
        <w:bottom w:val="none" w:sz="0" w:space="0" w:color="auto"/>
        <w:right w:val="none" w:sz="0" w:space="0" w:color="auto"/>
      </w:divBdr>
      <w:divsChild>
        <w:div w:id="1152716175">
          <w:marLeft w:val="0"/>
          <w:marRight w:val="0"/>
          <w:marTop w:val="0"/>
          <w:marBottom w:val="0"/>
          <w:divBdr>
            <w:top w:val="none" w:sz="0" w:space="0" w:color="auto"/>
            <w:left w:val="none" w:sz="0" w:space="0" w:color="auto"/>
            <w:bottom w:val="none" w:sz="0" w:space="0" w:color="auto"/>
            <w:right w:val="none" w:sz="0" w:space="0" w:color="auto"/>
          </w:divBdr>
        </w:div>
      </w:divsChild>
    </w:div>
    <w:div w:id="1003433478">
      <w:marLeft w:val="0"/>
      <w:marRight w:val="0"/>
      <w:marTop w:val="240"/>
      <w:marBottom w:val="0"/>
      <w:divBdr>
        <w:top w:val="none" w:sz="0" w:space="0" w:color="auto"/>
        <w:left w:val="none" w:sz="0" w:space="0" w:color="auto"/>
        <w:bottom w:val="none" w:sz="0" w:space="0" w:color="auto"/>
        <w:right w:val="none" w:sz="0" w:space="0" w:color="auto"/>
      </w:divBdr>
    </w:div>
    <w:div w:id="1005329302">
      <w:marLeft w:val="0"/>
      <w:marRight w:val="0"/>
      <w:marTop w:val="0"/>
      <w:marBottom w:val="0"/>
      <w:divBdr>
        <w:top w:val="none" w:sz="0" w:space="0" w:color="auto"/>
        <w:left w:val="none" w:sz="0" w:space="0" w:color="auto"/>
        <w:bottom w:val="none" w:sz="0" w:space="0" w:color="auto"/>
        <w:right w:val="none" w:sz="0" w:space="0" w:color="auto"/>
      </w:divBdr>
      <w:divsChild>
        <w:div w:id="290870553">
          <w:marLeft w:val="0"/>
          <w:marRight w:val="0"/>
          <w:marTop w:val="0"/>
          <w:marBottom w:val="0"/>
          <w:divBdr>
            <w:top w:val="none" w:sz="0" w:space="0" w:color="auto"/>
            <w:left w:val="none" w:sz="0" w:space="0" w:color="auto"/>
            <w:bottom w:val="none" w:sz="0" w:space="0" w:color="auto"/>
            <w:right w:val="none" w:sz="0" w:space="0" w:color="auto"/>
          </w:divBdr>
        </w:div>
      </w:divsChild>
    </w:div>
    <w:div w:id="1005474345">
      <w:marLeft w:val="0"/>
      <w:marRight w:val="0"/>
      <w:marTop w:val="160"/>
      <w:marBottom w:val="0"/>
      <w:divBdr>
        <w:top w:val="none" w:sz="0" w:space="0" w:color="auto"/>
        <w:left w:val="none" w:sz="0" w:space="0" w:color="auto"/>
        <w:bottom w:val="none" w:sz="0" w:space="0" w:color="auto"/>
        <w:right w:val="none" w:sz="0" w:space="0" w:color="auto"/>
      </w:divBdr>
    </w:div>
    <w:div w:id="1006244649">
      <w:marLeft w:val="0"/>
      <w:marRight w:val="0"/>
      <w:marTop w:val="60"/>
      <w:marBottom w:val="0"/>
      <w:divBdr>
        <w:top w:val="none" w:sz="0" w:space="0" w:color="auto"/>
        <w:left w:val="none" w:sz="0" w:space="0" w:color="auto"/>
        <w:bottom w:val="none" w:sz="0" w:space="0" w:color="auto"/>
        <w:right w:val="none" w:sz="0" w:space="0" w:color="auto"/>
      </w:divBdr>
    </w:div>
    <w:div w:id="1006398917">
      <w:marLeft w:val="0"/>
      <w:marRight w:val="0"/>
      <w:marTop w:val="240"/>
      <w:marBottom w:val="0"/>
      <w:divBdr>
        <w:top w:val="none" w:sz="0" w:space="0" w:color="auto"/>
        <w:left w:val="none" w:sz="0" w:space="0" w:color="auto"/>
        <w:bottom w:val="none" w:sz="0" w:space="0" w:color="auto"/>
        <w:right w:val="none" w:sz="0" w:space="0" w:color="auto"/>
      </w:divBdr>
    </w:div>
    <w:div w:id="1008678524">
      <w:marLeft w:val="0"/>
      <w:marRight w:val="0"/>
      <w:marTop w:val="160"/>
      <w:marBottom w:val="0"/>
      <w:divBdr>
        <w:top w:val="none" w:sz="0" w:space="0" w:color="auto"/>
        <w:left w:val="none" w:sz="0" w:space="0" w:color="auto"/>
        <w:bottom w:val="none" w:sz="0" w:space="0" w:color="auto"/>
        <w:right w:val="none" w:sz="0" w:space="0" w:color="auto"/>
      </w:divBdr>
    </w:div>
    <w:div w:id="1012027902">
      <w:marLeft w:val="0"/>
      <w:marRight w:val="0"/>
      <w:marTop w:val="240"/>
      <w:marBottom w:val="0"/>
      <w:divBdr>
        <w:top w:val="none" w:sz="0" w:space="0" w:color="auto"/>
        <w:left w:val="none" w:sz="0" w:space="0" w:color="auto"/>
        <w:bottom w:val="none" w:sz="0" w:space="0" w:color="auto"/>
        <w:right w:val="none" w:sz="0" w:space="0" w:color="auto"/>
      </w:divBdr>
    </w:div>
    <w:div w:id="1012491431">
      <w:marLeft w:val="0"/>
      <w:marRight w:val="0"/>
      <w:marTop w:val="240"/>
      <w:marBottom w:val="0"/>
      <w:divBdr>
        <w:top w:val="none" w:sz="0" w:space="0" w:color="auto"/>
        <w:left w:val="none" w:sz="0" w:space="0" w:color="auto"/>
        <w:bottom w:val="none" w:sz="0" w:space="0" w:color="auto"/>
        <w:right w:val="none" w:sz="0" w:space="0" w:color="auto"/>
      </w:divBdr>
    </w:div>
    <w:div w:id="1014066911">
      <w:marLeft w:val="0"/>
      <w:marRight w:val="0"/>
      <w:marTop w:val="0"/>
      <w:marBottom w:val="0"/>
      <w:divBdr>
        <w:top w:val="none" w:sz="0" w:space="0" w:color="auto"/>
        <w:left w:val="none" w:sz="0" w:space="0" w:color="auto"/>
        <w:bottom w:val="none" w:sz="0" w:space="0" w:color="auto"/>
        <w:right w:val="none" w:sz="0" w:space="0" w:color="auto"/>
      </w:divBdr>
      <w:divsChild>
        <w:div w:id="1225675720">
          <w:marLeft w:val="0"/>
          <w:marRight w:val="0"/>
          <w:marTop w:val="0"/>
          <w:marBottom w:val="0"/>
          <w:divBdr>
            <w:top w:val="none" w:sz="0" w:space="0" w:color="auto"/>
            <w:left w:val="none" w:sz="0" w:space="0" w:color="auto"/>
            <w:bottom w:val="none" w:sz="0" w:space="0" w:color="auto"/>
            <w:right w:val="none" w:sz="0" w:space="0" w:color="auto"/>
          </w:divBdr>
          <w:divsChild>
            <w:div w:id="20556900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15813891">
      <w:marLeft w:val="0"/>
      <w:marRight w:val="0"/>
      <w:marTop w:val="240"/>
      <w:marBottom w:val="0"/>
      <w:divBdr>
        <w:top w:val="none" w:sz="0" w:space="0" w:color="auto"/>
        <w:left w:val="none" w:sz="0" w:space="0" w:color="auto"/>
        <w:bottom w:val="none" w:sz="0" w:space="0" w:color="auto"/>
        <w:right w:val="none" w:sz="0" w:space="0" w:color="auto"/>
      </w:divBdr>
    </w:div>
    <w:div w:id="1016418584">
      <w:marLeft w:val="0"/>
      <w:marRight w:val="0"/>
      <w:marTop w:val="240"/>
      <w:marBottom w:val="0"/>
      <w:divBdr>
        <w:top w:val="none" w:sz="0" w:space="0" w:color="auto"/>
        <w:left w:val="none" w:sz="0" w:space="0" w:color="auto"/>
        <w:bottom w:val="none" w:sz="0" w:space="0" w:color="auto"/>
        <w:right w:val="none" w:sz="0" w:space="0" w:color="auto"/>
      </w:divBdr>
    </w:div>
    <w:div w:id="1019046926">
      <w:marLeft w:val="0"/>
      <w:marRight w:val="0"/>
      <w:marTop w:val="240"/>
      <w:marBottom w:val="0"/>
      <w:divBdr>
        <w:top w:val="none" w:sz="0" w:space="0" w:color="auto"/>
        <w:left w:val="none" w:sz="0" w:space="0" w:color="auto"/>
        <w:bottom w:val="none" w:sz="0" w:space="0" w:color="auto"/>
        <w:right w:val="none" w:sz="0" w:space="0" w:color="auto"/>
      </w:divBdr>
    </w:div>
    <w:div w:id="1022247361">
      <w:marLeft w:val="0"/>
      <w:marRight w:val="0"/>
      <w:marTop w:val="240"/>
      <w:marBottom w:val="0"/>
      <w:divBdr>
        <w:top w:val="none" w:sz="0" w:space="0" w:color="auto"/>
        <w:left w:val="none" w:sz="0" w:space="0" w:color="auto"/>
        <w:bottom w:val="none" w:sz="0" w:space="0" w:color="auto"/>
        <w:right w:val="none" w:sz="0" w:space="0" w:color="auto"/>
      </w:divBdr>
    </w:div>
    <w:div w:id="1023437852">
      <w:marLeft w:val="0"/>
      <w:marRight w:val="0"/>
      <w:marTop w:val="240"/>
      <w:marBottom w:val="0"/>
      <w:divBdr>
        <w:top w:val="none" w:sz="0" w:space="0" w:color="auto"/>
        <w:left w:val="none" w:sz="0" w:space="0" w:color="auto"/>
        <w:bottom w:val="none" w:sz="0" w:space="0" w:color="auto"/>
        <w:right w:val="none" w:sz="0" w:space="0" w:color="auto"/>
      </w:divBdr>
    </w:div>
    <w:div w:id="1026714190">
      <w:marLeft w:val="0"/>
      <w:marRight w:val="0"/>
      <w:marTop w:val="240"/>
      <w:marBottom w:val="0"/>
      <w:divBdr>
        <w:top w:val="none" w:sz="0" w:space="0" w:color="auto"/>
        <w:left w:val="none" w:sz="0" w:space="0" w:color="auto"/>
        <w:bottom w:val="none" w:sz="0" w:space="0" w:color="auto"/>
        <w:right w:val="none" w:sz="0" w:space="0" w:color="auto"/>
      </w:divBdr>
    </w:div>
    <w:div w:id="1027562889">
      <w:marLeft w:val="0"/>
      <w:marRight w:val="0"/>
      <w:marTop w:val="240"/>
      <w:marBottom w:val="0"/>
      <w:divBdr>
        <w:top w:val="none" w:sz="0" w:space="0" w:color="auto"/>
        <w:left w:val="none" w:sz="0" w:space="0" w:color="auto"/>
        <w:bottom w:val="none" w:sz="0" w:space="0" w:color="auto"/>
        <w:right w:val="none" w:sz="0" w:space="0" w:color="auto"/>
      </w:divBdr>
    </w:div>
    <w:div w:id="1028263960">
      <w:marLeft w:val="0"/>
      <w:marRight w:val="0"/>
      <w:marTop w:val="240"/>
      <w:marBottom w:val="0"/>
      <w:divBdr>
        <w:top w:val="none" w:sz="0" w:space="0" w:color="auto"/>
        <w:left w:val="none" w:sz="0" w:space="0" w:color="auto"/>
        <w:bottom w:val="none" w:sz="0" w:space="0" w:color="auto"/>
        <w:right w:val="none" w:sz="0" w:space="0" w:color="auto"/>
      </w:divBdr>
    </w:div>
    <w:div w:id="1028599273">
      <w:marLeft w:val="0"/>
      <w:marRight w:val="0"/>
      <w:marTop w:val="240"/>
      <w:marBottom w:val="0"/>
      <w:divBdr>
        <w:top w:val="none" w:sz="0" w:space="0" w:color="auto"/>
        <w:left w:val="none" w:sz="0" w:space="0" w:color="auto"/>
        <w:bottom w:val="none" w:sz="0" w:space="0" w:color="auto"/>
        <w:right w:val="none" w:sz="0" w:space="0" w:color="auto"/>
      </w:divBdr>
    </w:div>
    <w:div w:id="1029985501">
      <w:marLeft w:val="0"/>
      <w:marRight w:val="0"/>
      <w:marTop w:val="0"/>
      <w:marBottom w:val="0"/>
      <w:divBdr>
        <w:top w:val="none" w:sz="0" w:space="0" w:color="auto"/>
        <w:left w:val="none" w:sz="0" w:space="0" w:color="auto"/>
        <w:bottom w:val="none" w:sz="0" w:space="0" w:color="auto"/>
        <w:right w:val="none" w:sz="0" w:space="0" w:color="auto"/>
      </w:divBdr>
    </w:div>
    <w:div w:id="1030646668">
      <w:marLeft w:val="0"/>
      <w:marRight w:val="0"/>
      <w:marTop w:val="240"/>
      <w:marBottom w:val="0"/>
      <w:divBdr>
        <w:top w:val="none" w:sz="0" w:space="0" w:color="auto"/>
        <w:left w:val="none" w:sz="0" w:space="0" w:color="auto"/>
        <w:bottom w:val="none" w:sz="0" w:space="0" w:color="auto"/>
        <w:right w:val="none" w:sz="0" w:space="0" w:color="auto"/>
      </w:divBdr>
    </w:div>
    <w:div w:id="1030885606">
      <w:marLeft w:val="0"/>
      <w:marRight w:val="0"/>
      <w:marTop w:val="240"/>
      <w:marBottom w:val="0"/>
      <w:divBdr>
        <w:top w:val="none" w:sz="0" w:space="0" w:color="auto"/>
        <w:left w:val="none" w:sz="0" w:space="0" w:color="auto"/>
        <w:bottom w:val="none" w:sz="0" w:space="0" w:color="auto"/>
        <w:right w:val="none" w:sz="0" w:space="0" w:color="auto"/>
      </w:divBdr>
    </w:div>
    <w:div w:id="1037584869">
      <w:marLeft w:val="0"/>
      <w:marRight w:val="0"/>
      <w:marTop w:val="240"/>
      <w:marBottom w:val="0"/>
      <w:divBdr>
        <w:top w:val="none" w:sz="0" w:space="0" w:color="auto"/>
        <w:left w:val="none" w:sz="0" w:space="0" w:color="auto"/>
        <w:bottom w:val="none" w:sz="0" w:space="0" w:color="auto"/>
        <w:right w:val="none" w:sz="0" w:space="0" w:color="auto"/>
      </w:divBdr>
    </w:div>
    <w:div w:id="1042559796">
      <w:marLeft w:val="0"/>
      <w:marRight w:val="0"/>
      <w:marTop w:val="60"/>
      <w:marBottom w:val="0"/>
      <w:divBdr>
        <w:top w:val="none" w:sz="0" w:space="0" w:color="auto"/>
        <w:left w:val="none" w:sz="0" w:space="0" w:color="auto"/>
        <w:bottom w:val="none" w:sz="0" w:space="0" w:color="auto"/>
        <w:right w:val="none" w:sz="0" w:space="0" w:color="auto"/>
      </w:divBdr>
    </w:div>
    <w:div w:id="1046174911">
      <w:marLeft w:val="0"/>
      <w:marRight w:val="0"/>
      <w:marTop w:val="240"/>
      <w:marBottom w:val="0"/>
      <w:divBdr>
        <w:top w:val="none" w:sz="0" w:space="0" w:color="auto"/>
        <w:left w:val="none" w:sz="0" w:space="0" w:color="auto"/>
        <w:bottom w:val="none" w:sz="0" w:space="0" w:color="auto"/>
        <w:right w:val="none" w:sz="0" w:space="0" w:color="auto"/>
      </w:divBdr>
    </w:div>
    <w:div w:id="1050031810">
      <w:marLeft w:val="0"/>
      <w:marRight w:val="0"/>
      <w:marTop w:val="240"/>
      <w:marBottom w:val="0"/>
      <w:divBdr>
        <w:top w:val="none" w:sz="0" w:space="0" w:color="auto"/>
        <w:left w:val="none" w:sz="0" w:space="0" w:color="auto"/>
        <w:bottom w:val="none" w:sz="0" w:space="0" w:color="auto"/>
        <w:right w:val="none" w:sz="0" w:space="0" w:color="auto"/>
      </w:divBdr>
    </w:div>
    <w:div w:id="1061948260">
      <w:marLeft w:val="0"/>
      <w:marRight w:val="0"/>
      <w:marTop w:val="240"/>
      <w:marBottom w:val="0"/>
      <w:divBdr>
        <w:top w:val="none" w:sz="0" w:space="0" w:color="auto"/>
        <w:left w:val="none" w:sz="0" w:space="0" w:color="auto"/>
        <w:bottom w:val="none" w:sz="0" w:space="0" w:color="auto"/>
        <w:right w:val="none" w:sz="0" w:space="0" w:color="auto"/>
      </w:divBdr>
    </w:div>
    <w:div w:id="1063526117">
      <w:marLeft w:val="0"/>
      <w:marRight w:val="0"/>
      <w:marTop w:val="240"/>
      <w:marBottom w:val="0"/>
      <w:divBdr>
        <w:top w:val="none" w:sz="0" w:space="0" w:color="auto"/>
        <w:left w:val="none" w:sz="0" w:space="0" w:color="auto"/>
        <w:bottom w:val="none" w:sz="0" w:space="0" w:color="auto"/>
        <w:right w:val="none" w:sz="0" w:space="0" w:color="auto"/>
      </w:divBdr>
    </w:div>
    <w:div w:id="1065180968">
      <w:marLeft w:val="0"/>
      <w:marRight w:val="0"/>
      <w:marTop w:val="240"/>
      <w:marBottom w:val="0"/>
      <w:divBdr>
        <w:top w:val="none" w:sz="0" w:space="0" w:color="auto"/>
        <w:left w:val="none" w:sz="0" w:space="0" w:color="auto"/>
        <w:bottom w:val="none" w:sz="0" w:space="0" w:color="auto"/>
        <w:right w:val="none" w:sz="0" w:space="0" w:color="auto"/>
      </w:divBdr>
    </w:div>
    <w:div w:id="1067997813">
      <w:marLeft w:val="0"/>
      <w:marRight w:val="0"/>
      <w:marTop w:val="240"/>
      <w:marBottom w:val="0"/>
      <w:divBdr>
        <w:top w:val="none" w:sz="0" w:space="0" w:color="auto"/>
        <w:left w:val="none" w:sz="0" w:space="0" w:color="auto"/>
        <w:bottom w:val="none" w:sz="0" w:space="0" w:color="auto"/>
        <w:right w:val="none" w:sz="0" w:space="0" w:color="auto"/>
      </w:divBdr>
    </w:div>
    <w:div w:id="1070081750">
      <w:marLeft w:val="0"/>
      <w:marRight w:val="0"/>
      <w:marTop w:val="0"/>
      <w:marBottom w:val="0"/>
      <w:divBdr>
        <w:top w:val="none" w:sz="0" w:space="0" w:color="auto"/>
        <w:left w:val="none" w:sz="0" w:space="0" w:color="auto"/>
        <w:bottom w:val="none" w:sz="0" w:space="0" w:color="auto"/>
        <w:right w:val="none" w:sz="0" w:space="0" w:color="auto"/>
      </w:divBdr>
      <w:divsChild>
        <w:div w:id="1980258068">
          <w:marLeft w:val="0"/>
          <w:marRight w:val="0"/>
          <w:marTop w:val="0"/>
          <w:marBottom w:val="0"/>
          <w:divBdr>
            <w:top w:val="none" w:sz="0" w:space="0" w:color="auto"/>
            <w:left w:val="none" w:sz="0" w:space="0" w:color="auto"/>
            <w:bottom w:val="none" w:sz="0" w:space="0" w:color="auto"/>
            <w:right w:val="none" w:sz="0" w:space="0" w:color="auto"/>
          </w:divBdr>
        </w:div>
      </w:divsChild>
    </w:div>
    <w:div w:id="1071848339">
      <w:marLeft w:val="0"/>
      <w:marRight w:val="0"/>
      <w:marTop w:val="0"/>
      <w:marBottom w:val="0"/>
      <w:divBdr>
        <w:top w:val="none" w:sz="0" w:space="0" w:color="auto"/>
        <w:left w:val="none" w:sz="0" w:space="0" w:color="auto"/>
        <w:bottom w:val="none" w:sz="0" w:space="0" w:color="auto"/>
        <w:right w:val="none" w:sz="0" w:space="0" w:color="auto"/>
      </w:divBdr>
      <w:divsChild>
        <w:div w:id="992880321">
          <w:marLeft w:val="0"/>
          <w:marRight w:val="0"/>
          <w:marTop w:val="0"/>
          <w:marBottom w:val="0"/>
          <w:divBdr>
            <w:top w:val="none" w:sz="0" w:space="0" w:color="auto"/>
            <w:left w:val="none" w:sz="0" w:space="0" w:color="auto"/>
            <w:bottom w:val="none" w:sz="0" w:space="0" w:color="auto"/>
            <w:right w:val="none" w:sz="0" w:space="0" w:color="auto"/>
          </w:divBdr>
          <w:divsChild>
            <w:div w:id="14293065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76779313">
      <w:marLeft w:val="0"/>
      <w:marRight w:val="0"/>
      <w:marTop w:val="240"/>
      <w:marBottom w:val="0"/>
      <w:divBdr>
        <w:top w:val="none" w:sz="0" w:space="0" w:color="auto"/>
        <w:left w:val="none" w:sz="0" w:space="0" w:color="auto"/>
        <w:bottom w:val="none" w:sz="0" w:space="0" w:color="auto"/>
        <w:right w:val="none" w:sz="0" w:space="0" w:color="auto"/>
      </w:divBdr>
    </w:div>
    <w:div w:id="1076784378">
      <w:marLeft w:val="0"/>
      <w:marRight w:val="0"/>
      <w:marTop w:val="240"/>
      <w:marBottom w:val="0"/>
      <w:divBdr>
        <w:top w:val="none" w:sz="0" w:space="0" w:color="auto"/>
        <w:left w:val="none" w:sz="0" w:space="0" w:color="auto"/>
        <w:bottom w:val="none" w:sz="0" w:space="0" w:color="auto"/>
        <w:right w:val="none" w:sz="0" w:space="0" w:color="auto"/>
      </w:divBdr>
    </w:div>
    <w:div w:id="1078593381">
      <w:marLeft w:val="0"/>
      <w:marRight w:val="0"/>
      <w:marTop w:val="240"/>
      <w:marBottom w:val="0"/>
      <w:divBdr>
        <w:top w:val="none" w:sz="0" w:space="0" w:color="auto"/>
        <w:left w:val="none" w:sz="0" w:space="0" w:color="auto"/>
        <w:bottom w:val="none" w:sz="0" w:space="0" w:color="auto"/>
        <w:right w:val="none" w:sz="0" w:space="0" w:color="auto"/>
      </w:divBdr>
    </w:div>
    <w:div w:id="1081023073">
      <w:marLeft w:val="0"/>
      <w:marRight w:val="0"/>
      <w:marTop w:val="240"/>
      <w:marBottom w:val="0"/>
      <w:divBdr>
        <w:top w:val="none" w:sz="0" w:space="0" w:color="auto"/>
        <w:left w:val="none" w:sz="0" w:space="0" w:color="auto"/>
        <w:bottom w:val="none" w:sz="0" w:space="0" w:color="auto"/>
        <w:right w:val="none" w:sz="0" w:space="0" w:color="auto"/>
      </w:divBdr>
    </w:div>
    <w:div w:id="1081758091">
      <w:marLeft w:val="0"/>
      <w:marRight w:val="0"/>
      <w:marTop w:val="120"/>
      <w:marBottom w:val="0"/>
      <w:divBdr>
        <w:top w:val="none" w:sz="0" w:space="0" w:color="auto"/>
        <w:left w:val="none" w:sz="0" w:space="0" w:color="auto"/>
        <w:bottom w:val="none" w:sz="0" w:space="0" w:color="auto"/>
        <w:right w:val="none" w:sz="0" w:space="0" w:color="auto"/>
      </w:divBdr>
    </w:div>
    <w:div w:id="1083376689">
      <w:marLeft w:val="0"/>
      <w:marRight w:val="0"/>
      <w:marTop w:val="240"/>
      <w:marBottom w:val="120"/>
      <w:divBdr>
        <w:top w:val="none" w:sz="0" w:space="0" w:color="auto"/>
        <w:left w:val="none" w:sz="0" w:space="0" w:color="auto"/>
        <w:bottom w:val="none" w:sz="0" w:space="0" w:color="auto"/>
        <w:right w:val="none" w:sz="0" w:space="0" w:color="auto"/>
      </w:divBdr>
      <w:divsChild>
        <w:div w:id="1755277716">
          <w:marLeft w:val="0"/>
          <w:marRight w:val="0"/>
          <w:marTop w:val="0"/>
          <w:marBottom w:val="0"/>
          <w:divBdr>
            <w:top w:val="none" w:sz="0" w:space="0" w:color="auto"/>
            <w:left w:val="none" w:sz="0" w:space="0" w:color="auto"/>
            <w:bottom w:val="none" w:sz="0" w:space="0" w:color="auto"/>
            <w:right w:val="none" w:sz="0" w:space="0" w:color="auto"/>
          </w:divBdr>
        </w:div>
      </w:divsChild>
    </w:div>
    <w:div w:id="1084182297">
      <w:marLeft w:val="0"/>
      <w:marRight w:val="0"/>
      <w:marTop w:val="240"/>
      <w:marBottom w:val="0"/>
      <w:divBdr>
        <w:top w:val="none" w:sz="0" w:space="0" w:color="auto"/>
        <w:left w:val="none" w:sz="0" w:space="0" w:color="auto"/>
        <w:bottom w:val="none" w:sz="0" w:space="0" w:color="auto"/>
        <w:right w:val="none" w:sz="0" w:space="0" w:color="auto"/>
      </w:divBdr>
    </w:div>
    <w:div w:id="1084691393">
      <w:marLeft w:val="0"/>
      <w:marRight w:val="0"/>
      <w:marTop w:val="240"/>
      <w:marBottom w:val="0"/>
      <w:divBdr>
        <w:top w:val="none" w:sz="0" w:space="0" w:color="auto"/>
        <w:left w:val="none" w:sz="0" w:space="0" w:color="auto"/>
        <w:bottom w:val="none" w:sz="0" w:space="0" w:color="auto"/>
        <w:right w:val="none" w:sz="0" w:space="0" w:color="auto"/>
      </w:divBdr>
    </w:div>
    <w:div w:id="1084914699">
      <w:marLeft w:val="0"/>
      <w:marRight w:val="0"/>
      <w:marTop w:val="240"/>
      <w:marBottom w:val="0"/>
      <w:divBdr>
        <w:top w:val="none" w:sz="0" w:space="0" w:color="auto"/>
        <w:left w:val="none" w:sz="0" w:space="0" w:color="auto"/>
        <w:bottom w:val="none" w:sz="0" w:space="0" w:color="auto"/>
        <w:right w:val="none" w:sz="0" w:space="0" w:color="auto"/>
      </w:divBdr>
    </w:div>
    <w:div w:id="1095324295">
      <w:marLeft w:val="0"/>
      <w:marRight w:val="0"/>
      <w:marTop w:val="160"/>
      <w:marBottom w:val="0"/>
      <w:divBdr>
        <w:top w:val="none" w:sz="0" w:space="0" w:color="auto"/>
        <w:left w:val="none" w:sz="0" w:space="0" w:color="auto"/>
        <w:bottom w:val="none" w:sz="0" w:space="0" w:color="auto"/>
        <w:right w:val="none" w:sz="0" w:space="0" w:color="auto"/>
      </w:divBdr>
    </w:div>
    <w:div w:id="1096024987">
      <w:marLeft w:val="0"/>
      <w:marRight w:val="0"/>
      <w:marTop w:val="240"/>
      <w:marBottom w:val="0"/>
      <w:divBdr>
        <w:top w:val="none" w:sz="0" w:space="0" w:color="auto"/>
        <w:left w:val="none" w:sz="0" w:space="0" w:color="auto"/>
        <w:bottom w:val="none" w:sz="0" w:space="0" w:color="auto"/>
        <w:right w:val="none" w:sz="0" w:space="0" w:color="auto"/>
      </w:divBdr>
    </w:div>
    <w:div w:id="1096055532">
      <w:marLeft w:val="0"/>
      <w:marRight w:val="0"/>
      <w:marTop w:val="240"/>
      <w:marBottom w:val="0"/>
      <w:divBdr>
        <w:top w:val="none" w:sz="0" w:space="0" w:color="auto"/>
        <w:left w:val="none" w:sz="0" w:space="0" w:color="auto"/>
        <w:bottom w:val="none" w:sz="0" w:space="0" w:color="auto"/>
        <w:right w:val="none" w:sz="0" w:space="0" w:color="auto"/>
      </w:divBdr>
    </w:div>
    <w:div w:id="1098330582">
      <w:marLeft w:val="0"/>
      <w:marRight w:val="0"/>
      <w:marTop w:val="0"/>
      <w:marBottom w:val="0"/>
      <w:divBdr>
        <w:top w:val="none" w:sz="0" w:space="0" w:color="auto"/>
        <w:left w:val="none" w:sz="0" w:space="0" w:color="auto"/>
        <w:bottom w:val="none" w:sz="0" w:space="0" w:color="auto"/>
        <w:right w:val="none" w:sz="0" w:space="0" w:color="auto"/>
      </w:divBdr>
      <w:divsChild>
        <w:div w:id="1745176853">
          <w:marLeft w:val="0"/>
          <w:marRight w:val="0"/>
          <w:marTop w:val="0"/>
          <w:marBottom w:val="0"/>
          <w:divBdr>
            <w:top w:val="none" w:sz="0" w:space="0" w:color="auto"/>
            <w:left w:val="none" w:sz="0" w:space="0" w:color="auto"/>
            <w:bottom w:val="none" w:sz="0" w:space="0" w:color="auto"/>
            <w:right w:val="none" w:sz="0" w:space="0" w:color="auto"/>
          </w:divBdr>
          <w:divsChild>
            <w:div w:id="5260647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98596567">
      <w:marLeft w:val="0"/>
      <w:marRight w:val="0"/>
      <w:marTop w:val="240"/>
      <w:marBottom w:val="0"/>
      <w:divBdr>
        <w:top w:val="none" w:sz="0" w:space="0" w:color="auto"/>
        <w:left w:val="none" w:sz="0" w:space="0" w:color="auto"/>
        <w:bottom w:val="none" w:sz="0" w:space="0" w:color="auto"/>
        <w:right w:val="none" w:sz="0" w:space="0" w:color="auto"/>
      </w:divBdr>
    </w:div>
    <w:div w:id="1101027191">
      <w:marLeft w:val="0"/>
      <w:marRight w:val="0"/>
      <w:marTop w:val="240"/>
      <w:marBottom w:val="0"/>
      <w:divBdr>
        <w:top w:val="none" w:sz="0" w:space="0" w:color="auto"/>
        <w:left w:val="none" w:sz="0" w:space="0" w:color="auto"/>
        <w:bottom w:val="none" w:sz="0" w:space="0" w:color="auto"/>
        <w:right w:val="none" w:sz="0" w:space="0" w:color="auto"/>
      </w:divBdr>
    </w:div>
    <w:div w:id="1101298921">
      <w:marLeft w:val="0"/>
      <w:marRight w:val="0"/>
      <w:marTop w:val="240"/>
      <w:marBottom w:val="0"/>
      <w:divBdr>
        <w:top w:val="none" w:sz="0" w:space="0" w:color="auto"/>
        <w:left w:val="none" w:sz="0" w:space="0" w:color="auto"/>
        <w:bottom w:val="none" w:sz="0" w:space="0" w:color="auto"/>
        <w:right w:val="none" w:sz="0" w:space="0" w:color="auto"/>
      </w:divBdr>
    </w:div>
    <w:div w:id="1102144534">
      <w:marLeft w:val="0"/>
      <w:marRight w:val="0"/>
      <w:marTop w:val="160"/>
      <w:marBottom w:val="0"/>
      <w:divBdr>
        <w:top w:val="none" w:sz="0" w:space="0" w:color="auto"/>
        <w:left w:val="none" w:sz="0" w:space="0" w:color="auto"/>
        <w:bottom w:val="none" w:sz="0" w:space="0" w:color="auto"/>
        <w:right w:val="none" w:sz="0" w:space="0" w:color="auto"/>
      </w:divBdr>
    </w:div>
    <w:div w:id="1103382583">
      <w:marLeft w:val="0"/>
      <w:marRight w:val="0"/>
      <w:marTop w:val="240"/>
      <w:marBottom w:val="0"/>
      <w:divBdr>
        <w:top w:val="none" w:sz="0" w:space="0" w:color="auto"/>
        <w:left w:val="none" w:sz="0" w:space="0" w:color="auto"/>
        <w:bottom w:val="none" w:sz="0" w:space="0" w:color="auto"/>
        <w:right w:val="none" w:sz="0" w:space="0" w:color="auto"/>
      </w:divBdr>
    </w:div>
    <w:div w:id="1103769204">
      <w:marLeft w:val="0"/>
      <w:marRight w:val="0"/>
      <w:marTop w:val="0"/>
      <w:marBottom w:val="0"/>
      <w:divBdr>
        <w:top w:val="none" w:sz="0" w:space="0" w:color="auto"/>
        <w:left w:val="none" w:sz="0" w:space="0" w:color="auto"/>
        <w:bottom w:val="none" w:sz="0" w:space="0" w:color="auto"/>
        <w:right w:val="none" w:sz="0" w:space="0" w:color="auto"/>
      </w:divBdr>
      <w:divsChild>
        <w:div w:id="900559902">
          <w:marLeft w:val="0"/>
          <w:marRight w:val="0"/>
          <w:marTop w:val="0"/>
          <w:marBottom w:val="0"/>
          <w:divBdr>
            <w:top w:val="none" w:sz="0" w:space="0" w:color="auto"/>
            <w:left w:val="none" w:sz="0" w:space="0" w:color="auto"/>
            <w:bottom w:val="none" w:sz="0" w:space="0" w:color="auto"/>
            <w:right w:val="none" w:sz="0" w:space="0" w:color="auto"/>
          </w:divBdr>
        </w:div>
      </w:divsChild>
    </w:div>
    <w:div w:id="1106079116">
      <w:marLeft w:val="0"/>
      <w:marRight w:val="0"/>
      <w:marTop w:val="240"/>
      <w:marBottom w:val="0"/>
      <w:divBdr>
        <w:top w:val="none" w:sz="0" w:space="0" w:color="auto"/>
        <w:left w:val="none" w:sz="0" w:space="0" w:color="auto"/>
        <w:bottom w:val="none" w:sz="0" w:space="0" w:color="auto"/>
        <w:right w:val="none" w:sz="0" w:space="0" w:color="auto"/>
      </w:divBdr>
    </w:div>
    <w:div w:id="1107384144">
      <w:marLeft w:val="0"/>
      <w:marRight w:val="0"/>
      <w:marTop w:val="0"/>
      <w:marBottom w:val="120"/>
      <w:divBdr>
        <w:top w:val="none" w:sz="0" w:space="0" w:color="auto"/>
        <w:left w:val="none" w:sz="0" w:space="0" w:color="auto"/>
        <w:bottom w:val="none" w:sz="0" w:space="0" w:color="auto"/>
        <w:right w:val="none" w:sz="0" w:space="0" w:color="auto"/>
      </w:divBdr>
      <w:divsChild>
        <w:div w:id="1526560389">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 w:id="1515412599">
          <w:marLeft w:val="0"/>
          <w:marRight w:val="0"/>
          <w:marTop w:val="0"/>
          <w:marBottom w:val="0"/>
          <w:divBdr>
            <w:top w:val="none" w:sz="0" w:space="0" w:color="auto"/>
            <w:left w:val="none" w:sz="0" w:space="0" w:color="auto"/>
            <w:bottom w:val="none" w:sz="0" w:space="0" w:color="auto"/>
            <w:right w:val="none" w:sz="0" w:space="0" w:color="auto"/>
          </w:divBdr>
        </w:div>
        <w:div w:id="1831483243">
          <w:marLeft w:val="0"/>
          <w:marRight w:val="0"/>
          <w:marTop w:val="0"/>
          <w:marBottom w:val="0"/>
          <w:divBdr>
            <w:top w:val="none" w:sz="0" w:space="0" w:color="auto"/>
            <w:left w:val="none" w:sz="0" w:space="0" w:color="auto"/>
            <w:bottom w:val="none" w:sz="0" w:space="0" w:color="auto"/>
            <w:right w:val="none" w:sz="0" w:space="0" w:color="auto"/>
          </w:divBdr>
        </w:div>
        <w:div w:id="333262903">
          <w:marLeft w:val="0"/>
          <w:marRight w:val="0"/>
          <w:marTop w:val="0"/>
          <w:marBottom w:val="0"/>
          <w:divBdr>
            <w:top w:val="none" w:sz="0" w:space="0" w:color="auto"/>
            <w:left w:val="none" w:sz="0" w:space="0" w:color="auto"/>
            <w:bottom w:val="none" w:sz="0" w:space="0" w:color="auto"/>
            <w:right w:val="none" w:sz="0" w:space="0" w:color="auto"/>
          </w:divBdr>
        </w:div>
      </w:divsChild>
    </w:div>
    <w:div w:id="1107502967">
      <w:marLeft w:val="0"/>
      <w:marRight w:val="0"/>
      <w:marTop w:val="0"/>
      <w:marBottom w:val="0"/>
      <w:divBdr>
        <w:top w:val="none" w:sz="0" w:space="0" w:color="auto"/>
        <w:left w:val="none" w:sz="0" w:space="0" w:color="auto"/>
        <w:bottom w:val="none" w:sz="0" w:space="0" w:color="auto"/>
        <w:right w:val="none" w:sz="0" w:space="0" w:color="auto"/>
      </w:divBdr>
    </w:div>
    <w:div w:id="1110203419">
      <w:marLeft w:val="0"/>
      <w:marRight w:val="0"/>
      <w:marTop w:val="0"/>
      <w:marBottom w:val="0"/>
      <w:divBdr>
        <w:top w:val="none" w:sz="0" w:space="0" w:color="auto"/>
        <w:left w:val="none" w:sz="0" w:space="0" w:color="auto"/>
        <w:bottom w:val="none" w:sz="0" w:space="0" w:color="auto"/>
        <w:right w:val="none" w:sz="0" w:space="0" w:color="auto"/>
      </w:divBdr>
      <w:divsChild>
        <w:div w:id="1079014443">
          <w:marLeft w:val="0"/>
          <w:marRight w:val="0"/>
          <w:marTop w:val="0"/>
          <w:marBottom w:val="0"/>
          <w:divBdr>
            <w:top w:val="none" w:sz="0" w:space="0" w:color="auto"/>
            <w:left w:val="none" w:sz="0" w:space="0" w:color="auto"/>
            <w:bottom w:val="none" w:sz="0" w:space="0" w:color="auto"/>
            <w:right w:val="none" w:sz="0" w:space="0" w:color="auto"/>
          </w:divBdr>
        </w:div>
      </w:divsChild>
    </w:div>
    <w:div w:id="1113327298">
      <w:marLeft w:val="0"/>
      <w:marRight w:val="0"/>
      <w:marTop w:val="240"/>
      <w:marBottom w:val="0"/>
      <w:divBdr>
        <w:top w:val="none" w:sz="0" w:space="0" w:color="auto"/>
        <w:left w:val="none" w:sz="0" w:space="0" w:color="auto"/>
        <w:bottom w:val="none" w:sz="0" w:space="0" w:color="auto"/>
        <w:right w:val="none" w:sz="0" w:space="0" w:color="auto"/>
      </w:divBdr>
    </w:div>
    <w:div w:id="1120294517">
      <w:marLeft w:val="0"/>
      <w:marRight w:val="0"/>
      <w:marTop w:val="240"/>
      <w:marBottom w:val="0"/>
      <w:divBdr>
        <w:top w:val="none" w:sz="0" w:space="0" w:color="auto"/>
        <w:left w:val="none" w:sz="0" w:space="0" w:color="auto"/>
        <w:bottom w:val="none" w:sz="0" w:space="0" w:color="auto"/>
        <w:right w:val="none" w:sz="0" w:space="0" w:color="auto"/>
      </w:divBdr>
    </w:div>
    <w:div w:id="1120536964">
      <w:marLeft w:val="0"/>
      <w:marRight w:val="0"/>
      <w:marTop w:val="0"/>
      <w:marBottom w:val="0"/>
      <w:divBdr>
        <w:top w:val="none" w:sz="0" w:space="0" w:color="auto"/>
        <w:left w:val="none" w:sz="0" w:space="0" w:color="auto"/>
        <w:bottom w:val="none" w:sz="0" w:space="0" w:color="auto"/>
        <w:right w:val="none" w:sz="0" w:space="0" w:color="auto"/>
      </w:divBdr>
      <w:divsChild>
        <w:div w:id="667288972">
          <w:marLeft w:val="0"/>
          <w:marRight w:val="0"/>
          <w:marTop w:val="0"/>
          <w:marBottom w:val="0"/>
          <w:divBdr>
            <w:top w:val="none" w:sz="0" w:space="0" w:color="auto"/>
            <w:left w:val="none" w:sz="0" w:space="0" w:color="auto"/>
            <w:bottom w:val="none" w:sz="0" w:space="0" w:color="auto"/>
            <w:right w:val="none" w:sz="0" w:space="0" w:color="auto"/>
          </w:divBdr>
        </w:div>
      </w:divsChild>
    </w:div>
    <w:div w:id="1122576339">
      <w:marLeft w:val="0"/>
      <w:marRight w:val="0"/>
      <w:marTop w:val="0"/>
      <w:marBottom w:val="0"/>
      <w:divBdr>
        <w:top w:val="none" w:sz="0" w:space="0" w:color="auto"/>
        <w:left w:val="none" w:sz="0" w:space="0" w:color="auto"/>
        <w:bottom w:val="none" w:sz="0" w:space="0" w:color="auto"/>
        <w:right w:val="none" w:sz="0" w:space="0" w:color="auto"/>
      </w:divBdr>
      <w:divsChild>
        <w:div w:id="1849834385">
          <w:marLeft w:val="0"/>
          <w:marRight w:val="0"/>
          <w:marTop w:val="0"/>
          <w:marBottom w:val="0"/>
          <w:divBdr>
            <w:top w:val="none" w:sz="0" w:space="0" w:color="auto"/>
            <w:left w:val="none" w:sz="0" w:space="0" w:color="auto"/>
            <w:bottom w:val="none" w:sz="0" w:space="0" w:color="auto"/>
            <w:right w:val="none" w:sz="0" w:space="0" w:color="auto"/>
          </w:divBdr>
        </w:div>
      </w:divsChild>
    </w:div>
    <w:div w:id="1123381266">
      <w:marLeft w:val="0"/>
      <w:marRight w:val="0"/>
      <w:marTop w:val="160"/>
      <w:marBottom w:val="0"/>
      <w:divBdr>
        <w:top w:val="none" w:sz="0" w:space="0" w:color="auto"/>
        <w:left w:val="none" w:sz="0" w:space="0" w:color="auto"/>
        <w:bottom w:val="none" w:sz="0" w:space="0" w:color="auto"/>
        <w:right w:val="none" w:sz="0" w:space="0" w:color="auto"/>
      </w:divBdr>
    </w:div>
    <w:div w:id="1128741128">
      <w:marLeft w:val="0"/>
      <w:marRight w:val="0"/>
      <w:marTop w:val="60"/>
      <w:marBottom w:val="0"/>
      <w:divBdr>
        <w:top w:val="none" w:sz="0" w:space="0" w:color="auto"/>
        <w:left w:val="none" w:sz="0" w:space="0" w:color="auto"/>
        <w:bottom w:val="none" w:sz="0" w:space="0" w:color="auto"/>
        <w:right w:val="none" w:sz="0" w:space="0" w:color="auto"/>
      </w:divBdr>
    </w:div>
    <w:div w:id="1130173635">
      <w:marLeft w:val="0"/>
      <w:marRight w:val="0"/>
      <w:marTop w:val="240"/>
      <w:marBottom w:val="0"/>
      <w:divBdr>
        <w:top w:val="none" w:sz="0" w:space="0" w:color="auto"/>
        <w:left w:val="none" w:sz="0" w:space="0" w:color="auto"/>
        <w:bottom w:val="none" w:sz="0" w:space="0" w:color="auto"/>
        <w:right w:val="none" w:sz="0" w:space="0" w:color="auto"/>
      </w:divBdr>
    </w:div>
    <w:div w:id="1130710247">
      <w:marLeft w:val="0"/>
      <w:marRight w:val="0"/>
      <w:marTop w:val="0"/>
      <w:marBottom w:val="120"/>
      <w:divBdr>
        <w:top w:val="none" w:sz="0" w:space="0" w:color="auto"/>
        <w:left w:val="none" w:sz="0" w:space="0" w:color="auto"/>
        <w:bottom w:val="none" w:sz="0" w:space="0" w:color="auto"/>
        <w:right w:val="none" w:sz="0" w:space="0" w:color="auto"/>
      </w:divBdr>
    </w:div>
    <w:div w:id="1135412792">
      <w:marLeft w:val="0"/>
      <w:marRight w:val="0"/>
      <w:marTop w:val="160"/>
      <w:marBottom w:val="0"/>
      <w:divBdr>
        <w:top w:val="none" w:sz="0" w:space="0" w:color="auto"/>
        <w:left w:val="none" w:sz="0" w:space="0" w:color="auto"/>
        <w:bottom w:val="none" w:sz="0" w:space="0" w:color="auto"/>
        <w:right w:val="none" w:sz="0" w:space="0" w:color="auto"/>
      </w:divBdr>
    </w:div>
    <w:div w:id="1136070736">
      <w:marLeft w:val="0"/>
      <w:marRight w:val="0"/>
      <w:marTop w:val="240"/>
      <w:marBottom w:val="0"/>
      <w:divBdr>
        <w:top w:val="none" w:sz="0" w:space="0" w:color="auto"/>
        <w:left w:val="none" w:sz="0" w:space="0" w:color="auto"/>
        <w:bottom w:val="none" w:sz="0" w:space="0" w:color="auto"/>
        <w:right w:val="none" w:sz="0" w:space="0" w:color="auto"/>
      </w:divBdr>
    </w:div>
    <w:div w:id="1137185116">
      <w:marLeft w:val="0"/>
      <w:marRight w:val="0"/>
      <w:marTop w:val="240"/>
      <w:marBottom w:val="0"/>
      <w:divBdr>
        <w:top w:val="none" w:sz="0" w:space="0" w:color="auto"/>
        <w:left w:val="none" w:sz="0" w:space="0" w:color="auto"/>
        <w:bottom w:val="none" w:sz="0" w:space="0" w:color="auto"/>
        <w:right w:val="none" w:sz="0" w:space="0" w:color="auto"/>
      </w:divBdr>
    </w:div>
    <w:div w:id="1137574626">
      <w:marLeft w:val="0"/>
      <w:marRight w:val="0"/>
      <w:marTop w:val="240"/>
      <w:marBottom w:val="0"/>
      <w:divBdr>
        <w:top w:val="none" w:sz="0" w:space="0" w:color="auto"/>
        <w:left w:val="none" w:sz="0" w:space="0" w:color="auto"/>
        <w:bottom w:val="none" w:sz="0" w:space="0" w:color="auto"/>
        <w:right w:val="none" w:sz="0" w:space="0" w:color="auto"/>
      </w:divBdr>
    </w:div>
    <w:div w:id="1139424292">
      <w:marLeft w:val="0"/>
      <w:marRight w:val="0"/>
      <w:marTop w:val="240"/>
      <w:marBottom w:val="0"/>
      <w:divBdr>
        <w:top w:val="none" w:sz="0" w:space="0" w:color="auto"/>
        <w:left w:val="none" w:sz="0" w:space="0" w:color="auto"/>
        <w:bottom w:val="none" w:sz="0" w:space="0" w:color="auto"/>
        <w:right w:val="none" w:sz="0" w:space="0" w:color="auto"/>
      </w:divBdr>
    </w:div>
    <w:div w:id="1141121059">
      <w:marLeft w:val="0"/>
      <w:marRight w:val="0"/>
      <w:marTop w:val="160"/>
      <w:marBottom w:val="0"/>
      <w:divBdr>
        <w:top w:val="none" w:sz="0" w:space="0" w:color="auto"/>
        <w:left w:val="none" w:sz="0" w:space="0" w:color="auto"/>
        <w:bottom w:val="none" w:sz="0" w:space="0" w:color="auto"/>
        <w:right w:val="none" w:sz="0" w:space="0" w:color="auto"/>
      </w:divBdr>
    </w:div>
    <w:div w:id="1142887177">
      <w:marLeft w:val="0"/>
      <w:marRight w:val="0"/>
      <w:marTop w:val="240"/>
      <w:marBottom w:val="0"/>
      <w:divBdr>
        <w:top w:val="none" w:sz="0" w:space="0" w:color="auto"/>
        <w:left w:val="none" w:sz="0" w:space="0" w:color="auto"/>
        <w:bottom w:val="none" w:sz="0" w:space="0" w:color="auto"/>
        <w:right w:val="none" w:sz="0" w:space="0" w:color="auto"/>
      </w:divBdr>
    </w:div>
    <w:div w:id="1144129015">
      <w:marLeft w:val="0"/>
      <w:marRight w:val="0"/>
      <w:marTop w:val="240"/>
      <w:marBottom w:val="0"/>
      <w:divBdr>
        <w:top w:val="none" w:sz="0" w:space="0" w:color="auto"/>
        <w:left w:val="none" w:sz="0" w:space="0" w:color="auto"/>
        <w:bottom w:val="none" w:sz="0" w:space="0" w:color="auto"/>
        <w:right w:val="none" w:sz="0" w:space="0" w:color="auto"/>
      </w:divBdr>
    </w:div>
    <w:div w:id="1147475524">
      <w:marLeft w:val="0"/>
      <w:marRight w:val="0"/>
      <w:marTop w:val="0"/>
      <w:marBottom w:val="0"/>
      <w:divBdr>
        <w:top w:val="none" w:sz="0" w:space="0" w:color="auto"/>
        <w:left w:val="none" w:sz="0" w:space="0" w:color="auto"/>
        <w:bottom w:val="none" w:sz="0" w:space="0" w:color="auto"/>
        <w:right w:val="none" w:sz="0" w:space="0" w:color="auto"/>
      </w:divBdr>
      <w:divsChild>
        <w:div w:id="1626741603">
          <w:marLeft w:val="0"/>
          <w:marRight w:val="0"/>
          <w:marTop w:val="0"/>
          <w:marBottom w:val="0"/>
          <w:divBdr>
            <w:top w:val="none" w:sz="0" w:space="0" w:color="auto"/>
            <w:left w:val="none" w:sz="0" w:space="0" w:color="auto"/>
            <w:bottom w:val="none" w:sz="0" w:space="0" w:color="auto"/>
            <w:right w:val="none" w:sz="0" w:space="0" w:color="auto"/>
          </w:divBdr>
          <w:divsChild>
            <w:div w:id="12560144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50367885">
      <w:marLeft w:val="0"/>
      <w:marRight w:val="0"/>
      <w:marTop w:val="160"/>
      <w:marBottom w:val="0"/>
      <w:divBdr>
        <w:top w:val="none" w:sz="0" w:space="0" w:color="auto"/>
        <w:left w:val="none" w:sz="0" w:space="0" w:color="auto"/>
        <w:bottom w:val="none" w:sz="0" w:space="0" w:color="auto"/>
        <w:right w:val="none" w:sz="0" w:space="0" w:color="auto"/>
      </w:divBdr>
    </w:div>
    <w:div w:id="1152332206">
      <w:marLeft w:val="0"/>
      <w:marRight w:val="0"/>
      <w:marTop w:val="240"/>
      <w:marBottom w:val="0"/>
      <w:divBdr>
        <w:top w:val="none" w:sz="0" w:space="0" w:color="auto"/>
        <w:left w:val="none" w:sz="0" w:space="0" w:color="auto"/>
        <w:bottom w:val="none" w:sz="0" w:space="0" w:color="auto"/>
        <w:right w:val="none" w:sz="0" w:space="0" w:color="auto"/>
      </w:divBdr>
    </w:div>
    <w:div w:id="1154183369">
      <w:marLeft w:val="0"/>
      <w:marRight w:val="0"/>
      <w:marTop w:val="0"/>
      <w:marBottom w:val="120"/>
      <w:divBdr>
        <w:top w:val="none" w:sz="0" w:space="0" w:color="auto"/>
        <w:left w:val="none" w:sz="0" w:space="0" w:color="auto"/>
        <w:bottom w:val="none" w:sz="0" w:space="0" w:color="auto"/>
        <w:right w:val="none" w:sz="0" w:space="0" w:color="auto"/>
      </w:divBdr>
    </w:div>
    <w:div w:id="1155872594">
      <w:marLeft w:val="0"/>
      <w:marRight w:val="0"/>
      <w:marTop w:val="240"/>
      <w:marBottom w:val="0"/>
      <w:divBdr>
        <w:top w:val="none" w:sz="0" w:space="0" w:color="auto"/>
        <w:left w:val="none" w:sz="0" w:space="0" w:color="auto"/>
        <w:bottom w:val="none" w:sz="0" w:space="0" w:color="auto"/>
        <w:right w:val="none" w:sz="0" w:space="0" w:color="auto"/>
      </w:divBdr>
    </w:div>
    <w:div w:id="1158114451">
      <w:marLeft w:val="0"/>
      <w:marRight w:val="0"/>
      <w:marTop w:val="240"/>
      <w:marBottom w:val="0"/>
      <w:divBdr>
        <w:top w:val="none" w:sz="0" w:space="0" w:color="auto"/>
        <w:left w:val="none" w:sz="0" w:space="0" w:color="auto"/>
        <w:bottom w:val="none" w:sz="0" w:space="0" w:color="auto"/>
        <w:right w:val="none" w:sz="0" w:space="0" w:color="auto"/>
      </w:divBdr>
    </w:div>
    <w:div w:id="1159997846">
      <w:marLeft w:val="0"/>
      <w:marRight w:val="0"/>
      <w:marTop w:val="240"/>
      <w:marBottom w:val="0"/>
      <w:divBdr>
        <w:top w:val="none" w:sz="0" w:space="0" w:color="auto"/>
        <w:left w:val="none" w:sz="0" w:space="0" w:color="auto"/>
        <w:bottom w:val="none" w:sz="0" w:space="0" w:color="auto"/>
        <w:right w:val="none" w:sz="0" w:space="0" w:color="auto"/>
      </w:divBdr>
    </w:div>
    <w:div w:id="1165130604">
      <w:marLeft w:val="0"/>
      <w:marRight w:val="0"/>
      <w:marTop w:val="0"/>
      <w:marBottom w:val="0"/>
      <w:divBdr>
        <w:top w:val="none" w:sz="0" w:space="0" w:color="auto"/>
        <w:left w:val="none" w:sz="0" w:space="0" w:color="auto"/>
        <w:bottom w:val="none" w:sz="0" w:space="0" w:color="auto"/>
        <w:right w:val="none" w:sz="0" w:space="0" w:color="auto"/>
      </w:divBdr>
      <w:divsChild>
        <w:div w:id="926767632">
          <w:marLeft w:val="0"/>
          <w:marRight w:val="0"/>
          <w:marTop w:val="0"/>
          <w:marBottom w:val="0"/>
          <w:divBdr>
            <w:top w:val="none" w:sz="0" w:space="0" w:color="auto"/>
            <w:left w:val="none" w:sz="0" w:space="0" w:color="auto"/>
            <w:bottom w:val="none" w:sz="0" w:space="0" w:color="auto"/>
            <w:right w:val="none" w:sz="0" w:space="0" w:color="auto"/>
          </w:divBdr>
        </w:div>
      </w:divsChild>
    </w:div>
    <w:div w:id="1165587278">
      <w:marLeft w:val="0"/>
      <w:marRight w:val="0"/>
      <w:marTop w:val="0"/>
      <w:marBottom w:val="0"/>
      <w:divBdr>
        <w:top w:val="none" w:sz="0" w:space="0" w:color="auto"/>
        <w:left w:val="none" w:sz="0" w:space="0" w:color="auto"/>
        <w:bottom w:val="none" w:sz="0" w:space="0" w:color="auto"/>
        <w:right w:val="none" w:sz="0" w:space="0" w:color="auto"/>
      </w:divBdr>
    </w:div>
    <w:div w:id="1166048067">
      <w:marLeft w:val="0"/>
      <w:marRight w:val="0"/>
      <w:marTop w:val="240"/>
      <w:marBottom w:val="0"/>
      <w:divBdr>
        <w:top w:val="none" w:sz="0" w:space="0" w:color="auto"/>
        <w:left w:val="none" w:sz="0" w:space="0" w:color="auto"/>
        <w:bottom w:val="none" w:sz="0" w:space="0" w:color="auto"/>
        <w:right w:val="none" w:sz="0" w:space="0" w:color="auto"/>
      </w:divBdr>
    </w:div>
    <w:div w:id="1166631891">
      <w:marLeft w:val="0"/>
      <w:marRight w:val="0"/>
      <w:marTop w:val="240"/>
      <w:marBottom w:val="0"/>
      <w:divBdr>
        <w:top w:val="none" w:sz="0" w:space="0" w:color="auto"/>
        <w:left w:val="none" w:sz="0" w:space="0" w:color="auto"/>
        <w:bottom w:val="none" w:sz="0" w:space="0" w:color="auto"/>
        <w:right w:val="none" w:sz="0" w:space="0" w:color="auto"/>
      </w:divBdr>
    </w:div>
    <w:div w:id="1168207550">
      <w:marLeft w:val="0"/>
      <w:marRight w:val="0"/>
      <w:marTop w:val="0"/>
      <w:marBottom w:val="0"/>
      <w:divBdr>
        <w:top w:val="none" w:sz="0" w:space="0" w:color="auto"/>
        <w:left w:val="none" w:sz="0" w:space="0" w:color="auto"/>
        <w:bottom w:val="none" w:sz="0" w:space="0" w:color="auto"/>
        <w:right w:val="none" w:sz="0" w:space="0" w:color="auto"/>
      </w:divBdr>
      <w:divsChild>
        <w:div w:id="1980256570">
          <w:marLeft w:val="0"/>
          <w:marRight w:val="0"/>
          <w:marTop w:val="0"/>
          <w:marBottom w:val="0"/>
          <w:divBdr>
            <w:top w:val="none" w:sz="0" w:space="0" w:color="auto"/>
            <w:left w:val="none" w:sz="0" w:space="0" w:color="auto"/>
            <w:bottom w:val="none" w:sz="0" w:space="0" w:color="auto"/>
            <w:right w:val="none" w:sz="0" w:space="0" w:color="auto"/>
          </w:divBdr>
          <w:divsChild>
            <w:div w:id="237913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68983799">
      <w:marLeft w:val="0"/>
      <w:marRight w:val="0"/>
      <w:marTop w:val="240"/>
      <w:marBottom w:val="0"/>
      <w:divBdr>
        <w:top w:val="none" w:sz="0" w:space="0" w:color="auto"/>
        <w:left w:val="none" w:sz="0" w:space="0" w:color="auto"/>
        <w:bottom w:val="none" w:sz="0" w:space="0" w:color="auto"/>
        <w:right w:val="none" w:sz="0" w:space="0" w:color="auto"/>
      </w:divBdr>
    </w:div>
    <w:div w:id="1170683084">
      <w:marLeft w:val="0"/>
      <w:marRight w:val="0"/>
      <w:marTop w:val="240"/>
      <w:marBottom w:val="0"/>
      <w:divBdr>
        <w:top w:val="none" w:sz="0" w:space="0" w:color="auto"/>
        <w:left w:val="none" w:sz="0" w:space="0" w:color="auto"/>
        <w:bottom w:val="none" w:sz="0" w:space="0" w:color="auto"/>
        <w:right w:val="none" w:sz="0" w:space="0" w:color="auto"/>
      </w:divBdr>
    </w:div>
    <w:div w:id="1170756383">
      <w:marLeft w:val="0"/>
      <w:marRight w:val="0"/>
      <w:marTop w:val="240"/>
      <w:marBottom w:val="0"/>
      <w:divBdr>
        <w:top w:val="none" w:sz="0" w:space="0" w:color="auto"/>
        <w:left w:val="none" w:sz="0" w:space="0" w:color="auto"/>
        <w:bottom w:val="none" w:sz="0" w:space="0" w:color="auto"/>
        <w:right w:val="none" w:sz="0" w:space="0" w:color="auto"/>
      </w:divBdr>
    </w:div>
    <w:div w:id="1170831917">
      <w:marLeft w:val="0"/>
      <w:marRight w:val="0"/>
      <w:marTop w:val="240"/>
      <w:marBottom w:val="0"/>
      <w:divBdr>
        <w:top w:val="none" w:sz="0" w:space="0" w:color="auto"/>
        <w:left w:val="none" w:sz="0" w:space="0" w:color="auto"/>
        <w:bottom w:val="none" w:sz="0" w:space="0" w:color="auto"/>
        <w:right w:val="none" w:sz="0" w:space="0" w:color="auto"/>
      </w:divBdr>
    </w:div>
    <w:div w:id="1173454192">
      <w:marLeft w:val="0"/>
      <w:marRight w:val="0"/>
      <w:marTop w:val="0"/>
      <w:marBottom w:val="120"/>
      <w:divBdr>
        <w:top w:val="none" w:sz="0" w:space="0" w:color="auto"/>
        <w:left w:val="none" w:sz="0" w:space="0" w:color="auto"/>
        <w:bottom w:val="none" w:sz="0" w:space="0" w:color="auto"/>
        <w:right w:val="none" w:sz="0" w:space="0" w:color="auto"/>
      </w:divBdr>
    </w:div>
    <w:div w:id="1173839530">
      <w:marLeft w:val="0"/>
      <w:marRight w:val="0"/>
      <w:marTop w:val="80"/>
      <w:marBottom w:val="0"/>
      <w:divBdr>
        <w:top w:val="none" w:sz="0" w:space="0" w:color="auto"/>
        <w:left w:val="none" w:sz="0" w:space="0" w:color="auto"/>
        <w:bottom w:val="none" w:sz="0" w:space="0" w:color="auto"/>
        <w:right w:val="none" w:sz="0" w:space="0" w:color="auto"/>
      </w:divBdr>
    </w:div>
    <w:div w:id="1175682800">
      <w:marLeft w:val="0"/>
      <w:marRight w:val="0"/>
      <w:marTop w:val="120"/>
      <w:marBottom w:val="0"/>
      <w:divBdr>
        <w:top w:val="none" w:sz="0" w:space="0" w:color="auto"/>
        <w:left w:val="none" w:sz="0" w:space="0" w:color="auto"/>
        <w:bottom w:val="none" w:sz="0" w:space="0" w:color="auto"/>
        <w:right w:val="none" w:sz="0" w:space="0" w:color="auto"/>
      </w:divBdr>
    </w:div>
    <w:div w:id="1178619641">
      <w:marLeft w:val="0"/>
      <w:marRight w:val="0"/>
      <w:marTop w:val="240"/>
      <w:marBottom w:val="0"/>
      <w:divBdr>
        <w:top w:val="none" w:sz="0" w:space="0" w:color="auto"/>
        <w:left w:val="none" w:sz="0" w:space="0" w:color="auto"/>
        <w:bottom w:val="none" w:sz="0" w:space="0" w:color="auto"/>
        <w:right w:val="none" w:sz="0" w:space="0" w:color="auto"/>
      </w:divBdr>
    </w:div>
    <w:div w:id="1178927536">
      <w:marLeft w:val="0"/>
      <w:marRight w:val="0"/>
      <w:marTop w:val="240"/>
      <w:marBottom w:val="0"/>
      <w:divBdr>
        <w:top w:val="none" w:sz="0" w:space="0" w:color="auto"/>
        <w:left w:val="none" w:sz="0" w:space="0" w:color="auto"/>
        <w:bottom w:val="none" w:sz="0" w:space="0" w:color="auto"/>
        <w:right w:val="none" w:sz="0" w:space="0" w:color="auto"/>
      </w:divBdr>
    </w:div>
    <w:div w:id="1181897150">
      <w:marLeft w:val="0"/>
      <w:marRight w:val="0"/>
      <w:marTop w:val="240"/>
      <w:marBottom w:val="0"/>
      <w:divBdr>
        <w:top w:val="none" w:sz="0" w:space="0" w:color="auto"/>
        <w:left w:val="none" w:sz="0" w:space="0" w:color="auto"/>
        <w:bottom w:val="none" w:sz="0" w:space="0" w:color="auto"/>
        <w:right w:val="none" w:sz="0" w:space="0" w:color="auto"/>
      </w:divBdr>
    </w:div>
    <w:div w:id="1187019584">
      <w:marLeft w:val="0"/>
      <w:marRight w:val="0"/>
      <w:marTop w:val="240"/>
      <w:marBottom w:val="0"/>
      <w:divBdr>
        <w:top w:val="none" w:sz="0" w:space="0" w:color="auto"/>
        <w:left w:val="none" w:sz="0" w:space="0" w:color="auto"/>
        <w:bottom w:val="none" w:sz="0" w:space="0" w:color="auto"/>
        <w:right w:val="none" w:sz="0" w:space="0" w:color="auto"/>
      </w:divBdr>
    </w:div>
    <w:div w:id="1191844868">
      <w:marLeft w:val="0"/>
      <w:marRight w:val="0"/>
      <w:marTop w:val="0"/>
      <w:marBottom w:val="0"/>
      <w:divBdr>
        <w:top w:val="none" w:sz="0" w:space="0" w:color="auto"/>
        <w:left w:val="none" w:sz="0" w:space="0" w:color="auto"/>
        <w:bottom w:val="none" w:sz="0" w:space="0" w:color="auto"/>
        <w:right w:val="none" w:sz="0" w:space="0" w:color="auto"/>
      </w:divBdr>
    </w:div>
    <w:div w:id="1192499512">
      <w:marLeft w:val="0"/>
      <w:marRight w:val="0"/>
      <w:marTop w:val="0"/>
      <w:marBottom w:val="0"/>
      <w:divBdr>
        <w:top w:val="none" w:sz="0" w:space="0" w:color="auto"/>
        <w:left w:val="none" w:sz="0" w:space="0" w:color="auto"/>
        <w:bottom w:val="none" w:sz="0" w:space="0" w:color="auto"/>
        <w:right w:val="none" w:sz="0" w:space="0" w:color="auto"/>
      </w:divBdr>
    </w:div>
    <w:div w:id="1192650130">
      <w:marLeft w:val="0"/>
      <w:marRight w:val="0"/>
      <w:marTop w:val="240"/>
      <w:marBottom w:val="0"/>
      <w:divBdr>
        <w:top w:val="none" w:sz="0" w:space="0" w:color="auto"/>
        <w:left w:val="none" w:sz="0" w:space="0" w:color="auto"/>
        <w:bottom w:val="none" w:sz="0" w:space="0" w:color="auto"/>
        <w:right w:val="none" w:sz="0" w:space="0" w:color="auto"/>
      </w:divBdr>
    </w:div>
    <w:div w:id="1193958372">
      <w:marLeft w:val="0"/>
      <w:marRight w:val="0"/>
      <w:marTop w:val="240"/>
      <w:marBottom w:val="0"/>
      <w:divBdr>
        <w:top w:val="none" w:sz="0" w:space="0" w:color="auto"/>
        <w:left w:val="none" w:sz="0" w:space="0" w:color="auto"/>
        <w:bottom w:val="none" w:sz="0" w:space="0" w:color="auto"/>
        <w:right w:val="none" w:sz="0" w:space="0" w:color="auto"/>
      </w:divBdr>
    </w:div>
    <w:div w:id="1195001415">
      <w:marLeft w:val="0"/>
      <w:marRight w:val="0"/>
      <w:marTop w:val="0"/>
      <w:marBottom w:val="0"/>
      <w:divBdr>
        <w:top w:val="none" w:sz="0" w:space="0" w:color="auto"/>
        <w:left w:val="none" w:sz="0" w:space="0" w:color="auto"/>
        <w:bottom w:val="none" w:sz="0" w:space="0" w:color="auto"/>
        <w:right w:val="none" w:sz="0" w:space="0" w:color="auto"/>
      </w:divBdr>
    </w:div>
    <w:div w:id="1198858190">
      <w:marLeft w:val="0"/>
      <w:marRight w:val="0"/>
      <w:marTop w:val="0"/>
      <w:marBottom w:val="0"/>
      <w:divBdr>
        <w:top w:val="none" w:sz="0" w:space="0" w:color="auto"/>
        <w:left w:val="none" w:sz="0" w:space="0" w:color="auto"/>
        <w:bottom w:val="none" w:sz="0" w:space="0" w:color="auto"/>
        <w:right w:val="none" w:sz="0" w:space="0" w:color="auto"/>
      </w:divBdr>
      <w:divsChild>
        <w:div w:id="1939214863">
          <w:marLeft w:val="0"/>
          <w:marRight w:val="0"/>
          <w:marTop w:val="0"/>
          <w:marBottom w:val="0"/>
          <w:divBdr>
            <w:top w:val="none" w:sz="0" w:space="0" w:color="auto"/>
            <w:left w:val="none" w:sz="0" w:space="0" w:color="auto"/>
            <w:bottom w:val="none" w:sz="0" w:space="0" w:color="auto"/>
            <w:right w:val="none" w:sz="0" w:space="0" w:color="auto"/>
          </w:divBdr>
          <w:divsChild>
            <w:div w:id="15572779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01749759">
      <w:marLeft w:val="0"/>
      <w:marRight w:val="0"/>
      <w:marTop w:val="0"/>
      <w:marBottom w:val="0"/>
      <w:divBdr>
        <w:top w:val="none" w:sz="0" w:space="0" w:color="auto"/>
        <w:left w:val="none" w:sz="0" w:space="0" w:color="auto"/>
        <w:bottom w:val="none" w:sz="0" w:space="0" w:color="auto"/>
        <w:right w:val="none" w:sz="0" w:space="0" w:color="auto"/>
      </w:divBdr>
      <w:divsChild>
        <w:div w:id="1763792917">
          <w:marLeft w:val="0"/>
          <w:marRight w:val="0"/>
          <w:marTop w:val="0"/>
          <w:marBottom w:val="0"/>
          <w:divBdr>
            <w:top w:val="none" w:sz="0" w:space="0" w:color="auto"/>
            <w:left w:val="none" w:sz="0" w:space="0" w:color="auto"/>
            <w:bottom w:val="none" w:sz="0" w:space="0" w:color="auto"/>
            <w:right w:val="none" w:sz="0" w:space="0" w:color="auto"/>
          </w:divBdr>
        </w:div>
      </w:divsChild>
    </w:div>
    <w:div w:id="1205555382">
      <w:marLeft w:val="0"/>
      <w:marRight w:val="0"/>
      <w:marTop w:val="240"/>
      <w:marBottom w:val="0"/>
      <w:divBdr>
        <w:top w:val="none" w:sz="0" w:space="0" w:color="auto"/>
        <w:left w:val="none" w:sz="0" w:space="0" w:color="auto"/>
        <w:bottom w:val="none" w:sz="0" w:space="0" w:color="auto"/>
        <w:right w:val="none" w:sz="0" w:space="0" w:color="auto"/>
      </w:divBdr>
    </w:div>
    <w:div w:id="1206022194">
      <w:marLeft w:val="0"/>
      <w:marRight w:val="0"/>
      <w:marTop w:val="240"/>
      <w:marBottom w:val="0"/>
      <w:divBdr>
        <w:top w:val="none" w:sz="0" w:space="0" w:color="auto"/>
        <w:left w:val="none" w:sz="0" w:space="0" w:color="auto"/>
        <w:bottom w:val="none" w:sz="0" w:space="0" w:color="auto"/>
        <w:right w:val="none" w:sz="0" w:space="0" w:color="auto"/>
      </w:divBdr>
    </w:div>
    <w:div w:id="1208251507">
      <w:marLeft w:val="0"/>
      <w:marRight w:val="0"/>
      <w:marTop w:val="240"/>
      <w:marBottom w:val="0"/>
      <w:divBdr>
        <w:top w:val="none" w:sz="0" w:space="0" w:color="auto"/>
        <w:left w:val="none" w:sz="0" w:space="0" w:color="auto"/>
        <w:bottom w:val="none" w:sz="0" w:space="0" w:color="auto"/>
        <w:right w:val="none" w:sz="0" w:space="0" w:color="auto"/>
      </w:divBdr>
    </w:div>
    <w:div w:id="1210068891">
      <w:marLeft w:val="0"/>
      <w:marRight w:val="0"/>
      <w:marTop w:val="0"/>
      <w:marBottom w:val="0"/>
      <w:divBdr>
        <w:top w:val="none" w:sz="0" w:space="0" w:color="auto"/>
        <w:left w:val="none" w:sz="0" w:space="0" w:color="auto"/>
        <w:bottom w:val="none" w:sz="0" w:space="0" w:color="auto"/>
        <w:right w:val="none" w:sz="0" w:space="0" w:color="auto"/>
      </w:divBdr>
      <w:divsChild>
        <w:div w:id="1028751097">
          <w:marLeft w:val="0"/>
          <w:marRight w:val="0"/>
          <w:marTop w:val="0"/>
          <w:marBottom w:val="0"/>
          <w:divBdr>
            <w:top w:val="none" w:sz="0" w:space="0" w:color="auto"/>
            <w:left w:val="none" w:sz="0" w:space="0" w:color="auto"/>
            <w:bottom w:val="none" w:sz="0" w:space="0" w:color="auto"/>
            <w:right w:val="none" w:sz="0" w:space="0" w:color="auto"/>
          </w:divBdr>
          <w:divsChild>
            <w:div w:id="1036933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14733715">
      <w:marLeft w:val="0"/>
      <w:marRight w:val="0"/>
      <w:marTop w:val="240"/>
      <w:marBottom w:val="0"/>
      <w:divBdr>
        <w:top w:val="none" w:sz="0" w:space="0" w:color="auto"/>
        <w:left w:val="none" w:sz="0" w:space="0" w:color="auto"/>
        <w:bottom w:val="none" w:sz="0" w:space="0" w:color="auto"/>
        <w:right w:val="none" w:sz="0" w:space="0" w:color="auto"/>
      </w:divBdr>
    </w:div>
    <w:div w:id="1226454678">
      <w:marLeft w:val="0"/>
      <w:marRight w:val="0"/>
      <w:marTop w:val="240"/>
      <w:marBottom w:val="0"/>
      <w:divBdr>
        <w:top w:val="none" w:sz="0" w:space="0" w:color="auto"/>
        <w:left w:val="none" w:sz="0" w:space="0" w:color="auto"/>
        <w:bottom w:val="none" w:sz="0" w:space="0" w:color="auto"/>
        <w:right w:val="none" w:sz="0" w:space="0" w:color="auto"/>
      </w:divBdr>
    </w:div>
    <w:div w:id="1228110356">
      <w:marLeft w:val="0"/>
      <w:marRight w:val="0"/>
      <w:marTop w:val="0"/>
      <w:marBottom w:val="0"/>
      <w:divBdr>
        <w:top w:val="none" w:sz="0" w:space="0" w:color="auto"/>
        <w:left w:val="none" w:sz="0" w:space="0" w:color="auto"/>
        <w:bottom w:val="none" w:sz="0" w:space="0" w:color="auto"/>
        <w:right w:val="none" w:sz="0" w:space="0" w:color="auto"/>
      </w:divBdr>
      <w:divsChild>
        <w:div w:id="938295816">
          <w:marLeft w:val="0"/>
          <w:marRight w:val="0"/>
          <w:marTop w:val="0"/>
          <w:marBottom w:val="0"/>
          <w:divBdr>
            <w:top w:val="none" w:sz="0" w:space="0" w:color="auto"/>
            <w:left w:val="none" w:sz="0" w:space="0" w:color="auto"/>
            <w:bottom w:val="none" w:sz="0" w:space="0" w:color="auto"/>
            <w:right w:val="none" w:sz="0" w:space="0" w:color="auto"/>
          </w:divBdr>
          <w:divsChild>
            <w:div w:id="13967805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8495584">
      <w:marLeft w:val="0"/>
      <w:marRight w:val="0"/>
      <w:marTop w:val="0"/>
      <w:marBottom w:val="0"/>
      <w:divBdr>
        <w:top w:val="none" w:sz="0" w:space="0" w:color="auto"/>
        <w:left w:val="none" w:sz="0" w:space="0" w:color="auto"/>
        <w:bottom w:val="none" w:sz="0" w:space="0" w:color="auto"/>
        <w:right w:val="none" w:sz="0" w:space="0" w:color="auto"/>
      </w:divBdr>
    </w:div>
    <w:div w:id="1233155572">
      <w:marLeft w:val="0"/>
      <w:marRight w:val="0"/>
      <w:marTop w:val="60"/>
      <w:marBottom w:val="0"/>
      <w:divBdr>
        <w:top w:val="none" w:sz="0" w:space="0" w:color="auto"/>
        <w:left w:val="none" w:sz="0" w:space="0" w:color="auto"/>
        <w:bottom w:val="none" w:sz="0" w:space="0" w:color="auto"/>
        <w:right w:val="none" w:sz="0" w:space="0" w:color="auto"/>
      </w:divBdr>
    </w:div>
    <w:div w:id="1233273675">
      <w:marLeft w:val="0"/>
      <w:marRight w:val="0"/>
      <w:marTop w:val="160"/>
      <w:marBottom w:val="0"/>
      <w:divBdr>
        <w:top w:val="none" w:sz="0" w:space="0" w:color="auto"/>
        <w:left w:val="none" w:sz="0" w:space="0" w:color="auto"/>
        <w:bottom w:val="none" w:sz="0" w:space="0" w:color="auto"/>
        <w:right w:val="none" w:sz="0" w:space="0" w:color="auto"/>
      </w:divBdr>
    </w:div>
    <w:div w:id="1233470679">
      <w:marLeft w:val="0"/>
      <w:marRight w:val="0"/>
      <w:marTop w:val="240"/>
      <w:marBottom w:val="0"/>
      <w:divBdr>
        <w:top w:val="none" w:sz="0" w:space="0" w:color="auto"/>
        <w:left w:val="none" w:sz="0" w:space="0" w:color="auto"/>
        <w:bottom w:val="none" w:sz="0" w:space="0" w:color="auto"/>
        <w:right w:val="none" w:sz="0" w:space="0" w:color="auto"/>
      </w:divBdr>
    </w:div>
    <w:div w:id="1235161394">
      <w:marLeft w:val="0"/>
      <w:marRight w:val="0"/>
      <w:marTop w:val="240"/>
      <w:marBottom w:val="0"/>
      <w:divBdr>
        <w:top w:val="none" w:sz="0" w:space="0" w:color="auto"/>
        <w:left w:val="none" w:sz="0" w:space="0" w:color="auto"/>
        <w:bottom w:val="none" w:sz="0" w:space="0" w:color="auto"/>
        <w:right w:val="none" w:sz="0" w:space="0" w:color="auto"/>
      </w:divBdr>
    </w:div>
    <w:div w:id="1242523386">
      <w:marLeft w:val="0"/>
      <w:marRight w:val="0"/>
      <w:marTop w:val="240"/>
      <w:marBottom w:val="0"/>
      <w:divBdr>
        <w:top w:val="none" w:sz="0" w:space="0" w:color="auto"/>
        <w:left w:val="none" w:sz="0" w:space="0" w:color="auto"/>
        <w:bottom w:val="none" w:sz="0" w:space="0" w:color="auto"/>
        <w:right w:val="none" w:sz="0" w:space="0" w:color="auto"/>
      </w:divBdr>
    </w:div>
    <w:div w:id="1245607186">
      <w:marLeft w:val="0"/>
      <w:marRight w:val="0"/>
      <w:marTop w:val="240"/>
      <w:marBottom w:val="0"/>
      <w:divBdr>
        <w:top w:val="none" w:sz="0" w:space="0" w:color="auto"/>
        <w:left w:val="none" w:sz="0" w:space="0" w:color="auto"/>
        <w:bottom w:val="none" w:sz="0" w:space="0" w:color="auto"/>
        <w:right w:val="none" w:sz="0" w:space="0" w:color="auto"/>
      </w:divBdr>
    </w:div>
    <w:div w:id="1246305642">
      <w:marLeft w:val="0"/>
      <w:marRight w:val="0"/>
      <w:marTop w:val="240"/>
      <w:marBottom w:val="0"/>
      <w:divBdr>
        <w:top w:val="none" w:sz="0" w:space="0" w:color="auto"/>
        <w:left w:val="none" w:sz="0" w:space="0" w:color="auto"/>
        <w:bottom w:val="none" w:sz="0" w:space="0" w:color="auto"/>
        <w:right w:val="none" w:sz="0" w:space="0" w:color="auto"/>
      </w:divBdr>
    </w:div>
    <w:div w:id="1246840323">
      <w:marLeft w:val="0"/>
      <w:marRight w:val="0"/>
      <w:marTop w:val="240"/>
      <w:marBottom w:val="0"/>
      <w:divBdr>
        <w:top w:val="none" w:sz="0" w:space="0" w:color="auto"/>
        <w:left w:val="none" w:sz="0" w:space="0" w:color="auto"/>
        <w:bottom w:val="none" w:sz="0" w:space="0" w:color="auto"/>
        <w:right w:val="none" w:sz="0" w:space="0" w:color="auto"/>
      </w:divBdr>
    </w:div>
    <w:div w:id="1249922245">
      <w:marLeft w:val="0"/>
      <w:marRight w:val="0"/>
      <w:marTop w:val="0"/>
      <w:marBottom w:val="0"/>
      <w:divBdr>
        <w:top w:val="none" w:sz="0" w:space="0" w:color="auto"/>
        <w:left w:val="none" w:sz="0" w:space="0" w:color="auto"/>
        <w:bottom w:val="none" w:sz="0" w:space="0" w:color="auto"/>
        <w:right w:val="none" w:sz="0" w:space="0" w:color="auto"/>
      </w:divBdr>
      <w:divsChild>
        <w:div w:id="902836916">
          <w:marLeft w:val="0"/>
          <w:marRight w:val="0"/>
          <w:marTop w:val="0"/>
          <w:marBottom w:val="0"/>
          <w:divBdr>
            <w:top w:val="none" w:sz="0" w:space="0" w:color="auto"/>
            <w:left w:val="none" w:sz="0" w:space="0" w:color="auto"/>
            <w:bottom w:val="none" w:sz="0" w:space="0" w:color="auto"/>
            <w:right w:val="none" w:sz="0" w:space="0" w:color="auto"/>
          </w:divBdr>
        </w:div>
      </w:divsChild>
    </w:div>
    <w:div w:id="1250120988">
      <w:marLeft w:val="0"/>
      <w:marRight w:val="0"/>
      <w:marTop w:val="0"/>
      <w:marBottom w:val="0"/>
      <w:divBdr>
        <w:top w:val="none" w:sz="0" w:space="0" w:color="auto"/>
        <w:left w:val="none" w:sz="0" w:space="0" w:color="auto"/>
        <w:bottom w:val="none" w:sz="0" w:space="0" w:color="auto"/>
        <w:right w:val="none" w:sz="0" w:space="0" w:color="auto"/>
      </w:divBdr>
      <w:divsChild>
        <w:div w:id="1345203308">
          <w:marLeft w:val="0"/>
          <w:marRight w:val="0"/>
          <w:marTop w:val="0"/>
          <w:marBottom w:val="0"/>
          <w:divBdr>
            <w:top w:val="none" w:sz="0" w:space="0" w:color="auto"/>
            <w:left w:val="none" w:sz="0" w:space="0" w:color="auto"/>
            <w:bottom w:val="none" w:sz="0" w:space="0" w:color="auto"/>
            <w:right w:val="none" w:sz="0" w:space="0" w:color="auto"/>
          </w:divBdr>
        </w:div>
      </w:divsChild>
    </w:div>
    <w:div w:id="1259480190">
      <w:marLeft w:val="0"/>
      <w:marRight w:val="0"/>
      <w:marTop w:val="240"/>
      <w:marBottom w:val="0"/>
      <w:divBdr>
        <w:top w:val="none" w:sz="0" w:space="0" w:color="auto"/>
        <w:left w:val="none" w:sz="0" w:space="0" w:color="auto"/>
        <w:bottom w:val="none" w:sz="0" w:space="0" w:color="auto"/>
        <w:right w:val="none" w:sz="0" w:space="0" w:color="auto"/>
      </w:divBdr>
    </w:div>
    <w:div w:id="1265528351">
      <w:marLeft w:val="0"/>
      <w:marRight w:val="0"/>
      <w:marTop w:val="0"/>
      <w:marBottom w:val="0"/>
      <w:divBdr>
        <w:top w:val="none" w:sz="0" w:space="0" w:color="auto"/>
        <w:left w:val="none" w:sz="0" w:space="0" w:color="auto"/>
        <w:bottom w:val="none" w:sz="0" w:space="0" w:color="auto"/>
        <w:right w:val="none" w:sz="0" w:space="0" w:color="auto"/>
      </w:divBdr>
      <w:divsChild>
        <w:div w:id="1596016403">
          <w:marLeft w:val="0"/>
          <w:marRight w:val="0"/>
          <w:marTop w:val="0"/>
          <w:marBottom w:val="0"/>
          <w:divBdr>
            <w:top w:val="none" w:sz="0" w:space="0" w:color="auto"/>
            <w:left w:val="none" w:sz="0" w:space="0" w:color="auto"/>
            <w:bottom w:val="none" w:sz="0" w:space="0" w:color="auto"/>
            <w:right w:val="none" w:sz="0" w:space="0" w:color="auto"/>
          </w:divBdr>
        </w:div>
      </w:divsChild>
    </w:div>
    <w:div w:id="1265766456">
      <w:marLeft w:val="0"/>
      <w:marRight w:val="0"/>
      <w:marTop w:val="240"/>
      <w:marBottom w:val="0"/>
      <w:divBdr>
        <w:top w:val="none" w:sz="0" w:space="0" w:color="auto"/>
        <w:left w:val="none" w:sz="0" w:space="0" w:color="auto"/>
        <w:bottom w:val="none" w:sz="0" w:space="0" w:color="auto"/>
        <w:right w:val="none" w:sz="0" w:space="0" w:color="auto"/>
      </w:divBdr>
    </w:div>
    <w:div w:id="1267035612">
      <w:marLeft w:val="0"/>
      <w:marRight w:val="0"/>
      <w:marTop w:val="240"/>
      <w:marBottom w:val="0"/>
      <w:divBdr>
        <w:top w:val="none" w:sz="0" w:space="0" w:color="auto"/>
        <w:left w:val="none" w:sz="0" w:space="0" w:color="auto"/>
        <w:bottom w:val="none" w:sz="0" w:space="0" w:color="auto"/>
        <w:right w:val="none" w:sz="0" w:space="0" w:color="auto"/>
      </w:divBdr>
    </w:div>
    <w:div w:id="1267807340">
      <w:marLeft w:val="0"/>
      <w:marRight w:val="0"/>
      <w:marTop w:val="160"/>
      <w:marBottom w:val="0"/>
      <w:divBdr>
        <w:top w:val="none" w:sz="0" w:space="0" w:color="auto"/>
        <w:left w:val="none" w:sz="0" w:space="0" w:color="auto"/>
        <w:bottom w:val="none" w:sz="0" w:space="0" w:color="auto"/>
        <w:right w:val="none" w:sz="0" w:space="0" w:color="auto"/>
      </w:divBdr>
    </w:div>
    <w:div w:id="1281953765">
      <w:marLeft w:val="0"/>
      <w:marRight w:val="0"/>
      <w:marTop w:val="240"/>
      <w:marBottom w:val="0"/>
      <w:divBdr>
        <w:top w:val="none" w:sz="0" w:space="0" w:color="auto"/>
        <w:left w:val="none" w:sz="0" w:space="0" w:color="auto"/>
        <w:bottom w:val="none" w:sz="0" w:space="0" w:color="auto"/>
        <w:right w:val="none" w:sz="0" w:space="0" w:color="auto"/>
      </w:divBdr>
    </w:div>
    <w:div w:id="1282572173">
      <w:marLeft w:val="0"/>
      <w:marRight w:val="0"/>
      <w:marTop w:val="240"/>
      <w:marBottom w:val="0"/>
      <w:divBdr>
        <w:top w:val="none" w:sz="0" w:space="0" w:color="auto"/>
        <w:left w:val="none" w:sz="0" w:space="0" w:color="auto"/>
        <w:bottom w:val="none" w:sz="0" w:space="0" w:color="auto"/>
        <w:right w:val="none" w:sz="0" w:space="0" w:color="auto"/>
      </w:divBdr>
    </w:div>
    <w:div w:id="1287004666">
      <w:marLeft w:val="0"/>
      <w:marRight w:val="0"/>
      <w:marTop w:val="160"/>
      <w:marBottom w:val="0"/>
      <w:divBdr>
        <w:top w:val="none" w:sz="0" w:space="0" w:color="auto"/>
        <w:left w:val="none" w:sz="0" w:space="0" w:color="auto"/>
        <w:bottom w:val="none" w:sz="0" w:space="0" w:color="auto"/>
        <w:right w:val="none" w:sz="0" w:space="0" w:color="auto"/>
      </w:divBdr>
    </w:div>
    <w:div w:id="1297947891">
      <w:marLeft w:val="0"/>
      <w:marRight w:val="0"/>
      <w:marTop w:val="0"/>
      <w:marBottom w:val="0"/>
      <w:divBdr>
        <w:top w:val="none" w:sz="0" w:space="0" w:color="auto"/>
        <w:left w:val="none" w:sz="0" w:space="0" w:color="auto"/>
        <w:bottom w:val="none" w:sz="0" w:space="0" w:color="auto"/>
        <w:right w:val="none" w:sz="0" w:space="0" w:color="auto"/>
      </w:divBdr>
      <w:divsChild>
        <w:div w:id="2066223310">
          <w:marLeft w:val="0"/>
          <w:marRight w:val="0"/>
          <w:marTop w:val="0"/>
          <w:marBottom w:val="0"/>
          <w:divBdr>
            <w:top w:val="none" w:sz="0" w:space="0" w:color="auto"/>
            <w:left w:val="none" w:sz="0" w:space="0" w:color="auto"/>
            <w:bottom w:val="none" w:sz="0" w:space="0" w:color="auto"/>
            <w:right w:val="none" w:sz="0" w:space="0" w:color="auto"/>
          </w:divBdr>
        </w:div>
      </w:divsChild>
    </w:div>
    <w:div w:id="1298143915">
      <w:marLeft w:val="0"/>
      <w:marRight w:val="0"/>
      <w:marTop w:val="240"/>
      <w:marBottom w:val="0"/>
      <w:divBdr>
        <w:top w:val="none" w:sz="0" w:space="0" w:color="auto"/>
        <w:left w:val="none" w:sz="0" w:space="0" w:color="auto"/>
        <w:bottom w:val="none" w:sz="0" w:space="0" w:color="auto"/>
        <w:right w:val="none" w:sz="0" w:space="0" w:color="auto"/>
      </w:divBdr>
    </w:div>
    <w:div w:id="1298602736">
      <w:marLeft w:val="0"/>
      <w:marRight w:val="0"/>
      <w:marTop w:val="240"/>
      <w:marBottom w:val="0"/>
      <w:divBdr>
        <w:top w:val="none" w:sz="0" w:space="0" w:color="auto"/>
        <w:left w:val="none" w:sz="0" w:space="0" w:color="auto"/>
        <w:bottom w:val="none" w:sz="0" w:space="0" w:color="auto"/>
        <w:right w:val="none" w:sz="0" w:space="0" w:color="auto"/>
      </w:divBdr>
    </w:div>
    <w:div w:id="1306620091">
      <w:marLeft w:val="0"/>
      <w:marRight w:val="0"/>
      <w:marTop w:val="240"/>
      <w:marBottom w:val="0"/>
      <w:divBdr>
        <w:top w:val="none" w:sz="0" w:space="0" w:color="auto"/>
        <w:left w:val="none" w:sz="0" w:space="0" w:color="auto"/>
        <w:bottom w:val="none" w:sz="0" w:space="0" w:color="auto"/>
        <w:right w:val="none" w:sz="0" w:space="0" w:color="auto"/>
      </w:divBdr>
    </w:div>
    <w:div w:id="1308701595">
      <w:marLeft w:val="0"/>
      <w:marRight w:val="0"/>
      <w:marTop w:val="240"/>
      <w:marBottom w:val="0"/>
      <w:divBdr>
        <w:top w:val="none" w:sz="0" w:space="0" w:color="auto"/>
        <w:left w:val="none" w:sz="0" w:space="0" w:color="auto"/>
        <w:bottom w:val="none" w:sz="0" w:space="0" w:color="auto"/>
        <w:right w:val="none" w:sz="0" w:space="0" w:color="auto"/>
      </w:divBdr>
    </w:div>
    <w:div w:id="1312516946">
      <w:marLeft w:val="0"/>
      <w:marRight w:val="0"/>
      <w:marTop w:val="240"/>
      <w:marBottom w:val="0"/>
      <w:divBdr>
        <w:top w:val="none" w:sz="0" w:space="0" w:color="auto"/>
        <w:left w:val="none" w:sz="0" w:space="0" w:color="auto"/>
        <w:bottom w:val="none" w:sz="0" w:space="0" w:color="auto"/>
        <w:right w:val="none" w:sz="0" w:space="0" w:color="auto"/>
      </w:divBdr>
    </w:div>
    <w:div w:id="1315527516">
      <w:marLeft w:val="0"/>
      <w:marRight w:val="0"/>
      <w:marTop w:val="240"/>
      <w:marBottom w:val="0"/>
      <w:divBdr>
        <w:top w:val="none" w:sz="0" w:space="0" w:color="auto"/>
        <w:left w:val="none" w:sz="0" w:space="0" w:color="auto"/>
        <w:bottom w:val="none" w:sz="0" w:space="0" w:color="auto"/>
        <w:right w:val="none" w:sz="0" w:space="0" w:color="auto"/>
      </w:divBdr>
    </w:div>
    <w:div w:id="1316646196">
      <w:marLeft w:val="0"/>
      <w:marRight w:val="0"/>
      <w:marTop w:val="240"/>
      <w:marBottom w:val="0"/>
      <w:divBdr>
        <w:top w:val="none" w:sz="0" w:space="0" w:color="auto"/>
        <w:left w:val="none" w:sz="0" w:space="0" w:color="auto"/>
        <w:bottom w:val="none" w:sz="0" w:space="0" w:color="auto"/>
        <w:right w:val="none" w:sz="0" w:space="0" w:color="auto"/>
      </w:divBdr>
    </w:div>
    <w:div w:id="1318221816">
      <w:marLeft w:val="0"/>
      <w:marRight w:val="0"/>
      <w:marTop w:val="240"/>
      <w:marBottom w:val="0"/>
      <w:divBdr>
        <w:top w:val="none" w:sz="0" w:space="0" w:color="auto"/>
        <w:left w:val="none" w:sz="0" w:space="0" w:color="auto"/>
        <w:bottom w:val="none" w:sz="0" w:space="0" w:color="auto"/>
        <w:right w:val="none" w:sz="0" w:space="0" w:color="auto"/>
      </w:divBdr>
    </w:div>
    <w:div w:id="1318680660">
      <w:marLeft w:val="0"/>
      <w:marRight w:val="0"/>
      <w:marTop w:val="240"/>
      <w:marBottom w:val="0"/>
      <w:divBdr>
        <w:top w:val="none" w:sz="0" w:space="0" w:color="auto"/>
        <w:left w:val="none" w:sz="0" w:space="0" w:color="auto"/>
        <w:bottom w:val="none" w:sz="0" w:space="0" w:color="auto"/>
        <w:right w:val="none" w:sz="0" w:space="0" w:color="auto"/>
      </w:divBdr>
    </w:div>
    <w:div w:id="1320226917">
      <w:marLeft w:val="0"/>
      <w:marRight w:val="0"/>
      <w:marTop w:val="0"/>
      <w:marBottom w:val="0"/>
      <w:divBdr>
        <w:top w:val="none" w:sz="0" w:space="0" w:color="auto"/>
        <w:left w:val="none" w:sz="0" w:space="0" w:color="auto"/>
        <w:bottom w:val="none" w:sz="0" w:space="0" w:color="auto"/>
        <w:right w:val="none" w:sz="0" w:space="0" w:color="auto"/>
      </w:divBdr>
      <w:divsChild>
        <w:div w:id="1386100585">
          <w:marLeft w:val="0"/>
          <w:marRight w:val="0"/>
          <w:marTop w:val="0"/>
          <w:marBottom w:val="0"/>
          <w:divBdr>
            <w:top w:val="none" w:sz="0" w:space="0" w:color="auto"/>
            <w:left w:val="none" w:sz="0" w:space="0" w:color="auto"/>
            <w:bottom w:val="none" w:sz="0" w:space="0" w:color="auto"/>
            <w:right w:val="none" w:sz="0" w:space="0" w:color="auto"/>
          </w:divBdr>
          <w:divsChild>
            <w:div w:id="4532560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22083403">
      <w:marLeft w:val="0"/>
      <w:marRight w:val="0"/>
      <w:marTop w:val="240"/>
      <w:marBottom w:val="0"/>
      <w:divBdr>
        <w:top w:val="none" w:sz="0" w:space="0" w:color="auto"/>
        <w:left w:val="none" w:sz="0" w:space="0" w:color="auto"/>
        <w:bottom w:val="none" w:sz="0" w:space="0" w:color="auto"/>
        <w:right w:val="none" w:sz="0" w:space="0" w:color="auto"/>
      </w:divBdr>
    </w:div>
    <w:div w:id="1323240628">
      <w:marLeft w:val="0"/>
      <w:marRight w:val="0"/>
      <w:marTop w:val="0"/>
      <w:marBottom w:val="0"/>
      <w:divBdr>
        <w:top w:val="none" w:sz="0" w:space="0" w:color="auto"/>
        <w:left w:val="none" w:sz="0" w:space="0" w:color="auto"/>
        <w:bottom w:val="none" w:sz="0" w:space="0" w:color="auto"/>
        <w:right w:val="none" w:sz="0" w:space="0" w:color="auto"/>
      </w:divBdr>
      <w:divsChild>
        <w:div w:id="373698275">
          <w:marLeft w:val="0"/>
          <w:marRight w:val="0"/>
          <w:marTop w:val="0"/>
          <w:marBottom w:val="0"/>
          <w:divBdr>
            <w:top w:val="none" w:sz="0" w:space="0" w:color="auto"/>
            <w:left w:val="none" w:sz="0" w:space="0" w:color="auto"/>
            <w:bottom w:val="none" w:sz="0" w:space="0" w:color="auto"/>
            <w:right w:val="none" w:sz="0" w:space="0" w:color="auto"/>
          </w:divBdr>
          <w:divsChild>
            <w:div w:id="12973702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26126406">
      <w:marLeft w:val="0"/>
      <w:marRight w:val="0"/>
      <w:marTop w:val="240"/>
      <w:marBottom w:val="0"/>
      <w:divBdr>
        <w:top w:val="none" w:sz="0" w:space="0" w:color="auto"/>
        <w:left w:val="none" w:sz="0" w:space="0" w:color="auto"/>
        <w:bottom w:val="none" w:sz="0" w:space="0" w:color="auto"/>
        <w:right w:val="none" w:sz="0" w:space="0" w:color="auto"/>
      </w:divBdr>
    </w:div>
    <w:div w:id="1326128898">
      <w:marLeft w:val="0"/>
      <w:marRight w:val="0"/>
      <w:marTop w:val="240"/>
      <w:marBottom w:val="240"/>
      <w:divBdr>
        <w:top w:val="none" w:sz="0" w:space="0" w:color="auto"/>
        <w:left w:val="none" w:sz="0" w:space="0" w:color="auto"/>
        <w:bottom w:val="none" w:sz="0" w:space="0" w:color="auto"/>
        <w:right w:val="none" w:sz="0" w:space="0" w:color="auto"/>
      </w:divBdr>
    </w:div>
    <w:div w:id="1332489890">
      <w:marLeft w:val="0"/>
      <w:marRight w:val="0"/>
      <w:marTop w:val="0"/>
      <w:marBottom w:val="0"/>
      <w:divBdr>
        <w:top w:val="none" w:sz="0" w:space="0" w:color="auto"/>
        <w:left w:val="none" w:sz="0" w:space="0" w:color="auto"/>
        <w:bottom w:val="none" w:sz="0" w:space="0" w:color="auto"/>
        <w:right w:val="none" w:sz="0" w:space="0" w:color="auto"/>
      </w:divBdr>
      <w:divsChild>
        <w:div w:id="1259367243">
          <w:marLeft w:val="0"/>
          <w:marRight w:val="0"/>
          <w:marTop w:val="0"/>
          <w:marBottom w:val="0"/>
          <w:divBdr>
            <w:top w:val="none" w:sz="0" w:space="0" w:color="auto"/>
            <w:left w:val="none" w:sz="0" w:space="0" w:color="auto"/>
            <w:bottom w:val="none" w:sz="0" w:space="0" w:color="auto"/>
            <w:right w:val="none" w:sz="0" w:space="0" w:color="auto"/>
          </w:divBdr>
        </w:div>
      </w:divsChild>
    </w:div>
    <w:div w:id="1339043203">
      <w:marLeft w:val="0"/>
      <w:marRight w:val="0"/>
      <w:marTop w:val="240"/>
      <w:marBottom w:val="0"/>
      <w:divBdr>
        <w:top w:val="none" w:sz="0" w:space="0" w:color="auto"/>
        <w:left w:val="none" w:sz="0" w:space="0" w:color="auto"/>
        <w:bottom w:val="none" w:sz="0" w:space="0" w:color="auto"/>
        <w:right w:val="none" w:sz="0" w:space="0" w:color="auto"/>
      </w:divBdr>
    </w:div>
    <w:div w:id="1342899418">
      <w:marLeft w:val="0"/>
      <w:marRight w:val="0"/>
      <w:marTop w:val="240"/>
      <w:marBottom w:val="0"/>
      <w:divBdr>
        <w:top w:val="none" w:sz="0" w:space="0" w:color="auto"/>
        <w:left w:val="none" w:sz="0" w:space="0" w:color="auto"/>
        <w:bottom w:val="none" w:sz="0" w:space="0" w:color="auto"/>
        <w:right w:val="none" w:sz="0" w:space="0" w:color="auto"/>
      </w:divBdr>
    </w:div>
    <w:div w:id="1349022255">
      <w:marLeft w:val="0"/>
      <w:marRight w:val="0"/>
      <w:marTop w:val="240"/>
      <w:marBottom w:val="0"/>
      <w:divBdr>
        <w:top w:val="none" w:sz="0" w:space="0" w:color="auto"/>
        <w:left w:val="none" w:sz="0" w:space="0" w:color="auto"/>
        <w:bottom w:val="none" w:sz="0" w:space="0" w:color="auto"/>
        <w:right w:val="none" w:sz="0" w:space="0" w:color="auto"/>
      </w:divBdr>
    </w:div>
    <w:div w:id="1350567987">
      <w:marLeft w:val="0"/>
      <w:marRight w:val="0"/>
      <w:marTop w:val="0"/>
      <w:marBottom w:val="0"/>
      <w:divBdr>
        <w:top w:val="none" w:sz="0" w:space="0" w:color="auto"/>
        <w:left w:val="none" w:sz="0" w:space="0" w:color="auto"/>
        <w:bottom w:val="none" w:sz="0" w:space="0" w:color="auto"/>
        <w:right w:val="none" w:sz="0" w:space="0" w:color="auto"/>
      </w:divBdr>
      <w:divsChild>
        <w:div w:id="1367832743">
          <w:marLeft w:val="0"/>
          <w:marRight w:val="0"/>
          <w:marTop w:val="0"/>
          <w:marBottom w:val="0"/>
          <w:divBdr>
            <w:top w:val="none" w:sz="0" w:space="0" w:color="auto"/>
            <w:left w:val="none" w:sz="0" w:space="0" w:color="auto"/>
            <w:bottom w:val="none" w:sz="0" w:space="0" w:color="auto"/>
            <w:right w:val="none" w:sz="0" w:space="0" w:color="auto"/>
          </w:divBdr>
        </w:div>
      </w:divsChild>
    </w:div>
    <w:div w:id="1350718830">
      <w:marLeft w:val="0"/>
      <w:marRight w:val="0"/>
      <w:marTop w:val="240"/>
      <w:marBottom w:val="0"/>
      <w:divBdr>
        <w:top w:val="none" w:sz="0" w:space="0" w:color="auto"/>
        <w:left w:val="none" w:sz="0" w:space="0" w:color="auto"/>
        <w:bottom w:val="none" w:sz="0" w:space="0" w:color="auto"/>
        <w:right w:val="none" w:sz="0" w:space="0" w:color="auto"/>
      </w:divBdr>
    </w:div>
    <w:div w:id="1357586670">
      <w:marLeft w:val="0"/>
      <w:marRight w:val="0"/>
      <w:marTop w:val="240"/>
      <w:marBottom w:val="0"/>
      <w:divBdr>
        <w:top w:val="none" w:sz="0" w:space="0" w:color="auto"/>
        <w:left w:val="none" w:sz="0" w:space="0" w:color="auto"/>
        <w:bottom w:val="none" w:sz="0" w:space="0" w:color="auto"/>
        <w:right w:val="none" w:sz="0" w:space="0" w:color="auto"/>
      </w:divBdr>
    </w:div>
    <w:div w:id="1361542266">
      <w:marLeft w:val="0"/>
      <w:marRight w:val="0"/>
      <w:marTop w:val="240"/>
      <w:marBottom w:val="0"/>
      <w:divBdr>
        <w:top w:val="none" w:sz="0" w:space="0" w:color="auto"/>
        <w:left w:val="none" w:sz="0" w:space="0" w:color="auto"/>
        <w:bottom w:val="none" w:sz="0" w:space="0" w:color="auto"/>
        <w:right w:val="none" w:sz="0" w:space="0" w:color="auto"/>
      </w:divBdr>
    </w:div>
    <w:div w:id="1363750304">
      <w:marLeft w:val="0"/>
      <w:marRight w:val="0"/>
      <w:marTop w:val="24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sChild>
        <w:div w:id="718044231">
          <w:marLeft w:val="0"/>
          <w:marRight w:val="0"/>
          <w:marTop w:val="0"/>
          <w:marBottom w:val="0"/>
          <w:divBdr>
            <w:top w:val="none" w:sz="0" w:space="0" w:color="auto"/>
            <w:left w:val="none" w:sz="0" w:space="0" w:color="auto"/>
            <w:bottom w:val="none" w:sz="0" w:space="0" w:color="auto"/>
            <w:right w:val="none" w:sz="0" w:space="0" w:color="auto"/>
          </w:divBdr>
        </w:div>
      </w:divsChild>
    </w:div>
    <w:div w:id="1384518561">
      <w:marLeft w:val="0"/>
      <w:marRight w:val="0"/>
      <w:marTop w:val="240"/>
      <w:marBottom w:val="0"/>
      <w:divBdr>
        <w:top w:val="none" w:sz="0" w:space="0" w:color="auto"/>
        <w:left w:val="none" w:sz="0" w:space="0" w:color="auto"/>
        <w:bottom w:val="none" w:sz="0" w:space="0" w:color="auto"/>
        <w:right w:val="none" w:sz="0" w:space="0" w:color="auto"/>
      </w:divBdr>
    </w:div>
    <w:div w:id="1387680622">
      <w:marLeft w:val="0"/>
      <w:marRight w:val="0"/>
      <w:marTop w:val="120"/>
      <w:marBottom w:val="0"/>
      <w:divBdr>
        <w:top w:val="none" w:sz="0" w:space="0" w:color="auto"/>
        <w:left w:val="none" w:sz="0" w:space="0" w:color="auto"/>
        <w:bottom w:val="none" w:sz="0" w:space="0" w:color="auto"/>
        <w:right w:val="none" w:sz="0" w:space="0" w:color="auto"/>
      </w:divBdr>
    </w:div>
    <w:div w:id="1389845040">
      <w:marLeft w:val="0"/>
      <w:marRight w:val="0"/>
      <w:marTop w:val="240"/>
      <w:marBottom w:val="0"/>
      <w:divBdr>
        <w:top w:val="none" w:sz="0" w:space="0" w:color="auto"/>
        <w:left w:val="none" w:sz="0" w:space="0" w:color="auto"/>
        <w:bottom w:val="none" w:sz="0" w:space="0" w:color="auto"/>
        <w:right w:val="none" w:sz="0" w:space="0" w:color="auto"/>
      </w:divBdr>
    </w:div>
    <w:div w:id="1390151465">
      <w:marLeft w:val="0"/>
      <w:marRight w:val="0"/>
      <w:marTop w:val="24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sChild>
        <w:div w:id="790319992">
          <w:marLeft w:val="0"/>
          <w:marRight w:val="0"/>
          <w:marTop w:val="0"/>
          <w:marBottom w:val="0"/>
          <w:divBdr>
            <w:top w:val="none" w:sz="0" w:space="0" w:color="auto"/>
            <w:left w:val="none" w:sz="0" w:space="0" w:color="auto"/>
            <w:bottom w:val="none" w:sz="0" w:space="0" w:color="auto"/>
            <w:right w:val="none" w:sz="0" w:space="0" w:color="auto"/>
          </w:divBdr>
          <w:divsChild>
            <w:div w:id="324237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96973194">
      <w:marLeft w:val="0"/>
      <w:marRight w:val="0"/>
      <w:marTop w:val="240"/>
      <w:marBottom w:val="0"/>
      <w:divBdr>
        <w:top w:val="none" w:sz="0" w:space="0" w:color="auto"/>
        <w:left w:val="none" w:sz="0" w:space="0" w:color="auto"/>
        <w:bottom w:val="none" w:sz="0" w:space="0" w:color="auto"/>
        <w:right w:val="none" w:sz="0" w:space="0" w:color="auto"/>
      </w:divBdr>
    </w:div>
    <w:div w:id="1400061036">
      <w:marLeft w:val="0"/>
      <w:marRight w:val="0"/>
      <w:marTop w:val="240"/>
      <w:marBottom w:val="0"/>
      <w:divBdr>
        <w:top w:val="none" w:sz="0" w:space="0" w:color="auto"/>
        <w:left w:val="none" w:sz="0" w:space="0" w:color="auto"/>
        <w:bottom w:val="none" w:sz="0" w:space="0" w:color="auto"/>
        <w:right w:val="none" w:sz="0" w:space="0" w:color="auto"/>
      </w:divBdr>
    </w:div>
    <w:div w:id="1409768165">
      <w:marLeft w:val="0"/>
      <w:marRight w:val="0"/>
      <w:marTop w:val="240"/>
      <w:marBottom w:val="0"/>
      <w:divBdr>
        <w:top w:val="none" w:sz="0" w:space="0" w:color="auto"/>
        <w:left w:val="none" w:sz="0" w:space="0" w:color="auto"/>
        <w:bottom w:val="none" w:sz="0" w:space="0" w:color="auto"/>
        <w:right w:val="none" w:sz="0" w:space="0" w:color="auto"/>
      </w:divBdr>
    </w:div>
    <w:div w:id="1409883225">
      <w:marLeft w:val="0"/>
      <w:marRight w:val="0"/>
      <w:marTop w:val="240"/>
      <w:marBottom w:val="0"/>
      <w:divBdr>
        <w:top w:val="none" w:sz="0" w:space="0" w:color="auto"/>
        <w:left w:val="none" w:sz="0" w:space="0" w:color="auto"/>
        <w:bottom w:val="none" w:sz="0" w:space="0" w:color="auto"/>
        <w:right w:val="none" w:sz="0" w:space="0" w:color="auto"/>
      </w:divBdr>
    </w:div>
    <w:div w:id="1410425713">
      <w:marLeft w:val="0"/>
      <w:marRight w:val="0"/>
      <w:marTop w:val="0"/>
      <w:marBottom w:val="0"/>
      <w:divBdr>
        <w:top w:val="none" w:sz="0" w:space="0" w:color="auto"/>
        <w:left w:val="none" w:sz="0" w:space="0" w:color="auto"/>
        <w:bottom w:val="none" w:sz="0" w:space="0" w:color="auto"/>
        <w:right w:val="none" w:sz="0" w:space="0" w:color="auto"/>
      </w:divBdr>
      <w:divsChild>
        <w:div w:id="611009496">
          <w:marLeft w:val="0"/>
          <w:marRight w:val="0"/>
          <w:marTop w:val="0"/>
          <w:marBottom w:val="0"/>
          <w:divBdr>
            <w:top w:val="none" w:sz="0" w:space="0" w:color="auto"/>
            <w:left w:val="none" w:sz="0" w:space="0" w:color="auto"/>
            <w:bottom w:val="none" w:sz="0" w:space="0" w:color="auto"/>
            <w:right w:val="none" w:sz="0" w:space="0" w:color="auto"/>
          </w:divBdr>
          <w:divsChild>
            <w:div w:id="16356794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12582874">
      <w:marLeft w:val="0"/>
      <w:marRight w:val="0"/>
      <w:marTop w:val="240"/>
      <w:marBottom w:val="0"/>
      <w:divBdr>
        <w:top w:val="none" w:sz="0" w:space="0" w:color="auto"/>
        <w:left w:val="none" w:sz="0" w:space="0" w:color="auto"/>
        <w:bottom w:val="none" w:sz="0" w:space="0" w:color="auto"/>
        <w:right w:val="none" w:sz="0" w:space="0" w:color="auto"/>
      </w:divBdr>
    </w:div>
    <w:div w:id="1413119902">
      <w:marLeft w:val="0"/>
      <w:marRight w:val="0"/>
      <w:marTop w:val="240"/>
      <w:marBottom w:val="0"/>
      <w:divBdr>
        <w:top w:val="none" w:sz="0" w:space="0" w:color="auto"/>
        <w:left w:val="none" w:sz="0" w:space="0" w:color="auto"/>
        <w:bottom w:val="none" w:sz="0" w:space="0" w:color="auto"/>
        <w:right w:val="none" w:sz="0" w:space="0" w:color="auto"/>
      </w:divBdr>
    </w:div>
    <w:div w:id="1415400013">
      <w:marLeft w:val="0"/>
      <w:marRight w:val="0"/>
      <w:marTop w:val="0"/>
      <w:marBottom w:val="0"/>
      <w:divBdr>
        <w:top w:val="none" w:sz="0" w:space="0" w:color="auto"/>
        <w:left w:val="none" w:sz="0" w:space="0" w:color="auto"/>
        <w:bottom w:val="none" w:sz="0" w:space="0" w:color="auto"/>
        <w:right w:val="none" w:sz="0" w:space="0" w:color="auto"/>
      </w:divBdr>
      <w:divsChild>
        <w:div w:id="1396467037">
          <w:marLeft w:val="0"/>
          <w:marRight w:val="0"/>
          <w:marTop w:val="0"/>
          <w:marBottom w:val="0"/>
          <w:divBdr>
            <w:top w:val="none" w:sz="0" w:space="0" w:color="auto"/>
            <w:left w:val="none" w:sz="0" w:space="0" w:color="auto"/>
            <w:bottom w:val="none" w:sz="0" w:space="0" w:color="auto"/>
            <w:right w:val="none" w:sz="0" w:space="0" w:color="auto"/>
          </w:divBdr>
        </w:div>
      </w:divsChild>
    </w:div>
    <w:div w:id="1416170077">
      <w:marLeft w:val="0"/>
      <w:marRight w:val="0"/>
      <w:marTop w:val="240"/>
      <w:marBottom w:val="0"/>
      <w:divBdr>
        <w:top w:val="none" w:sz="0" w:space="0" w:color="auto"/>
        <w:left w:val="none" w:sz="0" w:space="0" w:color="auto"/>
        <w:bottom w:val="none" w:sz="0" w:space="0" w:color="auto"/>
        <w:right w:val="none" w:sz="0" w:space="0" w:color="auto"/>
      </w:divBdr>
    </w:div>
    <w:div w:id="1419793466">
      <w:marLeft w:val="0"/>
      <w:marRight w:val="0"/>
      <w:marTop w:val="160"/>
      <w:marBottom w:val="0"/>
      <w:divBdr>
        <w:top w:val="none" w:sz="0" w:space="0" w:color="auto"/>
        <w:left w:val="none" w:sz="0" w:space="0" w:color="auto"/>
        <w:bottom w:val="none" w:sz="0" w:space="0" w:color="auto"/>
        <w:right w:val="none" w:sz="0" w:space="0" w:color="auto"/>
      </w:divBdr>
    </w:div>
    <w:div w:id="1423062450">
      <w:marLeft w:val="0"/>
      <w:marRight w:val="0"/>
      <w:marTop w:val="240"/>
      <w:marBottom w:val="0"/>
      <w:divBdr>
        <w:top w:val="none" w:sz="0" w:space="0" w:color="auto"/>
        <w:left w:val="none" w:sz="0" w:space="0" w:color="auto"/>
        <w:bottom w:val="none" w:sz="0" w:space="0" w:color="auto"/>
        <w:right w:val="none" w:sz="0" w:space="0" w:color="auto"/>
      </w:divBdr>
    </w:div>
    <w:div w:id="1428891415">
      <w:marLeft w:val="0"/>
      <w:marRight w:val="0"/>
      <w:marTop w:val="240"/>
      <w:marBottom w:val="0"/>
      <w:divBdr>
        <w:top w:val="none" w:sz="0" w:space="0" w:color="auto"/>
        <w:left w:val="none" w:sz="0" w:space="0" w:color="auto"/>
        <w:bottom w:val="none" w:sz="0" w:space="0" w:color="auto"/>
        <w:right w:val="none" w:sz="0" w:space="0" w:color="auto"/>
      </w:divBdr>
    </w:div>
    <w:div w:id="1431970746">
      <w:marLeft w:val="0"/>
      <w:marRight w:val="0"/>
      <w:marTop w:val="120"/>
      <w:marBottom w:val="0"/>
      <w:divBdr>
        <w:top w:val="none" w:sz="0" w:space="0" w:color="auto"/>
        <w:left w:val="none" w:sz="0" w:space="0" w:color="auto"/>
        <w:bottom w:val="none" w:sz="0" w:space="0" w:color="auto"/>
        <w:right w:val="none" w:sz="0" w:space="0" w:color="auto"/>
      </w:divBdr>
    </w:div>
    <w:div w:id="1432970942">
      <w:marLeft w:val="0"/>
      <w:marRight w:val="0"/>
      <w:marTop w:val="240"/>
      <w:marBottom w:val="0"/>
      <w:divBdr>
        <w:top w:val="none" w:sz="0" w:space="0" w:color="auto"/>
        <w:left w:val="none" w:sz="0" w:space="0" w:color="auto"/>
        <w:bottom w:val="none" w:sz="0" w:space="0" w:color="auto"/>
        <w:right w:val="none" w:sz="0" w:space="0" w:color="auto"/>
      </w:divBdr>
    </w:div>
    <w:div w:id="1436318706">
      <w:marLeft w:val="0"/>
      <w:marRight w:val="0"/>
      <w:marTop w:val="0"/>
      <w:marBottom w:val="0"/>
      <w:divBdr>
        <w:top w:val="none" w:sz="0" w:space="0" w:color="auto"/>
        <w:left w:val="none" w:sz="0" w:space="0" w:color="auto"/>
        <w:bottom w:val="none" w:sz="0" w:space="0" w:color="auto"/>
        <w:right w:val="none" w:sz="0" w:space="0" w:color="auto"/>
      </w:divBdr>
      <w:divsChild>
        <w:div w:id="1797869129">
          <w:marLeft w:val="0"/>
          <w:marRight w:val="0"/>
          <w:marTop w:val="0"/>
          <w:marBottom w:val="0"/>
          <w:divBdr>
            <w:top w:val="none" w:sz="0" w:space="0" w:color="auto"/>
            <w:left w:val="none" w:sz="0" w:space="0" w:color="auto"/>
            <w:bottom w:val="none" w:sz="0" w:space="0" w:color="auto"/>
            <w:right w:val="none" w:sz="0" w:space="0" w:color="auto"/>
          </w:divBdr>
          <w:divsChild>
            <w:div w:id="8679842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40101956">
      <w:marLeft w:val="0"/>
      <w:marRight w:val="0"/>
      <w:marTop w:val="0"/>
      <w:marBottom w:val="120"/>
      <w:divBdr>
        <w:top w:val="none" w:sz="0" w:space="0" w:color="auto"/>
        <w:left w:val="none" w:sz="0" w:space="0" w:color="auto"/>
        <w:bottom w:val="none" w:sz="0" w:space="0" w:color="auto"/>
        <w:right w:val="none" w:sz="0" w:space="0" w:color="auto"/>
      </w:divBdr>
      <w:divsChild>
        <w:div w:id="694618615">
          <w:marLeft w:val="0"/>
          <w:marRight w:val="0"/>
          <w:marTop w:val="0"/>
          <w:marBottom w:val="0"/>
          <w:divBdr>
            <w:top w:val="none" w:sz="0" w:space="0" w:color="auto"/>
            <w:left w:val="none" w:sz="0" w:space="0" w:color="auto"/>
            <w:bottom w:val="none" w:sz="0" w:space="0" w:color="auto"/>
            <w:right w:val="none" w:sz="0" w:space="0" w:color="auto"/>
          </w:divBdr>
        </w:div>
        <w:div w:id="1579099952">
          <w:marLeft w:val="0"/>
          <w:marRight w:val="0"/>
          <w:marTop w:val="0"/>
          <w:marBottom w:val="0"/>
          <w:divBdr>
            <w:top w:val="none" w:sz="0" w:space="0" w:color="auto"/>
            <w:left w:val="none" w:sz="0" w:space="0" w:color="auto"/>
            <w:bottom w:val="none" w:sz="0" w:space="0" w:color="auto"/>
            <w:right w:val="none" w:sz="0" w:space="0" w:color="auto"/>
          </w:divBdr>
        </w:div>
        <w:div w:id="1706248350">
          <w:marLeft w:val="0"/>
          <w:marRight w:val="0"/>
          <w:marTop w:val="0"/>
          <w:marBottom w:val="0"/>
          <w:divBdr>
            <w:top w:val="none" w:sz="0" w:space="0" w:color="auto"/>
            <w:left w:val="none" w:sz="0" w:space="0" w:color="auto"/>
            <w:bottom w:val="none" w:sz="0" w:space="0" w:color="auto"/>
            <w:right w:val="none" w:sz="0" w:space="0" w:color="auto"/>
          </w:divBdr>
        </w:div>
      </w:divsChild>
    </w:div>
    <w:div w:id="1442455393">
      <w:marLeft w:val="0"/>
      <w:marRight w:val="0"/>
      <w:marTop w:val="240"/>
      <w:marBottom w:val="0"/>
      <w:divBdr>
        <w:top w:val="none" w:sz="0" w:space="0" w:color="auto"/>
        <w:left w:val="none" w:sz="0" w:space="0" w:color="auto"/>
        <w:bottom w:val="none" w:sz="0" w:space="0" w:color="auto"/>
        <w:right w:val="none" w:sz="0" w:space="0" w:color="auto"/>
      </w:divBdr>
    </w:div>
    <w:div w:id="1444109833">
      <w:marLeft w:val="0"/>
      <w:marRight w:val="0"/>
      <w:marTop w:val="240"/>
      <w:marBottom w:val="0"/>
      <w:divBdr>
        <w:top w:val="none" w:sz="0" w:space="0" w:color="auto"/>
        <w:left w:val="none" w:sz="0" w:space="0" w:color="auto"/>
        <w:bottom w:val="none" w:sz="0" w:space="0" w:color="auto"/>
        <w:right w:val="none" w:sz="0" w:space="0" w:color="auto"/>
      </w:divBdr>
    </w:div>
    <w:div w:id="1444152121">
      <w:marLeft w:val="0"/>
      <w:marRight w:val="0"/>
      <w:marTop w:val="240"/>
      <w:marBottom w:val="0"/>
      <w:divBdr>
        <w:top w:val="none" w:sz="0" w:space="0" w:color="auto"/>
        <w:left w:val="none" w:sz="0" w:space="0" w:color="auto"/>
        <w:bottom w:val="none" w:sz="0" w:space="0" w:color="auto"/>
        <w:right w:val="none" w:sz="0" w:space="0" w:color="auto"/>
      </w:divBdr>
    </w:div>
    <w:div w:id="1444810733">
      <w:marLeft w:val="0"/>
      <w:marRight w:val="0"/>
      <w:marTop w:val="240"/>
      <w:marBottom w:val="0"/>
      <w:divBdr>
        <w:top w:val="none" w:sz="0" w:space="0" w:color="auto"/>
        <w:left w:val="none" w:sz="0" w:space="0" w:color="auto"/>
        <w:bottom w:val="none" w:sz="0" w:space="0" w:color="auto"/>
        <w:right w:val="none" w:sz="0" w:space="0" w:color="auto"/>
      </w:divBdr>
    </w:div>
    <w:div w:id="1445150799">
      <w:marLeft w:val="0"/>
      <w:marRight w:val="0"/>
      <w:marTop w:val="240"/>
      <w:marBottom w:val="0"/>
      <w:divBdr>
        <w:top w:val="none" w:sz="0" w:space="0" w:color="auto"/>
        <w:left w:val="none" w:sz="0" w:space="0" w:color="auto"/>
        <w:bottom w:val="none" w:sz="0" w:space="0" w:color="auto"/>
        <w:right w:val="none" w:sz="0" w:space="0" w:color="auto"/>
      </w:divBdr>
    </w:div>
    <w:div w:id="1445541453">
      <w:marLeft w:val="0"/>
      <w:marRight w:val="0"/>
      <w:marTop w:val="240"/>
      <w:marBottom w:val="0"/>
      <w:divBdr>
        <w:top w:val="none" w:sz="0" w:space="0" w:color="auto"/>
        <w:left w:val="none" w:sz="0" w:space="0" w:color="auto"/>
        <w:bottom w:val="none" w:sz="0" w:space="0" w:color="auto"/>
        <w:right w:val="none" w:sz="0" w:space="0" w:color="auto"/>
      </w:divBdr>
    </w:div>
    <w:div w:id="1449622006">
      <w:marLeft w:val="0"/>
      <w:marRight w:val="0"/>
      <w:marTop w:val="240"/>
      <w:marBottom w:val="0"/>
      <w:divBdr>
        <w:top w:val="none" w:sz="0" w:space="0" w:color="auto"/>
        <w:left w:val="none" w:sz="0" w:space="0" w:color="auto"/>
        <w:bottom w:val="none" w:sz="0" w:space="0" w:color="auto"/>
        <w:right w:val="none" w:sz="0" w:space="0" w:color="auto"/>
      </w:divBdr>
    </w:div>
    <w:div w:id="1449734244">
      <w:marLeft w:val="0"/>
      <w:marRight w:val="0"/>
      <w:marTop w:val="120"/>
      <w:marBottom w:val="0"/>
      <w:divBdr>
        <w:top w:val="none" w:sz="0" w:space="0" w:color="auto"/>
        <w:left w:val="none" w:sz="0" w:space="0" w:color="auto"/>
        <w:bottom w:val="none" w:sz="0" w:space="0" w:color="auto"/>
        <w:right w:val="none" w:sz="0" w:space="0" w:color="auto"/>
      </w:divBdr>
    </w:div>
    <w:div w:id="1450515584">
      <w:marLeft w:val="0"/>
      <w:marRight w:val="0"/>
      <w:marTop w:val="240"/>
      <w:marBottom w:val="0"/>
      <w:divBdr>
        <w:top w:val="none" w:sz="0" w:space="0" w:color="auto"/>
        <w:left w:val="none" w:sz="0" w:space="0" w:color="auto"/>
        <w:bottom w:val="none" w:sz="0" w:space="0" w:color="auto"/>
        <w:right w:val="none" w:sz="0" w:space="0" w:color="auto"/>
      </w:divBdr>
    </w:div>
    <w:div w:id="1452282581">
      <w:marLeft w:val="0"/>
      <w:marRight w:val="0"/>
      <w:marTop w:val="0"/>
      <w:marBottom w:val="120"/>
      <w:divBdr>
        <w:top w:val="none" w:sz="0" w:space="0" w:color="auto"/>
        <w:left w:val="none" w:sz="0" w:space="0" w:color="auto"/>
        <w:bottom w:val="none" w:sz="0" w:space="0" w:color="auto"/>
        <w:right w:val="none" w:sz="0" w:space="0" w:color="auto"/>
      </w:divBdr>
    </w:div>
    <w:div w:id="1453593985">
      <w:marLeft w:val="0"/>
      <w:marRight w:val="0"/>
      <w:marTop w:val="240"/>
      <w:marBottom w:val="0"/>
      <w:divBdr>
        <w:top w:val="none" w:sz="0" w:space="0" w:color="auto"/>
        <w:left w:val="none" w:sz="0" w:space="0" w:color="auto"/>
        <w:bottom w:val="none" w:sz="0" w:space="0" w:color="auto"/>
        <w:right w:val="none" w:sz="0" w:space="0" w:color="auto"/>
      </w:divBdr>
    </w:div>
    <w:div w:id="1455558245">
      <w:marLeft w:val="0"/>
      <w:marRight w:val="0"/>
      <w:marTop w:val="0"/>
      <w:marBottom w:val="0"/>
      <w:divBdr>
        <w:top w:val="none" w:sz="0" w:space="0" w:color="auto"/>
        <w:left w:val="none" w:sz="0" w:space="0" w:color="auto"/>
        <w:bottom w:val="none" w:sz="0" w:space="0" w:color="auto"/>
        <w:right w:val="none" w:sz="0" w:space="0" w:color="auto"/>
      </w:divBdr>
      <w:divsChild>
        <w:div w:id="1606040866">
          <w:marLeft w:val="0"/>
          <w:marRight w:val="0"/>
          <w:marTop w:val="0"/>
          <w:marBottom w:val="0"/>
          <w:divBdr>
            <w:top w:val="none" w:sz="0" w:space="0" w:color="auto"/>
            <w:left w:val="none" w:sz="0" w:space="0" w:color="auto"/>
            <w:bottom w:val="none" w:sz="0" w:space="0" w:color="auto"/>
            <w:right w:val="none" w:sz="0" w:space="0" w:color="auto"/>
          </w:divBdr>
          <w:divsChild>
            <w:div w:id="6289025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61218089">
      <w:marLeft w:val="0"/>
      <w:marRight w:val="0"/>
      <w:marTop w:val="240"/>
      <w:marBottom w:val="0"/>
      <w:divBdr>
        <w:top w:val="none" w:sz="0" w:space="0" w:color="auto"/>
        <w:left w:val="none" w:sz="0" w:space="0" w:color="auto"/>
        <w:bottom w:val="none" w:sz="0" w:space="0" w:color="auto"/>
        <w:right w:val="none" w:sz="0" w:space="0" w:color="auto"/>
      </w:divBdr>
    </w:div>
    <w:div w:id="1461530306">
      <w:marLeft w:val="0"/>
      <w:marRight w:val="0"/>
      <w:marTop w:val="240"/>
      <w:marBottom w:val="0"/>
      <w:divBdr>
        <w:top w:val="none" w:sz="0" w:space="0" w:color="auto"/>
        <w:left w:val="none" w:sz="0" w:space="0" w:color="auto"/>
        <w:bottom w:val="none" w:sz="0" w:space="0" w:color="auto"/>
        <w:right w:val="none" w:sz="0" w:space="0" w:color="auto"/>
      </w:divBdr>
    </w:div>
    <w:div w:id="1463621049">
      <w:marLeft w:val="0"/>
      <w:marRight w:val="0"/>
      <w:marTop w:val="240"/>
      <w:marBottom w:val="0"/>
      <w:divBdr>
        <w:top w:val="none" w:sz="0" w:space="0" w:color="auto"/>
        <w:left w:val="none" w:sz="0" w:space="0" w:color="auto"/>
        <w:bottom w:val="none" w:sz="0" w:space="0" w:color="auto"/>
        <w:right w:val="none" w:sz="0" w:space="0" w:color="auto"/>
      </w:divBdr>
    </w:div>
    <w:div w:id="1463691805">
      <w:marLeft w:val="0"/>
      <w:marRight w:val="0"/>
      <w:marTop w:val="0"/>
      <w:marBottom w:val="0"/>
      <w:divBdr>
        <w:top w:val="none" w:sz="0" w:space="0" w:color="auto"/>
        <w:left w:val="none" w:sz="0" w:space="0" w:color="auto"/>
        <w:bottom w:val="none" w:sz="0" w:space="0" w:color="auto"/>
        <w:right w:val="none" w:sz="0" w:space="0" w:color="auto"/>
      </w:divBdr>
      <w:divsChild>
        <w:div w:id="1391003791">
          <w:marLeft w:val="0"/>
          <w:marRight w:val="0"/>
          <w:marTop w:val="0"/>
          <w:marBottom w:val="0"/>
          <w:divBdr>
            <w:top w:val="none" w:sz="0" w:space="0" w:color="auto"/>
            <w:left w:val="none" w:sz="0" w:space="0" w:color="auto"/>
            <w:bottom w:val="none" w:sz="0" w:space="0" w:color="auto"/>
            <w:right w:val="none" w:sz="0" w:space="0" w:color="auto"/>
          </w:divBdr>
        </w:div>
      </w:divsChild>
    </w:div>
    <w:div w:id="1464469996">
      <w:marLeft w:val="0"/>
      <w:marRight w:val="0"/>
      <w:marTop w:val="0"/>
      <w:marBottom w:val="0"/>
      <w:divBdr>
        <w:top w:val="none" w:sz="0" w:space="0" w:color="auto"/>
        <w:left w:val="none" w:sz="0" w:space="0" w:color="auto"/>
        <w:bottom w:val="none" w:sz="0" w:space="0" w:color="auto"/>
        <w:right w:val="none" w:sz="0" w:space="0" w:color="auto"/>
      </w:divBdr>
      <w:divsChild>
        <w:div w:id="1099637274">
          <w:marLeft w:val="0"/>
          <w:marRight w:val="0"/>
          <w:marTop w:val="0"/>
          <w:marBottom w:val="0"/>
          <w:divBdr>
            <w:top w:val="none" w:sz="0" w:space="0" w:color="auto"/>
            <w:left w:val="none" w:sz="0" w:space="0" w:color="auto"/>
            <w:bottom w:val="none" w:sz="0" w:space="0" w:color="auto"/>
            <w:right w:val="none" w:sz="0" w:space="0" w:color="auto"/>
          </w:divBdr>
        </w:div>
      </w:divsChild>
    </w:div>
    <w:div w:id="1466923616">
      <w:marLeft w:val="0"/>
      <w:marRight w:val="0"/>
      <w:marTop w:val="240"/>
      <w:marBottom w:val="0"/>
      <w:divBdr>
        <w:top w:val="none" w:sz="0" w:space="0" w:color="auto"/>
        <w:left w:val="none" w:sz="0" w:space="0" w:color="auto"/>
        <w:bottom w:val="none" w:sz="0" w:space="0" w:color="auto"/>
        <w:right w:val="none" w:sz="0" w:space="0" w:color="auto"/>
      </w:divBdr>
    </w:div>
    <w:div w:id="1467628667">
      <w:marLeft w:val="0"/>
      <w:marRight w:val="0"/>
      <w:marTop w:val="240"/>
      <w:marBottom w:val="0"/>
      <w:divBdr>
        <w:top w:val="none" w:sz="0" w:space="0" w:color="auto"/>
        <w:left w:val="none" w:sz="0" w:space="0" w:color="auto"/>
        <w:bottom w:val="none" w:sz="0" w:space="0" w:color="auto"/>
        <w:right w:val="none" w:sz="0" w:space="0" w:color="auto"/>
      </w:divBdr>
    </w:div>
    <w:div w:id="1468820494">
      <w:marLeft w:val="0"/>
      <w:marRight w:val="0"/>
      <w:marTop w:val="240"/>
      <w:marBottom w:val="0"/>
      <w:divBdr>
        <w:top w:val="none" w:sz="0" w:space="0" w:color="auto"/>
        <w:left w:val="none" w:sz="0" w:space="0" w:color="auto"/>
        <w:bottom w:val="none" w:sz="0" w:space="0" w:color="auto"/>
        <w:right w:val="none" w:sz="0" w:space="0" w:color="auto"/>
      </w:divBdr>
    </w:div>
    <w:div w:id="1468821266">
      <w:marLeft w:val="0"/>
      <w:marRight w:val="0"/>
      <w:marTop w:val="0"/>
      <w:marBottom w:val="0"/>
      <w:divBdr>
        <w:top w:val="none" w:sz="0" w:space="0" w:color="auto"/>
        <w:left w:val="none" w:sz="0" w:space="0" w:color="auto"/>
        <w:bottom w:val="none" w:sz="0" w:space="0" w:color="auto"/>
        <w:right w:val="none" w:sz="0" w:space="0" w:color="auto"/>
      </w:divBdr>
      <w:divsChild>
        <w:div w:id="918756266">
          <w:marLeft w:val="0"/>
          <w:marRight w:val="0"/>
          <w:marTop w:val="0"/>
          <w:marBottom w:val="0"/>
          <w:divBdr>
            <w:top w:val="none" w:sz="0" w:space="0" w:color="auto"/>
            <w:left w:val="none" w:sz="0" w:space="0" w:color="auto"/>
            <w:bottom w:val="none" w:sz="0" w:space="0" w:color="auto"/>
            <w:right w:val="none" w:sz="0" w:space="0" w:color="auto"/>
          </w:divBdr>
          <w:divsChild>
            <w:div w:id="7998835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71246744">
      <w:marLeft w:val="0"/>
      <w:marRight w:val="0"/>
      <w:marTop w:val="240"/>
      <w:marBottom w:val="0"/>
      <w:divBdr>
        <w:top w:val="none" w:sz="0" w:space="0" w:color="auto"/>
        <w:left w:val="none" w:sz="0" w:space="0" w:color="auto"/>
        <w:bottom w:val="none" w:sz="0" w:space="0" w:color="auto"/>
        <w:right w:val="none" w:sz="0" w:space="0" w:color="auto"/>
      </w:divBdr>
    </w:div>
    <w:div w:id="1471677447">
      <w:marLeft w:val="0"/>
      <w:marRight w:val="0"/>
      <w:marTop w:val="0"/>
      <w:marBottom w:val="0"/>
      <w:divBdr>
        <w:top w:val="none" w:sz="0" w:space="0" w:color="auto"/>
        <w:left w:val="none" w:sz="0" w:space="0" w:color="auto"/>
        <w:bottom w:val="none" w:sz="0" w:space="0" w:color="auto"/>
        <w:right w:val="none" w:sz="0" w:space="0" w:color="auto"/>
      </w:divBdr>
      <w:divsChild>
        <w:div w:id="2074697974">
          <w:marLeft w:val="0"/>
          <w:marRight w:val="0"/>
          <w:marTop w:val="0"/>
          <w:marBottom w:val="0"/>
          <w:divBdr>
            <w:top w:val="none" w:sz="0" w:space="0" w:color="auto"/>
            <w:left w:val="none" w:sz="0" w:space="0" w:color="auto"/>
            <w:bottom w:val="none" w:sz="0" w:space="0" w:color="auto"/>
            <w:right w:val="none" w:sz="0" w:space="0" w:color="auto"/>
          </w:divBdr>
          <w:divsChild>
            <w:div w:id="14602224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72868333">
      <w:marLeft w:val="0"/>
      <w:marRight w:val="0"/>
      <w:marTop w:val="240"/>
      <w:marBottom w:val="0"/>
      <w:divBdr>
        <w:top w:val="none" w:sz="0" w:space="0" w:color="auto"/>
        <w:left w:val="none" w:sz="0" w:space="0" w:color="auto"/>
        <w:bottom w:val="none" w:sz="0" w:space="0" w:color="auto"/>
        <w:right w:val="none" w:sz="0" w:space="0" w:color="auto"/>
      </w:divBdr>
    </w:div>
    <w:div w:id="1474635208">
      <w:marLeft w:val="0"/>
      <w:marRight w:val="0"/>
      <w:marTop w:val="160"/>
      <w:marBottom w:val="0"/>
      <w:divBdr>
        <w:top w:val="none" w:sz="0" w:space="0" w:color="auto"/>
        <w:left w:val="none" w:sz="0" w:space="0" w:color="auto"/>
        <w:bottom w:val="none" w:sz="0" w:space="0" w:color="auto"/>
        <w:right w:val="none" w:sz="0" w:space="0" w:color="auto"/>
      </w:divBdr>
    </w:div>
    <w:div w:id="1475370349">
      <w:marLeft w:val="0"/>
      <w:marRight w:val="0"/>
      <w:marTop w:val="240"/>
      <w:marBottom w:val="0"/>
      <w:divBdr>
        <w:top w:val="none" w:sz="0" w:space="0" w:color="auto"/>
        <w:left w:val="none" w:sz="0" w:space="0" w:color="auto"/>
        <w:bottom w:val="none" w:sz="0" w:space="0" w:color="auto"/>
        <w:right w:val="none" w:sz="0" w:space="0" w:color="auto"/>
      </w:divBdr>
    </w:div>
    <w:div w:id="1478572596">
      <w:marLeft w:val="0"/>
      <w:marRight w:val="0"/>
      <w:marTop w:val="0"/>
      <w:marBottom w:val="0"/>
      <w:divBdr>
        <w:top w:val="none" w:sz="0" w:space="0" w:color="auto"/>
        <w:left w:val="none" w:sz="0" w:space="0" w:color="auto"/>
        <w:bottom w:val="none" w:sz="0" w:space="0" w:color="auto"/>
        <w:right w:val="none" w:sz="0" w:space="0" w:color="auto"/>
      </w:divBdr>
      <w:divsChild>
        <w:div w:id="1644000246">
          <w:marLeft w:val="0"/>
          <w:marRight w:val="0"/>
          <w:marTop w:val="0"/>
          <w:marBottom w:val="0"/>
          <w:divBdr>
            <w:top w:val="none" w:sz="0" w:space="0" w:color="auto"/>
            <w:left w:val="none" w:sz="0" w:space="0" w:color="auto"/>
            <w:bottom w:val="none" w:sz="0" w:space="0" w:color="auto"/>
            <w:right w:val="none" w:sz="0" w:space="0" w:color="auto"/>
          </w:divBdr>
          <w:divsChild>
            <w:div w:id="1449773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78645747">
      <w:marLeft w:val="0"/>
      <w:marRight w:val="0"/>
      <w:marTop w:val="240"/>
      <w:marBottom w:val="0"/>
      <w:divBdr>
        <w:top w:val="none" w:sz="0" w:space="0" w:color="auto"/>
        <w:left w:val="none" w:sz="0" w:space="0" w:color="auto"/>
        <w:bottom w:val="none" w:sz="0" w:space="0" w:color="auto"/>
        <w:right w:val="none" w:sz="0" w:space="0" w:color="auto"/>
      </w:divBdr>
    </w:div>
    <w:div w:id="1479149938">
      <w:marLeft w:val="0"/>
      <w:marRight w:val="0"/>
      <w:marTop w:val="240"/>
      <w:marBottom w:val="0"/>
      <w:divBdr>
        <w:top w:val="none" w:sz="0" w:space="0" w:color="auto"/>
        <w:left w:val="none" w:sz="0" w:space="0" w:color="auto"/>
        <w:bottom w:val="none" w:sz="0" w:space="0" w:color="auto"/>
        <w:right w:val="none" w:sz="0" w:space="0" w:color="auto"/>
      </w:divBdr>
    </w:div>
    <w:div w:id="1480994445">
      <w:marLeft w:val="0"/>
      <w:marRight w:val="0"/>
      <w:marTop w:val="0"/>
      <w:marBottom w:val="0"/>
      <w:divBdr>
        <w:top w:val="none" w:sz="0" w:space="0" w:color="auto"/>
        <w:left w:val="none" w:sz="0" w:space="0" w:color="auto"/>
        <w:bottom w:val="none" w:sz="0" w:space="0" w:color="auto"/>
        <w:right w:val="none" w:sz="0" w:space="0" w:color="auto"/>
      </w:divBdr>
      <w:divsChild>
        <w:div w:id="2107067042">
          <w:marLeft w:val="0"/>
          <w:marRight w:val="0"/>
          <w:marTop w:val="0"/>
          <w:marBottom w:val="0"/>
          <w:divBdr>
            <w:top w:val="none" w:sz="0" w:space="0" w:color="auto"/>
            <w:left w:val="none" w:sz="0" w:space="0" w:color="auto"/>
            <w:bottom w:val="none" w:sz="0" w:space="0" w:color="auto"/>
            <w:right w:val="none" w:sz="0" w:space="0" w:color="auto"/>
          </w:divBdr>
        </w:div>
      </w:divsChild>
    </w:div>
    <w:div w:id="1488326706">
      <w:marLeft w:val="0"/>
      <w:marRight w:val="0"/>
      <w:marTop w:val="240"/>
      <w:marBottom w:val="0"/>
      <w:divBdr>
        <w:top w:val="none" w:sz="0" w:space="0" w:color="auto"/>
        <w:left w:val="none" w:sz="0" w:space="0" w:color="auto"/>
        <w:bottom w:val="none" w:sz="0" w:space="0" w:color="auto"/>
        <w:right w:val="none" w:sz="0" w:space="0" w:color="auto"/>
      </w:divBdr>
    </w:div>
    <w:div w:id="1490442853">
      <w:marLeft w:val="0"/>
      <w:marRight w:val="0"/>
      <w:marTop w:val="240"/>
      <w:marBottom w:val="0"/>
      <w:divBdr>
        <w:top w:val="none" w:sz="0" w:space="0" w:color="auto"/>
        <w:left w:val="none" w:sz="0" w:space="0" w:color="auto"/>
        <w:bottom w:val="none" w:sz="0" w:space="0" w:color="auto"/>
        <w:right w:val="none" w:sz="0" w:space="0" w:color="auto"/>
      </w:divBdr>
    </w:div>
    <w:div w:id="1494032421">
      <w:marLeft w:val="0"/>
      <w:marRight w:val="0"/>
      <w:marTop w:val="240"/>
      <w:marBottom w:val="0"/>
      <w:divBdr>
        <w:top w:val="none" w:sz="0" w:space="0" w:color="auto"/>
        <w:left w:val="none" w:sz="0" w:space="0" w:color="auto"/>
        <w:bottom w:val="none" w:sz="0" w:space="0" w:color="auto"/>
        <w:right w:val="none" w:sz="0" w:space="0" w:color="auto"/>
      </w:divBdr>
    </w:div>
    <w:div w:id="1495150399">
      <w:marLeft w:val="0"/>
      <w:marRight w:val="0"/>
      <w:marTop w:val="240"/>
      <w:marBottom w:val="0"/>
      <w:divBdr>
        <w:top w:val="none" w:sz="0" w:space="0" w:color="auto"/>
        <w:left w:val="none" w:sz="0" w:space="0" w:color="auto"/>
        <w:bottom w:val="none" w:sz="0" w:space="0" w:color="auto"/>
        <w:right w:val="none" w:sz="0" w:space="0" w:color="auto"/>
      </w:divBdr>
    </w:div>
    <w:div w:id="1496847543">
      <w:marLeft w:val="0"/>
      <w:marRight w:val="0"/>
      <w:marTop w:val="240"/>
      <w:marBottom w:val="0"/>
      <w:divBdr>
        <w:top w:val="none" w:sz="0" w:space="0" w:color="auto"/>
        <w:left w:val="none" w:sz="0" w:space="0" w:color="auto"/>
        <w:bottom w:val="none" w:sz="0" w:space="0" w:color="auto"/>
        <w:right w:val="none" w:sz="0" w:space="0" w:color="auto"/>
      </w:divBdr>
    </w:div>
    <w:div w:id="1501964165">
      <w:marLeft w:val="0"/>
      <w:marRight w:val="0"/>
      <w:marTop w:val="240"/>
      <w:marBottom w:val="0"/>
      <w:divBdr>
        <w:top w:val="none" w:sz="0" w:space="0" w:color="auto"/>
        <w:left w:val="none" w:sz="0" w:space="0" w:color="auto"/>
        <w:bottom w:val="none" w:sz="0" w:space="0" w:color="auto"/>
        <w:right w:val="none" w:sz="0" w:space="0" w:color="auto"/>
      </w:divBdr>
    </w:div>
    <w:div w:id="1503736220">
      <w:marLeft w:val="0"/>
      <w:marRight w:val="0"/>
      <w:marTop w:val="240"/>
      <w:marBottom w:val="0"/>
      <w:divBdr>
        <w:top w:val="none" w:sz="0" w:space="0" w:color="auto"/>
        <w:left w:val="none" w:sz="0" w:space="0" w:color="auto"/>
        <w:bottom w:val="none" w:sz="0" w:space="0" w:color="auto"/>
        <w:right w:val="none" w:sz="0" w:space="0" w:color="auto"/>
      </w:divBdr>
    </w:div>
    <w:div w:id="1504660332">
      <w:marLeft w:val="0"/>
      <w:marRight w:val="0"/>
      <w:marTop w:val="240"/>
      <w:marBottom w:val="0"/>
      <w:divBdr>
        <w:top w:val="none" w:sz="0" w:space="0" w:color="auto"/>
        <w:left w:val="none" w:sz="0" w:space="0" w:color="auto"/>
        <w:bottom w:val="none" w:sz="0" w:space="0" w:color="auto"/>
        <w:right w:val="none" w:sz="0" w:space="0" w:color="auto"/>
      </w:divBdr>
    </w:div>
    <w:div w:id="1510488008">
      <w:marLeft w:val="0"/>
      <w:marRight w:val="0"/>
      <w:marTop w:val="0"/>
      <w:marBottom w:val="0"/>
      <w:divBdr>
        <w:top w:val="none" w:sz="0" w:space="0" w:color="auto"/>
        <w:left w:val="none" w:sz="0" w:space="0" w:color="auto"/>
        <w:bottom w:val="none" w:sz="0" w:space="0" w:color="auto"/>
        <w:right w:val="none" w:sz="0" w:space="0" w:color="auto"/>
      </w:divBdr>
    </w:div>
    <w:div w:id="1511602606">
      <w:marLeft w:val="0"/>
      <w:marRight w:val="0"/>
      <w:marTop w:val="240"/>
      <w:marBottom w:val="0"/>
      <w:divBdr>
        <w:top w:val="none" w:sz="0" w:space="0" w:color="auto"/>
        <w:left w:val="none" w:sz="0" w:space="0" w:color="auto"/>
        <w:bottom w:val="none" w:sz="0" w:space="0" w:color="auto"/>
        <w:right w:val="none" w:sz="0" w:space="0" w:color="auto"/>
      </w:divBdr>
    </w:div>
    <w:div w:id="1515270545">
      <w:marLeft w:val="0"/>
      <w:marRight w:val="0"/>
      <w:marTop w:val="240"/>
      <w:marBottom w:val="0"/>
      <w:divBdr>
        <w:top w:val="none" w:sz="0" w:space="0" w:color="auto"/>
        <w:left w:val="none" w:sz="0" w:space="0" w:color="auto"/>
        <w:bottom w:val="none" w:sz="0" w:space="0" w:color="auto"/>
        <w:right w:val="none" w:sz="0" w:space="0" w:color="auto"/>
      </w:divBdr>
    </w:div>
    <w:div w:id="1522544563">
      <w:marLeft w:val="0"/>
      <w:marRight w:val="0"/>
      <w:marTop w:val="0"/>
      <w:marBottom w:val="0"/>
      <w:divBdr>
        <w:top w:val="none" w:sz="0" w:space="0" w:color="auto"/>
        <w:left w:val="none" w:sz="0" w:space="0" w:color="auto"/>
        <w:bottom w:val="none" w:sz="0" w:space="0" w:color="auto"/>
        <w:right w:val="none" w:sz="0" w:space="0" w:color="auto"/>
      </w:divBdr>
      <w:divsChild>
        <w:div w:id="1446851747">
          <w:marLeft w:val="0"/>
          <w:marRight w:val="0"/>
          <w:marTop w:val="0"/>
          <w:marBottom w:val="0"/>
          <w:divBdr>
            <w:top w:val="none" w:sz="0" w:space="0" w:color="auto"/>
            <w:left w:val="none" w:sz="0" w:space="0" w:color="auto"/>
            <w:bottom w:val="none" w:sz="0" w:space="0" w:color="auto"/>
            <w:right w:val="none" w:sz="0" w:space="0" w:color="auto"/>
          </w:divBdr>
          <w:divsChild>
            <w:div w:id="17620255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25633691">
      <w:marLeft w:val="0"/>
      <w:marRight w:val="0"/>
      <w:marTop w:val="240"/>
      <w:marBottom w:val="0"/>
      <w:divBdr>
        <w:top w:val="none" w:sz="0" w:space="0" w:color="auto"/>
        <w:left w:val="none" w:sz="0" w:space="0" w:color="auto"/>
        <w:bottom w:val="none" w:sz="0" w:space="0" w:color="auto"/>
        <w:right w:val="none" w:sz="0" w:space="0" w:color="auto"/>
      </w:divBdr>
    </w:div>
    <w:div w:id="1528063891">
      <w:marLeft w:val="0"/>
      <w:marRight w:val="0"/>
      <w:marTop w:val="0"/>
      <w:marBottom w:val="0"/>
      <w:divBdr>
        <w:top w:val="none" w:sz="0" w:space="0" w:color="auto"/>
        <w:left w:val="none" w:sz="0" w:space="0" w:color="auto"/>
        <w:bottom w:val="none" w:sz="0" w:space="0" w:color="auto"/>
        <w:right w:val="none" w:sz="0" w:space="0" w:color="auto"/>
      </w:divBdr>
      <w:divsChild>
        <w:div w:id="1150487809">
          <w:marLeft w:val="0"/>
          <w:marRight w:val="0"/>
          <w:marTop w:val="0"/>
          <w:marBottom w:val="0"/>
          <w:divBdr>
            <w:top w:val="none" w:sz="0" w:space="0" w:color="auto"/>
            <w:left w:val="none" w:sz="0" w:space="0" w:color="auto"/>
            <w:bottom w:val="none" w:sz="0" w:space="0" w:color="auto"/>
            <w:right w:val="none" w:sz="0" w:space="0" w:color="auto"/>
          </w:divBdr>
        </w:div>
      </w:divsChild>
    </w:div>
    <w:div w:id="1529902836">
      <w:marLeft w:val="0"/>
      <w:marRight w:val="0"/>
      <w:marTop w:val="240"/>
      <w:marBottom w:val="0"/>
      <w:divBdr>
        <w:top w:val="none" w:sz="0" w:space="0" w:color="auto"/>
        <w:left w:val="none" w:sz="0" w:space="0" w:color="auto"/>
        <w:bottom w:val="none" w:sz="0" w:space="0" w:color="auto"/>
        <w:right w:val="none" w:sz="0" w:space="0" w:color="auto"/>
      </w:divBdr>
    </w:div>
    <w:div w:id="1534466380">
      <w:marLeft w:val="0"/>
      <w:marRight w:val="0"/>
      <w:marTop w:val="240"/>
      <w:marBottom w:val="0"/>
      <w:divBdr>
        <w:top w:val="none" w:sz="0" w:space="0" w:color="auto"/>
        <w:left w:val="none" w:sz="0" w:space="0" w:color="auto"/>
        <w:bottom w:val="none" w:sz="0" w:space="0" w:color="auto"/>
        <w:right w:val="none" w:sz="0" w:space="0" w:color="auto"/>
      </w:divBdr>
    </w:div>
    <w:div w:id="1537307939">
      <w:marLeft w:val="0"/>
      <w:marRight w:val="0"/>
      <w:marTop w:val="0"/>
      <w:marBottom w:val="0"/>
      <w:divBdr>
        <w:top w:val="none" w:sz="0" w:space="0" w:color="auto"/>
        <w:left w:val="none" w:sz="0" w:space="0" w:color="auto"/>
        <w:bottom w:val="none" w:sz="0" w:space="0" w:color="auto"/>
        <w:right w:val="none" w:sz="0" w:space="0" w:color="auto"/>
      </w:divBdr>
      <w:divsChild>
        <w:div w:id="2101489870">
          <w:marLeft w:val="0"/>
          <w:marRight w:val="0"/>
          <w:marTop w:val="0"/>
          <w:marBottom w:val="0"/>
          <w:divBdr>
            <w:top w:val="none" w:sz="0" w:space="0" w:color="auto"/>
            <w:left w:val="none" w:sz="0" w:space="0" w:color="auto"/>
            <w:bottom w:val="none" w:sz="0" w:space="0" w:color="auto"/>
            <w:right w:val="none" w:sz="0" w:space="0" w:color="auto"/>
          </w:divBdr>
        </w:div>
      </w:divsChild>
    </w:div>
    <w:div w:id="1538392656">
      <w:marLeft w:val="0"/>
      <w:marRight w:val="0"/>
      <w:marTop w:val="120"/>
      <w:marBottom w:val="0"/>
      <w:divBdr>
        <w:top w:val="none" w:sz="0" w:space="0" w:color="auto"/>
        <w:left w:val="none" w:sz="0" w:space="0" w:color="auto"/>
        <w:bottom w:val="none" w:sz="0" w:space="0" w:color="auto"/>
        <w:right w:val="none" w:sz="0" w:space="0" w:color="auto"/>
      </w:divBdr>
    </w:div>
    <w:div w:id="1538617736">
      <w:marLeft w:val="0"/>
      <w:marRight w:val="0"/>
      <w:marTop w:val="240"/>
      <w:marBottom w:val="0"/>
      <w:divBdr>
        <w:top w:val="none" w:sz="0" w:space="0" w:color="auto"/>
        <w:left w:val="none" w:sz="0" w:space="0" w:color="auto"/>
        <w:bottom w:val="none" w:sz="0" w:space="0" w:color="auto"/>
        <w:right w:val="none" w:sz="0" w:space="0" w:color="auto"/>
      </w:divBdr>
    </w:div>
    <w:div w:id="1548180100">
      <w:marLeft w:val="0"/>
      <w:marRight w:val="0"/>
      <w:marTop w:val="240"/>
      <w:marBottom w:val="0"/>
      <w:divBdr>
        <w:top w:val="none" w:sz="0" w:space="0" w:color="auto"/>
        <w:left w:val="none" w:sz="0" w:space="0" w:color="auto"/>
        <w:bottom w:val="none" w:sz="0" w:space="0" w:color="auto"/>
        <w:right w:val="none" w:sz="0" w:space="0" w:color="auto"/>
      </w:divBdr>
    </w:div>
    <w:div w:id="1549298375">
      <w:marLeft w:val="0"/>
      <w:marRight w:val="0"/>
      <w:marTop w:val="240"/>
      <w:marBottom w:val="0"/>
      <w:divBdr>
        <w:top w:val="none" w:sz="0" w:space="0" w:color="auto"/>
        <w:left w:val="none" w:sz="0" w:space="0" w:color="auto"/>
        <w:bottom w:val="none" w:sz="0" w:space="0" w:color="auto"/>
        <w:right w:val="none" w:sz="0" w:space="0" w:color="auto"/>
      </w:divBdr>
    </w:div>
    <w:div w:id="1553424075">
      <w:marLeft w:val="0"/>
      <w:marRight w:val="0"/>
      <w:marTop w:val="160"/>
      <w:marBottom w:val="0"/>
      <w:divBdr>
        <w:top w:val="none" w:sz="0" w:space="0" w:color="auto"/>
        <w:left w:val="none" w:sz="0" w:space="0" w:color="auto"/>
        <w:bottom w:val="none" w:sz="0" w:space="0" w:color="auto"/>
        <w:right w:val="none" w:sz="0" w:space="0" w:color="auto"/>
      </w:divBdr>
    </w:div>
    <w:div w:id="1554459528">
      <w:marLeft w:val="0"/>
      <w:marRight w:val="0"/>
      <w:marTop w:val="160"/>
      <w:marBottom w:val="0"/>
      <w:divBdr>
        <w:top w:val="none" w:sz="0" w:space="0" w:color="auto"/>
        <w:left w:val="none" w:sz="0" w:space="0" w:color="auto"/>
        <w:bottom w:val="none" w:sz="0" w:space="0" w:color="auto"/>
        <w:right w:val="none" w:sz="0" w:space="0" w:color="auto"/>
      </w:divBdr>
    </w:div>
    <w:div w:id="1558129637">
      <w:marLeft w:val="0"/>
      <w:marRight w:val="0"/>
      <w:marTop w:val="0"/>
      <w:marBottom w:val="120"/>
      <w:divBdr>
        <w:top w:val="none" w:sz="0" w:space="0" w:color="auto"/>
        <w:left w:val="none" w:sz="0" w:space="0" w:color="auto"/>
        <w:bottom w:val="none" w:sz="0" w:space="0" w:color="auto"/>
        <w:right w:val="none" w:sz="0" w:space="0" w:color="auto"/>
      </w:divBdr>
    </w:div>
    <w:div w:id="1558324087">
      <w:marLeft w:val="0"/>
      <w:marRight w:val="0"/>
      <w:marTop w:val="240"/>
      <w:marBottom w:val="0"/>
      <w:divBdr>
        <w:top w:val="none" w:sz="0" w:space="0" w:color="auto"/>
        <w:left w:val="none" w:sz="0" w:space="0" w:color="auto"/>
        <w:bottom w:val="none" w:sz="0" w:space="0" w:color="auto"/>
        <w:right w:val="none" w:sz="0" w:space="0" w:color="auto"/>
      </w:divBdr>
    </w:div>
    <w:div w:id="1559625883">
      <w:marLeft w:val="0"/>
      <w:marRight w:val="0"/>
      <w:marTop w:val="0"/>
      <w:marBottom w:val="0"/>
      <w:divBdr>
        <w:top w:val="none" w:sz="0" w:space="0" w:color="auto"/>
        <w:left w:val="none" w:sz="0" w:space="0" w:color="auto"/>
        <w:bottom w:val="none" w:sz="0" w:space="0" w:color="auto"/>
        <w:right w:val="none" w:sz="0" w:space="0" w:color="auto"/>
      </w:divBdr>
    </w:div>
    <w:div w:id="1561283899">
      <w:marLeft w:val="0"/>
      <w:marRight w:val="0"/>
      <w:marTop w:val="240"/>
      <w:marBottom w:val="0"/>
      <w:divBdr>
        <w:top w:val="none" w:sz="0" w:space="0" w:color="auto"/>
        <w:left w:val="none" w:sz="0" w:space="0" w:color="auto"/>
        <w:bottom w:val="none" w:sz="0" w:space="0" w:color="auto"/>
        <w:right w:val="none" w:sz="0" w:space="0" w:color="auto"/>
      </w:divBdr>
    </w:div>
    <w:div w:id="1572502868">
      <w:marLeft w:val="0"/>
      <w:marRight w:val="0"/>
      <w:marTop w:val="160"/>
      <w:marBottom w:val="0"/>
      <w:divBdr>
        <w:top w:val="none" w:sz="0" w:space="0" w:color="auto"/>
        <w:left w:val="none" w:sz="0" w:space="0" w:color="auto"/>
        <w:bottom w:val="none" w:sz="0" w:space="0" w:color="auto"/>
        <w:right w:val="none" w:sz="0" w:space="0" w:color="auto"/>
      </w:divBdr>
    </w:div>
    <w:div w:id="1576622632">
      <w:marLeft w:val="0"/>
      <w:marRight w:val="0"/>
      <w:marTop w:val="240"/>
      <w:marBottom w:val="0"/>
      <w:divBdr>
        <w:top w:val="none" w:sz="0" w:space="0" w:color="auto"/>
        <w:left w:val="none" w:sz="0" w:space="0" w:color="auto"/>
        <w:bottom w:val="none" w:sz="0" w:space="0" w:color="auto"/>
        <w:right w:val="none" w:sz="0" w:space="0" w:color="auto"/>
      </w:divBdr>
    </w:div>
    <w:div w:id="1581716213">
      <w:marLeft w:val="0"/>
      <w:marRight w:val="0"/>
      <w:marTop w:val="0"/>
      <w:marBottom w:val="0"/>
      <w:divBdr>
        <w:top w:val="none" w:sz="0" w:space="0" w:color="auto"/>
        <w:left w:val="none" w:sz="0" w:space="0" w:color="auto"/>
        <w:bottom w:val="none" w:sz="0" w:space="0" w:color="auto"/>
        <w:right w:val="none" w:sz="0" w:space="0" w:color="auto"/>
      </w:divBdr>
      <w:divsChild>
        <w:div w:id="1749841654">
          <w:marLeft w:val="0"/>
          <w:marRight w:val="0"/>
          <w:marTop w:val="0"/>
          <w:marBottom w:val="0"/>
          <w:divBdr>
            <w:top w:val="none" w:sz="0" w:space="0" w:color="auto"/>
            <w:left w:val="none" w:sz="0" w:space="0" w:color="auto"/>
            <w:bottom w:val="none" w:sz="0" w:space="0" w:color="auto"/>
            <w:right w:val="none" w:sz="0" w:space="0" w:color="auto"/>
          </w:divBdr>
          <w:divsChild>
            <w:div w:id="16237270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82372992">
      <w:marLeft w:val="0"/>
      <w:marRight w:val="0"/>
      <w:marTop w:val="0"/>
      <w:marBottom w:val="120"/>
      <w:divBdr>
        <w:top w:val="none" w:sz="0" w:space="0" w:color="auto"/>
        <w:left w:val="none" w:sz="0" w:space="0" w:color="auto"/>
        <w:bottom w:val="none" w:sz="0" w:space="0" w:color="auto"/>
        <w:right w:val="none" w:sz="0" w:space="0" w:color="auto"/>
      </w:divBdr>
      <w:divsChild>
        <w:div w:id="241569455">
          <w:marLeft w:val="0"/>
          <w:marRight w:val="0"/>
          <w:marTop w:val="0"/>
          <w:marBottom w:val="0"/>
          <w:divBdr>
            <w:top w:val="none" w:sz="0" w:space="0" w:color="auto"/>
            <w:left w:val="none" w:sz="0" w:space="0" w:color="auto"/>
            <w:bottom w:val="none" w:sz="0" w:space="0" w:color="auto"/>
            <w:right w:val="none" w:sz="0" w:space="0" w:color="auto"/>
          </w:divBdr>
        </w:div>
        <w:div w:id="1531841196">
          <w:marLeft w:val="0"/>
          <w:marRight w:val="0"/>
          <w:marTop w:val="0"/>
          <w:marBottom w:val="0"/>
          <w:divBdr>
            <w:top w:val="none" w:sz="0" w:space="0" w:color="auto"/>
            <w:left w:val="none" w:sz="0" w:space="0" w:color="auto"/>
            <w:bottom w:val="none" w:sz="0" w:space="0" w:color="auto"/>
            <w:right w:val="none" w:sz="0" w:space="0" w:color="auto"/>
          </w:divBdr>
        </w:div>
        <w:div w:id="7224420">
          <w:marLeft w:val="0"/>
          <w:marRight w:val="0"/>
          <w:marTop w:val="0"/>
          <w:marBottom w:val="0"/>
          <w:divBdr>
            <w:top w:val="none" w:sz="0" w:space="0" w:color="auto"/>
            <w:left w:val="none" w:sz="0" w:space="0" w:color="auto"/>
            <w:bottom w:val="none" w:sz="0" w:space="0" w:color="auto"/>
            <w:right w:val="none" w:sz="0" w:space="0" w:color="auto"/>
          </w:divBdr>
        </w:div>
        <w:div w:id="1649481290">
          <w:marLeft w:val="0"/>
          <w:marRight w:val="0"/>
          <w:marTop w:val="0"/>
          <w:marBottom w:val="0"/>
          <w:divBdr>
            <w:top w:val="none" w:sz="0" w:space="0" w:color="auto"/>
            <w:left w:val="none" w:sz="0" w:space="0" w:color="auto"/>
            <w:bottom w:val="none" w:sz="0" w:space="0" w:color="auto"/>
            <w:right w:val="none" w:sz="0" w:space="0" w:color="auto"/>
          </w:divBdr>
        </w:div>
        <w:div w:id="786392993">
          <w:marLeft w:val="0"/>
          <w:marRight w:val="0"/>
          <w:marTop w:val="0"/>
          <w:marBottom w:val="0"/>
          <w:divBdr>
            <w:top w:val="none" w:sz="0" w:space="0" w:color="auto"/>
            <w:left w:val="none" w:sz="0" w:space="0" w:color="auto"/>
            <w:bottom w:val="none" w:sz="0" w:space="0" w:color="auto"/>
            <w:right w:val="none" w:sz="0" w:space="0" w:color="auto"/>
          </w:divBdr>
        </w:div>
        <w:div w:id="565149416">
          <w:marLeft w:val="0"/>
          <w:marRight w:val="0"/>
          <w:marTop w:val="0"/>
          <w:marBottom w:val="0"/>
          <w:divBdr>
            <w:top w:val="none" w:sz="0" w:space="0" w:color="auto"/>
            <w:left w:val="none" w:sz="0" w:space="0" w:color="auto"/>
            <w:bottom w:val="none" w:sz="0" w:space="0" w:color="auto"/>
            <w:right w:val="none" w:sz="0" w:space="0" w:color="auto"/>
          </w:divBdr>
        </w:div>
        <w:div w:id="940187423">
          <w:marLeft w:val="0"/>
          <w:marRight w:val="0"/>
          <w:marTop w:val="0"/>
          <w:marBottom w:val="0"/>
          <w:divBdr>
            <w:top w:val="none" w:sz="0" w:space="0" w:color="auto"/>
            <w:left w:val="none" w:sz="0" w:space="0" w:color="auto"/>
            <w:bottom w:val="none" w:sz="0" w:space="0" w:color="auto"/>
            <w:right w:val="none" w:sz="0" w:space="0" w:color="auto"/>
          </w:divBdr>
        </w:div>
        <w:div w:id="102113572">
          <w:marLeft w:val="0"/>
          <w:marRight w:val="0"/>
          <w:marTop w:val="0"/>
          <w:marBottom w:val="0"/>
          <w:divBdr>
            <w:top w:val="none" w:sz="0" w:space="0" w:color="auto"/>
            <w:left w:val="none" w:sz="0" w:space="0" w:color="auto"/>
            <w:bottom w:val="none" w:sz="0" w:space="0" w:color="auto"/>
            <w:right w:val="none" w:sz="0" w:space="0" w:color="auto"/>
          </w:divBdr>
        </w:div>
        <w:div w:id="2090810650">
          <w:marLeft w:val="0"/>
          <w:marRight w:val="0"/>
          <w:marTop w:val="0"/>
          <w:marBottom w:val="0"/>
          <w:divBdr>
            <w:top w:val="none" w:sz="0" w:space="0" w:color="auto"/>
            <w:left w:val="none" w:sz="0" w:space="0" w:color="auto"/>
            <w:bottom w:val="none" w:sz="0" w:space="0" w:color="auto"/>
            <w:right w:val="none" w:sz="0" w:space="0" w:color="auto"/>
          </w:divBdr>
        </w:div>
        <w:div w:id="782959608">
          <w:marLeft w:val="0"/>
          <w:marRight w:val="0"/>
          <w:marTop w:val="0"/>
          <w:marBottom w:val="0"/>
          <w:divBdr>
            <w:top w:val="none" w:sz="0" w:space="0" w:color="auto"/>
            <w:left w:val="none" w:sz="0" w:space="0" w:color="auto"/>
            <w:bottom w:val="none" w:sz="0" w:space="0" w:color="auto"/>
            <w:right w:val="none" w:sz="0" w:space="0" w:color="auto"/>
          </w:divBdr>
        </w:div>
        <w:div w:id="1095051842">
          <w:marLeft w:val="0"/>
          <w:marRight w:val="0"/>
          <w:marTop w:val="0"/>
          <w:marBottom w:val="0"/>
          <w:divBdr>
            <w:top w:val="none" w:sz="0" w:space="0" w:color="auto"/>
            <w:left w:val="none" w:sz="0" w:space="0" w:color="auto"/>
            <w:bottom w:val="none" w:sz="0" w:space="0" w:color="auto"/>
            <w:right w:val="none" w:sz="0" w:space="0" w:color="auto"/>
          </w:divBdr>
        </w:div>
        <w:div w:id="923341979">
          <w:marLeft w:val="0"/>
          <w:marRight w:val="0"/>
          <w:marTop w:val="0"/>
          <w:marBottom w:val="0"/>
          <w:divBdr>
            <w:top w:val="none" w:sz="0" w:space="0" w:color="auto"/>
            <w:left w:val="none" w:sz="0" w:space="0" w:color="auto"/>
            <w:bottom w:val="none" w:sz="0" w:space="0" w:color="auto"/>
            <w:right w:val="none" w:sz="0" w:space="0" w:color="auto"/>
          </w:divBdr>
        </w:div>
        <w:div w:id="2110462489">
          <w:marLeft w:val="0"/>
          <w:marRight w:val="0"/>
          <w:marTop w:val="0"/>
          <w:marBottom w:val="0"/>
          <w:divBdr>
            <w:top w:val="none" w:sz="0" w:space="0" w:color="auto"/>
            <w:left w:val="none" w:sz="0" w:space="0" w:color="auto"/>
            <w:bottom w:val="none" w:sz="0" w:space="0" w:color="auto"/>
            <w:right w:val="none" w:sz="0" w:space="0" w:color="auto"/>
          </w:divBdr>
        </w:div>
        <w:div w:id="1314991479">
          <w:marLeft w:val="0"/>
          <w:marRight w:val="0"/>
          <w:marTop w:val="0"/>
          <w:marBottom w:val="0"/>
          <w:divBdr>
            <w:top w:val="none" w:sz="0" w:space="0" w:color="auto"/>
            <w:left w:val="none" w:sz="0" w:space="0" w:color="auto"/>
            <w:bottom w:val="none" w:sz="0" w:space="0" w:color="auto"/>
            <w:right w:val="none" w:sz="0" w:space="0" w:color="auto"/>
          </w:divBdr>
        </w:div>
        <w:div w:id="819612723">
          <w:marLeft w:val="0"/>
          <w:marRight w:val="0"/>
          <w:marTop w:val="0"/>
          <w:marBottom w:val="0"/>
          <w:divBdr>
            <w:top w:val="none" w:sz="0" w:space="0" w:color="auto"/>
            <w:left w:val="none" w:sz="0" w:space="0" w:color="auto"/>
            <w:bottom w:val="none" w:sz="0" w:space="0" w:color="auto"/>
            <w:right w:val="none" w:sz="0" w:space="0" w:color="auto"/>
          </w:divBdr>
        </w:div>
        <w:div w:id="1697191395">
          <w:marLeft w:val="0"/>
          <w:marRight w:val="0"/>
          <w:marTop w:val="0"/>
          <w:marBottom w:val="0"/>
          <w:divBdr>
            <w:top w:val="none" w:sz="0" w:space="0" w:color="auto"/>
            <w:left w:val="none" w:sz="0" w:space="0" w:color="auto"/>
            <w:bottom w:val="none" w:sz="0" w:space="0" w:color="auto"/>
            <w:right w:val="none" w:sz="0" w:space="0" w:color="auto"/>
          </w:divBdr>
        </w:div>
        <w:div w:id="1136608616">
          <w:marLeft w:val="0"/>
          <w:marRight w:val="0"/>
          <w:marTop w:val="0"/>
          <w:marBottom w:val="0"/>
          <w:divBdr>
            <w:top w:val="none" w:sz="0" w:space="0" w:color="auto"/>
            <w:left w:val="none" w:sz="0" w:space="0" w:color="auto"/>
            <w:bottom w:val="none" w:sz="0" w:space="0" w:color="auto"/>
            <w:right w:val="none" w:sz="0" w:space="0" w:color="auto"/>
          </w:divBdr>
        </w:div>
        <w:div w:id="864174919">
          <w:marLeft w:val="0"/>
          <w:marRight w:val="0"/>
          <w:marTop w:val="0"/>
          <w:marBottom w:val="0"/>
          <w:divBdr>
            <w:top w:val="none" w:sz="0" w:space="0" w:color="auto"/>
            <w:left w:val="none" w:sz="0" w:space="0" w:color="auto"/>
            <w:bottom w:val="none" w:sz="0" w:space="0" w:color="auto"/>
            <w:right w:val="none" w:sz="0" w:space="0" w:color="auto"/>
          </w:divBdr>
        </w:div>
        <w:div w:id="127094752">
          <w:marLeft w:val="0"/>
          <w:marRight w:val="0"/>
          <w:marTop w:val="0"/>
          <w:marBottom w:val="0"/>
          <w:divBdr>
            <w:top w:val="none" w:sz="0" w:space="0" w:color="auto"/>
            <w:left w:val="none" w:sz="0" w:space="0" w:color="auto"/>
            <w:bottom w:val="none" w:sz="0" w:space="0" w:color="auto"/>
            <w:right w:val="none" w:sz="0" w:space="0" w:color="auto"/>
          </w:divBdr>
        </w:div>
        <w:div w:id="1842310605">
          <w:marLeft w:val="0"/>
          <w:marRight w:val="0"/>
          <w:marTop w:val="0"/>
          <w:marBottom w:val="0"/>
          <w:divBdr>
            <w:top w:val="none" w:sz="0" w:space="0" w:color="auto"/>
            <w:left w:val="none" w:sz="0" w:space="0" w:color="auto"/>
            <w:bottom w:val="none" w:sz="0" w:space="0" w:color="auto"/>
            <w:right w:val="none" w:sz="0" w:space="0" w:color="auto"/>
          </w:divBdr>
        </w:div>
        <w:div w:id="1906793592">
          <w:marLeft w:val="0"/>
          <w:marRight w:val="0"/>
          <w:marTop w:val="0"/>
          <w:marBottom w:val="0"/>
          <w:divBdr>
            <w:top w:val="none" w:sz="0" w:space="0" w:color="auto"/>
            <w:left w:val="none" w:sz="0" w:space="0" w:color="auto"/>
            <w:bottom w:val="none" w:sz="0" w:space="0" w:color="auto"/>
            <w:right w:val="none" w:sz="0" w:space="0" w:color="auto"/>
          </w:divBdr>
        </w:div>
        <w:div w:id="2077892088">
          <w:marLeft w:val="0"/>
          <w:marRight w:val="0"/>
          <w:marTop w:val="0"/>
          <w:marBottom w:val="0"/>
          <w:divBdr>
            <w:top w:val="none" w:sz="0" w:space="0" w:color="auto"/>
            <w:left w:val="none" w:sz="0" w:space="0" w:color="auto"/>
            <w:bottom w:val="none" w:sz="0" w:space="0" w:color="auto"/>
            <w:right w:val="none" w:sz="0" w:space="0" w:color="auto"/>
          </w:divBdr>
        </w:div>
        <w:div w:id="1173715529">
          <w:marLeft w:val="0"/>
          <w:marRight w:val="0"/>
          <w:marTop w:val="0"/>
          <w:marBottom w:val="0"/>
          <w:divBdr>
            <w:top w:val="none" w:sz="0" w:space="0" w:color="auto"/>
            <w:left w:val="none" w:sz="0" w:space="0" w:color="auto"/>
            <w:bottom w:val="none" w:sz="0" w:space="0" w:color="auto"/>
            <w:right w:val="none" w:sz="0" w:space="0" w:color="auto"/>
          </w:divBdr>
        </w:div>
        <w:div w:id="1733191801">
          <w:marLeft w:val="0"/>
          <w:marRight w:val="0"/>
          <w:marTop w:val="0"/>
          <w:marBottom w:val="0"/>
          <w:divBdr>
            <w:top w:val="none" w:sz="0" w:space="0" w:color="auto"/>
            <w:left w:val="none" w:sz="0" w:space="0" w:color="auto"/>
            <w:bottom w:val="none" w:sz="0" w:space="0" w:color="auto"/>
            <w:right w:val="none" w:sz="0" w:space="0" w:color="auto"/>
          </w:divBdr>
        </w:div>
        <w:div w:id="38627708">
          <w:marLeft w:val="0"/>
          <w:marRight w:val="0"/>
          <w:marTop w:val="0"/>
          <w:marBottom w:val="0"/>
          <w:divBdr>
            <w:top w:val="none" w:sz="0" w:space="0" w:color="auto"/>
            <w:left w:val="none" w:sz="0" w:space="0" w:color="auto"/>
            <w:bottom w:val="none" w:sz="0" w:space="0" w:color="auto"/>
            <w:right w:val="none" w:sz="0" w:space="0" w:color="auto"/>
          </w:divBdr>
        </w:div>
        <w:div w:id="1512601716">
          <w:marLeft w:val="0"/>
          <w:marRight w:val="0"/>
          <w:marTop w:val="0"/>
          <w:marBottom w:val="0"/>
          <w:divBdr>
            <w:top w:val="none" w:sz="0" w:space="0" w:color="auto"/>
            <w:left w:val="none" w:sz="0" w:space="0" w:color="auto"/>
            <w:bottom w:val="none" w:sz="0" w:space="0" w:color="auto"/>
            <w:right w:val="none" w:sz="0" w:space="0" w:color="auto"/>
          </w:divBdr>
        </w:div>
        <w:div w:id="448856567">
          <w:marLeft w:val="0"/>
          <w:marRight w:val="0"/>
          <w:marTop w:val="0"/>
          <w:marBottom w:val="0"/>
          <w:divBdr>
            <w:top w:val="none" w:sz="0" w:space="0" w:color="auto"/>
            <w:left w:val="none" w:sz="0" w:space="0" w:color="auto"/>
            <w:bottom w:val="none" w:sz="0" w:space="0" w:color="auto"/>
            <w:right w:val="none" w:sz="0" w:space="0" w:color="auto"/>
          </w:divBdr>
        </w:div>
        <w:div w:id="2012248098">
          <w:marLeft w:val="0"/>
          <w:marRight w:val="0"/>
          <w:marTop w:val="0"/>
          <w:marBottom w:val="0"/>
          <w:divBdr>
            <w:top w:val="none" w:sz="0" w:space="0" w:color="auto"/>
            <w:left w:val="none" w:sz="0" w:space="0" w:color="auto"/>
            <w:bottom w:val="none" w:sz="0" w:space="0" w:color="auto"/>
            <w:right w:val="none" w:sz="0" w:space="0" w:color="auto"/>
          </w:divBdr>
        </w:div>
        <w:div w:id="1707365865">
          <w:marLeft w:val="0"/>
          <w:marRight w:val="0"/>
          <w:marTop w:val="0"/>
          <w:marBottom w:val="0"/>
          <w:divBdr>
            <w:top w:val="none" w:sz="0" w:space="0" w:color="auto"/>
            <w:left w:val="none" w:sz="0" w:space="0" w:color="auto"/>
            <w:bottom w:val="none" w:sz="0" w:space="0" w:color="auto"/>
            <w:right w:val="none" w:sz="0" w:space="0" w:color="auto"/>
          </w:divBdr>
        </w:div>
        <w:div w:id="1691759544">
          <w:marLeft w:val="0"/>
          <w:marRight w:val="0"/>
          <w:marTop w:val="0"/>
          <w:marBottom w:val="0"/>
          <w:divBdr>
            <w:top w:val="none" w:sz="0" w:space="0" w:color="auto"/>
            <w:left w:val="none" w:sz="0" w:space="0" w:color="auto"/>
            <w:bottom w:val="none" w:sz="0" w:space="0" w:color="auto"/>
            <w:right w:val="none" w:sz="0" w:space="0" w:color="auto"/>
          </w:divBdr>
        </w:div>
        <w:div w:id="900558920">
          <w:marLeft w:val="0"/>
          <w:marRight w:val="0"/>
          <w:marTop w:val="0"/>
          <w:marBottom w:val="0"/>
          <w:divBdr>
            <w:top w:val="none" w:sz="0" w:space="0" w:color="auto"/>
            <w:left w:val="none" w:sz="0" w:space="0" w:color="auto"/>
            <w:bottom w:val="none" w:sz="0" w:space="0" w:color="auto"/>
            <w:right w:val="none" w:sz="0" w:space="0" w:color="auto"/>
          </w:divBdr>
        </w:div>
        <w:div w:id="688415327">
          <w:marLeft w:val="0"/>
          <w:marRight w:val="0"/>
          <w:marTop w:val="0"/>
          <w:marBottom w:val="0"/>
          <w:divBdr>
            <w:top w:val="none" w:sz="0" w:space="0" w:color="auto"/>
            <w:left w:val="none" w:sz="0" w:space="0" w:color="auto"/>
            <w:bottom w:val="none" w:sz="0" w:space="0" w:color="auto"/>
            <w:right w:val="none" w:sz="0" w:space="0" w:color="auto"/>
          </w:divBdr>
        </w:div>
        <w:div w:id="194737006">
          <w:marLeft w:val="0"/>
          <w:marRight w:val="0"/>
          <w:marTop w:val="0"/>
          <w:marBottom w:val="0"/>
          <w:divBdr>
            <w:top w:val="none" w:sz="0" w:space="0" w:color="auto"/>
            <w:left w:val="none" w:sz="0" w:space="0" w:color="auto"/>
            <w:bottom w:val="none" w:sz="0" w:space="0" w:color="auto"/>
            <w:right w:val="none" w:sz="0" w:space="0" w:color="auto"/>
          </w:divBdr>
        </w:div>
        <w:div w:id="1660379635">
          <w:marLeft w:val="0"/>
          <w:marRight w:val="0"/>
          <w:marTop w:val="0"/>
          <w:marBottom w:val="0"/>
          <w:divBdr>
            <w:top w:val="none" w:sz="0" w:space="0" w:color="auto"/>
            <w:left w:val="none" w:sz="0" w:space="0" w:color="auto"/>
            <w:bottom w:val="none" w:sz="0" w:space="0" w:color="auto"/>
            <w:right w:val="none" w:sz="0" w:space="0" w:color="auto"/>
          </w:divBdr>
        </w:div>
        <w:div w:id="1160121524">
          <w:marLeft w:val="0"/>
          <w:marRight w:val="0"/>
          <w:marTop w:val="0"/>
          <w:marBottom w:val="0"/>
          <w:divBdr>
            <w:top w:val="none" w:sz="0" w:space="0" w:color="auto"/>
            <w:left w:val="none" w:sz="0" w:space="0" w:color="auto"/>
            <w:bottom w:val="none" w:sz="0" w:space="0" w:color="auto"/>
            <w:right w:val="none" w:sz="0" w:space="0" w:color="auto"/>
          </w:divBdr>
        </w:div>
        <w:div w:id="1861626509">
          <w:marLeft w:val="0"/>
          <w:marRight w:val="0"/>
          <w:marTop w:val="0"/>
          <w:marBottom w:val="0"/>
          <w:divBdr>
            <w:top w:val="none" w:sz="0" w:space="0" w:color="auto"/>
            <w:left w:val="none" w:sz="0" w:space="0" w:color="auto"/>
            <w:bottom w:val="none" w:sz="0" w:space="0" w:color="auto"/>
            <w:right w:val="none" w:sz="0" w:space="0" w:color="auto"/>
          </w:divBdr>
        </w:div>
        <w:div w:id="1754663012">
          <w:marLeft w:val="0"/>
          <w:marRight w:val="0"/>
          <w:marTop w:val="0"/>
          <w:marBottom w:val="0"/>
          <w:divBdr>
            <w:top w:val="none" w:sz="0" w:space="0" w:color="auto"/>
            <w:left w:val="none" w:sz="0" w:space="0" w:color="auto"/>
            <w:bottom w:val="none" w:sz="0" w:space="0" w:color="auto"/>
            <w:right w:val="none" w:sz="0" w:space="0" w:color="auto"/>
          </w:divBdr>
        </w:div>
        <w:div w:id="1758021520">
          <w:marLeft w:val="0"/>
          <w:marRight w:val="0"/>
          <w:marTop w:val="0"/>
          <w:marBottom w:val="0"/>
          <w:divBdr>
            <w:top w:val="none" w:sz="0" w:space="0" w:color="auto"/>
            <w:left w:val="none" w:sz="0" w:space="0" w:color="auto"/>
            <w:bottom w:val="none" w:sz="0" w:space="0" w:color="auto"/>
            <w:right w:val="none" w:sz="0" w:space="0" w:color="auto"/>
          </w:divBdr>
        </w:div>
        <w:div w:id="158471724">
          <w:marLeft w:val="0"/>
          <w:marRight w:val="0"/>
          <w:marTop w:val="0"/>
          <w:marBottom w:val="0"/>
          <w:divBdr>
            <w:top w:val="none" w:sz="0" w:space="0" w:color="auto"/>
            <w:left w:val="none" w:sz="0" w:space="0" w:color="auto"/>
            <w:bottom w:val="none" w:sz="0" w:space="0" w:color="auto"/>
            <w:right w:val="none" w:sz="0" w:space="0" w:color="auto"/>
          </w:divBdr>
        </w:div>
        <w:div w:id="548150521">
          <w:marLeft w:val="0"/>
          <w:marRight w:val="0"/>
          <w:marTop w:val="0"/>
          <w:marBottom w:val="0"/>
          <w:divBdr>
            <w:top w:val="none" w:sz="0" w:space="0" w:color="auto"/>
            <w:left w:val="none" w:sz="0" w:space="0" w:color="auto"/>
            <w:bottom w:val="none" w:sz="0" w:space="0" w:color="auto"/>
            <w:right w:val="none" w:sz="0" w:space="0" w:color="auto"/>
          </w:divBdr>
        </w:div>
        <w:div w:id="280379548">
          <w:marLeft w:val="0"/>
          <w:marRight w:val="0"/>
          <w:marTop w:val="0"/>
          <w:marBottom w:val="0"/>
          <w:divBdr>
            <w:top w:val="none" w:sz="0" w:space="0" w:color="auto"/>
            <w:left w:val="none" w:sz="0" w:space="0" w:color="auto"/>
            <w:bottom w:val="none" w:sz="0" w:space="0" w:color="auto"/>
            <w:right w:val="none" w:sz="0" w:space="0" w:color="auto"/>
          </w:divBdr>
        </w:div>
        <w:div w:id="1098450165">
          <w:marLeft w:val="0"/>
          <w:marRight w:val="0"/>
          <w:marTop w:val="0"/>
          <w:marBottom w:val="0"/>
          <w:divBdr>
            <w:top w:val="none" w:sz="0" w:space="0" w:color="auto"/>
            <w:left w:val="none" w:sz="0" w:space="0" w:color="auto"/>
            <w:bottom w:val="none" w:sz="0" w:space="0" w:color="auto"/>
            <w:right w:val="none" w:sz="0" w:space="0" w:color="auto"/>
          </w:divBdr>
        </w:div>
        <w:div w:id="1024329304">
          <w:marLeft w:val="0"/>
          <w:marRight w:val="0"/>
          <w:marTop w:val="0"/>
          <w:marBottom w:val="0"/>
          <w:divBdr>
            <w:top w:val="none" w:sz="0" w:space="0" w:color="auto"/>
            <w:left w:val="none" w:sz="0" w:space="0" w:color="auto"/>
            <w:bottom w:val="none" w:sz="0" w:space="0" w:color="auto"/>
            <w:right w:val="none" w:sz="0" w:space="0" w:color="auto"/>
          </w:divBdr>
        </w:div>
      </w:divsChild>
    </w:div>
    <w:div w:id="1583566508">
      <w:marLeft w:val="0"/>
      <w:marRight w:val="0"/>
      <w:marTop w:val="240"/>
      <w:marBottom w:val="0"/>
      <w:divBdr>
        <w:top w:val="none" w:sz="0" w:space="0" w:color="auto"/>
        <w:left w:val="none" w:sz="0" w:space="0" w:color="auto"/>
        <w:bottom w:val="none" w:sz="0" w:space="0" w:color="auto"/>
        <w:right w:val="none" w:sz="0" w:space="0" w:color="auto"/>
      </w:divBdr>
    </w:div>
    <w:div w:id="1586264026">
      <w:marLeft w:val="0"/>
      <w:marRight w:val="0"/>
      <w:marTop w:val="240"/>
      <w:marBottom w:val="0"/>
      <w:divBdr>
        <w:top w:val="none" w:sz="0" w:space="0" w:color="auto"/>
        <w:left w:val="none" w:sz="0" w:space="0" w:color="auto"/>
        <w:bottom w:val="none" w:sz="0" w:space="0" w:color="auto"/>
        <w:right w:val="none" w:sz="0" w:space="0" w:color="auto"/>
      </w:divBdr>
    </w:div>
    <w:div w:id="1589844554">
      <w:marLeft w:val="0"/>
      <w:marRight w:val="0"/>
      <w:marTop w:val="240"/>
      <w:marBottom w:val="0"/>
      <w:divBdr>
        <w:top w:val="none" w:sz="0" w:space="0" w:color="auto"/>
        <w:left w:val="none" w:sz="0" w:space="0" w:color="auto"/>
        <w:bottom w:val="none" w:sz="0" w:space="0" w:color="auto"/>
        <w:right w:val="none" w:sz="0" w:space="0" w:color="auto"/>
      </w:divBdr>
    </w:div>
    <w:div w:id="1591162255">
      <w:marLeft w:val="0"/>
      <w:marRight w:val="0"/>
      <w:marTop w:val="240"/>
      <w:marBottom w:val="0"/>
      <w:divBdr>
        <w:top w:val="none" w:sz="0" w:space="0" w:color="auto"/>
        <w:left w:val="none" w:sz="0" w:space="0" w:color="auto"/>
        <w:bottom w:val="none" w:sz="0" w:space="0" w:color="auto"/>
        <w:right w:val="none" w:sz="0" w:space="0" w:color="auto"/>
      </w:divBdr>
    </w:div>
    <w:div w:id="1598949767">
      <w:marLeft w:val="0"/>
      <w:marRight w:val="0"/>
      <w:marTop w:val="240"/>
      <w:marBottom w:val="0"/>
      <w:divBdr>
        <w:top w:val="none" w:sz="0" w:space="0" w:color="auto"/>
        <w:left w:val="none" w:sz="0" w:space="0" w:color="auto"/>
        <w:bottom w:val="none" w:sz="0" w:space="0" w:color="auto"/>
        <w:right w:val="none" w:sz="0" w:space="0" w:color="auto"/>
      </w:divBdr>
    </w:div>
    <w:div w:id="1602253798">
      <w:marLeft w:val="0"/>
      <w:marRight w:val="0"/>
      <w:marTop w:val="0"/>
      <w:marBottom w:val="120"/>
      <w:divBdr>
        <w:top w:val="none" w:sz="0" w:space="0" w:color="auto"/>
        <w:left w:val="none" w:sz="0" w:space="0" w:color="auto"/>
        <w:bottom w:val="none" w:sz="0" w:space="0" w:color="auto"/>
        <w:right w:val="none" w:sz="0" w:space="0" w:color="auto"/>
      </w:divBdr>
    </w:div>
    <w:div w:id="1603342658">
      <w:marLeft w:val="0"/>
      <w:marRight w:val="0"/>
      <w:marTop w:val="0"/>
      <w:marBottom w:val="0"/>
      <w:divBdr>
        <w:top w:val="none" w:sz="0" w:space="0" w:color="auto"/>
        <w:left w:val="none" w:sz="0" w:space="0" w:color="auto"/>
        <w:bottom w:val="none" w:sz="0" w:space="0" w:color="auto"/>
        <w:right w:val="none" w:sz="0" w:space="0" w:color="auto"/>
      </w:divBdr>
    </w:div>
    <w:div w:id="1603411201">
      <w:marLeft w:val="0"/>
      <w:marRight w:val="0"/>
      <w:marTop w:val="240"/>
      <w:marBottom w:val="0"/>
      <w:divBdr>
        <w:top w:val="none" w:sz="0" w:space="0" w:color="auto"/>
        <w:left w:val="none" w:sz="0" w:space="0" w:color="auto"/>
        <w:bottom w:val="none" w:sz="0" w:space="0" w:color="auto"/>
        <w:right w:val="none" w:sz="0" w:space="0" w:color="auto"/>
      </w:divBdr>
    </w:div>
    <w:div w:id="1606381449">
      <w:marLeft w:val="0"/>
      <w:marRight w:val="0"/>
      <w:marTop w:val="240"/>
      <w:marBottom w:val="0"/>
      <w:divBdr>
        <w:top w:val="none" w:sz="0" w:space="0" w:color="auto"/>
        <w:left w:val="none" w:sz="0" w:space="0" w:color="auto"/>
        <w:bottom w:val="none" w:sz="0" w:space="0" w:color="auto"/>
        <w:right w:val="none" w:sz="0" w:space="0" w:color="auto"/>
      </w:divBdr>
    </w:div>
    <w:div w:id="1610316919">
      <w:marLeft w:val="0"/>
      <w:marRight w:val="0"/>
      <w:marTop w:val="0"/>
      <w:marBottom w:val="0"/>
      <w:divBdr>
        <w:top w:val="none" w:sz="0" w:space="0" w:color="auto"/>
        <w:left w:val="none" w:sz="0" w:space="0" w:color="auto"/>
        <w:bottom w:val="none" w:sz="0" w:space="0" w:color="auto"/>
        <w:right w:val="none" w:sz="0" w:space="0" w:color="auto"/>
      </w:divBdr>
    </w:div>
    <w:div w:id="1610967734">
      <w:marLeft w:val="0"/>
      <w:marRight w:val="0"/>
      <w:marTop w:val="0"/>
      <w:marBottom w:val="0"/>
      <w:divBdr>
        <w:top w:val="none" w:sz="0" w:space="0" w:color="auto"/>
        <w:left w:val="none" w:sz="0" w:space="0" w:color="auto"/>
        <w:bottom w:val="none" w:sz="0" w:space="0" w:color="auto"/>
        <w:right w:val="none" w:sz="0" w:space="0" w:color="auto"/>
      </w:divBdr>
      <w:divsChild>
        <w:div w:id="294068872">
          <w:marLeft w:val="0"/>
          <w:marRight w:val="0"/>
          <w:marTop w:val="0"/>
          <w:marBottom w:val="0"/>
          <w:divBdr>
            <w:top w:val="none" w:sz="0" w:space="0" w:color="auto"/>
            <w:left w:val="none" w:sz="0" w:space="0" w:color="auto"/>
            <w:bottom w:val="none" w:sz="0" w:space="0" w:color="auto"/>
            <w:right w:val="none" w:sz="0" w:space="0" w:color="auto"/>
          </w:divBdr>
          <w:divsChild>
            <w:div w:id="12287585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8679803">
      <w:marLeft w:val="0"/>
      <w:marRight w:val="0"/>
      <w:marTop w:val="240"/>
      <w:marBottom w:val="0"/>
      <w:divBdr>
        <w:top w:val="none" w:sz="0" w:space="0" w:color="auto"/>
        <w:left w:val="none" w:sz="0" w:space="0" w:color="auto"/>
        <w:bottom w:val="none" w:sz="0" w:space="0" w:color="auto"/>
        <w:right w:val="none" w:sz="0" w:space="0" w:color="auto"/>
      </w:divBdr>
    </w:div>
    <w:div w:id="1622102557">
      <w:marLeft w:val="0"/>
      <w:marRight w:val="0"/>
      <w:marTop w:val="240"/>
      <w:marBottom w:val="0"/>
      <w:divBdr>
        <w:top w:val="none" w:sz="0" w:space="0" w:color="auto"/>
        <w:left w:val="none" w:sz="0" w:space="0" w:color="auto"/>
        <w:bottom w:val="none" w:sz="0" w:space="0" w:color="auto"/>
        <w:right w:val="none" w:sz="0" w:space="0" w:color="auto"/>
      </w:divBdr>
    </w:div>
    <w:div w:id="1623340187">
      <w:marLeft w:val="0"/>
      <w:marRight w:val="0"/>
      <w:marTop w:val="240"/>
      <w:marBottom w:val="0"/>
      <w:divBdr>
        <w:top w:val="none" w:sz="0" w:space="0" w:color="auto"/>
        <w:left w:val="none" w:sz="0" w:space="0" w:color="auto"/>
        <w:bottom w:val="none" w:sz="0" w:space="0" w:color="auto"/>
        <w:right w:val="none" w:sz="0" w:space="0" w:color="auto"/>
      </w:divBdr>
    </w:div>
    <w:div w:id="1624533940">
      <w:marLeft w:val="0"/>
      <w:marRight w:val="0"/>
      <w:marTop w:val="0"/>
      <w:marBottom w:val="0"/>
      <w:divBdr>
        <w:top w:val="none" w:sz="0" w:space="0" w:color="auto"/>
        <w:left w:val="none" w:sz="0" w:space="0" w:color="auto"/>
        <w:bottom w:val="none" w:sz="0" w:space="0" w:color="auto"/>
        <w:right w:val="none" w:sz="0" w:space="0" w:color="auto"/>
      </w:divBdr>
      <w:divsChild>
        <w:div w:id="515733805">
          <w:marLeft w:val="0"/>
          <w:marRight w:val="0"/>
          <w:marTop w:val="0"/>
          <w:marBottom w:val="0"/>
          <w:divBdr>
            <w:top w:val="none" w:sz="0" w:space="0" w:color="auto"/>
            <w:left w:val="none" w:sz="0" w:space="0" w:color="auto"/>
            <w:bottom w:val="none" w:sz="0" w:space="0" w:color="auto"/>
            <w:right w:val="none" w:sz="0" w:space="0" w:color="auto"/>
          </w:divBdr>
          <w:divsChild>
            <w:div w:id="12700398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26348383">
      <w:marLeft w:val="0"/>
      <w:marRight w:val="0"/>
      <w:marTop w:val="160"/>
      <w:marBottom w:val="0"/>
      <w:divBdr>
        <w:top w:val="none" w:sz="0" w:space="0" w:color="auto"/>
        <w:left w:val="none" w:sz="0" w:space="0" w:color="auto"/>
        <w:bottom w:val="none" w:sz="0" w:space="0" w:color="auto"/>
        <w:right w:val="none" w:sz="0" w:space="0" w:color="auto"/>
      </w:divBdr>
    </w:div>
    <w:div w:id="1626887639">
      <w:marLeft w:val="0"/>
      <w:marRight w:val="0"/>
      <w:marTop w:val="240"/>
      <w:marBottom w:val="0"/>
      <w:divBdr>
        <w:top w:val="none" w:sz="0" w:space="0" w:color="auto"/>
        <w:left w:val="none" w:sz="0" w:space="0" w:color="auto"/>
        <w:bottom w:val="none" w:sz="0" w:space="0" w:color="auto"/>
        <w:right w:val="none" w:sz="0" w:space="0" w:color="auto"/>
      </w:divBdr>
    </w:div>
    <w:div w:id="1628117925">
      <w:marLeft w:val="0"/>
      <w:marRight w:val="0"/>
      <w:marTop w:val="240"/>
      <w:marBottom w:val="120"/>
      <w:divBdr>
        <w:top w:val="none" w:sz="0" w:space="0" w:color="auto"/>
        <w:left w:val="none" w:sz="0" w:space="0" w:color="auto"/>
        <w:bottom w:val="none" w:sz="0" w:space="0" w:color="auto"/>
        <w:right w:val="none" w:sz="0" w:space="0" w:color="auto"/>
      </w:divBdr>
    </w:div>
    <w:div w:id="1628465091">
      <w:marLeft w:val="0"/>
      <w:marRight w:val="0"/>
      <w:marTop w:val="240"/>
      <w:marBottom w:val="0"/>
      <w:divBdr>
        <w:top w:val="none" w:sz="0" w:space="0" w:color="auto"/>
        <w:left w:val="none" w:sz="0" w:space="0" w:color="auto"/>
        <w:bottom w:val="none" w:sz="0" w:space="0" w:color="auto"/>
        <w:right w:val="none" w:sz="0" w:space="0" w:color="auto"/>
      </w:divBdr>
    </w:div>
    <w:div w:id="1629169255">
      <w:marLeft w:val="0"/>
      <w:marRight w:val="0"/>
      <w:marTop w:val="240"/>
      <w:marBottom w:val="0"/>
      <w:divBdr>
        <w:top w:val="none" w:sz="0" w:space="0" w:color="auto"/>
        <w:left w:val="none" w:sz="0" w:space="0" w:color="auto"/>
        <w:bottom w:val="none" w:sz="0" w:space="0" w:color="auto"/>
        <w:right w:val="none" w:sz="0" w:space="0" w:color="auto"/>
      </w:divBdr>
    </w:div>
    <w:div w:id="1631591809">
      <w:marLeft w:val="0"/>
      <w:marRight w:val="0"/>
      <w:marTop w:val="0"/>
      <w:marBottom w:val="0"/>
      <w:divBdr>
        <w:top w:val="none" w:sz="0" w:space="0" w:color="auto"/>
        <w:left w:val="none" w:sz="0" w:space="0" w:color="auto"/>
        <w:bottom w:val="none" w:sz="0" w:space="0" w:color="auto"/>
        <w:right w:val="none" w:sz="0" w:space="0" w:color="auto"/>
      </w:divBdr>
      <w:divsChild>
        <w:div w:id="1807769813">
          <w:marLeft w:val="0"/>
          <w:marRight w:val="0"/>
          <w:marTop w:val="0"/>
          <w:marBottom w:val="0"/>
          <w:divBdr>
            <w:top w:val="none" w:sz="0" w:space="0" w:color="auto"/>
            <w:left w:val="none" w:sz="0" w:space="0" w:color="auto"/>
            <w:bottom w:val="none" w:sz="0" w:space="0" w:color="auto"/>
            <w:right w:val="none" w:sz="0" w:space="0" w:color="auto"/>
          </w:divBdr>
        </w:div>
      </w:divsChild>
    </w:div>
    <w:div w:id="1631671530">
      <w:marLeft w:val="0"/>
      <w:marRight w:val="0"/>
      <w:marTop w:val="240"/>
      <w:marBottom w:val="0"/>
      <w:divBdr>
        <w:top w:val="none" w:sz="0" w:space="0" w:color="auto"/>
        <w:left w:val="none" w:sz="0" w:space="0" w:color="auto"/>
        <w:bottom w:val="none" w:sz="0" w:space="0" w:color="auto"/>
        <w:right w:val="none" w:sz="0" w:space="0" w:color="auto"/>
      </w:divBdr>
    </w:div>
    <w:div w:id="1632514678">
      <w:marLeft w:val="0"/>
      <w:marRight w:val="0"/>
      <w:marTop w:val="240"/>
      <w:marBottom w:val="0"/>
      <w:divBdr>
        <w:top w:val="none" w:sz="0" w:space="0" w:color="auto"/>
        <w:left w:val="none" w:sz="0" w:space="0" w:color="auto"/>
        <w:bottom w:val="none" w:sz="0" w:space="0" w:color="auto"/>
        <w:right w:val="none" w:sz="0" w:space="0" w:color="auto"/>
      </w:divBdr>
    </w:div>
    <w:div w:id="1635867537">
      <w:marLeft w:val="0"/>
      <w:marRight w:val="0"/>
      <w:marTop w:val="0"/>
      <w:marBottom w:val="120"/>
      <w:divBdr>
        <w:top w:val="none" w:sz="0" w:space="0" w:color="auto"/>
        <w:left w:val="none" w:sz="0" w:space="0" w:color="auto"/>
        <w:bottom w:val="none" w:sz="0" w:space="0" w:color="auto"/>
        <w:right w:val="none" w:sz="0" w:space="0" w:color="auto"/>
      </w:divBdr>
    </w:div>
    <w:div w:id="1637027669">
      <w:marLeft w:val="0"/>
      <w:marRight w:val="0"/>
      <w:marTop w:val="240"/>
      <w:marBottom w:val="0"/>
      <w:divBdr>
        <w:top w:val="none" w:sz="0" w:space="0" w:color="auto"/>
        <w:left w:val="none" w:sz="0" w:space="0" w:color="auto"/>
        <w:bottom w:val="none" w:sz="0" w:space="0" w:color="auto"/>
        <w:right w:val="none" w:sz="0" w:space="0" w:color="auto"/>
      </w:divBdr>
    </w:div>
    <w:div w:id="1640528791">
      <w:marLeft w:val="0"/>
      <w:marRight w:val="0"/>
      <w:marTop w:val="0"/>
      <w:marBottom w:val="0"/>
      <w:divBdr>
        <w:top w:val="none" w:sz="0" w:space="0" w:color="auto"/>
        <w:left w:val="none" w:sz="0" w:space="0" w:color="auto"/>
        <w:bottom w:val="none" w:sz="0" w:space="0" w:color="auto"/>
        <w:right w:val="none" w:sz="0" w:space="0" w:color="auto"/>
      </w:divBdr>
      <w:divsChild>
        <w:div w:id="1226646912">
          <w:marLeft w:val="0"/>
          <w:marRight w:val="0"/>
          <w:marTop w:val="0"/>
          <w:marBottom w:val="200"/>
          <w:divBdr>
            <w:top w:val="none" w:sz="0" w:space="0" w:color="auto"/>
            <w:left w:val="none" w:sz="0" w:space="0" w:color="auto"/>
            <w:bottom w:val="none" w:sz="0" w:space="0" w:color="auto"/>
            <w:right w:val="none" w:sz="0" w:space="0" w:color="auto"/>
          </w:divBdr>
        </w:div>
      </w:divsChild>
    </w:div>
    <w:div w:id="1645427422">
      <w:marLeft w:val="0"/>
      <w:marRight w:val="0"/>
      <w:marTop w:val="240"/>
      <w:marBottom w:val="0"/>
      <w:divBdr>
        <w:top w:val="none" w:sz="0" w:space="0" w:color="auto"/>
        <w:left w:val="none" w:sz="0" w:space="0" w:color="auto"/>
        <w:bottom w:val="none" w:sz="0" w:space="0" w:color="auto"/>
        <w:right w:val="none" w:sz="0" w:space="0" w:color="auto"/>
      </w:divBdr>
    </w:div>
    <w:div w:id="1653098190">
      <w:marLeft w:val="0"/>
      <w:marRight w:val="0"/>
      <w:marTop w:val="240"/>
      <w:marBottom w:val="0"/>
      <w:divBdr>
        <w:top w:val="none" w:sz="0" w:space="0" w:color="auto"/>
        <w:left w:val="none" w:sz="0" w:space="0" w:color="auto"/>
        <w:bottom w:val="none" w:sz="0" w:space="0" w:color="auto"/>
        <w:right w:val="none" w:sz="0" w:space="0" w:color="auto"/>
      </w:divBdr>
    </w:div>
    <w:div w:id="1654875677">
      <w:marLeft w:val="0"/>
      <w:marRight w:val="0"/>
      <w:marTop w:val="240"/>
      <w:marBottom w:val="0"/>
      <w:divBdr>
        <w:top w:val="none" w:sz="0" w:space="0" w:color="auto"/>
        <w:left w:val="none" w:sz="0" w:space="0" w:color="auto"/>
        <w:bottom w:val="none" w:sz="0" w:space="0" w:color="auto"/>
        <w:right w:val="none" w:sz="0" w:space="0" w:color="auto"/>
      </w:divBdr>
    </w:div>
    <w:div w:id="1659650816">
      <w:marLeft w:val="0"/>
      <w:marRight w:val="0"/>
      <w:marTop w:val="240"/>
      <w:marBottom w:val="0"/>
      <w:divBdr>
        <w:top w:val="none" w:sz="0" w:space="0" w:color="auto"/>
        <w:left w:val="none" w:sz="0" w:space="0" w:color="auto"/>
        <w:bottom w:val="none" w:sz="0" w:space="0" w:color="auto"/>
        <w:right w:val="none" w:sz="0" w:space="0" w:color="auto"/>
      </w:divBdr>
    </w:div>
    <w:div w:id="1661226520">
      <w:marLeft w:val="0"/>
      <w:marRight w:val="0"/>
      <w:marTop w:val="240"/>
      <w:marBottom w:val="0"/>
      <w:divBdr>
        <w:top w:val="none" w:sz="0" w:space="0" w:color="auto"/>
        <w:left w:val="none" w:sz="0" w:space="0" w:color="auto"/>
        <w:bottom w:val="none" w:sz="0" w:space="0" w:color="auto"/>
        <w:right w:val="none" w:sz="0" w:space="0" w:color="auto"/>
      </w:divBdr>
    </w:div>
    <w:div w:id="1661424619">
      <w:marLeft w:val="0"/>
      <w:marRight w:val="0"/>
      <w:marTop w:val="240"/>
      <w:marBottom w:val="0"/>
      <w:divBdr>
        <w:top w:val="none" w:sz="0" w:space="0" w:color="auto"/>
        <w:left w:val="none" w:sz="0" w:space="0" w:color="auto"/>
        <w:bottom w:val="none" w:sz="0" w:space="0" w:color="auto"/>
        <w:right w:val="none" w:sz="0" w:space="0" w:color="auto"/>
      </w:divBdr>
    </w:div>
    <w:div w:id="1665280118">
      <w:marLeft w:val="0"/>
      <w:marRight w:val="0"/>
      <w:marTop w:val="0"/>
      <w:marBottom w:val="0"/>
      <w:divBdr>
        <w:top w:val="none" w:sz="0" w:space="0" w:color="auto"/>
        <w:left w:val="none" w:sz="0" w:space="0" w:color="auto"/>
        <w:bottom w:val="none" w:sz="0" w:space="0" w:color="auto"/>
        <w:right w:val="none" w:sz="0" w:space="0" w:color="auto"/>
      </w:divBdr>
      <w:divsChild>
        <w:div w:id="954946178">
          <w:marLeft w:val="0"/>
          <w:marRight w:val="0"/>
          <w:marTop w:val="0"/>
          <w:marBottom w:val="0"/>
          <w:divBdr>
            <w:top w:val="none" w:sz="0" w:space="0" w:color="auto"/>
            <w:left w:val="none" w:sz="0" w:space="0" w:color="auto"/>
            <w:bottom w:val="none" w:sz="0" w:space="0" w:color="auto"/>
            <w:right w:val="none" w:sz="0" w:space="0" w:color="auto"/>
          </w:divBdr>
          <w:divsChild>
            <w:div w:id="13407669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66207946">
      <w:marLeft w:val="0"/>
      <w:marRight w:val="0"/>
      <w:marTop w:val="240"/>
      <w:marBottom w:val="0"/>
      <w:divBdr>
        <w:top w:val="none" w:sz="0" w:space="0" w:color="auto"/>
        <w:left w:val="none" w:sz="0" w:space="0" w:color="auto"/>
        <w:bottom w:val="none" w:sz="0" w:space="0" w:color="auto"/>
        <w:right w:val="none" w:sz="0" w:space="0" w:color="auto"/>
      </w:divBdr>
    </w:div>
    <w:div w:id="1669167327">
      <w:marLeft w:val="0"/>
      <w:marRight w:val="0"/>
      <w:marTop w:val="240"/>
      <w:marBottom w:val="0"/>
      <w:divBdr>
        <w:top w:val="none" w:sz="0" w:space="0" w:color="auto"/>
        <w:left w:val="none" w:sz="0" w:space="0" w:color="auto"/>
        <w:bottom w:val="none" w:sz="0" w:space="0" w:color="auto"/>
        <w:right w:val="none" w:sz="0" w:space="0" w:color="auto"/>
      </w:divBdr>
    </w:div>
    <w:div w:id="1670131036">
      <w:marLeft w:val="0"/>
      <w:marRight w:val="0"/>
      <w:marTop w:val="240"/>
      <w:marBottom w:val="0"/>
      <w:divBdr>
        <w:top w:val="none" w:sz="0" w:space="0" w:color="auto"/>
        <w:left w:val="none" w:sz="0" w:space="0" w:color="auto"/>
        <w:bottom w:val="none" w:sz="0" w:space="0" w:color="auto"/>
        <w:right w:val="none" w:sz="0" w:space="0" w:color="auto"/>
      </w:divBdr>
    </w:div>
    <w:div w:id="1670206086">
      <w:marLeft w:val="0"/>
      <w:marRight w:val="0"/>
      <w:marTop w:val="240"/>
      <w:marBottom w:val="0"/>
      <w:divBdr>
        <w:top w:val="none" w:sz="0" w:space="0" w:color="auto"/>
        <w:left w:val="none" w:sz="0" w:space="0" w:color="auto"/>
        <w:bottom w:val="none" w:sz="0" w:space="0" w:color="auto"/>
        <w:right w:val="none" w:sz="0" w:space="0" w:color="auto"/>
      </w:divBdr>
    </w:div>
    <w:div w:id="1672759776">
      <w:marLeft w:val="0"/>
      <w:marRight w:val="0"/>
      <w:marTop w:val="240"/>
      <w:marBottom w:val="0"/>
      <w:divBdr>
        <w:top w:val="none" w:sz="0" w:space="0" w:color="auto"/>
        <w:left w:val="none" w:sz="0" w:space="0" w:color="auto"/>
        <w:bottom w:val="none" w:sz="0" w:space="0" w:color="auto"/>
        <w:right w:val="none" w:sz="0" w:space="0" w:color="auto"/>
      </w:divBdr>
    </w:div>
    <w:div w:id="1673022383">
      <w:marLeft w:val="0"/>
      <w:marRight w:val="0"/>
      <w:marTop w:val="240"/>
      <w:marBottom w:val="0"/>
      <w:divBdr>
        <w:top w:val="none" w:sz="0" w:space="0" w:color="auto"/>
        <w:left w:val="none" w:sz="0" w:space="0" w:color="auto"/>
        <w:bottom w:val="none" w:sz="0" w:space="0" w:color="auto"/>
        <w:right w:val="none" w:sz="0" w:space="0" w:color="auto"/>
      </w:divBdr>
    </w:div>
    <w:div w:id="1673029360">
      <w:marLeft w:val="0"/>
      <w:marRight w:val="0"/>
      <w:marTop w:val="160"/>
      <w:marBottom w:val="0"/>
      <w:divBdr>
        <w:top w:val="none" w:sz="0" w:space="0" w:color="auto"/>
        <w:left w:val="none" w:sz="0" w:space="0" w:color="auto"/>
        <w:bottom w:val="none" w:sz="0" w:space="0" w:color="auto"/>
        <w:right w:val="none" w:sz="0" w:space="0" w:color="auto"/>
      </w:divBdr>
    </w:div>
    <w:div w:id="1673752430">
      <w:marLeft w:val="0"/>
      <w:marRight w:val="0"/>
      <w:marTop w:val="240"/>
      <w:marBottom w:val="0"/>
      <w:divBdr>
        <w:top w:val="none" w:sz="0" w:space="0" w:color="auto"/>
        <w:left w:val="none" w:sz="0" w:space="0" w:color="auto"/>
        <w:bottom w:val="none" w:sz="0" w:space="0" w:color="auto"/>
        <w:right w:val="none" w:sz="0" w:space="0" w:color="auto"/>
      </w:divBdr>
    </w:div>
    <w:div w:id="1675302895">
      <w:marLeft w:val="0"/>
      <w:marRight w:val="0"/>
      <w:marTop w:val="240"/>
      <w:marBottom w:val="0"/>
      <w:divBdr>
        <w:top w:val="none" w:sz="0" w:space="0" w:color="auto"/>
        <w:left w:val="none" w:sz="0" w:space="0" w:color="auto"/>
        <w:bottom w:val="none" w:sz="0" w:space="0" w:color="auto"/>
        <w:right w:val="none" w:sz="0" w:space="0" w:color="auto"/>
      </w:divBdr>
    </w:div>
    <w:div w:id="1678144809">
      <w:marLeft w:val="0"/>
      <w:marRight w:val="0"/>
      <w:marTop w:val="240"/>
      <w:marBottom w:val="0"/>
      <w:divBdr>
        <w:top w:val="none" w:sz="0" w:space="0" w:color="auto"/>
        <w:left w:val="none" w:sz="0" w:space="0" w:color="auto"/>
        <w:bottom w:val="none" w:sz="0" w:space="0" w:color="auto"/>
        <w:right w:val="none" w:sz="0" w:space="0" w:color="auto"/>
      </w:divBdr>
    </w:div>
    <w:div w:id="1678264872">
      <w:marLeft w:val="0"/>
      <w:marRight w:val="0"/>
      <w:marTop w:val="240"/>
      <w:marBottom w:val="120"/>
      <w:divBdr>
        <w:top w:val="none" w:sz="0" w:space="0" w:color="auto"/>
        <w:left w:val="none" w:sz="0" w:space="0" w:color="auto"/>
        <w:bottom w:val="none" w:sz="0" w:space="0" w:color="auto"/>
        <w:right w:val="none" w:sz="0" w:space="0" w:color="auto"/>
      </w:divBdr>
      <w:divsChild>
        <w:div w:id="1020008340">
          <w:marLeft w:val="0"/>
          <w:marRight w:val="0"/>
          <w:marTop w:val="0"/>
          <w:marBottom w:val="0"/>
          <w:divBdr>
            <w:top w:val="none" w:sz="0" w:space="0" w:color="auto"/>
            <w:left w:val="none" w:sz="0" w:space="0" w:color="auto"/>
            <w:bottom w:val="none" w:sz="0" w:space="0" w:color="auto"/>
            <w:right w:val="none" w:sz="0" w:space="0" w:color="auto"/>
          </w:divBdr>
        </w:div>
        <w:div w:id="267584531">
          <w:marLeft w:val="0"/>
          <w:marRight w:val="0"/>
          <w:marTop w:val="0"/>
          <w:marBottom w:val="0"/>
          <w:divBdr>
            <w:top w:val="none" w:sz="0" w:space="0" w:color="auto"/>
            <w:left w:val="none" w:sz="0" w:space="0" w:color="auto"/>
            <w:bottom w:val="none" w:sz="0" w:space="0" w:color="auto"/>
            <w:right w:val="none" w:sz="0" w:space="0" w:color="auto"/>
          </w:divBdr>
        </w:div>
      </w:divsChild>
    </w:div>
    <w:div w:id="1678576579">
      <w:marLeft w:val="0"/>
      <w:marRight w:val="0"/>
      <w:marTop w:val="240"/>
      <w:marBottom w:val="0"/>
      <w:divBdr>
        <w:top w:val="none" w:sz="0" w:space="0" w:color="auto"/>
        <w:left w:val="none" w:sz="0" w:space="0" w:color="auto"/>
        <w:bottom w:val="none" w:sz="0" w:space="0" w:color="auto"/>
        <w:right w:val="none" w:sz="0" w:space="0" w:color="auto"/>
      </w:divBdr>
    </w:div>
    <w:div w:id="1686597125">
      <w:marLeft w:val="0"/>
      <w:marRight w:val="0"/>
      <w:marTop w:val="240"/>
      <w:marBottom w:val="0"/>
      <w:divBdr>
        <w:top w:val="none" w:sz="0" w:space="0" w:color="auto"/>
        <w:left w:val="none" w:sz="0" w:space="0" w:color="auto"/>
        <w:bottom w:val="none" w:sz="0" w:space="0" w:color="auto"/>
        <w:right w:val="none" w:sz="0" w:space="0" w:color="auto"/>
      </w:divBdr>
    </w:div>
    <w:div w:id="1692879715">
      <w:marLeft w:val="0"/>
      <w:marRight w:val="0"/>
      <w:marTop w:val="240"/>
      <w:marBottom w:val="0"/>
      <w:divBdr>
        <w:top w:val="none" w:sz="0" w:space="0" w:color="auto"/>
        <w:left w:val="none" w:sz="0" w:space="0" w:color="auto"/>
        <w:bottom w:val="none" w:sz="0" w:space="0" w:color="auto"/>
        <w:right w:val="none" w:sz="0" w:space="0" w:color="auto"/>
      </w:divBdr>
    </w:div>
    <w:div w:id="1693267195">
      <w:marLeft w:val="0"/>
      <w:marRight w:val="0"/>
      <w:marTop w:val="240"/>
      <w:marBottom w:val="0"/>
      <w:divBdr>
        <w:top w:val="none" w:sz="0" w:space="0" w:color="auto"/>
        <w:left w:val="none" w:sz="0" w:space="0" w:color="auto"/>
        <w:bottom w:val="none" w:sz="0" w:space="0" w:color="auto"/>
        <w:right w:val="none" w:sz="0" w:space="0" w:color="auto"/>
      </w:divBdr>
    </w:div>
    <w:div w:id="1697736522">
      <w:marLeft w:val="0"/>
      <w:marRight w:val="0"/>
      <w:marTop w:val="240"/>
      <w:marBottom w:val="0"/>
      <w:divBdr>
        <w:top w:val="none" w:sz="0" w:space="0" w:color="auto"/>
        <w:left w:val="none" w:sz="0" w:space="0" w:color="auto"/>
        <w:bottom w:val="none" w:sz="0" w:space="0" w:color="auto"/>
        <w:right w:val="none" w:sz="0" w:space="0" w:color="auto"/>
      </w:divBdr>
    </w:div>
    <w:div w:id="1700080338">
      <w:marLeft w:val="0"/>
      <w:marRight w:val="0"/>
      <w:marTop w:val="240"/>
      <w:marBottom w:val="0"/>
      <w:divBdr>
        <w:top w:val="none" w:sz="0" w:space="0" w:color="auto"/>
        <w:left w:val="none" w:sz="0" w:space="0" w:color="auto"/>
        <w:bottom w:val="none" w:sz="0" w:space="0" w:color="auto"/>
        <w:right w:val="none" w:sz="0" w:space="0" w:color="auto"/>
      </w:divBdr>
    </w:div>
    <w:div w:id="1710450549">
      <w:marLeft w:val="0"/>
      <w:marRight w:val="0"/>
      <w:marTop w:val="0"/>
      <w:marBottom w:val="120"/>
      <w:divBdr>
        <w:top w:val="none" w:sz="0" w:space="0" w:color="auto"/>
        <w:left w:val="none" w:sz="0" w:space="0" w:color="auto"/>
        <w:bottom w:val="none" w:sz="0" w:space="0" w:color="auto"/>
        <w:right w:val="none" w:sz="0" w:space="0" w:color="auto"/>
      </w:divBdr>
    </w:div>
    <w:div w:id="1710563794">
      <w:marLeft w:val="0"/>
      <w:marRight w:val="0"/>
      <w:marTop w:val="0"/>
      <w:marBottom w:val="0"/>
      <w:divBdr>
        <w:top w:val="none" w:sz="0" w:space="0" w:color="auto"/>
        <w:left w:val="none" w:sz="0" w:space="0" w:color="auto"/>
        <w:bottom w:val="none" w:sz="0" w:space="0" w:color="auto"/>
        <w:right w:val="none" w:sz="0" w:space="0" w:color="auto"/>
      </w:divBdr>
      <w:divsChild>
        <w:div w:id="1950427652">
          <w:marLeft w:val="0"/>
          <w:marRight w:val="0"/>
          <w:marTop w:val="0"/>
          <w:marBottom w:val="0"/>
          <w:divBdr>
            <w:top w:val="none" w:sz="0" w:space="0" w:color="auto"/>
            <w:left w:val="none" w:sz="0" w:space="0" w:color="auto"/>
            <w:bottom w:val="none" w:sz="0" w:space="0" w:color="auto"/>
            <w:right w:val="none" w:sz="0" w:space="0" w:color="auto"/>
          </w:divBdr>
          <w:divsChild>
            <w:div w:id="668104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10953318">
      <w:marLeft w:val="0"/>
      <w:marRight w:val="0"/>
      <w:marTop w:val="0"/>
      <w:marBottom w:val="0"/>
      <w:divBdr>
        <w:top w:val="none" w:sz="0" w:space="0" w:color="auto"/>
        <w:left w:val="none" w:sz="0" w:space="0" w:color="auto"/>
        <w:bottom w:val="none" w:sz="0" w:space="0" w:color="auto"/>
        <w:right w:val="none" w:sz="0" w:space="0" w:color="auto"/>
      </w:divBdr>
      <w:divsChild>
        <w:div w:id="989359294">
          <w:marLeft w:val="0"/>
          <w:marRight w:val="0"/>
          <w:marTop w:val="0"/>
          <w:marBottom w:val="0"/>
          <w:divBdr>
            <w:top w:val="none" w:sz="0" w:space="0" w:color="auto"/>
            <w:left w:val="none" w:sz="0" w:space="0" w:color="auto"/>
            <w:bottom w:val="none" w:sz="0" w:space="0" w:color="auto"/>
            <w:right w:val="none" w:sz="0" w:space="0" w:color="auto"/>
          </w:divBdr>
        </w:div>
      </w:divsChild>
    </w:div>
    <w:div w:id="1714229841">
      <w:marLeft w:val="0"/>
      <w:marRight w:val="0"/>
      <w:marTop w:val="240"/>
      <w:marBottom w:val="0"/>
      <w:divBdr>
        <w:top w:val="none" w:sz="0" w:space="0" w:color="auto"/>
        <w:left w:val="none" w:sz="0" w:space="0" w:color="auto"/>
        <w:bottom w:val="none" w:sz="0" w:space="0" w:color="auto"/>
        <w:right w:val="none" w:sz="0" w:space="0" w:color="auto"/>
      </w:divBdr>
    </w:div>
    <w:div w:id="1715042314">
      <w:marLeft w:val="0"/>
      <w:marRight w:val="0"/>
      <w:marTop w:val="60"/>
      <w:marBottom w:val="0"/>
      <w:divBdr>
        <w:top w:val="none" w:sz="0" w:space="0" w:color="auto"/>
        <w:left w:val="none" w:sz="0" w:space="0" w:color="auto"/>
        <w:bottom w:val="none" w:sz="0" w:space="0" w:color="auto"/>
        <w:right w:val="none" w:sz="0" w:space="0" w:color="auto"/>
      </w:divBdr>
    </w:div>
    <w:div w:id="1720545352">
      <w:marLeft w:val="0"/>
      <w:marRight w:val="0"/>
      <w:marTop w:val="240"/>
      <w:marBottom w:val="0"/>
      <w:divBdr>
        <w:top w:val="none" w:sz="0" w:space="0" w:color="auto"/>
        <w:left w:val="none" w:sz="0" w:space="0" w:color="auto"/>
        <w:bottom w:val="none" w:sz="0" w:space="0" w:color="auto"/>
        <w:right w:val="none" w:sz="0" w:space="0" w:color="auto"/>
      </w:divBdr>
    </w:div>
    <w:div w:id="1723485353">
      <w:marLeft w:val="0"/>
      <w:marRight w:val="0"/>
      <w:marTop w:val="240"/>
      <w:marBottom w:val="0"/>
      <w:divBdr>
        <w:top w:val="none" w:sz="0" w:space="0" w:color="auto"/>
        <w:left w:val="none" w:sz="0" w:space="0" w:color="auto"/>
        <w:bottom w:val="none" w:sz="0" w:space="0" w:color="auto"/>
        <w:right w:val="none" w:sz="0" w:space="0" w:color="auto"/>
      </w:divBdr>
    </w:div>
    <w:div w:id="1723744659">
      <w:marLeft w:val="0"/>
      <w:marRight w:val="0"/>
      <w:marTop w:val="240"/>
      <w:marBottom w:val="0"/>
      <w:divBdr>
        <w:top w:val="none" w:sz="0" w:space="0" w:color="auto"/>
        <w:left w:val="none" w:sz="0" w:space="0" w:color="auto"/>
        <w:bottom w:val="none" w:sz="0" w:space="0" w:color="auto"/>
        <w:right w:val="none" w:sz="0" w:space="0" w:color="auto"/>
      </w:divBdr>
    </w:div>
    <w:div w:id="1724870638">
      <w:marLeft w:val="0"/>
      <w:marRight w:val="0"/>
      <w:marTop w:val="160"/>
      <w:marBottom w:val="0"/>
      <w:divBdr>
        <w:top w:val="none" w:sz="0" w:space="0" w:color="auto"/>
        <w:left w:val="none" w:sz="0" w:space="0" w:color="auto"/>
        <w:bottom w:val="none" w:sz="0" w:space="0" w:color="auto"/>
        <w:right w:val="none" w:sz="0" w:space="0" w:color="auto"/>
      </w:divBdr>
    </w:div>
    <w:div w:id="1725326789">
      <w:marLeft w:val="0"/>
      <w:marRight w:val="0"/>
      <w:marTop w:val="0"/>
      <w:marBottom w:val="0"/>
      <w:divBdr>
        <w:top w:val="none" w:sz="0" w:space="0" w:color="auto"/>
        <w:left w:val="none" w:sz="0" w:space="0" w:color="auto"/>
        <w:bottom w:val="none" w:sz="0" w:space="0" w:color="auto"/>
        <w:right w:val="none" w:sz="0" w:space="0" w:color="auto"/>
      </w:divBdr>
      <w:divsChild>
        <w:div w:id="785731469">
          <w:marLeft w:val="0"/>
          <w:marRight w:val="0"/>
          <w:marTop w:val="0"/>
          <w:marBottom w:val="0"/>
          <w:divBdr>
            <w:top w:val="none" w:sz="0" w:space="0" w:color="auto"/>
            <w:left w:val="none" w:sz="0" w:space="0" w:color="auto"/>
            <w:bottom w:val="none" w:sz="0" w:space="0" w:color="auto"/>
            <w:right w:val="none" w:sz="0" w:space="0" w:color="auto"/>
          </w:divBdr>
          <w:divsChild>
            <w:div w:id="18128639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29718296">
      <w:marLeft w:val="0"/>
      <w:marRight w:val="0"/>
      <w:marTop w:val="240"/>
      <w:marBottom w:val="0"/>
      <w:divBdr>
        <w:top w:val="none" w:sz="0" w:space="0" w:color="auto"/>
        <w:left w:val="none" w:sz="0" w:space="0" w:color="auto"/>
        <w:bottom w:val="none" w:sz="0" w:space="0" w:color="auto"/>
        <w:right w:val="none" w:sz="0" w:space="0" w:color="auto"/>
      </w:divBdr>
    </w:div>
    <w:div w:id="1741176664">
      <w:marLeft w:val="0"/>
      <w:marRight w:val="0"/>
      <w:marTop w:val="240"/>
      <w:marBottom w:val="0"/>
      <w:divBdr>
        <w:top w:val="none" w:sz="0" w:space="0" w:color="auto"/>
        <w:left w:val="none" w:sz="0" w:space="0" w:color="auto"/>
        <w:bottom w:val="none" w:sz="0" w:space="0" w:color="auto"/>
        <w:right w:val="none" w:sz="0" w:space="0" w:color="auto"/>
      </w:divBdr>
    </w:div>
    <w:div w:id="1743138181">
      <w:marLeft w:val="0"/>
      <w:marRight w:val="0"/>
      <w:marTop w:val="240"/>
      <w:marBottom w:val="0"/>
      <w:divBdr>
        <w:top w:val="none" w:sz="0" w:space="0" w:color="auto"/>
        <w:left w:val="none" w:sz="0" w:space="0" w:color="auto"/>
        <w:bottom w:val="none" w:sz="0" w:space="0" w:color="auto"/>
        <w:right w:val="none" w:sz="0" w:space="0" w:color="auto"/>
      </w:divBdr>
    </w:div>
    <w:div w:id="1748991947">
      <w:marLeft w:val="0"/>
      <w:marRight w:val="0"/>
      <w:marTop w:val="240"/>
      <w:marBottom w:val="0"/>
      <w:divBdr>
        <w:top w:val="none" w:sz="0" w:space="0" w:color="auto"/>
        <w:left w:val="none" w:sz="0" w:space="0" w:color="auto"/>
        <w:bottom w:val="none" w:sz="0" w:space="0" w:color="auto"/>
        <w:right w:val="none" w:sz="0" w:space="0" w:color="auto"/>
      </w:divBdr>
    </w:div>
    <w:div w:id="1750225534">
      <w:marLeft w:val="0"/>
      <w:marRight w:val="0"/>
      <w:marTop w:val="240"/>
      <w:marBottom w:val="0"/>
      <w:divBdr>
        <w:top w:val="none" w:sz="0" w:space="0" w:color="auto"/>
        <w:left w:val="none" w:sz="0" w:space="0" w:color="auto"/>
        <w:bottom w:val="none" w:sz="0" w:space="0" w:color="auto"/>
        <w:right w:val="none" w:sz="0" w:space="0" w:color="auto"/>
      </w:divBdr>
    </w:div>
    <w:div w:id="1750275301">
      <w:marLeft w:val="0"/>
      <w:marRight w:val="0"/>
      <w:marTop w:val="240"/>
      <w:marBottom w:val="0"/>
      <w:divBdr>
        <w:top w:val="none" w:sz="0" w:space="0" w:color="auto"/>
        <w:left w:val="none" w:sz="0" w:space="0" w:color="auto"/>
        <w:bottom w:val="none" w:sz="0" w:space="0" w:color="auto"/>
        <w:right w:val="none" w:sz="0" w:space="0" w:color="auto"/>
      </w:divBdr>
    </w:div>
    <w:div w:id="1751149702">
      <w:marLeft w:val="0"/>
      <w:marRight w:val="0"/>
      <w:marTop w:val="240"/>
      <w:marBottom w:val="0"/>
      <w:divBdr>
        <w:top w:val="none" w:sz="0" w:space="0" w:color="auto"/>
        <w:left w:val="none" w:sz="0" w:space="0" w:color="auto"/>
        <w:bottom w:val="none" w:sz="0" w:space="0" w:color="auto"/>
        <w:right w:val="none" w:sz="0" w:space="0" w:color="auto"/>
      </w:divBdr>
    </w:div>
    <w:div w:id="1751392288">
      <w:marLeft w:val="0"/>
      <w:marRight w:val="0"/>
      <w:marTop w:val="160"/>
      <w:marBottom w:val="0"/>
      <w:divBdr>
        <w:top w:val="none" w:sz="0" w:space="0" w:color="auto"/>
        <w:left w:val="none" w:sz="0" w:space="0" w:color="auto"/>
        <w:bottom w:val="none" w:sz="0" w:space="0" w:color="auto"/>
        <w:right w:val="none" w:sz="0" w:space="0" w:color="auto"/>
      </w:divBdr>
    </w:div>
    <w:div w:id="1752895937">
      <w:marLeft w:val="0"/>
      <w:marRight w:val="0"/>
      <w:marTop w:val="240"/>
      <w:marBottom w:val="0"/>
      <w:divBdr>
        <w:top w:val="none" w:sz="0" w:space="0" w:color="auto"/>
        <w:left w:val="none" w:sz="0" w:space="0" w:color="auto"/>
        <w:bottom w:val="none" w:sz="0" w:space="0" w:color="auto"/>
        <w:right w:val="none" w:sz="0" w:space="0" w:color="auto"/>
      </w:divBdr>
    </w:div>
    <w:div w:id="1754543960">
      <w:marLeft w:val="0"/>
      <w:marRight w:val="0"/>
      <w:marTop w:val="0"/>
      <w:marBottom w:val="0"/>
      <w:divBdr>
        <w:top w:val="none" w:sz="0" w:space="0" w:color="auto"/>
        <w:left w:val="none" w:sz="0" w:space="0" w:color="auto"/>
        <w:bottom w:val="none" w:sz="0" w:space="0" w:color="auto"/>
        <w:right w:val="none" w:sz="0" w:space="0" w:color="auto"/>
      </w:divBdr>
      <w:divsChild>
        <w:div w:id="1563827168">
          <w:marLeft w:val="0"/>
          <w:marRight w:val="0"/>
          <w:marTop w:val="0"/>
          <w:marBottom w:val="0"/>
          <w:divBdr>
            <w:top w:val="none" w:sz="0" w:space="0" w:color="auto"/>
            <w:left w:val="none" w:sz="0" w:space="0" w:color="auto"/>
            <w:bottom w:val="none" w:sz="0" w:space="0" w:color="auto"/>
            <w:right w:val="none" w:sz="0" w:space="0" w:color="auto"/>
          </w:divBdr>
          <w:divsChild>
            <w:div w:id="4149339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58937604">
      <w:marLeft w:val="0"/>
      <w:marRight w:val="0"/>
      <w:marTop w:val="240"/>
      <w:marBottom w:val="0"/>
      <w:divBdr>
        <w:top w:val="none" w:sz="0" w:space="0" w:color="auto"/>
        <w:left w:val="none" w:sz="0" w:space="0" w:color="auto"/>
        <w:bottom w:val="none" w:sz="0" w:space="0" w:color="auto"/>
        <w:right w:val="none" w:sz="0" w:space="0" w:color="auto"/>
      </w:divBdr>
    </w:div>
    <w:div w:id="1761289173">
      <w:marLeft w:val="0"/>
      <w:marRight w:val="0"/>
      <w:marTop w:val="240"/>
      <w:marBottom w:val="0"/>
      <w:divBdr>
        <w:top w:val="none" w:sz="0" w:space="0" w:color="auto"/>
        <w:left w:val="none" w:sz="0" w:space="0" w:color="auto"/>
        <w:bottom w:val="none" w:sz="0" w:space="0" w:color="auto"/>
        <w:right w:val="none" w:sz="0" w:space="0" w:color="auto"/>
      </w:divBdr>
    </w:div>
    <w:div w:id="1763916492">
      <w:marLeft w:val="0"/>
      <w:marRight w:val="0"/>
      <w:marTop w:val="120"/>
      <w:marBottom w:val="0"/>
      <w:divBdr>
        <w:top w:val="none" w:sz="0" w:space="0" w:color="auto"/>
        <w:left w:val="none" w:sz="0" w:space="0" w:color="auto"/>
        <w:bottom w:val="none" w:sz="0" w:space="0" w:color="auto"/>
        <w:right w:val="none" w:sz="0" w:space="0" w:color="auto"/>
      </w:divBdr>
    </w:div>
    <w:div w:id="1766422102">
      <w:marLeft w:val="0"/>
      <w:marRight w:val="0"/>
      <w:marTop w:val="240"/>
      <w:marBottom w:val="240"/>
      <w:divBdr>
        <w:top w:val="none" w:sz="0" w:space="0" w:color="auto"/>
        <w:left w:val="none" w:sz="0" w:space="0" w:color="auto"/>
        <w:bottom w:val="none" w:sz="0" w:space="0" w:color="auto"/>
        <w:right w:val="none" w:sz="0" w:space="0" w:color="auto"/>
      </w:divBdr>
    </w:div>
    <w:div w:id="1771270444">
      <w:marLeft w:val="0"/>
      <w:marRight w:val="0"/>
      <w:marTop w:val="240"/>
      <w:marBottom w:val="0"/>
      <w:divBdr>
        <w:top w:val="none" w:sz="0" w:space="0" w:color="auto"/>
        <w:left w:val="none" w:sz="0" w:space="0" w:color="auto"/>
        <w:bottom w:val="none" w:sz="0" w:space="0" w:color="auto"/>
        <w:right w:val="none" w:sz="0" w:space="0" w:color="auto"/>
      </w:divBdr>
    </w:div>
    <w:div w:id="1772430845">
      <w:marLeft w:val="0"/>
      <w:marRight w:val="0"/>
      <w:marTop w:val="240"/>
      <w:marBottom w:val="0"/>
      <w:divBdr>
        <w:top w:val="none" w:sz="0" w:space="0" w:color="auto"/>
        <w:left w:val="none" w:sz="0" w:space="0" w:color="auto"/>
        <w:bottom w:val="none" w:sz="0" w:space="0" w:color="auto"/>
        <w:right w:val="none" w:sz="0" w:space="0" w:color="auto"/>
      </w:divBdr>
    </w:div>
    <w:div w:id="1775442795">
      <w:marLeft w:val="0"/>
      <w:marRight w:val="0"/>
      <w:marTop w:val="240"/>
      <w:marBottom w:val="0"/>
      <w:divBdr>
        <w:top w:val="none" w:sz="0" w:space="0" w:color="auto"/>
        <w:left w:val="none" w:sz="0" w:space="0" w:color="auto"/>
        <w:bottom w:val="none" w:sz="0" w:space="0" w:color="auto"/>
        <w:right w:val="none" w:sz="0" w:space="0" w:color="auto"/>
      </w:divBdr>
    </w:div>
    <w:div w:id="1777748015">
      <w:marLeft w:val="0"/>
      <w:marRight w:val="0"/>
      <w:marTop w:val="240"/>
      <w:marBottom w:val="0"/>
      <w:divBdr>
        <w:top w:val="none" w:sz="0" w:space="0" w:color="auto"/>
        <w:left w:val="none" w:sz="0" w:space="0" w:color="auto"/>
        <w:bottom w:val="none" w:sz="0" w:space="0" w:color="auto"/>
        <w:right w:val="none" w:sz="0" w:space="0" w:color="auto"/>
      </w:divBdr>
    </w:div>
    <w:div w:id="1779180382">
      <w:marLeft w:val="0"/>
      <w:marRight w:val="0"/>
      <w:marTop w:val="240"/>
      <w:marBottom w:val="0"/>
      <w:divBdr>
        <w:top w:val="none" w:sz="0" w:space="0" w:color="auto"/>
        <w:left w:val="none" w:sz="0" w:space="0" w:color="auto"/>
        <w:bottom w:val="none" w:sz="0" w:space="0" w:color="auto"/>
        <w:right w:val="none" w:sz="0" w:space="0" w:color="auto"/>
      </w:divBdr>
    </w:div>
    <w:div w:id="1783769361">
      <w:marLeft w:val="0"/>
      <w:marRight w:val="0"/>
      <w:marTop w:val="120"/>
      <w:marBottom w:val="0"/>
      <w:divBdr>
        <w:top w:val="none" w:sz="0" w:space="0" w:color="auto"/>
        <w:left w:val="none" w:sz="0" w:space="0" w:color="auto"/>
        <w:bottom w:val="none" w:sz="0" w:space="0" w:color="auto"/>
        <w:right w:val="none" w:sz="0" w:space="0" w:color="auto"/>
      </w:divBdr>
    </w:div>
    <w:div w:id="1786925597">
      <w:marLeft w:val="0"/>
      <w:marRight w:val="0"/>
      <w:marTop w:val="160"/>
      <w:marBottom w:val="0"/>
      <w:divBdr>
        <w:top w:val="none" w:sz="0" w:space="0" w:color="auto"/>
        <w:left w:val="none" w:sz="0" w:space="0" w:color="auto"/>
        <w:bottom w:val="none" w:sz="0" w:space="0" w:color="auto"/>
        <w:right w:val="none" w:sz="0" w:space="0" w:color="auto"/>
      </w:divBdr>
    </w:div>
    <w:div w:id="1787237315">
      <w:marLeft w:val="0"/>
      <w:marRight w:val="0"/>
      <w:marTop w:val="240"/>
      <w:marBottom w:val="0"/>
      <w:divBdr>
        <w:top w:val="none" w:sz="0" w:space="0" w:color="auto"/>
        <w:left w:val="none" w:sz="0" w:space="0" w:color="auto"/>
        <w:bottom w:val="none" w:sz="0" w:space="0" w:color="auto"/>
        <w:right w:val="none" w:sz="0" w:space="0" w:color="auto"/>
      </w:divBdr>
    </w:div>
    <w:div w:id="1788424694">
      <w:marLeft w:val="0"/>
      <w:marRight w:val="0"/>
      <w:marTop w:val="240"/>
      <w:marBottom w:val="0"/>
      <w:divBdr>
        <w:top w:val="none" w:sz="0" w:space="0" w:color="auto"/>
        <w:left w:val="none" w:sz="0" w:space="0" w:color="auto"/>
        <w:bottom w:val="none" w:sz="0" w:space="0" w:color="auto"/>
        <w:right w:val="none" w:sz="0" w:space="0" w:color="auto"/>
      </w:divBdr>
    </w:div>
    <w:div w:id="1790009113">
      <w:marLeft w:val="0"/>
      <w:marRight w:val="0"/>
      <w:marTop w:val="240"/>
      <w:marBottom w:val="0"/>
      <w:divBdr>
        <w:top w:val="none" w:sz="0" w:space="0" w:color="auto"/>
        <w:left w:val="none" w:sz="0" w:space="0" w:color="auto"/>
        <w:bottom w:val="none" w:sz="0" w:space="0" w:color="auto"/>
        <w:right w:val="none" w:sz="0" w:space="0" w:color="auto"/>
      </w:divBdr>
    </w:div>
    <w:div w:id="1792818806">
      <w:marLeft w:val="0"/>
      <w:marRight w:val="0"/>
      <w:marTop w:val="240"/>
      <w:marBottom w:val="0"/>
      <w:divBdr>
        <w:top w:val="none" w:sz="0" w:space="0" w:color="auto"/>
        <w:left w:val="none" w:sz="0" w:space="0" w:color="auto"/>
        <w:bottom w:val="none" w:sz="0" w:space="0" w:color="auto"/>
        <w:right w:val="none" w:sz="0" w:space="0" w:color="auto"/>
      </w:divBdr>
    </w:div>
    <w:div w:id="1795514565">
      <w:marLeft w:val="0"/>
      <w:marRight w:val="0"/>
      <w:marTop w:val="240"/>
      <w:marBottom w:val="0"/>
      <w:divBdr>
        <w:top w:val="none" w:sz="0" w:space="0" w:color="auto"/>
        <w:left w:val="none" w:sz="0" w:space="0" w:color="auto"/>
        <w:bottom w:val="none" w:sz="0" w:space="0" w:color="auto"/>
        <w:right w:val="none" w:sz="0" w:space="0" w:color="auto"/>
      </w:divBdr>
    </w:div>
    <w:div w:id="1800026698">
      <w:marLeft w:val="0"/>
      <w:marRight w:val="0"/>
      <w:marTop w:val="240"/>
      <w:marBottom w:val="0"/>
      <w:divBdr>
        <w:top w:val="none" w:sz="0" w:space="0" w:color="auto"/>
        <w:left w:val="none" w:sz="0" w:space="0" w:color="auto"/>
        <w:bottom w:val="none" w:sz="0" w:space="0" w:color="auto"/>
        <w:right w:val="none" w:sz="0" w:space="0" w:color="auto"/>
      </w:divBdr>
    </w:div>
    <w:div w:id="1800755550">
      <w:marLeft w:val="0"/>
      <w:marRight w:val="0"/>
      <w:marTop w:val="60"/>
      <w:marBottom w:val="0"/>
      <w:divBdr>
        <w:top w:val="none" w:sz="0" w:space="0" w:color="auto"/>
        <w:left w:val="none" w:sz="0" w:space="0" w:color="auto"/>
        <w:bottom w:val="none" w:sz="0" w:space="0" w:color="auto"/>
        <w:right w:val="none" w:sz="0" w:space="0" w:color="auto"/>
      </w:divBdr>
    </w:div>
    <w:div w:id="1804693880">
      <w:marLeft w:val="0"/>
      <w:marRight w:val="0"/>
      <w:marTop w:val="240"/>
      <w:marBottom w:val="0"/>
      <w:divBdr>
        <w:top w:val="none" w:sz="0" w:space="0" w:color="auto"/>
        <w:left w:val="none" w:sz="0" w:space="0" w:color="auto"/>
        <w:bottom w:val="none" w:sz="0" w:space="0" w:color="auto"/>
        <w:right w:val="none" w:sz="0" w:space="0" w:color="auto"/>
      </w:divBdr>
    </w:div>
    <w:div w:id="1809130557">
      <w:marLeft w:val="0"/>
      <w:marRight w:val="0"/>
      <w:marTop w:val="240"/>
      <w:marBottom w:val="0"/>
      <w:divBdr>
        <w:top w:val="none" w:sz="0" w:space="0" w:color="auto"/>
        <w:left w:val="none" w:sz="0" w:space="0" w:color="auto"/>
        <w:bottom w:val="none" w:sz="0" w:space="0" w:color="auto"/>
        <w:right w:val="none" w:sz="0" w:space="0" w:color="auto"/>
      </w:divBdr>
    </w:div>
    <w:div w:id="1811508530">
      <w:marLeft w:val="0"/>
      <w:marRight w:val="0"/>
      <w:marTop w:val="240"/>
      <w:marBottom w:val="0"/>
      <w:divBdr>
        <w:top w:val="none" w:sz="0" w:space="0" w:color="auto"/>
        <w:left w:val="none" w:sz="0" w:space="0" w:color="auto"/>
        <w:bottom w:val="none" w:sz="0" w:space="0" w:color="auto"/>
        <w:right w:val="none" w:sz="0" w:space="0" w:color="auto"/>
      </w:divBdr>
    </w:div>
    <w:div w:id="1815022378">
      <w:marLeft w:val="0"/>
      <w:marRight w:val="0"/>
      <w:marTop w:val="240"/>
      <w:marBottom w:val="0"/>
      <w:divBdr>
        <w:top w:val="none" w:sz="0" w:space="0" w:color="auto"/>
        <w:left w:val="none" w:sz="0" w:space="0" w:color="auto"/>
        <w:bottom w:val="none" w:sz="0" w:space="0" w:color="auto"/>
        <w:right w:val="none" w:sz="0" w:space="0" w:color="auto"/>
      </w:divBdr>
    </w:div>
    <w:div w:id="1825511483">
      <w:marLeft w:val="0"/>
      <w:marRight w:val="0"/>
      <w:marTop w:val="240"/>
      <w:marBottom w:val="0"/>
      <w:divBdr>
        <w:top w:val="none" w:sz="0" w:space="0" w:color="auto"/>
        <w:left w:val="none" w:sz="0" w:space="0" w:color="auto"/>
        <w:bottom w:val="none" w:sz="0" w:space="0" w:color="auto"/>
        <w:right w:val="none" w:sz="0" w:space="0" w:color="auto"/>
      </w:divBdr>
    </w:div>
    <w:div w:id="1831173426">
      <w:marLeft w:val="0"/>
      <w:marRight w:val="0"/>
      <w:marTop w:val="240"/>
      <w:marBottom w:val="0"/>
      <w:divBdr>
        <w:top w:val="none" w:sz="0" w:space="0" w:color="auto"/>
        <w:left w:val="none" w:sz="0" w:space="0" w:color="auto"/>
        <w:bottom w:val="none" w:sz="0" w:space="0" w:color="auto"/>
        <w:right w:val="none" w:sz="0" w:space="0" w:color="auto"/>
      </w:divBdr>
    </w:div>
    <w:div w:id="1831672769">
      <w:marLeft w:val="0"/>
      <w:marRight w:val="0"/>
      <w:marTop w:val="240"/>
      <w:marBottom w:val="0"/>
      <w:divBdr>
        <w:top w:val="none" w:sz="0" w:space="0" w:color="auto"/>
        <w:left w:val="none" w:sz="0" w:space="0" w:color="auto"/>
        <w:bottom w:val="none" w:sz="0" w:space="0" w:color="auto"/>
        <w:right w:val="none" w:sz="0" w:space="0" w:color="auto"/>
      </w:divBdr>
    </w:div>
    <w:div w:id="1838033090">
      <w:marLeft w:val="0"/>
      <w:marRight w:val="0"/>
      <w:marTop w:val="240"/>
      <w:marBottom w:val="0"/>
      <w:divBdr>
        <w:top w:val="none" w:sz="0" w:space="0" w:color="auto"/>
        <w:left w:val="none" w:sz="0" w:space="0" w:color="auto"/>
        <w:bottom w:val="none" w:sz="0" w:space="0" w:color="auto"/>
        <w:right w:val="none" w:sz="0" w:space="0" w:color="auto"/>
      </w:divBdr>
    </w:div>
    <w:div w:id="1838645204">
      <w:marLeft w:val="0"/>
      <w:marRight w:val="0"/>
      <w:marTop w:val="240"/>
      <w:marBottom w:val="0"/>
      <w:divBdr>
        <w:top w:val="none" w:sz="0" w:space="0" w:color="auto"/>
        <w:left w:val="none" w:sz="0" w:space="0" w:color="auto"/>
        <w:bottom w:val="none" w:sz="0" w:space="0" w:color="auto"/>
        <w:right w:val="none" w:sz="0" w:space="0" w:color="auto"/>
      </w:divBdr>
    </w:div>
    <w:div w:id="1838957437">
      <w:marLeft w:val="0"/>
      <w:marRight w:val="0"/>
      <w:marTop w:val="240"/>
      <w:marBottom w:val="0"/>
      <w:divBdr>
        <w:top w:val="none" w:sz="0" w:space="0" w:color="auto"/>
        <w:left w:val="none" w:sz="0" w:space="0" w:color="auto"/>
        <w:bottom w:val="none" w:sz="0" w:space="0" w:color="auto"/>
        <w:right w:val="none" w:sz="0" w:space="0" w:color="auto"/>
      </w:divBdr>
    </w:div>
    <w:div w:id="1841771279">
      <w:marLeft w:val="0"/>
      <w:marRight w:val="0"/>
      <w:marTop w:val="240"/>
      <w:marBottom w:val="0"/>
      <w:divBdr>
        <w:top w:val="none" w:sz="0" w:space="0" w:color="auto"/>
        <w:left w:val="none" w:sz="0" w:space="0" w:color="auto"/>
        <w:bottom w:val="none" w:sz="0" w:space="0" w:color="auto"/>
        <w:right w:val="none" w:sz="0" w:space="0" w:color="auto"/>
      </w:divBdr>
    </w:div>
    <w:div w:id="1842430735">
      <w:marLeft w:val="0"/>
      <w:marRight w:val="0"/>
      <w:marTop w:val="240"/>
      <w:marBottom w:val="0"/>
      <w:divBdr>
        <w:top w:val="none" w:sz="0" w:space="0" w:color="auto"/>
        <w:left w:val="none" w:sz="0" w:space="0" w:color="auto"/>
        <w:bottom w:val="none" w:sz="0" w:space="0" w:color="auto"/>
        <w:right w:val="none" w:sz="0" w:space="0" w:color="auto"/>
      </w:divBdr>
    </w:div>
    <w:div w:id="1844008556">
      <w:marLeft w:val="0"/>
      <w:marRight w:val="0"/>
      <w:marTop w:val="240"/>
      <w:marBottom w:val="0"/>
      <w:divBdr>
        <w:top w:val="none" w:sz="0" w:space="0" w:color="auto"/>
        <w:left w:val="none" w:sz="0" w:space="0" w:color="auto"/>
        <w:bottom w:val="none" w:sz="0" w:space="0" w:color="auto"/>
        <w:right w:val="none" w:sz="0" w:space="0" w:color="auto"/>
      </w:divBdr>
    </w:div>
    <w:div w:id="1845172069">
      <w:marLeft w:val="0"/>
      <w:marRight w:val="0"/>
      <w:marTop w:val="240"/>
      <w:marBottom w:val="0"/>
      <w:divBdr>
        <w:top w:val="none" w:sz="0" w:space="0" w:color="auto"/>
        <w:left w:val="none" w:sz="0" w:space="0" w:color="auto"/>
        <w:bottom w:val="none" w:sz="0" w:space="0" w:color="auto"/>
        <w:right w:val="none" w:sz="0" w:space="0" w:color="auto"/>
      </w:divBdr>
    </w:div>
    <w:div w:id="1847357042">
      <w:marLeft w:val="0"/>
      <w:marRight w:val="0"/>
      <w:marTop w:val="0"/>
      <w:marBottom w:val="0"/>
      <w:divBdr>
        <w:top w:val="none" w:sz="0" w:space="0" w:color="auto"/>
        <w:left w:val="none" w:sz="0" w:space="0" w:color="auto"/>
        <w:bottom w:val="none" w:sz="0" w:space="0" w:color="auto"/>
        <w:right w:val="none" w:sz="0" w:space="0" w:color="auto"/>
      </w:divBdr>
    </w:div>
    <w:div w:id="1848130295">
      <w:marLeft w:val="0"/>
      <w:marRight w:val="0"/>
      <w:marTop w:val="240"/>
      <w:marBottom w:val="0"/>
      <w:divBdr>
        <w:top w:val="none" w:sz="0" w:space="0" w:color="auto"/>
        <w:left w:val="none" w:sz="0" w:space="0" w:color="auto"/>
        <w:bottom w:val="none" w:sz="0" w:space="0" w:color="auto"/>
        <w:right w:val="none" w:sz="0" w:space="0" w:color="auto"/>
      </w:divBdr>
    </w:div>
    <w:div w:id="1848399495">
      <w:marLeft w:val="0"/>
      <w:marRight w:val="0"/>
      <w:marTop w:val="240"/>
      <w:marBottom w:val="0"/>
      <w:divBdr>
        <w:top w:val="none" w:sz="0" w:space="0" w:color="auto"/>
        <w:left w:val="none" w:sz="0" w:space="0" w:color="auto"/>
        <w:bottom w:val="none" w:sz="0" w:space="0" w:color="auto"/>
        <w:right w:val="none" w:sz="0" w:space="0" w:color="auto"/>
      </w:divBdr>
    </w:div>
    <w:div w:id="1848593121">
      <w:marLeft w:val="0"/>
      <w:marRight w:val="0"/>
      <w:marTop w:val="240"/>
      <w:marBottom w:val="0"/>
      <w:divBdr>
        <w:top w:val="none" w:sz="0" w:space="0" w:color="auto"/>
        <w:left w:val="none" w:sz="0" w:space="0" w:color="auto"/>
        <w:bottom w:val="none" w:sz="0" w:space="0" w:color="auto"/>
        <w:right w:val="none" w:sz="0" w:space="0" w:color="auto"/>
      </w:divBdr>
    </w:div>
    <w:div w:id="1849051980">
      <w:marLeft w:val="0"/>
      <w:marRight w:val="0"/>
      <w:marTop w:val="240"/>
      <w:marBottom w:val="0"/>
      <w:divBdr>
        <w:top w:val="none" w:sz="0" w:space="0" w:color="auto"/>
        <w:left w:val="none" w:sz="0" w:space="0" w:color="auto"/>
        <w:bottom w:val="none" w:sz="0" w:space="0" w:color="auto"/>
        <w:right w:val="none" w:sz="0" w:space="0" w:color="auto"/>
      </w:divBdr>
    </w:div>
    <w:div w:id="1849248156">
      <w:marLeft w:val="0"/>
      <w:marRight w:val="0"/>
      <w:marTop w:val="0"/>
      <w:marBottom w:val="0"/>
      <w:divBdr>
        <w:top w:val="none" w:sz="0" w:space="0" w:color="auto"/>
        <w:left w:val="none" w:sz="0" w:space="0" w:color="auto"/>
        <w:bottom w:val="none" w:sz="0" w:space="0" w:color="auto"/>
        <w:right w:val="none" w:sz="0" w:space="0" w:color="auto"/>
      </w:divBdr>
      <w:divsChild>
        <w:div w:id="959262229">
          <w:marLeft w:val="0"/>
          <w:marRight w:val="0"/>
          <w:marTop w:val="0"/>
          <w:marBottom w:val="0"/>
          <w:divBdr>
            <w:top w:val="none" w:sz="0" w:space="0" w:color="auto"/>
            <w:left w:val="none" w:sz="0" w:space="0" w:color="auto"/>
            <w:bottom w:val="none" w:sz="0" w:space="0" w:color="auto"/>
            <w:right w:val="none" w:sz="0" w:space="0" w:color="auto"/>
          </w:divBdr>
          <w:divsChild>
            <w:div w:id="14502745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52644437">
      <w:marLeft w:val="0"/>
      <w:marRight w:val="0"/>
      <w:marTop w:val="240"/>
      <w:marBottom w:val="0"/>
      <w:divBdr>
        <w:top w:val="none" w:sz="0" w:space="0" w:color="auto"/>
        <w:left w:val="none" w:sz="0" w:space="0" w:color="auto"/>
        <w:bottom w:val="none" w:sz="0" w:space="0" w:color="auto"/>
        <w:right w:val="none" w:sz="0" w:space="0" w:color="auto"/>
      </w:divBdr>
    </w:div>
    <w:div w:id="1852795174">
      <w:marLeft w:val="0"/>
      <w:marRight w:val="0"/>
      <w:marTop w:val="240"/>
      <w:marBottom w:val="0"/>
      <w:divBdr>
        <w:top w:val="none" w:sz="0" w:space="0" w:color="auto"/>
        <w:left w:val="none" w:sz="0" w:space="0" w:color="auto"/>
        <w:bottom w:val="none" w:sz="0" w:space="0" w:color="auto"/>
        <w:right w:val="none" w:sz="0" w:space="0" w:color="auto"/>
      </w:divBdr>
    </w:div>
    <w:div w:id="1858303826">
      <w:marLeft w:val="0"/>
      <w:marRight w:val="0"/>
      <w:marTop w:val="240"/>
      <w:marBottom w:val="0"/>
      <w:divBdr>
        <w:top w:val="none" w:sz="0" w:space="0" w:color="auto"/>
        <w:left w:val="none" w:sz="0" w:space="0" w:color="auto"/>
        <w:bottom w:val="none" w:sz="0" w:space="0" w:color="auto"/>
        <w:right w:val="none" w:sz="0" w:space="0" w:color="auto"/>
      </w:divBdr>
    </w:div>
    <w:div w:id="1859268690">
      <w:marLeft w:val="0"/>
      <w:marRight w:val="0"/>
      <w:marTop w:val="0"/>
      <w:marBottom w:val="0"/>
      <w:divBdr>
        <w:top w:val="none" w:sz="0" w:space="0" w:color="auto"/>
        <w:left w:val="none" w:sz="0" w:space="0" w:color="auto"/>
        <w:bottom w:val="none" w:sz="0" w:space="0" w:color="auto"/>
        <w:right w:val="none" w:sz="0" w:space="0" w:color="auto"/>
      </w:divBdr>
    </w:div>
    <w:div w:id="1865164761">
      <w:marLeft w:val="0"/>
      <w:marRight w:val="0"/>
      <w:marTop w:val="240"/>
      <w:marBottom w:val="0"/>
      <w:divBdr>
        <w:top w:val="none" w:sz="0" w:space="0" w:color="auto"/>
        <w:left w:val="none" w:sz="0" w:space="0" w:color="auto"/>
        <w:bottom w:val="none" w:sz="0" w:space="0" w:color="auto"/>
        <w:right w:val="none" w:sz="0" w:space="0" w:color="auto"/>
      </w:divBdr>
    </w:div>
    <w:div w:id="1870292893">
      <w:marLeft w:val="0"/>
      <w:marRight w:val="0"/>
      <w:marTop w:val="240"/>
      <w:marBottom w:val="0"/>
      <w:divBdr>
        <w:top w:val="none" w:sz="0" w:space="0" w:color="auto"/>
        <w:left w:val="none" w:sz="0" w:space="0" w:color="auto"/>
        <w:bottom w:val="none" w:sz="0" w:space="0" w:color="auto"/>
        <w:right w:val="none" w:sz="0" w:space="0" w:color="auto"/>
      </w:divBdr>
    </w:div>
    <w:div w:id="1871185788">
      <w:marLeft w:val="0"/>
      <w:marRight w:val="0"/>
      <w:marTop w:val="0"/>
      <w:marBottom w:val="0"/>
      <w:divBdr>
        <w:top w:val="none" w:sz="0" w:space="0" w:color="auto"/>
        <w:left w:val="none" w:sz="0" w:space="0" w:color="auto"/>
        <w:bottom w:val="none" w:sz="0" w:space="0" w:color="auto"/>
        <w:right w:val="none" w:sz="0" w:space="0" w:color="auto"/>
      </w:divBdr>
      <w:divsChild>
        <w:div w:id="215052692">
          <w:marLeft w:val="0"/>
          <w:marRight w:val="0"/>
          <w:marTop w:val="0"/>
          <w:marBottom w:val="0"/>
          <w:divBdr>
            <w:top w:val="none" w:sz="0" w:space="0" w:color="auto"/>
            <w:left w:val="none" w:sz="0" w:space="0" w:color="auto"/>
            <w:bottom w:val="none" w:sz="0" w:space="0" w:color="auto"/>
            <w:right w:val="none" w:sz="0" w:space="0" w:color="auto"/>
          </w:divBdr>
        </w:div>
      </w:divsChild>
    </w:div>
    <w:div w:id="1871261691">
      <w:marLeft w:val="0"/>
      <w:marRight w:val="0"/>
      <w:marTop w:val="240"/>
      <w:marBottom w:val="0"/>
      <w:divBdr>
        <w:top w:val="none" w:sz="0" w:space="0" w:color="auto"/>
        <w:left w:val="none" w:sz="0" w:space="0" w:color="auto"/>
        <w:bottom w:val="none" w:sz="0" w:space="0" w:color="auto"/>
        <w:right w:val="none" w:sz="0" w:space="0" w:color="auto"/>
      </w:divBdr>
    </w:div>
    <w:div w:id="1871995603">
      <w:marLeft w:val="0"/>
      <w:marRight w:val="0"/>
      <w:marTop w:val="0"/>
      <w:marBottom w:val="0"/>
      <w:divBdr>
        <w:top w:val="none" w:sz="0" w:space="0" w:color="auto"/>
        <w:left w:val="none" w:sz="0" w:space="0" w:color="auto"/>
        <w:bottom w:val="none" w:sz="0" w:space="0" w:color="auto"/>
        <w:right w:val="none" w:sz="0" w:space="0" w:color="auto"/>
      </w:divBdr>
    </w:div>
    <w:div w:id="1872066722">
      <w:marLeft w:val="0"/>
      <w:marRight w:val="0"/>
      <w:marTop w:val="240"/>
      <w:marBottom w:val="0"/>
      <w:divBdr>
        <w:top w:val="none" w:sz="0" w:space="0" w:color="auto"/>
        <w:left w:val="none" w:sz="0" w:space="0" w:color="auto"/>
        <w:bottom w:val="none" w:sz="0" w:space="0" w:color="auto"/>
        <w:right w:val="none" w:sz="0" w:space="0" w:color="auto"/>
      </w:divBdr>
    </w:div>
    <w:div w:id="1874339497">
      <w:marLeft w:val="0"/>
      <w:marRight w:val="0"/>
      <w:marTop w:val="0"/>
      <w:marBottom w:val="0"/>
      <w:divBdr>
        <w:top w:val="none" w:sz="0" w:space="0" w:color="auto"/>
        <w:left w:val="none" w:sz="0" w:space="0" w:color="auto"/>
        <w:bottom w:val="none" w:sz="0" w:space="0" w:color="auto"/>
        <w:right w:val="none" w:sz="0" w:space="0" w:color="auto"/>
      </w:divBdr>
    </w:div>
    <w:div w:id="1880048827">
      <w:marLeft w:val="0"/>
      <w:marRight w:val="0"/>
      <w:marTop w:val="240"/>
      <w:marBottom w:val="0"/>
      <w:divBdr>
        <w:top w:val="none" w:sz="0" w:space="0" w:color="auto"/>
        <w:left w:val="none" w:sz="0" w:space="0" w:color="auto"/>
        <w:bottom w:val="none" w:sz="0" w:space="0" w:color="auto"/>
        <w:right w:val="none" w:sz="0" w:space="0" w:color="auto"/>
      </w:divBdr>
    </w:div>
    <w:div w:id="1880166537">
      <w:marLeft w:val="0"/>
      <w:marRight w:val="0"/>
      <w:marTop w:val="240"/>
      <w:marBottom w:val="0"/>
      <w:divBdr>
        <w:top w:val="none" w:sz="0" w:space="0" w:color="auto"/>
        <w:left w:val="none" w:sz="0" w:space="0" w:color="auto"/>
        <w:bottom w:val="none" w:sz="0" w:space="0" w:color="auto"/>
        <w:right w:val="none" w:sz="0" w:space="0" w:color="auto"/>
      </w:divBdr>
    </w:div>
    <w:div w:id="1881940378">
      <w:marLeft w:val="0"/>
      <w:marRight w:val="0"/>
      <w:marTop w:val="0"/>
      <w:marBottom w:val="0"/>
      <w:divBdr>
        <w:top w:val="none" w:sz="0" w:space="0" w:color="auto"/>
        <w:left w:val="none" w:sz="0" w:space="0" w:color="auto"/>
        <w:bottom w:val="none" w:sz="0" w:space="0" w:color="auto"/>
        <w:right w:val="none" w:sz="0" w:space="0" w:color="auto"/>
      </w:divBdr>
    </w:div>
    <w:div w:id="1885410691">
      <w:marLeft w:val="0"/>
      <w:marRight w:val="0"/>
      <w:marTop w:val="240"/>
      <w:marBottom w:val="0"/>
      <w:divBdr>
        <w:top w:val="none" w:sz="0" w:space="0" w:color="auto"/>
        <w:left w:val="none" w:sz="0" w:space="0" w:color="auto"/>
        <w:bottom w:val="none" w:sz="0" w:space="0" w:color="auto"/>
        <w:right w:val="none" w:sz="0" w:space="0" w:color="auto"/>
      </w:divBdr>
    </w:div>
    <w:div w:id="1885437421">
      <w:marLeft w:val="0"/>
      <w:marRight w:val="0"/>
      <w:marTop w:val="240"/>
      <w:marBottom w:val="0"/>
      <w:divBdr>
        <w:top w:val="none" w:sz="0" w:space="0" w:color="auto"/>
        <w:left w:val="none" w:sz="0" w:space="0" w:color="auto"/>
        <w:bottom w:val="none" w:sz="0" w:space="0" w:color="auto"/>
        <w:right w:val="none" w:sz="0" w:space="0" w:color="auto"/>
      </w:divBdr>
    </w:div>
    <w:div w:id="1888107561">
      <w:marLeft w:val="0"/>
      <w:marRight w:val="0"/>
      <w:marTop w:val="240"/>
      <w:marBottom w:val="0"/>
      <w:divBdr>
        <w:top w:val="none" w:sz="0" w:space="0" w:color="auto"/>
        <w:left w:val="none" w:sz="0" w:space="0" w:color="auto"/>
        <w:bottom w:val="none" w:sz="0" w:space="0" w:color="auto"/>
        <w:right w:val="none" w:sz="0" w:space="0" w:color="auto"/>
      </w:divBdr>
    </w:div>
    <w:div w:id="1891191600">
      <w:marLeft w:val="0"/>
      <w:marRight w:val="0"/>
      <w:marTop w:val="240"/>
      <w:marBottom w:val="0"/>
      <w:divBdr>
        <w:top w:val="none" w:sz="0" w:space="0" w:color="auto"/>
        <w:left w:val="none" w:sz="0" w:space="0" w:color="auto"/>
        <w:bottom w:val="none" w:sz="0" w:space="0" w:color="auto"/>
        <w:right w:val="none" w:sz="0" w:space="0" w:color="auto"/>
      </w:divBdr>
    </w:div>
    <w:div w:id="1891527360">
      <w:marLeft w:val="0"/>
      <w:marRight w:val="0"/>
      <w:marTop w:val="0"/>
      <w:marBottom w:val="0"/>
      <w:divBdr>
        <w:top w:val="none" w:sz="0" w:space="0" w:color="auto"/>
        <w:left w:val="none" w:sz="0" w:space="0" w:color="auto"/>
        <w:bottom w:val="none" w:sz="0" w:space="0" w:color="auto"/>
        <w:right w:val="none" w:sz="0" w:space="0" w:color="auto"/>
      </w:divBdr>
      <w:divsChild>
        <w:div w:id="1583685250">
          <w:marLeft w:val="0"/>
          <w:marRight w:val="0"/>
          <w:marTop w:val="0"/>
          <w:marBottom w:val="0"/>
          <w:divBdr>
            <w:top w:val="none" w:sz="0" w:space="0" w:color="auto"/>
            <w:left w:val="none" w:sz="0" w:space="0" w:color="auto"/>
            <w:bottom w:val="none" w:sz="0" w:space="0" w:color="auto"/>
            <w:right w:val="none" w:sz="0" w:space="0" w:color="auto"/>
          </w:divBdr>
          <w:divsChild>
            <w:div w:id="8860637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92227211">
      <w:marLeft w:val="0"/>
      <w:marRight w:val="0"/>
      <w:marTop w:val="240"/>
      <w:marBottom w:val="0"/>
      <w:divBdr>
        <w:top w:val="none" w:sz="0" w:space="0" w:color="auto"/>
        <w:left w:val="none" w:sz="0" w:space="0" w:color="auto"/>
        <w:bottom w:val="none" w:sz="0" w:space="0" w:color="auto"/>
        <w:right w:val="none" w:sz="0" w:space="0" w:color="auto"/>
      </w:divBdr>
    </w:div>
    <w:div w:id="1895504012">
      <w:marLeft w:val="0"/>
      <w:marRight w:val="0"/>
      <w:marTop w:val="240"/>
      <w:marBottom w:val="0"/>
      <w:divBdr>
        <w:top w:val="none" w:sz="0" w:space="0" w:color="auto"/>
        <w:left w:val="none" w:sz="0" w:space="0" w:color="auto"/>
        <w:bottom w:val="none" w:sz="0" w:space="0" w:color="auto"/>
        <w:right w:val="none" w:sz="0" w:space="0" w:color="auto"/>
      </w:divBdr>
    </w:div>
    <w:div w:id="1895776555">
      <w:marLeft w:val="0"/>
      <w:marRight w:val="0"/>
      <w:marTop w:val="240"/>
      <w:marBottom w:val="0"/>
      <w:divBdr>
        <w:top w:val="none" w:sz="0" w:space="0" w:color="auto"/>
        <w:left w:val="none" w:sz="0" w:space="0" w:color="auto"/>
        <w:bottom w:val="none" w:sz="0" w:space="0" w:color="auto"/>
        <w:right w:val="none" w:sz="0" w:space="0" w:color="auto"/>
      </w:divBdr>
    </w:div>
    <w:div w:id="1900163974">
      <w:marLeft w:val="0"/>
      <w:marRight w:val="0"/>
      <w:marTop w:val="0"/>
      <w:marBottom w:val="0"/>
      <w:divBdr>
        <w:top w:val="none" w:sz="0" w:space="0" w:color="auto"/>
        <w:left w:val="none" w:sz="0" w:space="0" w:color="auto"/>
        <w:bottom w:val="none" w:sz="0" w:space="0" w:color="auto"/>
        <w:right w:val="none" w:sz="0" w:space="0" w:color="auto"/>
      </w:divBdr>
    </w:div>
    <w:div w:id="1902985096">
      <w:marLeft w:val="0"/>
      <w:marRight w:val="0"/>
      <w:marTop w:val="120"/>
      <w:marBottom w:val="0"/>
      <w:divBdr>
        <w:top w:val="none" w:sz="0" w:space="0" w:color="auto"/>
        <w:left w:val="none" w:sz="0" w:space="0" w:color="auto"/>
        <w:bottom w:val="none" w:sz="0" w:space="0" w:color="auto"/>
        <w:right w:val="none" w:sz="0" w:space="0" w:color="auto"/>
      </w:divBdr>
    </w:div>
    <w:div w:id="1904290505">
      <w:marLeft w:val="0"/>
      <w:marRight w:val="0"/>
      <w:marTop w:val="160"/>
      <w:marBottom w:val="0"/>
      <w:divBdr>
        <w:top w:val="none" w:sz="0" w:space="0" w:color="auto"/>
        <w:left w:val="none" w:sz="0" w:space="0" w:color="auto"/>
        <w:bottom w:val="none" w:sz="0" w:space="0" w:color="auto"/>
        <w:right w:val="none" w:sz="0" w:space="0" w:color="auto"/>
      </w:divBdr>
    </w:div>
    <w:div w:id="1911841328">
      <w:marLeft w:val="0"/>
      <w:marRight w:val="0"/>
      <w:marTop w:val="240"/>
      <w:marBottom w:val="0"/>
      <w:divBdr>
        <w:top w:val="none" w:sz="0" w:space="0" w:color="auto"/>
        <w:left w:val="none" w:sz="0" w:space="0" w:color="auto"/>
        <w:bottom w:val="none" w:sz="0" w:space="0" w:color="auto"/>
        <w:right w:val="none" w:sz="0" w:space="0" w:color="auto"/>
      </w:divBdr>
    </w:div>
    <w:div w:id="1915122222">
      <w:marLeft w:val="0"/>
      <w:marRight w:val="0"/>
      <w:marTop w:val="240"/>
      <w:marBottom w:val="0"/>
      <w:divBdr>
        <w:top w:val="none" w:sz="0" w:space="0" w:color="auto"/>
        <w:left w:val="none" w:sz="0" w:space="0" w:color="auto"/>
        <w:bottom w:val="none" w:sz="0" w:space="0" w:color="auto"/>
        <w:right w:val="none" w:sz="0" w:space="0" w:color="auto"/>
      </w:divBdr>
    </w:div>
    <w:div w:id="1915553204">
      <w:marLeft w:val="0"/>
      <w:marRight w:val="0"/>
      <w:marTop w:val="0"/>
      <w:marBottom w:val="0"/>
      <w:divBdr>
        <w:top w:val="none" w:sz="0" w:space="0" w:color="auto"/>
        <w:left w:val="none" w:sz="0" w:space="0" w:color="auto"/>
        <w:bottom w:val="none" w:sz="0" w:space="0" w:color="auto"/>
        <w:right w:val="none" w:sz="0" w:space="0" w:color="auto"/>
      </w:divBdr>
      <w:divsChild>
        <w:div w:id="1131946259">
          <w:marLeft w:val="0"/>
          <w:marRight w:val="0"/>
          <w:marTop w:val="0"/>
          <w:marBottom w:val="0"/>
          <w:divBdr>
            <w:top w:val="none" w:sz="0" w:space="0" w:color="auto"/>
            <w:left w:val="none" w:sz="0" w:space="0" w:color="auto"/>
            <w:bottom w:val="none" w:sz="0" w:space="0" w:color="auto"/>
            <w:right w:val="none" w:sz="0" w:space="0" w:color="auto"/>
          </w:divBdr>
          <w:divsChild>
            <w:div w:id="448396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17855041">
      <w:marLeft w:val="0"/>
      <w:marRight w:val="0"/>
      <w:marTop w:val="240"/>
      <w:marBottom w:val="0"/>
      <w:divBdr>
        <w:top w:val="none" w:sz="0" w:space="0" w:color="auto"/>
        <w:left w:val="none" w:sz="0" w:space="0" w:color="auto"/>
        <w:bottom w:val="none" w:sz="0" w:space="0" w:color="auto"/>
        <w:right w:val="none" w:sz="0" w:space="0" w:color="auto"/>
      </w:divBdr>
    </w:div>
    <w:div w:id="1931767969">
      <w:marLeft w:val="0"/>
      <w:marRight w:val="0"/>
      <w:marTop w:val="240"/>
      <w:marBottom w:val="120"/>
      <w:divBdr>
        <w:top w:val="none" w:sz="0" w:space="0" w:color="auto"/>
        <w:left w:val="none" w:sz="0" w:space="0" w:color="auto"/>
        <w:bottom w:val="none" w:sz="0" w:space="0" w:color="auto"/>
        <w:right w:val="none" w:sz="0" w:space="0" w:color="auto"/>
      </w:divBdr>
    </w:div>
    <w:div w:id="1936593805">
      <w:marLeft w:val="0"/>
      <w:marRight w:val="0"/>
      <w:marTop w:val="0"/>
      <w:marBottom w:val="0"/>
      <w:divBdr>
        <w:top w:val="none" w:sz="0" w:space="0" w:color="auto"/>
        <w:left w:val="none" w:sz="0" w:space="0" w:color="auto"/>
        <w:bottom w:val="none" w:sz="0" w:space="0" w:color="auto"/>
        <w:right w:val="none" w:sz="0" w:space="0" w:color="auto"/>
      </w:divBdr>
      <w:divsChild>
        <w:div w:id="1969555259">
          <w:marLeft w:val="0"/>
          <w:marRight w:val="0"/>
          <w:marTop w:val="0"/>
          <w:marBottom w:val="0"/>
          <w:divBdr>
            <w:top w:val="none" w:sz="0" w:space="0" w:color="auto"/>
            <w:left w:val="none" w:sz="0" w:space="0" w:color="auto"/>
            <w:bottom w:val="none" w:sz="0" w:space="0" w:color="auto"/>
            <w:right w:val="none" w:sz="0" w:space="0" w:color="auto"/>
          </w:divBdr>
        </w:div>
      </w:divsChild>
    </w:div>
    <w:div w:id="1937396065">
      <w:marLeft w:val="0"/>
      <w:marRight w:val="0"/>
      <w:marTop w:val="40"/>
      <w:marBottom w:val="0"/>
      <w:divBdr>
        <w:top w:val="none" w:sz="0" w:space="0" w:color="auto"/>
        <w:left w:val="none" w:sz="0" w:space="0" w:color="auto"/>
        <w:bottom w:val="none" w:sz="0" w:space="0" w:color="auto"/>
        <w:right w:val="none" w:sz="0" w:space="0" w:color="auto"/>
      </w:divBdr>
    </w:div>
    <w:div w:id="1940718063">
      <w:marLeft w:val="0"/>
      <w:marRight w:val="0"/>
      <w:marTop w:val="240"/>
      <w:marBottom w:val="0"/>
      <w:divBdr>
        <w:top w:val="none" w:sz="0" w:space="0" w:color="auto"/>
        <w:left w:val="none" w:sz="0" w:space="0" w:color="auto"/>
        <w:bottom w:val="none" w:sz="0" w:space="0" w:color="auto"/>
        <w:right w:val="none" w:sz="0" w:space="0" w:color="auto"/>
      </w:divBdr>
    </w:div>
    <w:div w:id="1941720442">
      <w:marLeft w:val="0"/>
      <w:marRight w:val="0"/>
      <w:marTop w:val="240"/>
      <w:marBottom w:val="0"/>
      <w:divBdr>
        <w:top w:val="none" w:sz="0" w:space="0" w:color="auto"/>
        <w:left w:val="none" w:sz="0" w:space="0" w:color="auto"/>
        <w:bottom w:val="none" w:sz="0" w:space="0" w:color="auto"/>
        <w:right w:val="none" w:sz="0" w:space="0" w:color="auto"/>
      </w:divBdr>
    </w:div>
    <w:div w:id="1943032667">
      <w:marLeft w:val="0"/>
      <w:marRight w:val="0"/>
      <w:marTop w:val="60"/>
      <w:marBottom w:val="0"/>
      <w:divBdr>
        <w:top w:val="none" w:sz="0" w:space="0" w:color="auto"/>
        <w:left w:val="none" w:sz="0" w:space="0" w:color="auto"/>
        <w:bottom w:val="none" w:sz="0" w:space="0" w:color="auto"/>
        <w:right w:val="none" w:sz="0" w:space="0" w:color="auto"/>
      </w:divBdr>
    </w:div>
    <w:div w:id="1944073164">
      <w:marLeft w:val="0"/>
      <w:marRight w:val="0"/>
      <w:marTop w:val="0"/>
      <w:marBottom w:val="0"/>
      <w:divBdr>
        <w:top w:val="none" w:sz="0" w:space="0" w:color="auto"/>
        <w:left w:val="none" w:sz="0" w:space="0" w:color="auto"/>
        <w:bottom w:val="none" w:sz="0" w:space="0" w:color="auto"/>
        <w:right w:val="none" w:sz="0" w:space="0" w:color="auto"/>
      </w:divBdr>
      <w:divsChild>
        <w:div w:id="73863649">
          <w:marLeft w:val="0"/>
          <w:marRight w:val="0"/>
          <w:marTop w:val="0"/>
          <w:marBottom w:val="0"/>
          <w:divBdr>
            <w:top w:val="none" w:sz="0" w:space="0" w:color="auto"/>
            <w:left w:val="none" w:sz="0" w:space="0" w:color="auto"/>
            <w:bottom w:val="none" w:sz="0" w:space="0" w:color="auto"/>
            <w:right w:val="none" w:sz="0" w:space="0" w:color="auto"/>
          </w:divBdr>
        </w:div>
      </w:divsChild>
    </w:div>
    <w:div w:id="1944410402">
      <w:marLeft w:val="0"/>
      <w:marRight w:val="0"/>
      <w:marTop w:val="160"/>
      <w:marBottom w:val="0"/>
      <w:divBdr>
        <w:top w:val="none" w:sz="0" w:space="0" w:color="auto"/>
        <w:left w:val="none" w:sz="0" w:space="0" w:color="auto"/>
        <w:bottom w:val="none" w:sz="0" w:space="0" w:color="auto"/>
        <w:right w:val="none" w:sz="0" w:space="0" w:color="auto"/>
      </w:divBdr>
    </w:div>
    <w:div w:id="1946107632">
      <w:marLeft w:val="0"/>
      <w:marRight w:val="0"/>
      <w:marTop w:val="160"/>
      <w:marBottom w:val="0"/>
      <w:divBdr>
        <w:top w:val="none" w:sz="0" w:space="0" w:color="auto"/>
        <w:left w:val="none" w:sz="0" w:space="0" w:color="auto"/>
        <w:bottom w:val="none" w:sz="0" w:space="0" w:color="auto"/>
        <w:right w:val="none" w:sz="0" w:space="0" w:color="auto"/>
      </w:divBdr>
    </w:div>
    <w:div w:id="1946885569">
      <w:marLeft w:val="0"/>
      <w:marRight w:val="0"/>
      <w:marTop w:val="240"/>
      <w:marBottom w:val="0"/>
      <w:divBdr>
        <w:top w:val="none" w:sz="0" w:space="0" w:color="auto"/>
        <w:left w:val="none" w:sz="0" w:space="0" w:color="auto"/>
        <w:bottom w:val="none" w:sz="0" w:space="0" w:color="auto"/>
        <w:right w:val="none" w:sz="0" w:space="0" w:color="auto"/>
      </w:divBdr>
    </w:div>
    <w:div w:id="1952321173">
      <w:marLeft w:val="0"/>
      <w:marRight w:val="0"/>
      <w:marTop w:val="240"/>
      <w:marBottom w:val="0"/>
      <w:divBdr>
        <w:top w:val="none" w:sz="0" w:space="0" w:color="auto"/>
        <w:left w:val="none" w:sz="0" w:space="0" w:color="auto"/>
        <w:bottom w:val="none" w:sz="0" w:space="0" w:color="auto"/>
        <w:right w:val="none" w:sz="0" w:space="0" w:color="auto"/>
      </w:divBdr>
    </w:div>
    <w:div w:id="1952931397">
      <w:marLeft w:val="0"/>
      <w:marRight w:val="0"/>
      <w:marTop w:val="160"/>
      <w:marBottom w:val="0"/>
      <w:divBdr>
        <w:top w:val="none" w:sz="0" w:space="0" w:color="auto"/>
        <w:left w:val="none" w:sz="0" w:space="0" w:color="auto"/>
        <w:bottom w:val="none" w:sz="0" w:space="0" w:color="auto"/>
        <w:right w:val="none" w:sz="0" w:space="0" w:color="auto"/>
      </w:divBdr>
    </w:div>
    <w:div w:id="1954823829">
      <w:marLeft w:val="0"/>
      <w:marRight w:val="0"/>
      <w:marTop w:val="0"/>
      <w:marBottom w:val="0"/>
      <w:divBdr>
        <w:top w:val="none" w:sz="0" w:space="0" w:color="auto"/>
        <w:left w:val="none" w:sz="0" w:space="0" w:color="auto"/>
        <w:bottom w:val="none" w:sz="0" w:space="0" w:color="auto"/>
        <w:right w:val="none" w:sz="0" w:space="0" w:color="auto"/>
      </w:divBdr>
      <w:divsChild>
        <w:div w:id="846561238">
          <w:marLeft w:val="0"/>
          <w:marRight w:val="0"/>
          <w:marTop w:val="0"/>
          <w:marBottom w:val="0"/>
          <w:divBdr>
            <w:top w:val="none" w:sz="0" w:space="0" w:color="auto"/>
            <w:left w:val="none" w:sz="0" w:space="0" w:color="auto"/>
            <w:bottom w:val="none" w:sz="0" w:space="0" w:color="auto"/>
            <w:right w:val="none" w:sz="0" w:space="0" w:color="auto"/>
          </w:divBdr>
          <w:divsChild>
            <w:div w:id="6213771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57981079">
      <w:marLeft w:val="0"/>
      <w:marRight w:val="0"/>
      <w:marTop w:val="0"/>
      <w:marBottom w:val="0"/>
      <w:divBdr>
        <w:top w:val="none" w:sz="0" w:space="0" w:color="auto"/>
        <w:left w:val="none" w:sz="0" w:space="0" w:color="auto"/>
        <w:bottom w:val="none" w:sz="0" w:space="0" w:color="auto"/>
        <w:right w:val="none" w:sz="0" w:space="0" w:color="auto"/>
      </w:divBdr>
      <w:divsChild>
        <w:div w:id="797378220">
          <w:marLeft w:val="0"/>
          <w:marRight w:val="0"/>
          <w:marTop w:val="0"/>
          <w:marBottom w:val="0"/>
          <w:divBdr>
            <w:top w:val="none" w:sz="0" w:space="0" w:color="auto"/>
            <w:left w:val="none" w:sz="0" w:space="0" w:color="auto"/>
            <w:bottom w:val="none" w:sz="0" w:space="0" w:color="auto"/>
            <w:right w:val="none" w:sz="0" w:space="0" w:color="auto"/>
          </w:divBdr>
          <w:divsChild>
            <w:div w:id="15198125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58676624">
      <w:marLeft w:val="0"/>
      <w:marRight w:val="0"/>
      <w:marTop w:val="240"/>
      <w:marBottom w:val="0"/>
      <w:divBdr>
        <w:top w:val="none" w:sz="0" w:space="0" w:color="auto"/>
        <w:left w:val="none" w:sz="0" w:space="0" w:color="auto"/>
        <w:bottom w:val="none" w:sz="0" w:space="0" w:color="auto"/>
        <w:right w:val="none" w:sz="0" w:space="0" w:color="auto"/>
      </w:divBdr>
    </w:div>
    <w:div w:id="1958679076">
      <w:marLeft w:val="0"/>
      <w:marRight w:val="0"/>
      <w:marTop w:val="240"/>
      <w:marBottom w:val="0"/>
      <w:divBdr>
        <w:top w:val="none" w:sz="0" w:space="0" w:color="auto"/>
        <w:left w:val="none" w:sz="0" w:space="0" w:color="auto"/>
        <w:bottom w:val="none" w:sz="0" w:space="0" w:color="auto"/>
        <w:right w:val="none" w:sz="0" w:space="0" w:color="auto"/>
      </w:divBdr>
    </w:div>
    <w:div w:id="1964186790">
      <w:marLeft w:val="0"/>
      <w:marRight w:val="0"/>
      <w:marTop w:val="240"/>
      <w:marBottom w:val="0"/>
      <w:divBdr>
        <w:top w:val="none" w:sz="0" w:space="0" w:color="auto"/>
        <w:left w:val="none" w:sz="0" w:space="0" w:color="auto"/>
        <w:bottom w:val="none" w:sz="0" w:space="0" w:color="auto"/>
        <w:right w:val="none" w:sz="0" w:space="0" w:color="auto"/>
      </w:divBdr>
    </w:div>
    <w:div w:id="1966695203">
      <w:marLeft w:val="0"/>
      <w:marRight w:val="0"/>
      <w:marTop w:val="240"/>
      <w:marBottom w:val="0"/>
      <w:divBdr>
        <w:top w:val="none" w:sz="0" w:space="0" w:color="auto"/>
        <w:left w:val="none" w:sz="0" w:space="0" w:color="auto"/>
        <w:bottom w:val="none" w:sz="0" w:space="0" w:color="auto"/>
        <w:right w:val="none" w:sz="0" w:space="0" w:color="auto"/>
      </w:divBdr>
    </w:div>
    <w:div w:id="1970084664">
      <w:marLeft w:val="0"/>
      <w:marRight w:val="0"/>
      <w:marTop w:val="0"/>
      <w:marBottom w:val="0"/>
      <w:divBdr>
        <w:top w:val="none" w:sz="0" w:space="0" w:color="auto"/>
        <w:left w:val="none" w:sz="0" w:space="0" w:color="auto"/>
        <w:bottom w:val="none" w:sz="0" w:space="0" w:color="auto"/>
        <w:right w:val="none" w:sz="0" w:space="0" w:color="auto"/>
      </w:divBdr>
    </w:div>
    <w:div w:id="1970210690">
      <w:marLeft w:val="0"/>
      <w:marRight w:val="0"/>
      <w:marTop w:val="240"/>
      <w:marBottom w:val="0"/>
      <w:divBdr>
        <w:top w:val="none" w:sz="0" w:space="0" w:color="auto"/>
        <w:left w:val="none" w:sz="0" w:space="0" w:color="auto"/>
        <w:bottom w:val="none" w:sz="0" w:space="0" w:color="auto"/>
        <w:right w:val="none" w:sz="0" w:space="0" w:color="auto"/>
      </w:divBdr>
    </w:div>
    <w:div w:id="1972250417">
      <w:marLeft w:val="0"/>
      <w:marRight w:val="0"/>
      <w:marTop w:val="240"/>
      <w:marBottom w:val="0"/>
      <w:divBdr>
        <w:top w:val="none" w:sz="0" w:space="0" w:color="auto"/>
        <w:left w:val="none" w:sz="0" w:space="0" w:color="auto"/>
        <w:bottom w:val="none" w:sz="0" w:space="0" w:color="auto"/>
        <w:right w:val="none" w:sz="0" w:space="0" w:color="auto"/>
      </w:divBdr>
    </w:div>
    <w:div w:id="1979991618">
      <w:marLeft w:val="0"/>
      <w:marRight w:val="0"/>
      <w:marTop w:val="240"/>
      <w:marBottom w:val="0"/>
      <w:divBdr>
        <w:top w:val="none" w:sz="0" w:space="0" w:color="auto"/>
        <w:left w:val="none" w:sz="0" w:space="0" w:color="auto"/>
        <w:bottom w:val="none" w:sz="0" w:space="0" w:color="auto"/>
        <w:right w:val="none" w:sz="0" w:space="0" w:color="auto"/>
      </w:divBdr>
    </w:div>
    <w:div w:id="1983582126">
      <w:marLeft w:val="0"/>
      <w:marRight w:val="0"/>
      <w:marTop w:val="0"/>
      <w:marBottom w:val="0"/>
      <w:divBdr>
        <w:top w:val="none" w:sz="0" w:space="0" w:color="auto"/>
        <w:left w:val="none" w:sz="0" w:space="0" w:color="auto"/>
        <w:bottom w:val="none" w:sz="0" w:space="0" w:color="auto"/>
        <w:right w:val="none" w:sz="0" w:space="0" w:color="auto"/>
      </w:divBdr>
      <w:divsChild>
        <w:div w:id="1934896604">
          <w:marLeft w:val="0"/>
          <w:marRight w:val="0"/>
          <w:marTop w:val="0"/>
          <w:marBottom w:val="0"/>
          <w:divBdr>
            <w:top w:val="none" w:sz="0" w:space="0" w:color="auto"/>
            <w:left w:val="none" w:sz="0" w:space="0" w:color="auto"/>
            <w:bottom w:val="none" w:sz="0" w:space="0" w:color="auto"/>
            <w:right w:val="none" w:sz="0" w:space="0" w:color="auto"/>
          </w:divBdr>
          <w:divsChild>
            <w:div w:id="3087497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84388644">
      <w:marLeft w:val="0"/>
      <w:marRight w:val="0"/>
      <w:marTop w:val="240"/>
      <w:marBottom w:val="0"/>
      <w:divBdr>
        <w:top w:val="none" w:sz="0" w:space="0" w:color="auto"/>
        <w:left w:val="none" w:sz="0" w:space="0" w:color="auto"/>
        <w:bottom w:val="none" w:sz="0" w:space="0" w:color="auto"/>
        <w:right w:val="none" w:sz="0" w:space="0" w:color="auto"/>
      </w:divBdr>
    </w:div>
    <w:div w:id="1984390102">
      <w:marLeft w:val="0"/>
      <w:marRight w:val="0"/>
      <w:marTop w:val="240"/>
      <w:marBottom w:val="0"/>
      <w:divBdr>
        <w:top w:val="none" w:sz="0" w:space="0" w:color="auto"/>
        <w:left w:val="none" w:sz="0" w:space="0" w:color="auto"/>
        <w:bottom w:val="none" w:sz="0" w:space="0" w:color="auto"/>
        <w:right w:val="none" w:sz="0" w:space="0" w:color="auto"/>
      </w:divBdr>
    </w:div>
    <w:div w:id="1986080877">
      <w:marLeft w:val="0"/>
      <w:marRight w:val="0"/>
      <w:marTop w:val="240"/>
      <w:marBottom w:val="120"/>
      <w:divBdr>
        <w:top w:val="none" w:sz="0" w:space="0" w:color="auto"/>
        <w:left w:val="none" w:sz="0" w:space="0" w:color="auto"/>
        <w:bottom w:val="none" w:sz="0" w:space="0" w:color="auto"/>
        <w:right w:val="none" w:sz="0" w:space="0" w:color="auto"/>
      </w:divBdr>
      <w:divsChild>
        <w:div w:id="1398632095">
          <w:marLeft w:val="0"/>
          <w:marRight w:val="0"/>
          <w:marTop w:val="0"/>
          <w:marBottom w:val="0"/>
          <w:divBdr>
            <w:top w:val="none" w:sz="0" w:space="0" w:color="auto"/>
            <w:left w:val="none" w:sz="0" w:space="0" w:color="auto"/>
            <w:bottom w:val="none" w:sz="0" w:space="0" w:color="auto"/>
            <w:right w:val="none" w:sz="0" w:space="0" w:color="auto"/>
          </w:divBdr>
        </w:div>
        <w:div w:id="1676691975">
          <w:marLeft w:val="0"/>
          <w:marRight w:val="0"/>
          <w:marTop w:val="0"/>
          <w:marBottom w:val="0"/>
          <w:divBdr>
            <w:top w:val="none" w:sz="0" w:space="0" w:color="auto"/>
            <w:left w:val="none" w:sz="0" w:space="0" w:color="auto"/>
            <w:bottom w:val="none" w:sz="0" w:space="0" w:color="auto"/>
            <w:right w:val="none" w:sz="0" w:space="0" w:color="auto"/>
          </w:divBdr>
        </w:div>
        <w:div w:id="287012612">
          <w:marLeft w:val="0"/>
          <w:marRight w:val="0"/>
          <w:marTop w:val="0"/>
          <w:marBottom w:val="0"/>
          <w:divBdr>
            <w:top w:val="none" w:sz="0" w:space="0" w:color="auto"/>
            <w:left w:val="none" w:sz="0" w:space="0" w:color="auto"/>
            <w:bottom w:val="none" w:sz="0" w:space="0" w:color="auto"/>
            <w:right w:val="none" w:sz="0" w:space="0" w:color="auto"/>
          </w:divBdr>
        </w:div>
        <w:div w:id="88236129">
          <w:marLeft w:val="0"/>
          <w:marRight w:val="0"/>
          <w:marTop w:val="0"/>
          <w:marBottom w:val="0"/>
          <w:divBdr>
            <w:top w:val="none" w:sz="0" w:space="0" w:color="auto"/>
            <w:left w:val="none" w:sz="0" w:space="0" w:color="auto"/>
            <w:bottom w:val="none" w:sz="0" w:space="0" w:color="auto"/>
            <w:right w:val="none" w:sz="0" w:space="0" w:color="auto"/>
          </w:divBdr>
        </w:div>
      </w:divsChild>
    </w:div>
    <w:div w:id="1998917043">
      <w:marLeft w:val="0"/>
      <w:marRight w:val="0"/>
      <w:marTop w:val="0"/>
      <w:marBottom w:val="0"/>
      <w:divBdr>
        <w:top w:val="none" w:sz="0" w:space="0" w:color="auto"/>
        <w:left w:val="none" w:sz="0" w:space="0" w:color="auto"/>
        <w:bottom w:val="none" w:sz="0" w:space="0" w:color="auto"/>
        <w:right w:val="none" w:sz="0" w:space="0" w:color="auto"/>
      </w:divBdr>
    </w:div>
    <w:div w:id="1999307070">
      <w:marLeft w:val="0"/>
      <w:marRight w:val="0"/>
      <w:marTop w:val="0"/>
      <w:marBottom w:val="0"/>
      <w:divBdr>
        <w:top w:val="none" w:sz="0" w:space="0" w:color="auto"/>
        <w:left w:val="none" w:sz="0" w:space="0" w:color="auto"/>
        <w:bottom w:val="none" w:sz="0" w:space="0" w:color="auto"/>
        <w:right w:val="none" w:sz="0" w:space="0" w:color="auto"/>
      </w:divBdr>
    </w:div>
    <w:div w:id="2005820032">
      <w:marLeft w:val="0"/>
      <w:marRight w:val="0"/>
      <w:marTop w:val="160"/>
      <w:marBottom w:val="0"/>
      <w:divBdr>
        <w:top w:val="none" w:sz="0" w:space="0" w:color="auto"/>
        <w:left w:val="none" w:sz="0" w:space="0" w:color="auto"/>
        <w:bottom w:val="none" w:sz="0" w:space="0" w:color="auto"/>
        <w:right w:val="none" w:sz="0" w:space="0" w:color="auto"/>
      </w:divBdr>
    </w:div>
    <w:div w:id="2009403155">
      <w:marLeft w:val="0"/>
      <w:marRight w:val="0"/>
      <w:marTop w:val="60"/>
      <w:marBottom w:val="0"/>
      <w:divBdr>
        <w:top w:val="none" w:sz="0" w:space="0" w:color="auto"/>
        <w:left w:val="none" w:sz="0" w:space="0" w:color="auto"/>
        <w:bottom w:val="none" w:sz="0" w:space="0" w:color="auto"/>
        <w:right w:val="none" w:sz="0" w:space="0" w:color="auto"/>
      </w:divBdr>
    </w:div>
    <w:div w:id="2009598756">
      <w:marLeft w:val="0"/>
      <w:marRight w:val="0"/>
      <w:marTop w:val="240"/>
      <w:marBottom w:val="0"/>
      <w:divBdr>
        <w:top w:val="none" w:sz="0" w:space="0" w:color="auto"/>
        <w:left w:val="none" w:sz="0" w:space="0" w:color="auto"/>
        <w:bottom w:val="none" w:sz="0" w:space="0" w:color="auto"/>
        <w:right w:val="none" w:sz="0" w:space="0" w:color="auto"/>
      </w:divBdr>
    </w:div>
    <w:div w:id="2009675549">
      <w:marLeft w:val="0"/>
      <w:marRight w:val="0"/>
      <w:marTop w:val="240"/>
      <w:marBottom w:val="0"/>
      <w:divBdr>
        <w:top w:val="none" w:sz="0" w:space="0" w:color="auto"/>
        <w:left w:val="none" w:sz="0" w:space="0" w:color="auto"/>
        <w:bottom w:val="none" w:sz="0" w:space="0" w:color="auto"/>
        <w:right w:val="none" w:sz="0" w:space="0" w:color="auto"/>
      </w:divBdr>
    </w:div>
    <w:div w:id="2010060520">
      <w:marLeft w:val="0"/>
      <w:marRight w:val="0"/>
      <w:marTop w:val="0"/>
      <w:marBottom w:val="0"/>
      <w:divBdr>
        <w:top w:val="none" w:sz="0" w:space="0" w:color="auto"/>
        <w:left w:val="none" w:sz="0" w:space="0" w:color="auto"/>
        <w:bottom w:val="none" w:sz="0" w:space="0" w:color="auto"/>
        <w:right w:val="none" w:sz="0" w:space="0" w:color="auto"/>
      </w:divBdr>
      <w:divsChild>
        <w:div w:id="649746588">
          <w:marLeft w:val="0"/>
          <w:marRight w:val="0"/>
          <w:marTop w:val="0"/>
          <w:marBottom w:val="0"/>
          <w:divBdr>
            <w:top w:val="none" w:sz="0" w:space="0" w:color="auto"/>
            <w:left w:val="none" w:sz="0" w:space="0" w:color="auto"/>
            <w:bottom w:val="none" w:sz="0" w:space="0" w:color="auto"/>
            <w:right w:val="none" w:sz="0" w:space="0" w:color="auto"/>
          </w:divBdr>
        </w:div>
      </w:divsChild>
    </w:div>
    <w:div w:id="2012290948">
      <w:marLeft w:val="0"/>
      <w:marRight w:val="0"/>
      <w:marTop w:val="240"/>
      <w:marBottom w:val="0"/>
      <w:divBdr>
        <w:top w:val="none" w:sz="0" w:space="0" w:color="auto"/>
        <w:left w:val="none" w:sz="0" w:space="0" w:color="auto"/>
        <w:bottom w:val="none" w:sz="0" w:space="0" w:color="auto"/>
        <w:right w:val="none" w:sz="0" w:space="0" w:color="auto"/>
      </w:divBdr>
    </w:div>
    <w:div w:id="2012293066">
      <w:marLeft w:val="0"/>
      <w:marRight w:val="0"/>
      <w:marTop w:val="240"/>
      <w:marBottom w:val="0"/>
      <w:divBdr>
        <w:top w:val="none" w:sz="0" w:space="0" w:color="auto"/>
        <w:left w:val="none" w:sz="0" w:space="0" w:color="auto"/>
        <w:bottom w:val="none" w:sz="0" w:space="0" w:color="auto"/>
        <w:right w:val="none" w:sz="0" w:space="0" w:color="auto"/>
      </w:divBdr>
    </w:div>
    <w:div w:id="2013295783">
      <w:marLeft w:val="0"/>
      <w:marRight w:val="0"/>
      <w:marTop w:val="240"/>
      <w:marBottom w:val="0"/>
      <w:divBdr>
        <w:top w:val="none" w:sz="0" w:space="0" w:color="auto"/>
        <w:left w:val="none" w:sz="0" w:space="0" w:color="auto"/>
        <w:bottom w:val="none" w:sz="0" w:space="0" w:color="auto"/>
        <w:right w:val="none" w:sz="0" w:space="0" w:color="auto"/>
      </w:divBdr>
    </w:div>
    <w:div w:id="2013872049">
      <w:marLeft w:val="0"/>
      <w:marRight w:val="0"/>
      <w:marTop w:val="0"/>
      <w:marBottom w:val="0"/>
      <w:divBdr>
        <w:top w:val="none" w:sz="0" w:space="0" w:color="auto"/>
        <w:left w:val="none" w:sz="0" w:space="0" w:color="auto"/>
        <w:bottom w:val="none" w:sz="0" w:space="0" w:color="auto"/>
        <w:right w:val="none" w:sz="0" w:space="0" w:color="auto"/>
      </w:divBdr>
      <w:divsChild>
        <w:div w:id="268049533">
          <w:marLeft w:val="0"/>
          <w:marRight w:val="0"/>
          <w:marTop w:val="0"/>
          <w:marBottom w:val="0"/>
          <w:divBdr>
            <w:top w:val="none" w:sz="0" w:space="0" w:color="auto"/>
            <w:left w:val="none" w:sz="0" w:space="0" w:color="auto"/>
            <w:bottom w:val="none" w:sz="0" w:space="0" w:color="auto"/>
            <w:right w:val="none" w:sz="0" w:space="0" w:color="auto"/>
          </w:divBdr>
          <w:divsChild>
            <w:div w:id="18711405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18921028">
      <w:marLeft w:val="0"/>
      <w:marRight w:val="0"/>
      <w:marTop w:val="240"/>
      <w:marBottom w:val="0"/>
      <w:divBdr>
        <w:top w:val="none" w:sz="0" w:space="0" w:color="auto"/>
        <w:left w:val="none" w:sz="0" w:space="0" w:color="auto"/>
        <w:bottom w:val="none" w:sz="0" w:space="0" w:color="auto"/>
        <w:right w:val="none" w:sz="0" w:space="0" w:color="auto"/>
      </w:divBdr>
    </w:div>
    <w:div w:id="2023117994">
      <w:marLeft w:val="0"/>
      <w:marRight w:val="0"/>
      <w:marTop w:val="240"/>
      <w:marBottom w:val="0"/>
      <w:divBdr>
        <w:top w:val="none" w:sz="0" w:space="0" w:color="auto"/>
        <w:left w:val="none" w:sz="0" w:space="0" w:color="auto"/>
        <w:bottom w:val="none" w:sz="0" w:space="0" w:color="auto"/>
        <w:right w:val="none" w:sz="0" w:space="0" w:color="auto"/>
      </w:divBdr>
    </w:div>
    <w:div w:id="2023319365">
      <w:marLeft w:val="0"/>
      <w:marRight w:val="0"/>
      <w:marTop w:val="240"/>
      <w:marBottom w:val="0"/>
      <w:divBdr>
        <w:top w:val="none" w:sz="0" w:space="0" w:color="auto"/>
        <w:left w:val="none" w:sz="0" w:space="0" w:color="auto"/>
        <w:bottom w:val="none" w:sz="0" w:space="0" w:color="auto"/>
        <w:right w:val="none" w:sz="0" w:space="0" w:color="auto"/>
      </w:divBdr>
    </w:div>
    <w:div w:id="2023359347">
      <w:marLeft w:val="0"/>
      <w:marRight w:val="0"/>
      <w:marTop w:val="240"/>
      <w:marBottom w:val="0"/>
      <w:divBdr>
        <w:top w:val="none" w:sz="0" w:space="0" w:color="auto"/>
        <w:left w:val="none" w:sz="0" w:space="0" w:color="auto"/>
        <w:bottom w:val="none" w:sz="0" w:space="0" w:color="auto"/>
        <w:right w:val="none" w:sz="0" w:space="0" w:color="auto"/>
      </w:divBdr>
    </w:div>
    <w:div w:id="2023896493">
      <w:marLeft w:val="0"/>
      <w:marRight w:val="0"/>
      <w:marTop w:val="0"/>
      <w:marBottom w:val="0"/>
      <w:divBdr>
        <w:top w:val="none" w:sz="0" w:space="0" w:color="auto"/>
        <w:left w:val="none" w:sz="0" w:space="0" w:color="auto"/>
        <w:bottom w:val="none" w:sz="0" w:space="0" w:color="auto"/>
        <w:right w:val="none" w:sz="0" w:space="0" w:color="auto"/>
      </w:divBdr>
      <w:divsChild>
        <w:div w:id="916357069">
          <w:marLeft w:val="0"/>
          <w:marRight w:val="0"/>
          <w:marTop w:val="0"/>
          <w:marBottom w:val="0"/>
          <w:divBdr>
            <w:top w:val="none" w:sz="0" w:space="0" w:color="auto"/>
            <w:left w:val="none" w:sz="0" w:space="0" w:color="auto"/>
            <w:bottom w:val="none" w:sz="0" w:space="0" w:color="auto"/>
            <w:right w:val="none" w:sz="0" w:space="0" w:color="auto"/>
          </w:divBdr>
          <w:divsChild>
            <w:div w:id="4127055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26400762">
      <w:marLeft w:val="0"/>
      <w:marRight w:val="0"/>
      <w:marTop w:val="240"/>
      <w:marBottom w:val="0"/>
      <w:divBdr>
        <w:top w:val="none" w:sz="0" w:space="0" w:color="auto"/>
        <w:left w:val="none" w:sz="0" w:space="0" w:color="auto"/>
        <w:bottom w:val="none" w:sz="0" w:space="0" w:color="auto"/>
        <w:right w:val="none" w:sz="0" w:space="0" w:color="auto"/>
      </w:divBdr>
    </w:div>
    <w:div w:id="2026904931">
      <w:marLeft w:val="0"/>
      <w:marRight w:val="0"/>
      <w:marTop w:val="240"/>
      <w:marBottom w:val="0"/>
      <w:divBdr>
        <w:top w:val="none" w:sz="0" w:space="0" w:color="auto"/>
        <w:left w:val="none" w:sz="0" w:space="0" w:color="auto"/>
        <w:bottom w:val="none" w:sz="0" w:space="0" w:color="auto"/>
        <w:right w:val="none" w:sz="0" w:space="0" w:color="auto"/>
      </w:divBdr>
    </w:div>
    <w:div w:id="2028170976">
      <w:marLeft w:val="0"/>
      <w:marRight w:val="0"/>
      <w:marTop w:val="240"/>
      <w:marBottom w:val="0"/>
      <w:divBdr>
        <w:top w:val="none" w:sz="0" w:space="0" w:color="auto"/>
        <w:left w:val="none" w:sz="0" w:space="0" w:color="auto"/>
        <w:bottom w:val="none" w:sz="0" w:space="0" w:color="auto"/>
        <w:right w:val="none" w:sz="0" w:space="0" w:color="auto"/>
      </w:divBdr>
    </w:div>
    <w:div w:id="2035575803">
      <w:marLeft w:val="0"/>
      <w:marRight w:val="0"/>
      <w:marTop w:val="0"/>
      <w:marBottom w:val="0"/>
      <w:divBdr>
        <w:top w:val="none" w:sz="0" w:space="0" w:color="auto"/>
        <w:left w:val="none" w:sz="0" w:space="0" w:color="auto"/>
        <w:bottom w:val="none" w:sz="0" w:space="0" w:color="auto"/>
        <w:right w:val="none" w:sz="0" w:space="0" w:color="auto"/>
      </w:divBdr>
      <w:divsChild>
        <w:div w:id="1880119612">
          <w:marLeft w:val="0"/>
          <w:marRight w:val="0"/>
          <w:marTop w:val="0"/>
          <w:marBottom w:val="0"/>
          <w:divBdr>
            <w:top w:val="none" w:sz="0" w:space="0" w:color="auto"/>
            <w:left w:val="none" w:sz="0" w:space="0" w:color="auto"/>
            <w:bottom w:val="none" w:sz="0" w:space="0" w:color="auto"/>
            <w:right w:val="none" w:sz="0" w:space="0" w:color="auto"/>
          </w:divBdr>
        </w:div>
      </w:divsChild>
    </w:div>
    <w:div w:id="2037077048">
      <w:marLeft w:val="0"/>
      <w:marRight w:val="0"/>
      <w:marTop w:val="240"/>
      <w:marBottom w:val="0"/>
      <w:divBdr>
        <w:top w:val="none" w:sz="0" w:space="0" w:color="auto"/>
        <w:left w:val="none" w:sz="0" w:space="0" w:color="auto"/>
        <w:bottom w:val="none" w:sz="0" w:space="0" w:color="auto"/>
        <w:right w:val="none" w:sz="0" w:space="0" w:color="auto"/>
      </w:divBdr>
    </w:div>
    <w:div w:id="2041778362">
      <w:marLeft w:val="0"/>
      <w:marRight w:val="0"/>
      <w:marTop w:val="240"/>
      <w:marBottom w:val="0"/>
      <w:divBdr>
        <w:top w:val="none" w:sz="0" w:space="0" w:color="auto"/>
        <w:left w:val="none" w:sz="0" w:space="0" w:color="auto"/>
        <w:bottom w:val="none" w:sz="0" w:space="0" w:color="auto"/>
        <w:right w:val="none" w:sz="0" w:space="0" w:color="auto"/>
      </w:divBdr>
    </w:div>
    <w:div w:id="2047100518">
      <w:marLeft w:val="0"/>
      <w:marRight w:val="0"/>
      <w:marTop w:val="240"/>
      <w:marBottom w:val="0"/>
      <w:divBdr>
        <w:top w:val="none" w:sz="0" w:space="0" w:color="auto"/>
        <w:left w:val="none" w:sz="0" w:space="0" w:color="auto"/>
        <w:bottom w:val="none" w:sz="0" w:space="0" w:color="auto"/>
        <w:right w:val="none" w:sz="0" w:space="0" w:color="auto"/>
      </w:divBdr>
    </w:div>
    <w:div w:id="2048529408">
      <w:marLeft w:val="0"/>
      <w:marRight w:val="0"/>
      <w:marTop w:val="0"/>
      <w:marBottom w:val="120"/>
      <w:divBdr>
        <w:top w:val="none" w:sz="0" w:space="0" w:color="auto"/>
        <w:left w:val="none" w:sz="0" w:space="0" w:color="auto"/>
        <w:bottom w:val="none" w:sz="0" w:space="0" w:color="auto"/>
        <w:right w:val="none" w:sz="0" w:space="0" w:color="auto"/>
      </w:divBdr>
      <w:divsChild>
        <w:div w:id="753867528">
          <w:marLeft w:val="0"/>
          <w:marRight w:val="0"/>
          <w:marTop w:val="0"/>
          <w:marBottom w:val="0"/>
          <w:divBdr>
            <w:top w:val="none" w:sz="0" w:space="0" w:color="auto"/>
            <w:left w:val="none" w:sz="0" w:space="0" w:color="auto"/>
            <w:bottom w:val="none" w:sz="0" w:space="0" w:color="auto"/>
            <w:right w:val="none" w:sz="0" w:space="0" w:color="auto"/>
          </w:divBdr>
        </w:div>
        <w:div w:id="172454019">
          <w:marLeft w:val="0"/>
          <w:marRight w:val="0"/>
          <w:marTop w:val="0"/>
          <w:marBottom w:val="0"/>
          <w:divBdr>
            <w:top w:val="none" w:sz="0" w:space="0" w:color="auto"/>
            <w:left w:val="none" w:sz="0" w:space="0" w:color="auto"/>
            <w:bottom w:val="none" w:sz="0" w:space="0" w:color="auto"/>
            <w:right w:val="none" w:sz="0" w:space="0" w:color="auto"/>
          </w:divBdr>
        </w:div>
        <w:div w:id="2059161224">
          <w:marLeft w:val="0"/>
          <w:marRight w:val="0"/>
          <w:marTop w:val="0"/>
          <w:marBottom w:val="0"/>
          <w:divBdr>
            <w:top w:val="none" w:sz="0" w:space="0" w:color="auto"/>
            <w:left w:val="none" w:sz="0" w:space="0" w:color="auto"/>
            <w:bottom w:val="none" w:sz="0" w:space="0" w:color="auto"/>
            <w:right w:val="none" w:sz="0" w:space="0" w:color="auto"/>
          </w:divBdr>
        </w:div>
        <w:div w:id="1595212231">
          <w:marLeft w:val="0"/>
          <w:marRight w:val="0"/>
          <w:marTop w:val="0"/>
          <w:marBottom w:val="0"/>
          <w:divBdr>
            <w:top w:val="none" w:sz="0" w:space="0" w:color="auto"/>
            <w:left w:val="none" w:sz="0" w:space="0" w:color="auto"/>
            <w:bottom w:val="none" w:sz="0" w:space="0" w:color="auto"/>
            <w:right w:val="none" w:sz="0" w:space="0" w:color="auto"/>
          </w:divBdr>
        </w:div>
        <w:div w:id="1184319239">
          <w:marLeft w:val="0"/>
          <w:marRight w:val="0"/>
          <w:marTop w:val="0"/>
          <w:marBottom w:val="0"/>
          <w:divBdr>
            <w:top w:val="none" w:sz="0" w:space="0" w:color="auto"/>
            <w:left w:val="none" w:sz="0" w:space="0" w:color="auto"/>
            <w:bottom w:val="none" w:sz="0" w:space="0" w:color="auto"/>
            <w:right w:val="none" w:sz="0" w:space="0" w:color="auto"/>
          </w:divBdr>
        </w:div>
        <w:div w:id="2073195303">
          <w:marLeft w:val="0"/>
          <w:marRight w:val="0"/>
          <w:marTop w:val="0"/>
          <w:marBottom w:val="0"/>
          <w:divBdr>
            <w:top w:val="none" w:sz="0" w:space="0" w:color="auto"/>
            <w:left w:val="none" w:sz="0" w:space="0" w:color="auto"/>
            <w:bottom w:val="none" w:sz="0" w:space="0" w:color="auto"/>
            <w:right w:val="none" w:sz="0" w:space="0" w:color="auto"/>
          </w:divBdr>
        </w:div>
      </w:divsChild>
    </w:div>
    <w:div w:id="2050182493">
      <w:marLeft w:val="0"/>
      <w:marRight w:val="0"/>
      <w:marTop w:val="0"/>
      <w:marBottom w:val="0"/>
      <w:divBdr>
        <w:top w:val="none" w:sz="0" w:space="0" w:color="auto"/>
        <w:left w:val="none" w:sz="0" w:space="0" w:color="auto"/>
        <w:bottom w:val="none" w:sz="0" w:space="0" w:color="auto"/>
        <w:right w:val="none" w:sz="0" w:space="0" w:color="auto"/>
      </w:divBdr>
      <w:divsChild>
        <w:div w:id="1117137532">
          <w:marLeft w:val="0"/>
          <w:marRight w:val="0"/>
          <w:marTop w:val="0"/>
          <w:marBottom w:val="0"/>
          <w:divBdr>
            <w:top w:val="none" w:sz="0" w:space="0" w:color="auto"/>
            <w:left w:val="none" w:sz="0" w:space="0" w:color="auto"/>
            <w:bottom w:val="none" w:sz="0" w:space="0" w:color="auto"/>
            <w:right w:val="none" w:sz="0" w:space="0" w:color="auto"/>
          </w:divBdr>
          <w:divsChild>
            <w:div w:id="8744650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53571706">
      <w:marLeft w:val="0"/>
      <w:marRight w:val="0"/>
      <w:marTop w:val="240"/>
      <w:marBottom w:val="0"/>
      <w:divBdr>
        <w:top w:val="none" w:sz="0" w:space="0" w:color="auto"/>
        <w:left w:val="none" w:sz="0" w:space="0" w:color="auto"/>
        <w:bottom w:val="none" w:sz="0" w:space="0" w:color="auto"/>
        <w:right w:val="none" w:sz="0" w:space="0" w:color="auto"/>
      </w:divBdr>
    </w:div>
    <w:div w:id="2055351158">
      <w:marLeft w:val="0"/>
      <w:marRight w:val="0"/>
      <w:marTop w:val="240"/>
      <w:marBottom w:val="0"/>
      <w:divBdr>
        <w:top w:val="none" w:sz="0" w:space="0" w:color="auto"/>
        <w:left w:val="none" w:sz="0" w:space="0" w:color="auto"/>
        <w:bottom w:val="none" w:sz="0" w:space="0" w:color="auto"/>
        <w:right w:val="none" w:sz="0" w:space="0" w:color="auto"/>
      </w:divBdr>
    </w:div>
    <w:div w:id="2056539949">
      <w:marLeft w:val="0"/>
      <w:marRight w:val="0"/>
      <w:marTop w:val="240"/>
      <w:marBottom w:val="0"/>
      <w:divBdr>
        <w:top w:val="none" w:sz="0" w:space="0" w:color="auto"/>
        <w:left w:val="none" w:sz="0" w:space="0" w:color="auto"/>
        <w:bottom w:val="none" w:sz="0" w:space="0" w:color="auto"/>
        <w:right w:val="none" w:sz="0" w:space="0" w:color="auto"/>
      </w:divBdr>
    </w:div>
    <w:div w:id="2059862617">
      <w:marLeft w:val="0"/>
      <w:marRight w:val="0"/>
      <w:marTop w:val="160"/>
      <w:marBottom w:val="0"/>
      <w:divBdr>
        <w:top w:val="none" w:sz="0" w:space="0" w:color="auto"/>
        <w:left w:val="none" w:sz="0" w:space="0" w:color="auto"/>
        <w:bottom w:val="none" w:sz="0" w:space="0" w:color="auto"/>
        <w:right w:val="none" w:sz="0" w:space="0" w:color="auto"/>
      </w:divBdr>
    </w:div>
    <w:div w:id="2060782958">
      <w:marLeft w:val="0"/>
      <w:marRight w:val="0"/>
      <w:marTop w:val="240"/>
      <w:marBottom w:val="0"/>
      <w:divBdr>
        <w:top w:val="none" w:sz="0" w:space="0" w:color="auto"/>
        <w:left w:val="none" w:sz="0" w:space="0" w:color="auto"/>
        <w:bottom w:val="none" w:sz="0" w:space="0" w:color="auto"/>
        <w:right w:val="none" w:sz="0" w:space="0" w:color="auto"/>
      </w:divBdr>
    </w:div>
    <w:div w:id="2061241424">
      <w:marLeft w:val="0"/>
      <w:marRight w:val="0"/>
      <w:marTop w:val="240"/>
      <w:marBottom w:val="0"/>
      <w:divBdr>
        <w:top w:val="none" w:sz="0" w:space="0" w:color="auto"/>
        <w:left w:val="none" w:sz="0" w:space="0" w:color="auto"/>
        <w:bottom w:val="none" w:sz="0" w:space="0" w:color="auto"/>
        <w:right w:val="none" w:sz="0" w:space="0" w:color="auto"/>
      </w:divBdr>
    </w:div>
    <w:div w:id="2063944854">
      <w:marLeft w:val="0"/>
      <w:marRight w:val="0"/>
      <w:marTop w:val="240"/>
      <w:marBottom w:val="0"/>
      <w:divBdr>
        <w:top w:val="none" w:sz="0" w:space="0" w:color="auto"/>
        <w:left w:val="none" w:sz="0" w:space="0" w:color="auto"/>
        <w:bottom w:val="none" w:sz="0" w:space="0" w:color="auto"/>
        <w:right w:val="none" w:sz="0" w:space="0" w:color="auto"/>
      </w:divBdr>
    </w:div>
    <w:div w:id="2065442344">
      <w:marLeft w:val="0"/>
      <w:marRight w:val="0"/>
      <w:marTop w:val="24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sChild>
        <w:div w:id="553080007">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5616470">
      <w:marLeft w:val="0"/>
      <w:marRight w:val="0"/>
      <w:marTop w:val="240"/>
      <w:marBottom w:val="0"/>
      <w:divBdr>
        <w:top w:val="none" w:sz="0" w:space="0" w:color="auto"/>
        <w:left w:val="none" w:sz="0" w:space="0" w:color="auto"/>
        <w:bottom w:val="none" w:sz="0" w:space="0" w:color="auto"/>
        <w:right w:val="none" w:sz="0" w:space="0" w:color="auto"/>
      </w:divBdr>
    </w:div>
    <w:div w:id="2076126941">
      <w:marLeft w:val="0"/>
      <w:marRight w:val="0"/>
      <w:marTop w:val="240"/>
      <w:marBottom w:val="0"/>
      <w:divBdr>
        <w:top w:val="none" w:sz="0" w:space="0" w:color="auto"/>
        <w:left w:val="none" w:sz="0" w:space="0" w:color="auto"/>
        <w:bottom w:val="none" w:sz="0" w:space="0" w:color="auto"/>
        <w:right w:val="none" w:sz="0" w:space="0" w:color="auto"/>
      </w:divBdr>
    </w:div>
    <w:div w:id="2077900512">
      <w:marLeft w:val="0"/>
      <w:marRight w:val="0"/>
      <w:marTop w:val="60"/>
      <w:marBottom w:val="0"/>
      <w:divBdr>
        <w:top w:val="none" w:sz="0" w:space="0" w:color="auto"/>
        <w:left w:val="none" w:sz="0" w:space="0" w:color="auto"/>
        <w:bottom w:val="none" w:sz="0" w:space="0" w:color="auto"/>
        <w:right w:val="none" w:sz="0" w:space="0" w:color="auto"/>
      </w:divBdr>
    </w:div>
    <w:div w:id="2080251867">
      <w:marLeft w:val="0"/>
      <w:marRight w:val="0"/>
      <w:marTop w:val="240"/>
      <w:marBottom w:val="0"/>
      <w:divBdr>
        <w:top w:val="none" w:sz="0" w:space="0" w:color="auto"/>
        <w:left w:val="none" w:sz="0" w:space="0" w:color="auto"/>
        <w:bottom w:val="none" w:sz="0" w:space="0" w:color="auto"/>
        <w:right w:val="none" w:sz="0" w:space="0" w:color="auto"/>
      </w:divBdr>
    </w:div>
    <w:div w:id="2081055506">
      <w:marLeft w:val="0"/>
      <w:marRight w:val="0"/>
      <w:marTop w:val="0"/>
      <w:marBottom w:val="0"/>
      <w:divBdr>
        <w:top w:val="none" w:sz="0" w:space="0" w:color="auto"/>
        <w:left w:val="none" w:sz="0" w:space="0" w:color="auto"/>
        <w:bottom w:val="none" w:sz="0" w:space="0" w:color="auto"/>
        <w:right w:val="none" w:sz="0" w:space="0" w:color="auto"/>
      </w:divBdr>
      <w:divsChild>
        <w:div w:id="572544893">
          <w:marLeft w:val="0"/>
          <w:marRight w:val="0"/>
          <w:marTop w:val="0"/>
          <w:marBottom w:val="0"/>
          <w:divBdr>
            <w:top w:val="none" w:sz="0" w:space="0" w:color="auto"/>
            <w:left w:val="none" w:sz="0" w:space="0" w:color="auto"/>
            <w:bottom w:val="none" w:sz="0" w:space="0" w:color="auto"/>
            <w:right w:val="none" w:sz="0" w:space="0" w:color="auto"/>
          </w:divBdr>
        </w:div>
      </w:divsChild>
    </w:div>
    <w:div w:id="2082484814">
      <w:marLeft w:val="0"/>
      <w:marRight w:val="0"/>
      <w:marTop w:val="240"/>
      <w:marBottom w:val="0"/>
      <w:divBdr>
        <w:top w:val="none" w:sz="0" w:space="0" w:color="auto"/>
        <w:left w:val="none" w:sz="0" w:space="0" w:color="auto"/>
        <w:bottom w:val="none" w:sz="0" w:space="0" w:color="auto"/>
        <w:right w:val="none" w:sz="0" w:space="0" w:color="auto"/>
      </w:divBdr>
    </w:div>
    <w:div w:id="2083016203">
      <w:marLeft w:val="0"/>
      <w:marRight w:val="0"/>
      <w:marTop w:val="240"/>
      <w:marBottom w:val="0"/>
      <w:divBdr>
        <w:top w:val="none" w:sz="0" w:space="0" w:color="auto"/>
        <w:left w:val="none" w:sz="0" w:space="0" w:color="auto"/>
        <w:bottom w:val="none" w:sz="0" w:space="0" w:color="auto"/>
        <w:right w:val="none" w:sz="0" w:space="0" w:color="auto"/>
      </w:divBdr>
    </w:div>
    <w:div w:id="2085179411">
      <w:marLeft w:val="0"/>
      <w:marRight w:val="0"/>
      <w:marTop w:val="0"/>
      <w:marBottom w:val="0"/>
      <w:divBdr>
        <w:top w:val="none" w:sz="0" w:space="0" w:color="auto"/>
        <w:left w:val="none" w:sz="0" w:space="0" w:color="auto"/>
        <w:bottom w:val="none" w:sz="0" w:space="0" w:color="auto"/>
        <w:right w:val="none" w:sz="0" w:space="0" w:color="auto"/>
      </w:divBdr>
      <w:divsChild>
        <w:div w:id="76949096">
          <w:marLeft w:val="0"/>
          <w:marRight w:val="0"/>
          <w:marTop w:val="0"/>
          <w:marBottom w:val="0"/>
          <w:divBdr>
            <w:top w:val="none" w:sz="0" w:space="0" w:color="auto"/>
            <w:left w:val="none" w:sz="0" w:space="0" w:color="auto"/>
            <w:bottom w:val="none" w:sz="0" w:space="0" w:color="auto"/>
            <w:right w:val="none" w:sz="0" w:space="0" w:color="auto"/>
          </w:divBdr>
          <w:divsChild>
            <w:div w:id="9286584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85956206">
      <w:marLeft w:val="0"/>
      <w:marRight w:val="0"/>
      <w:marTop w:val="240"/>
      <w:marBottom w:val="0"/>
      <w:divBdr>
        <w:top w:val="none" w:sz="0" w:space="0" w:color="auto"/>
        <w:left w:val="none" w:sz="0" w:space="0" w:color="auto"/>
        <w:bottom w:val="none" w:sz="0" w:space="0" w:color="auto"/>
        <w:right w:val="none" w:sz="0" w:space="0" w:color="auto"/>
      </w:divBdr>
    </w:div>
    <w:div w:id="2092770253">
      <w:marLeft w:val="0"/>
      <w:marRight w:val="0"/>
      <w:marTop w:val="0"/>
      <w:marBottom w:val="0"/>
      <w:divBdr>
        <w:top w:val="none" w:sz="0" w:space="0" w:color="auto"/>
        <w:left w:val="none" w:sz="0" w:space="0" w:color="auto"/>
        <w:bottom w:val="none" w:sz="0" w:space="0" w:color="auto"/>
        <w:right w:val="none" w:sz="0" w:space="0" w:color="auto"/>
      </w:divBdr>
    </w:div>
    <w:div w:id="2094088468">
      <w:marLeft w:val="0"/>
      <w:marRight w:val="0"/>
      <w:marTop w:val="240"/>
      <w:marBottom w:val="0"/>
      <w:divBdr>
        <w:top w:val="none" w:sz="0" w:space="0" w:color="auto"/>
        <w:left w:val="none" w:sz="0" w:space="0" w:color="auto"/>
        <w:bottom w:val="none" w:sz="0" w:space="0" w:color="auto"/>
        <w:right w:val="none" w:sz="0" w:space="0" w:color="auto"/>
      </w:divBdr>
    </w:div>
    <w:div w:id="2094620696">
      <w:marLeft w:val="0"/>
      <w:marRight w:val="0"/>
      <w:marTop w:val="240"/>
      <w:marBottom w:val="0"/>
      <w:divBdr>
        <w:top w:val="none" w:sz="0" w:space="0" w:color="auto"/>
        <w:left w:val="none" w:sz="0" w:space="0" w:color="auto"/>
        <w:bottom w:val="none" w:sz="0" w:space="0" w:color="auto"/>
        <w:right w:val="none" w:sz="0" w:space="0" w:color="auto"/>
      </w:divBdr>
    </w:div>
    <w:div w:id="2096125467">
      <w:marLeft w:val="0"/>
      <w:marRight w:val="0"/>
      <w:marTop w:val="240"/>
      <w:marBottom w:val="0"/>
      <w:divBdr>
        <w:top w:val="none" w:sz="0" w:space="0" w:color="auto"/>
        <w:left w:val="none" w:sz="0" w:space="0" w:color="auto"/>
        <w:bottom w:val="none" w:sz="0" w:space="0" w:color="auto"/>
        <w:right w:val="none" w:sz="0" w:space="0" w:color="auto"/>
      </w:divBdr>
    </w:div>
    <w:div w:id="2099017871">
      <w:marLeft w:val="0"/>
      <w:marRight w:val="0"/>
      <w:marTop w:val="0"/>
      <w:marBottom w:val="0"/>
      <w:divBdr>
        <w:top w:val="none" w:sz="0" w:space="0" w:color="auto"/>
        <w:left w:val="none" w:sz="0" w:space="0" w:color="auto"/>
        <w:bottom w:val="none" w:sz="0" w:space="0" w:color="auto"/>
        <w:right w:val="none" w:sz="0" w:space="0" w:color="auto"/>
      </w:divBdr>
      <w:divsChild>
        <w:div w:id="129787297">
          <w:marLeft w:val="0"/>
          <w:marRight w:val="0"/>
          <w:marTop w:val="0"/>
          <w:marBottom w:val="0"/>
          <w:divBdr>
            <w:top w:val="none" w:sz="0" w:space="0" w:color="auto"/>
            <w:left w:val="none" w:sz="0" w:space="0" w:color="auto"/>
            <w:bottom w:val="none" w:sz="0" w:space="0" w:color="auto"/>
            <w:right w:val="none" w:sz="0" w:space="0" w:color="auto"/>
          </w:divBdr>
        </w:div>
      </w:divsChild>
    </w:div>
    <w:div w:id="2099709884">
      <w:marLeft w:val="0"/>
      <w:marRight w:val="0"/>
      <w:marTop w:val="240"/>
      <w:marBottom w:val="0"/>
      <w:divBdr>
        <w:top w:val="none" w:sz="0" w:space="0" w:color="auto"/>
        <w:left w:val="none" w:sz="0" w:space="0" w:color="auto"/>
        <w:bottom w:val="none" w:sz="0" w:space="0" w:color="auto"/>
        <w:right w:val="none" w:sz="0" w:space="0" w:color="auto"/>
      </w:divBdr>
    </w:div>
    <w:div w:id="2108503750">
      <w:marLeft w:val="0"/>
      <w:marRight w:val="0"/>
      <w:marTop w:val="240"/>
      <w:marBottom w:val="0"/>
      <w:divBdr>
        <w:top w:val="none" w:sz="0" w:space="0" w:color="auto"/>
        <w:left w:val="none" w:sz="0" w:space="0" w:color="auto"/>
        <w:bottom w:val="none" w:sz="0" w:space="0" w:color="auto"/>
        <w:right w:val="none" w:sz="0" w:space="0" w:color="auto"/>
      </w:divBdr>
    </w:div>
    <w:div w:id="2108690116">
      <w:marLeft w:val="0"/>
      <w:marRight w:val="0"/>
      <w:marTop w:val="0"/>
      <w:marBottom w:val="0"/>
      <w:divBdr>
        <w:top w:val="none" w:sz="0" w:space="0" w:color="auto"/>
        <w:left w:val="none" w:sz="0" w:space="0" w:color="auto"/>
        <w:bottom w:val="none" w:sz="0" w:space="0" w:color="auto"/>
        <w:right w:val="none" w:sz="0" w:space="0" w:color="auto"/>
      </w:divBdr>
      <w:divsChild>
        <w:div w:id="1847406472">
          <w:marLeft w:val="0"/>
          <w:marRight w:val="0"/>
          <w:marTop w:val="0"/>
          <w:marBottom w:val="0"/>
          <w:divBdr>
            <w:top w:val="none" w:sz="0" w:space="0" w:color="auto"/>
            <w:left w:val="none" w:sz="0" w:space="0" w:color="auto"/>
            <w:bottom w:val="none" w:sz="0" w:space="0" w:color="auto"/>
            <w:right w:val="none" w:sz="0" w:space="0" w:color="auto"/>
          </w:divBdr>
        </w:div>
      </w:divsChild>
    </w:div>
    <w:div w:id="2111274856">
      <w:marLeft w:val="0"/>
      <w:marRight w:val="0"/>
      <w:marTop w:val="240"/>
      <w:marBottom w:val="0"/>
      <w:divBdr>
        <w:top w:val="none" w:sz="0" w:space="0" w:color="auto"/>
        <w:left w:val="none" w:sz="0" w:space="0" w:color="auto"/>
        <w:bottom w:val="none" w:sz="0" w:space="0" w:color="auto"/>
        <w:right w:val="none" w:sz="0" w:space="0" w:color="auto"/>
      </w:divBdr>
    </w:div>
    <w:div w:id="2111579435">
      <w:marLeft w:val="0"/>
      <w:marRight w:val="0"/>
      <w:marTop w:val="240"/>
      <w:marBottom w:val="0"/>
      <w:divBdr>
        <w:top w:val="none" w:sz="0" w:space="0" w:color="auto"/>
        <w:left w:val="none" w:sz="0" w:space="0" w:color="auto"/>
        <w:bottom w:val="none" w:sz="0" w:space="0" w:color="auto"/>
        <w:right w:val="none" w:sz="0" w:space="0" w:color="auto"/>
      </w:divBdr>
    </w:div>
    <w:div w:id="2115662679">
      <w:marLeft w:val="0"/>
      <w:marRight w:val="0"/>
      <w:marTop w:val="240"/>
      <w:marBottom w:val="0"/>
      <w:divBdr>
        <w:top w:val="none" w:sz="0" w:space="0" w:color="auto"/>
        <w:left w:val="none" w:sz="0" w:space="0" w:color="auto"/>
        <w:bottom w:val="none" w:sz="0" w:space="0" w:color="auto"/>
        <w:right w:val="none" w:sz="0" w:space="0" w:color="auto"/>
      </w:divBdr>
    </w:div>
    <w:div w:id="2118405978">
      <w:marLeft w:val="0"/>
      <w:marRight w:val="0"/>
      <w:marTop w:val="0"/>
      <w:marBottom w:val="0"/>
      <w:divBdr>
        <w:top w:val="none" w:sz="0" w:space="0" w:color="auto"/>
        <w:left w:val="none" w:sz="0" w:space="0" w:color="auto"/>
        <w:bottom w:val="none" w:sz="0" w:space="0" w:color="auto"/>
        <w:right w:val="none" w:sz="0" w:space="0" w:color="auto"/>
      </w:divBdr>
    </w:div>
    <w:div w:id="2118480148">
      <w:marLeft w:val="0"/>
      <w:marRight w:val="0"/>
      <w:marTop w:val="0"/>
      <w:marBottom w:val="0"/>
      <w:divBdr>
        <w:top w:val="none" w:sz="0" w:space="0" w:color="auto"/>
        <w:left w:val="none" w:sz="0" w:space="0" w:color="auto"/>
        <w:bottom w:val="none" w:sz="0" w:space="0" w:color="auto"/>
        <w:right w:val="none" w:sz="0" w:space="0" w:color="auto"/>
      </w:divBdr>
      <w:divsChild>
        <w:div w:id="80417690">
          <w:marLeft w:val="0"/>
          <w:marRight w:val="0"/>
          <w:marTop w:val="0"/>
          <w:marBottom w:val="0"/>
          <w:divBdr>
            <w:top w:val="none" w:sz="0" w:space="0" w:color="auto"/>
            <w:left w:val="none" w:sz="0" w:space="0" w:color="auto"/>
            <w:bottom w:val="none" w:sz="0" w:space="0" w:color="auto"/>
            <w:right w:val="none" w:sz="0" w:space="0" w:color="auto"/>
          </w:divBdr>
        </w:div>
      </w:divsChild>
    </w:div>
    <w:div w:id="2128238694">
      <w:marLeft w:val="0"/>
      <w:marRight w:val="0"/>
      <w:marTop w:val="240"/>
      <w:marBottom w:val="0"/>
      <w:divBdr>
        <w:top w:val="none" w:sz="0" w:space="0" w:color="auto"/>
        <w:left w:val="none" w:sz="0" w:space="0" w:color="auto"/>
        <w:bottom w:val="none" w:sz="0" w:space="0" w:color="auto"/>
        <w:right w:val="none" w:sz="0" w:space="0" w:color="auto"/>
      </w:divBdr>
    </w:div>
    <w:div w:id="2130202333">
      <w:marLeft w:val="0"/>
      <w:marRight w:val="0"/>
      <w:marTop w:val="240"/>
      <w:marBottom w:val="0"/>
      <w:divBdr>
        <w:top w:val="none" w:sz="0" w:space="0" w:color="auto"/>
        <w:left w:val="none" w:sz="0" w:space="0" w:color="auto"/>
        <w:bottom w:val="none" w:sz="0" w:space="0" w:color="auto"/>
        <w:right w:val="none" w:sz="0" w:space="0" w:color="auto"/>
      </w:divBdr>
    </w:div>
    <w:div w:id="2131394473">
      <w:marLeft w:val="0"/>
      <w:marRight w:val="0"/>
      <w:marTop w:val="0"/>
      <w:marBottom w:val="0"/>
      <w:divBdr>
        <w:top w:val="none" w:sz="0" w:space="0" w:color="auto"/>
        <w:left w:val="none" w:sz="0" w:space="0" w:color="auto"/>
        <w:bottom w:val="none" w:sz="0" w:space="0" w:color="auto"/>
        <w:right w:val="none" w:sz="0" w:space="0" w:color="auto"/>
      </w:divBdr>
      <w:divsChild>
        <w:div w:id="1672441984">
          <w:marLeft w:val="0"/>
          <w:marRight w:val="0"/>
          <w:marTop w:val="0"/>
          <w:marBottom w:val="0"/>
          <w:divBdr>
            <w:top w:val="none" w:sz="0" w:space="0" w:color="auto"/>
            <w:left w:val="none" w:sz="0" w:space="0" w:color="auto"/>
            <w:bottom w:val="none" w:sz="0" w:space="0" w:color="auto"/>
            <w:right w:val="none" w:sz="0" w:space="0" w:color="auto"/>
          </w:divBdr>
        </w:div>
      </w:divsChild>
    </w:div>
    <w:div w:id="2134398223">
      <w:marLeft w:val="0"/>
      <w:marRight w:val="0"/>
      <w:marTop w:val="240"/>
      <w:marBottom w:val="0"/>
      <w:divBdr>
        <w:top w:val="none" w:sz="0" w:space="0" w:color="auto"/>
        <w:left w:val="none" w:sz="0" w:space="0" w:color="auto"/>
        <w:bottom w:val="none" w:sz="0" w:space="0" w:color="auto"/>
        <w:right w:val="none" w:sz="0" w:space="0" w:color="auto"/>
      </w:divBdr>
    </w:div>
    <w:div w:id="2138453904">
      <w:marLeft w:val="0"/>
      <w:marRight w:val="0"/>
      <w:marTop w:val="240"/>
      <w:marBottom w:val="0"/>
      <w:divBdr>
        <w:top w:val="none" w:sz="0" w:space="0" w:color="auto"/>
        <w:left w:val="none" w:sz="0" w:space="0" w:color="auto"/>
        <w:bottom w:val="none" w:sz="0" w:space="0" w:color="auto"/>
        <w:right w:val="none" w:sz="0" w:space="0" w:color="auto"/>
      </w:divBdr>
    </w:div>
    <w:div w:id="2141264700">
      <w:marLeft w:val="0"/>
      <w:marRight w:val="0"/>
      <w:marTop w:val="0"/>
      <w:marBottom w:val="0"/>
      <w:divBdr>
        <w:top w:val="none" w:sz="0" w:space="0" w:color="auto"/>
        <w:left w:val="none" w:sz="0" w:space="0" w:color="auto"/>
        <w:bottom w:val="none" w:sz="0" w:space="0" w:color="auto"/>
        <w:right w:val="none" w:sz="0" w:space="0" w:color="auto"/>
      </w:divBdr>
      <w:divsChild>
        <w:div w:id="988750166">
          <w:marLeft w:val="0"/>
          <w:marRight w:val="0"/>
          <w:marTop w:val="0"/>
          <w:marBottom w:val="0"/>
          <w:divBdr>
            <w:top w:val="none" w:sz="0" w:space="0" w:color="auto"/>
            <w:left w:val="none" w:sz="0" w:space="0" w:color="auto"/>
            <w:bottom w:val="none" w:sz="0" w:space="0" w:color="auto"/>
            <w:right w:val="none" w:sz="0" w:space="0" w:color="auto"/>
          </w:divBdr>
        </w:div>
      </w:divsChild>
    </w:div>
    <w:div w:id="2143619023">
      <w:marLeft w:val="0"/>
      <w:marRight w:val="0"/>
      <w:marTop w:val="6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544227/000104746912004129/a2208487zex-10_5.htm" TargetMode="External"/><Relationship Id="rId18" Type="http://schemas.openxmlformats.org/officeDocument/2006/relationships/hyperlink" Target="http://www.sec.gov/Archives/edgar/data/1544227/000155837019002660/mind-20181231ex109fae545.htm" TargetMode="External"/><Relationship Id="rId26" Type="http://schemas.openxmlformats.org/officeDocument/2006/relationships/hyperlink" Target="https://www.sec.gov/Archives/edgar/data/1544227/000154422720000004/mlnd-20191231xex1016.htm" TargetMode="External"/><Relationship Id="rId39" Type="http://schemas.openxmlformats.org/officeDocument/2006/relationships/hyperlink" Target="https://www.sec.gov/Archives/edgar/data/1544227/000154422720000004/mlnd-20191231xex1029.htm" TargetMode="External"/><Relationship Id="rId21" Type="http://schemas.openxmlformats.org/officeDocument/2006/relationships/hyperlink" Target="http://www.sec.gov/Archives/edgar/data/1544227/000110465919035378/a19-11518_1ex10d1.htm" TargetMode="External"/><Relationship Id="rId34" Type="http://schemas.openxmlformats.org/officeDocument/2006/relationships/hyperlink" Target="http://www.sec.gov/Archives/edgar/data/1544227/000104746918006980/a2236886zex-10_46.htm" TargetMode="External"/><Relationship Id="rId42" Type="http://schemas.openxmlformats.org/officeDocument/2006/relationships/hyperlink" Target="mlnd-20201231xex1030.htm" TargetMode="External"/><Relationship Id="rId47" Type="http://schemas.openxmlformats.org/officeDocument/2006/relationships/hyperlink" Target="mlnd-20201231.htm" TargetMode="External"/><Relationship Id="rId50" Type="http://schemas.openxmlformats.org/officeDocument/2006/relationships/hyperlink" Target="mlnd-20201231xex321.htm" TargetMode="External"/><Relationship Id="rId7" Type="http://schemas.openxmlformats.org/officeDocument/2006/relationships/hyperlink" Target="http://www.sec.gov/Archives/edgar/data/1544227/000104746912008575/a2210793zex-4_1.htm" TargetMode="External"/><Relationship Id="rId2" Type="http://schemas.openxmlformats.org/officeDocument/2006/relationships/settings" Target="settings.xml"/><Relationship Id="rId16" Type="http://schemas.openxmlformats.org/officeDocument/2006/relationships/hyperlink" Target="https://www.sec.gov/Archives/edgar/data/1544227/000154422720000004/mlnd-20191231xex108.htm" TargetMode="External"/><Relationship Id="rId29" Type="http://schemas.openxmlformats.org/officeDocument/2006/relationships/hyperlink" Target="https://www.sec.gov/Archives/edgar/data/1544227/000154422720000004/mlnd-201912x31xex1017.htm" TargetMode="External"/><Relationship Id="rId11" Type="http://schemas.openxmlformats.org/officeDocument/2006/relationships/hyperlink" Target="http://www.sec.gov/Archives/edgar/data/1544227/000104746912006137/a2209465zex-10_3.htm" TargetMode="External"/><Relationship Id="rId24" Type="http://schemas.openxmlformats.org/officeDocument/2006/relationships/hyperlink" Target="https://www.sec.gov/Archives/edgar/data/1544227/000154422720000004/mlnd-20191231xex1016.htm" TargetMode="External"/><Relationship Id="rId32" Type="http://schemas.openxmlformats.org/officeDocument/2006/relationships/hyperlink" Target="http://www.sec.gov/Archives/edgar/data/1544227/000104746918006980/a2236886zex-10_45.htm" TargetMode="External"/><Relationship Id="rId37" Type="http://schemas.openxmlformats.org/officeDocument/2006/relationships/hyperlink" Target="http://www.sec.gov/Archives/edgar/data/1544227/000104746918007084/a2237017zex-4_8.htm" TargetMode="External"/><Relationship Id="rId40" Type="http://schemas.openxmlformats.org/officeDocument/2006/relationships/hyperlink" Target="https://www.sec.gov/Archives/edgar/data/1544227/000110465919006384/a19-4137_1ex10d1.htm" TargetMode="External"/><Relationship Id="rId45" Type="http://schemas.openxmlformats.org/officeDocument/2006/relationships/hyperlink" Target="mlnd-20201231xex211.htm" TargetMode="External"/><Relationship Id="rId5" Type="http://schemas.openxmlformats.org/officeDocument/2006/relationships/hyperlink" Target="http://www.sec.gov/Archives/edgar/data/1544227/000155837019005038/mlnd-20190331ex31b53fa83.htm" TargetMode="External"/><Relationship Id="rId15" Type="http://schemas.openxmlformats.org/officeDocument/2006/relationships/hyperlink" Target="http://www.sec.gov/Archives/edgar/data/1544227/000104746915002286/a2223498zex-10_7.htm" TargetMode="External"/><Relationship Id="rId23" Type="http://schemas.openxmlformats.org/officeDocument/2006/relationships/hyperlink" Target="http://www.sec.gov/Archives/edgar/data/1544227/000155837019007932/mlnd-20190630ex108da3c00.htm" TargetMode="External"/><Relationship Id="rId28" Type="http://schemas.openxmlformats.org/officeDocument/2006/relationships/hyperlink" Target="https://www.sec.gov/Archives/edgar/data/1544227/000154422720000004/mlnd-201912x31xex1017.htm" TargetMode="External"/><Relationship Id="rId36" Type="http://schemas.openxmlformats.org/officeDocument/2006/relationships/hyperlink" Target="http://www.sec.gov/Archives/edgar/data/1544227/000104746918007084/a2237017zex-4_7.htm" TargetMode="External"/><Relationship Id="rId49" Type="http://schemas.openxmlformats.org/officeDocument/2006/relationships/hyperlink" Target="mlnd-20201231xex312.htm" TargetMode="External"/><Relationship Id="rId10" Type="http://schemas.openxmlformats.org/officeDocument/2006/relationships/hyperlink" Target="http://www.sec.gov/Archives/edgar/data/1544227/000104746912006137/a2209465zex-10_2.htm" TargetMode="External"/><Relationship Id="rId19" Type="http://schemas.openxmlformats.org/officeDocument/2006/relationships/hyperlink" Target="http://www.sec.gov/Archives/edgar/data/1544227/000110465918072810/a18-38204_8ex10d5.htm" TargetMode="External"/><Relationship Id="rId31" Type="http://schemas.openxmlformats.org/officeDocument/2006/relationships/hyperlink" Target="http://www.sec.gov/Archives/edgar/data/1544227/000110465918072810/a18-38204_8ex10d1.htm" TargetMode="External"/><Relationship Id="rId44" Type="http://schemas.openxmlformats.org/officeDocument/2006/relationships/hyperlink" Target="mlnd-20201231xex1032.htm" TargetMode="External"/><Relationship Id="rId52" Type="http://schemas.openxmlformats.org/officeDocument/2006/relationships/theme" Target="theme/theme1.xml"/><Relationship Id="rId4" Type="http://schemas.openxmlformats.org/officeDocument/2006/relationships/hyperlink" Target="https://www.sec.gov/Archives/edgar/data/1544227/000110465921042769/tm2111026d1_ex2-1.htm" TargetMode="External"/><Relationship Id="rId9" Type="http://schemas.openxmlformats.org/officeDocument/2006/relationships/hyperlink" Target="http://www.sec.gov/Archives/edgar/data/1544227/000104746912004129/a2208487zex-10_1.htm" TargetMode="External"/><Relationship Id="rId14" Type="http://schemas.openxmlformats.org/officeDocument/2006/relationships/hyperlink" Target="http://www.sec.gov/Archives/edgar/data/1544227/000104746915002286/a2223498zex-10_6.htm" TargetMode="External"/><Relationship Id="rId22" Type="http://schemas.openxmlformats.org/officeDocument/2006/relationships/hyperlink" Target="http://www.sec.gov/Archives/edgar/data/1544227/000155837019007932/mlnd-20190630ex107cfce16.htm" TargetMode="External"/><Relationship Id="rId27" Type="http://schemas.openxmlformats.org/officeDocument/2006/relationships/hyperlink" Target="https://www.sec.gov/Archives/edgar/data/1544227/000154422720000004/mlnd-20191231xex1016.htm" TargetMode="External"/><Relationship Id="rId30" Type="http://schemas.openxmlformats.org/officeDocument/2006/relationships/hyperlink" Target="http://www.sec.gov/Archives/edgar/data/1544227/000110465919035378/a19-11518_1ex10d2.htm" TargetMode="External"/><Relationship Id="rId35" Type="http://schemas.openxmlformats.org/officeDocument/2006/relationships/hyperlink" Target="http://www.sec.gov/Archives/edgar/data/1544227/000104746918007084/a2237017zex-4_6.htm" TargetMode="External"/><Relationship Id="rId43" Type="http://schemas.openxmlformats.org/officeDocument/2006/relationships/hyperlink" Target="mlnd-20201231xex1031.htm" TargetMode="External"/><Relationship Id="rId48" Type="http://schemas.openxmlformats.org/officeDocument/2006/relationships/hyperlink" Target="mlnd-20201231xex311.htm" TargetMode="External"/><Relationship Id="rId8" Type="http://schemas.openxmlformats.org/officeDocument/2006/relationships/hyperlink" Target="https://www.sec.gov/Archives/edgar/data/1544227/000154422720000004/mlnd-20191231xex46.ht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1544227/000104746912004129/a2208487zex-10_4.htm" TargetMode="External"/><Relationship Id="rId17" Type="http://schemas.openxmlformats.org/officeDocument/2006/relationships/hyperlink" Target="http://www.sec.gov/Archives/edgar/data/1544227/000155837019002660/mind-20181231ex108b324f4.htm" TargetMode="External"/><Relationship Id="rId25" Type="http://schemas.openxmlformats.org/officeDocument/2006/relationships/hyperlink" Target="https://www.sec.gov/Archives/edgar/data/1544227/000154422720000004/mlnd-20191231xex1016.htm" TargetMode="External"/><Relationship Id="rId33" Type="http://schemas.openxmlformats.org/officeDocument/2006/relationships/hyperlink" Target="http://www.sec.gov/Archives/edgar/data/1544227/000104746918007084/a2237017zex-4_9.htm" TargetMode="External"/><Relationship Id="rId38" Type="http://schemas.openxmlformats.org/officeDocument/2006/relationships/hyperlink" Target="http://www.sec.gov/Archives/edgar/data/1544227/000110465920028925/tm2011597d1_ex1-1.htm" TargetMode="External"/><Relationship Id="rId46" Type="http://schemas.openxmlformats.org/officeDocument/2006/relationships/hyperlink" Target="mlnd-20201231xex231.htm" TargetMode="External"/><Relationship Id="rId20" Type="http://schemas.openxmlformats.org/officeDocument/2006/relationships/hyperlink" Target="http://www.sec.gov/Archives/edgar/data/1544227/000155837019002660/mind-20181231ex10117780b.htm" TargetMode="External"/><Relationship Id="rId41" Type="http://schemas.openxmlformats.org/officeDocument/2006/relationships/hyperlink" Target="mlnd-20201231xex1029.htm" TargetMode="External"/><Relationship Id="rId1" Type="http://schemas.openxmlformats.org/officeDocument/2006/relationships/styles" Target="styles.xml"/><Relationship Id="rId6" Type="http://schemas.openxmlformats.org/officeDocument/2006/relationships/hyperlink" Target="http://www.sec.gov/Archives/edgar/data/1544227/000110465918050995/a18-18482_1ex3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55648</Words>
  <Characters>317196</Characters>
  <Application>Microsoft Office Word</Application>
  <DocSecurity>0</DocSecurity>
  <Lines>2643</Lines>
  <Paragraphs>744</Paragraphs>
  <ScaleCrop>false</ScaleCrop>
  <Company/>
  <LinksUpToDate>false</LinksUpToDate>
  <CharactersWithSpaces>372100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mlnd-20201231</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