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8B747E">
      <w:pPr>
        <w:divId w:val="1314945231"/>
        <w:rPr>
          <w:rFonts w:eastAsia="Times New Roman"/>
          <w:vanish/>
        </w:rPr>
      </w:pPr>
      <w:r>
        <w:rPr>
          <w:rFonts w:eastAsia="Times New Roman"/>
          <w:vanish/>
        </w:rPr>
        <w:t>false--12-31Q220190001583107566370005568100000us-gaap:OtherAccruedLiabilitiesCurrentus-gaap:OperatingLeaseLiabilityNoncurrentus-gaap:OperatingLeaseRightOfUseAsset000001583107tbph:MylanMember2015-01-302015-01-300001583107</w:t>
      </w:r>
      <w:r>
        <w:rPr>
          <w:rFonts w:eastAsia="Times New Roman"/>
          <w:vanish/>
        </w:rPr>
        <w:t>us-gaap:CommonStockMember2019-04-012019-06-300001583107us-gaap:CommonStockMember2019-01-012019-06-300001583107us-gaap:RetainedEarningsMember2019-06-300001583107us-gaap:AdditionalPaidInCapitalMember2019-06-300001583107us-gaap:AccumulatedOtherComprehensiveIn</w:t>
      </w:r>
      <w:r>
        <w:rPr>
          <w:rFonts w:eastAsia="Times New Roman"/>
          <w:vanish/>
        </w:rPr>
        <w:t>comeMember2019-06-300001583107us-gaap:RetainedEarningsMember2019-03-310001583107us-gaap:AdditionalPaidInCapitalMember2019-03-310001583107us-gaap:AccumulatedOtherComprehensiveIncomeMember2019-03-3100015831072019-03-310001583107us-gaap:RetainedEarningsMember</w:t>
      </w:r>
      <w:r>
        <w:rPr>
          <w:rFonts w:eastAsia="Times New Roman"/>
          <w:vanish/>
        </w:rPr>
        <w:t>2018-12-310001583107us-gaap:AdditionalPaidInCapitalMember2018-12-310001583107us-gaap:AccumulatedOtherComprehensiveIncomeMember2018-12-310001583107us-gaap:RetainedEarningsMember2018-06-300001583107us-gaap:AdditionalPaidInCapitalMember2018-06-300001583107us-</w:t>
      </w:r>
      <w:r>
        <w:rPr>
          <w:rFonts w:eastAsia="Times New Roman"/>
          <w:vanish/>
        </w:rPr>
        <w:t>gaap:AccumulatedOtherComprehensiveIncomeMember2018-06-300001583107us-gaap:RetainedEarningsMember2018-03-310001583107us-gaap:AdditionalPaidInCapitalMember2018-03-310001583107us-gaap:AccumulatedOtherComprehensiveIncomeMember2018-03-3100015831072018-03-310001</w:t>
      </w:r>
      <w:r>
        <w:rPr>
          <w:rFonts w:eastAsia="Times New Roman"/>
          <w:vanish/>
        </w:rPr>
        <w:t>583107us-gaap:RetainedEarningsMember2017-12-310001583107us-gaap:AdditionalPaidInCapitalMember2017-12-310001583107us-gaap:AccumulatedOtherComprehensiveIncomeMember2017-12-310001583107us-gaap:CommonStockMember2018-04-012018-06-300001583107us-gaap:CommonStock</w:t>
      </w:r>
      <w:r>
        <w:rPr>
          <w:rFonts w:eastAsia="Times New Roman"/>
          <w:vanish/>
        </w:rPr>
        <w:t>Member2018-01-012018-06-300001583107tbph:MylanMembertbph:OrdinarySharePurchaseAgreementMember2015-01-300001583107tbph:EmployeePerformanceRestrictedStockUnitsRSUMembertbph:ShareBasedCompensationAwardPerformanceMilestoneSecondAndThirdMember2019-06-3000015831</w:t>
      </w:r>
      <w:r>
        <w:rPr>
          <w:rFonts w:eastAsia="Times New Roman"/>
          <w:vanish/>
        </w:rPr>
        <w:t>07tbph:EmployeePerformanceRestrictedStockUnitsRSUMember2019-03-310001583107us-gaap:ScenarioPlanMemberus-gaap:RestrictedStockUnitsRSUMemberus-gaap:ShareBasedPaymentArrangementEmployeeMember2018-12-310001583107us-gaap:ScenarioPlanMemberus-gaap:ShareBasedPaym</w:t>
      </w:r>
      <w:r>
        <w:rPr>
          <w:rFonts w:eastAsia="Times New Roman"/>
          <w:vanish/>
        </w:rPr>
        <w:t>entArrangementEmployeeMember2018-12-310001583107tbph:EmployeePerformanceRestrictedStockUnitsRSUMember2016-03-310001583107tbph:EmployeePerformanceRestrictedStockMember2016-03-310001583107tbph:EmployeePerformanceRestrictedStockUnitsRSUMember2019-06-300001583</w:t>
      </w:r>
      <w:r>
        <w:rPr>
          <w:rFonts w:eastAsia="Times New Roman"/>
          <w:vanish/>
        </w:rPr>
        <w:t>107tbph:EmployeePerformanceRestrictedStockMember2019-06-300001583107tbph:EmployeePerformanceRestrictedStockUnitsRSUMember2018-06-300001583107tbph:EmployeePerformanceRestrictedStockMember2018-06-300001583107tbph:EmployeePerformanceRestrictedStockMember2016-</w:t>
      </w:r>
      <w:r>
        <w:rPr>
          <w:rFonts w:eastAsia="Times New Roman"/>
          <w:vanish/>
        </w:rPr>
        <w:t>01-012016-03-310001583107tbph:TheravanceRespiratoryCompanyLlcMember2019-04-012019-06-300001583107tbph:TheravanceRespiratoryCompanyLlcMember2019-01-012019-06-300001583107tbph:TheravanceRespiratoryCompanyLlcMember2018-04-012018-06-300001583107tbph:Theravance</w:t>
      </w:r>
      <w:r>
        <w:rPr>
          <w:rFonts w:eastAsia="Times New Roman"/>
          <w:vanish/>
        </w:rPr>
        <w:t>RespiratoryCompanyLlcMember2018-01-012018-06-300001583107tbph:MylanMember2015-12-310001583107us-gaap:LicenseMember2019-04-012019-06-300001583107tbph:OthersMember2019-04-012019-06-300001583107tbph:CollaborativeArrangementRevenueMember2019-04-012019-06-30000</w:t>
      </w:r>
      <w:r>
        <w:rPr>
          <w:rFonts w:eastAsia="Times New Roman"/>
          <w:vanish/>
        </w:rPr>
        <w:t>1583107tbph:AlfasigmaMember2019-04-012019-06-300001583107us-gaap:LicenseMember2019-01-012019-06-300001583107tbph:OthersMember2019-01-012019-06-300001583107tbph:CollaborativeArrangementRevenueMember2019-01-012019-06-300001583107tbph:AlfasigmaMember2019-01-0</w:t>
      </w:r>
      <w:r>
        <w:rPr>
          <w:rFonts w:eastAsia="Times New Roman"/>
          <w:vanish/>
        </w:rPr>
        <w:t>12019-06-300001583107us-gaap:ProductMember2018-04-012018-06-300001583107tbph:OthersMember2018-04-012018-06-300001583107tbph:CollaborativeArrangementRevenueMember2018-04-012018-06-300001583107tbph:AlfasigmaMember2018-04-012018-06-300001583107us-gaap:Product</w:t>
      </w:r>
      <w:r>
        <w:rPr>
          <w:rFonts w:eastAsia="Times New Roman"/>
          <w:vanish/>
        </w:rPr>
        <w:t>Member2018-01-012018-06-300001583107tbph:OthersMember2018-01-012018-06-300001583107tbph:CollaborativeArrangementRevenueMember2018-01-012018-06-300001583107tbph:AlfasigmaMember2018-01-012018-06-300001583107tbph:MylanMembertbph:Milestone50PercentEnrollmentIn</w:t>
      </w:r>
      <w:r>
        <w:rPr>
          <w:rFonts w:eastAsia="Times New Roman"/>
          <w:vanish/>
        </w:rPr>
        <w:t>Phase3Member2016-01-012016-12-3100015831072019-01-012019-01-310001583107tbph:JanssenBiotechIncMember2018-04-012018-06-300001583107tbph:JanssenBiotechIncMember2018-01-012018-06-300001583107us-gaap:SeniorNotesMember2019-01-012019-06-300001583107tbph:NonRecou</w:t>
      </w:r>
      <w:r>
        <w:rPr>
          <w:rFonts w:eastAsia="Times New Roman"/>
          <w:vanish/>
        </w:rPr>
        <w:t>rseDebt2033Member2018-11-012018-11-300001583107us-gaap:AccumulatedOtherComprehensiveIncomeMember2019-04-012019-06-300001583107us-gaap:AccumulatedOtherComprehensiveIncomeMember2019-01-012019-06-300001583107us-gaap:AccumulatedOtherComprehensiveIncomeMember20</w:t>
      </w:r>
      <w:r>
        <w:rPr>
          <w:rFonts w:eastAsia="Times New Roman"/>
          <w:vanish/>
        </w:rPr>
        <w:t>18-04-012018-06-300001583107us-gaap:AccumulatedOtherComprehensiveIncomeMember2018-01-012018-06-300001583107us-gaap:RetainedEarningsMember2019-04-012019-06-300001583107us-gaap:RetainedEarningsMember2019-01-012019-06-300001583107us-gaap:RetainedEarningsMembe</w:t>
      </w:r>
      <w:r>
        <w:rPr>
          <w:rFonts w:eastAsia="Times New Roman"/>
          <w:vanish/>
        </w:rPr>
        <w:t>r2018-04-012018-06-300001583107country:IE2019-01-012019-06-300001583107tbph:TheravanceRespiratoryCompanyLlcMember2018-12-310001583107tbph:TheravanceRespiratoryCompanyLlcMember2019-06-300001583107tbph:TheravanceRespiratoryCompanyLlcMember2019-05-31000158310</w:t>
      </w:r>
      <w:r>
        <w:rPr>
          <w:rFonts w:eastAsia="Times New Roman"/>
          <w:vanish/>
        </w:rPr>
        <w:t>7srt:MaximumMemberus-gaap:ScenarioPlanMemberus-gaap:RestrictedStockUnitsRSUMemberus-gaap:ShareBasedPaymentArrangementEmployeeMember2018-12-310001583107srt:RestatementAdjustmentMemberus-gaap:AccountingStandardsUpdate201602Member2019-06-300001583107tbph:Ther</w:t>
      </w:r>
      <w:r>
        <w:rPr>
          <w:rFonts w:eastAsia="Times New Roman"/>
          <w:vanish/>
        </w:rPr>
        <w:t>avanceBiopharmaRAndDIncMembertbph:NonRecourseDebt2033Member2018-11-300001583107tbph:NonRecourseDebt2033Member2018-11-300001583107us-gaap:RetainedEarningsMember2018-01-012018-06-300001583107us-gaap:FairValueInputsLevel2Membertbph:NonRecourseDebt2033Member20</w:t>
      </w:r>
      <w:r>
        <w:rPr>
          <w:rFonts w:eastAsia="Times New Roman"/>
          <w:vanish/>
        </w:rPr>
        <w:t>19-06-300001583107us-gaap:SeniorNotesMember2019-06-300001583107tbph:NonRecourseDebt2033Member2019-06-300001583107tbph:MylanMember2019-06-300001583107tbph:JanssenBiotechIncMember2019-06-300001583107us-gaap:CommonStockMember2019-06-300001583107us-gaap:Common</w:t>
      </w:r>
      <w:r>
        <w:rPr>
          <w:rFonts w:eastAsia="Times New Roman"/>
          <w:vanish/>
        </w:rPr>
        <w:t>StockMember2019-03-310001583107us-gaap:CommonStockMember2018-12-310001583107us-gaap:CommonStockMember2018-06-300001583107us-gaap:CommonStockMember2018-03-310001583107us-gaap:CommonStockMember2017-12-3100015831072017-12-3100015831072018-06-300001583107tbph:</w:t>
      </w:r>
      <w:r>
        <w:rPr>
          <w:rFonts w:eastAsia="Times New Roman"/>
          <w:vanish/>
        </w:rPr>
        <w:t>MylanMembertbph:YupelriMonotherapyMembertbph:SalesMilestonesMember2019-06-300001583107tbph:MylanMembertbph:FuturePotentialCombinationProductsMembertbph:DevelopmentAndSalesMilestonesMember2019-06-300001583107tbph:MylanMembertbph:YupelriMonotherapyMember2019</w:t>
      </w:r>
      <w:r>
        <w:rPr>
          <w:rFonts w:eastAsia="Times New Roman"/>
          <w:vanish/>
        </w:rPr>
        <w:t>-06-300001583107tbph:MylanMembertbph:FuturePotentialCombinationProductsMember2019-06-300001583107tbph:MylanMembertbph:YupelriMonotherapyMembertbph:SalesMilestonesMember2015-01-310001583107tbph:MylanMembertbph:YupelriMonotherapyMembertbph:EuropeanUnionRegul</w:t>
      </w:r>
      <w:r>
        <w:rPr>
          <w:rFonts w:eastAsia="Times New Roman"/>
          <w:vanish/>
        </w:rPr>
        <w:t>atoryIssuesMember2015-01-310001583107tbph:MylanMembertbph:YupelriMonotherapyMember2015-01-310001583107tbph:MylanMembertbph:FuturePotentialCombinationProductsMember2015-01-310001583107tbph:MylanMember2015-01-310001583107us-gaap:FairValueInputsLevel1Memberus</w:t>
      </w:r>
      <w:r>
        <w:rPr>
          <w:rFonts w:eastAsia="Times New Roman"/>
          <w:vanish/>
        </w:rPr>
        <w:t>-gaap:MoneyMarketFundsMember2019-06-300001583107us-gaap:FairValueInputsLevel2Memberus-gaap:CommercialPaperMember2018-12-310001583107us-gaap:FairValueInputsLevel1Memberus-gaap:MoneyMarketFundsMember2018-12-310001583107us-gaap:FairValueInputsLevel1Memberus-g</w:t>
      </w:r>
      <w:r>
        <w:rPr>
          <w:rFonts w:eastAsia="Times New Roman"/>
          <w:vanish/>
        </w:rPr>
        <w:t>aap:USTreasuryAndGovernmentMember2018-12-310001583107us-gaap:FairValueInputsLevel2Memberus-gaap:USGovernmentAgenciesDebtSecuritiesMember2019-06-300001583107us-gaap:FairValueInputsLevel2Memberus-gaap:CorporateNoteSecuritiesMember2019-06-300001583107us-gaap:</w:t>
      </w:r>
      <w:r>
        <w:rPr>
          <w:rFonts w:eastAsia="Times New Roman"/>
          <w:vanish/>
        </w:rPr>
        <w:t>FairValueInputsLevel2Memberus-gaap:CommercialPaperMember2019-06-300001583107us-gaap:FairValueInputsLevel1Memberus-gaap:USTreasuryAndGovernmentMember2019-06-300001583107tbph:MarketableSecuritiesMember2019-06-300001583107us-gaap:FairValueInputsLevel2Memberus</w:t>
      </w:r>
      <w:r>
        <w:rPr>
          <w:rFonts w:eastAsia="Times New Roman"/>
          <w:vanish/>
        </w:rPr>
        <w:t>-gaap:USGovernmentAgenciesDebtSecuritiesMember2018-12-310001583107us-gaap:FairValueInputsLevel2Memberus-gaap:CorporateNoteSecuritiesMember2018-12-310001583107tbph:MarketableSecuritiesMember2018-12-310001583107us-gaap:StockCompensationPlanMember2019-04-0120</w:t>
      </w:r>
      <w:r>
        <w:rPr>
          <w:rFonts w:eastAsia="Times New Roman"/>
          <w:vanish/>
        </w:rPr>
        <w:t>19-06-300001583107us-gaap:ConvertibleSubordinatedDebtMember2019-04-012019-06-300001583107us-gaap:StockCompensationPlanMember2019-01-012019-06-300001583107us-gaap:PerformanceSharesMember2019-01-012019-06-300001583107us-gaap:ConvertibleSubordinatedDebtMember</w:t>
      </w:r>
      <w:r>
        <w:rPr>
          <w:rFonts w:eastAsia="Times New Roman"/>
          <w:vanish/>
        </w:rPr>
        <w:t>2019-01-012019-06-300001583107us-gaap:StockCompensationPlanMember2018-04-012018-06-300001583107us-gaap:RestrictedStockMember2018-04-012018-06-300001583107us-gaap:ConvertibleSubordinatedDebtMember2018-04-012018-06-300001583107us-gaap:StockCompensationPlanMe</w:t>
      </w:r>
      <w:r>
        <w:rPr>
          <w:rFonts w:eastAsia="Times New Roman"/>
          <w:vanish/>
        </w:rPr>
        <w:t>mber2018-01-012018-06-300001583107us-gaap:RestrictedStockMember2018-01-012018-06-300001583107us-gaap:PerformanceSharesMember2018-01-012018-06-300001583107us-gaap:ConvertibleSubordinatedDebtMember2018-01-012018-06-300001583107us-gaap:ShareBasedCompensationA</w:t>
      </w:r>
      <w:r>
        <w:rPr>
          <w:rFonts w:eastAsia="Times New Roman"/>
          <w:vanish/>
        </w:rPr>
        <w:t>wardTrancheTwoMember2019-04-012019-06-300001583107us-gaap:SellingGeneralAndAdministrativeExpensesMember2019-04-012019-06-300001583107us-gaap:ResearchAndDevelopmentExpenseMember2019-04-012019-06-300001583107us-gaap:ScenarioPlanMemberus-gaap:SellingGeneralAn</w:t>
      </w:r>
      <w:r>
        <w:rPr>
          <w:rFonts w:eastAsia="Times New Roman"/>
          <w:vanish/>
        </w:rPr>
        <w:t>dAdministrativeExpensesMemberus-gaap:ShareBasedCompensationAwardTrancheTwoMember2019-01-012019-06-300001583107us-gaap:ScenarioPlanMemberus-gaap:SellingGeneralAndAdministrativeExpensesMemberus-gaap:ShareBasedCompensationAwardTrancheThreeMember2019-01-012019</w:t>
      </w:r>
      <w:r>
        <w:rPr>
          <w:rFonts w:eastAsia="Times New Roman"/>
          <w:vanish/>
        </w:rPr>
        <w:t>-06-300001583107us-gaap:ScenarioPlanMemberus-gaap:ResearchAndDevelopmentExpenseMemberus-gaap:ShareBasedCompensationAwardTrancheTwoMember2019-01-012019-06-300001583107us-gaap:ScenarioPlanMemberus-gaap:ResearchAndDevelopmentExpenseMemberus-gaap:ShareBasedCom</w:t>
      </w:r>
      <w:r>
        <w:rPr>
          <w:rFonts w:eastAsia="Times New Roman"/>
          <w:vanish/>
        </w:rPr>
        <w:t>pensationAwardTrancheThreeMember2019-01-012019-06-300001583107us-gaap:ScenarioPlanMembertbph:ShareBasedCompensationCashBonusAwardMembertbph:ShareBasedCompensationAwardPerformanceMilestoneTwoMember2019-01-012019-06-300001583107us-gaap:ScenarioPlanMembertbph</w:t>
      </w:r>
      <w:r>
        <w:rPr>
          <w:rFonts w:eastAsia="Times New Roman"/>
          <w:vanish/>
        </w:rPr>
        <w:t>:ShareBasedCompensationCashBonusAwardMembertbph:ShareBasedCompensationAwardPerformanceMilestoneSecondAndThirdMember2019-01-012019-06-300001583107us-gaap:ScenarioPlanMembertbph:ShareBasedCompensationCashBonusAwardMembertbph:ShareBasedCompensationAwardPerfor</w:t>
      </w:r>
      <w:r>
        <w:rPr>
          <w:rFonts w:eastAsia="Times New Roman"/>
          <w:vanish/>
        </w:rPr>
        <w:t>manceMilestoneOneMember2019-01-012019-06-300001583107us-gaap:ScenarioPlanMembertbph:EmployeePerformanceRestrictedStockUnitsRSUMembertbph:ShareBasedCompensationAwardPerformanceMilestoneSecondAndThirdMember2019-01-012019-06-300001583107us-gaap:ScenarioPlanMe</w:t>
      </w:r>
      <w:r>
        <w:rPr>
          <w:rFonts w:eastAsia="Times New Roman"/>
          <w:vanish/>
        </w:rPr>
        <w:t>mberus-gaap:ShareBasedCompensationAwardTrancheTwoMember2019-01-012019-06-300001583107us-gaap:ScenarioPlanMemberus-gaap:ShareBasedCompensationAwardTrancheThreeMember2019-01-012019-06-300001583107us-gaap:ScenarioPlanMembertbph:EmployeePerformanceRestrictedSt</w:t>
      </w:r>
      <w:r>
        <w:rPr>
          <w:rFonts w:eastAsia="Times New Roman"/>
          <w:vanish/>
        </w:rPr>
        <w:t>ockUnitsRSUMember2019-01-012019-06-300001583107tbph:EmployeePerformanceRestrictedStockUnitsRsuAndCashBonusMilestonesMembertbph:ShareBasedCompensationAwardPerformanceMilestoneSecondAndThirdMember2019-01-012019-06-300001583107us-gaap:ShareBasedCompensationAw</w:t>
      </w:r>
      <w:r>
        <w:rPr>
          <w:rFonts w:eastAsia="Times New Roman"/>
          <w:vanish/>
        </w:rPr>
        <w:t>ardTrancheTwoMember2019-01-012019-06-300001583107us-gaap:ShareBasedCompensationAwardTrancheThreeMember2019-01-012019-06-300001583107us-gaap:SellingGeneralAndAdministrativeExpensesMember2019-01-012019-06-300001583107us-gaap:ResearchAndDevelopmentExpenseMemb</w:t>
      </w:r>
      <w:r>
        <w:rPr>
          <w:rFonts w:eastAsia="Times New Roman"/>
          <w:vanish/>
        </w:rPr>
        <w:t>er2019-01-012019-06-300001583107us-gaap:ShareBasedCompensationAwardTrancheTwoMember2018-04-012018-06-300001583107us-gaap:ShareBasedCompensationAwardTrancheOneMember2018-04-012018-06-300001583107us-gaap:SellingGeneralAndAdministrativeExpensesMember2018-04-0</w:t>
      </w:r>
      <w:r>
        <w:rPr>
          <w:rFonts w:eastAsia="Times New Roman"/>
          <w:vanish/>
        </w:rPr>
        <w:t>12018-06-300001583107us-gaap:ResearchAndDevelopmentExpenseMember2018-04-012018-06-300001583107us-gaap:ShareBasedCompensationAwardTrancheTwoMember2018-01-012018-06-300001583107us-gaap:ShareBasedCompensationAwardTrancheOneMember2018-01-012018-06-300001583107</w:t>
      </w:r>
      <w:r>
        <w:rPr>
          <w:rFonts w:eastAsia="Times New Roman"/>
          <w:vanish/>
        </w:rPr>
        <w:t>us-gaap:SellingGeneralAndAdministrativeExpensesMember2018-01-012018-06-300001583107us-gaap:ResearchAndDevelopmentExpenseMember2018-01-012018-06-300001583107us-gaap:AdditionalPaidInCapitalMember2019-04-012019-06-300001583107us-gaap:AdditionalPaidInCapitalMe</w:t>
      </w:r>
      <w:r>
        <w:rPr>
          <w:rFonts w:eastAsia="Times New Roman"/>
          <w:vanish/>
        </w:rPr>
        <w:t>mber2019-01-012019-06-300001583107us-gaap:AdditionalPaidInCapitalMember2018-04-012018-06-300001583107us-gaap:AdditionalPaidInCapitalMember2018-01-012018-06-300001583107tbph:MylanMembertbph:OrdinarySharePurchaseAgreementMember2015-01-302015-01-300001583107t</w:t>
      </w:r>
      <w:r>
        <w:rPr>
          <w:rFonts w:eastAsia="Times New Roman"/>
          <w:vanish/>
        </w:rPr>
        <w:t>bph:MylanMembertbph:OrdinarySharePurchaseAgreementMember2015-01-012015-12-3100015831072018-02-012018-02-280001583107tbph:MylanMembertbph:Milestone50PercentEnrollmentInPhase3Membertbph:DevelopmentAndCommercializationAgreementMember2015-01-012015-12-31000158</w:t>
      </w:r>
      <w:r>
        <w:rPr>
          <w:rFonts w:eastAsia="Times New Roman"/>
          <w:vanish/>
        </w:rPr>
        <w:t>3107tbph:MylanMembertbph:FuturePotentialCombinationProductsMember2015-01-012015-12-310001583107tbph:MylanMember2015-01-012015-12-310001583107tbph:MylanMember2019-04-012019-06-300001583107tbph:JanssenBiotechIncMember2019-04-012019-06-3000015831072019-04-012</w:t>
      </w:r>
      <w:r>
        <w:rPr>
          <w:rFonts w:eastAsia="Times New Roman"/>
          <w:vanish/>
        </w:rPr>
        <w:t>019-06-300001583107tbph:JanssenBiotechIncMember2019-01-012019-06-300001583107tbph:MylanMember2018-04-012018-06-300001583107tbph:MylanMember2018-01-012018-06-300001583107tbph:MylanMember2019-01-012019-06-300001583107tbph:JanssenBiotechIncMember2018-02-01201</w:t>
      </w:r>
      <w:r>
        <w:rPr>
          <w:rFonts w:eastAsia="Times New Roman"/>
          <w:vanish/>
        </w:rPr>
        <w:t>8-02-280001583107country:IE2019-06-300001583107us-gaap:OperatingExpenseMember2018-04-012018-06-300001583107us-gaap:OperatingExpenseMember2018-01-012018-06-3000015831072018-04-012018-06-3000015831072018-01-012018-06-3000015831072017-10-012017-12-31000158310</w:t>
      </w:r>
      <w:r>
        <w:rPr>
          <w:rFonts w:eastAsia="Times New Roman"/>
          <w:vanish/>
        </w:rPr>
        <w:t>72019-06-3000015831072018-12-3100015831072019-07-2600015831072019-01-012019-06-30xbrli:sharesiso4217:USDutr:sqfttbph:Optiontbph:Milestonetbph:tranchexbrli:pureiso4217:USDxbrli:sharestbph:individual</w:t>
      </w:r>
    </w:p>
    <w:p w:rsidR="00000000" w:rsidRDefault="008B747E">
      <w:pPr>
        <w:pStyle w:val="a3"/>
        <w:spacing w:before="0" w:beforeAutospacing="0" w:after="120" w:afterAutospacing="0"/>
        <w:divId w:val="1036614569"/>
        <w:rPr>
          <w:sz w:val="20"/>
          <w:szCs w:val="20"/>
        </w:rPr>
      </w:pPr>
      <w:hyperlink w:anchor="TOC" w:history="1">
        <w:r>
          <w:rPr>
            <w:rStyle w:val="a4"/>
            <w:sz w:val="20"/>
            <w:szCs w:val="20"/>
          </w:rPr>
          <w:t>Table of Contents</w:t>
        </w:r>
      </w:hyperlink>
    </w:p>
    <w:p w:rsidR="00000000" w:rsidRDefault="008B747E">
      <w:pPr>
        <w:pStyle w:val="a3"/>
        <w:pBdr>
          <w:top w:val="single" w:sz="24" w:space="1" w:color="000000"/>
          <w:bottom w:val="single" w:sz="8" w:space="1" w:color="000000"/>
        </w:pBdr>
        <w:spacing w:before="0" w:beforeAutospacing="0" w:after="0" w:afterAutospacing="0"/>
        <w:divId w:val="684094127"/>
        <w:rPr>
          <w:sz w:val="20"/>
          <w:szCs w:val="20"/>
        </w:rPr>
      </w:pPr>
      <w:r>
        <w:rPr>
          <w:sz w:val="2"/>
          <w:szCs w:val="2"/>
        </w:rPr>
        <w:t>​</w:t>
      </w:r>
    </w:p>
    <w:p w:rsidR="00000000" w:rsidRDefault="008B747E">
      <w:pPr>
        <w:pStyle w:val="a3"/>
        <w:spacing w:before="0" w:beforeAutospacing="0" w:after="0" w:afterAutospacing="0"/>
        <w:divId w:val="684094127"/>
        <w:rPr>
          <w:sz w:val="20"/>
          <w:szCs w:val="20"/>
        </w:rPr>
      </w:pPr>
      <w:r>
        <w:rPr>
          <w:sz w:val="10"/>
          <w:szCs w:val="10"/>
        </w:rPr>
        <w:t>​</w:t>
      </w:r>
    </w:p>
    <w:p w:rsidR="00000000" w:rsidRDefault="008B747E">
      <w:pPr>
        <w:pStyle w:val="a3"/>
        <w:spacing w:before="0" w:beforeAutospacing="0" w:after="0" w:afterAutospacing="0"/>
        <w:jc w:val="center"/>
        <w:divId w:val="684094127"/>
        <w:rPr>
          <w:sz w:val="20"/>
          <w:szCs w:val="20"/>
        </w:rPr>
      </w:pPr>
      <w:r>
        <w:rPr>
          <w:b/>
          <w:bCs/>
          <w:sz w:val="34"/>
          <w:szCs w:val="34"/>
        </w:rPr>
        <w:t>UNITED STA</w:t>
      </w:r>
      <w:r>
        <w:rPr>
          <w:b/>
          <w:bCs/>
          <w:sz w:val="34"/>
          <w:szCs w:val="34"/>
        </w:rPr>
        <w:t>TES</w:t>
      </w:r>
    </w:p>
    <w:p w:rsidR="00000000" w:rsidRDefault="008B747E">
      <w:pPr>
        <w:pStyle w:val="a3"/>
        <w:spacing w:before="0" w:beforeAutospacing="0" w:after="0" w:afterAutospacing="0"/>
        <w:jc w:val="center"/>
        <w:divId w:val="684094127"/>
        <w:rPr>
          <w:sz w:val="20"/>
          <w:szCs w:val="20"/>
        </w:rPr>
      </w:pPr>
      <w:r>
        <w:rPr>
          <w:b/>
          <w:bCs/>
          <w:sz w:val="34"/>
          <w:szCs w:val="34"/>
        </w:rPr>
        <w:t>SECURITIES AND EXCHANGE COMMISSION</w:t>
      </w:r>
    </w:p>
    <w:p w:rsidR="00000000" w:rsidRDefault="008B747E">
      <w:pPr>
        <w:pStyle w:val="a3"/>
        <w:spacing w:before="0" w:beforeAutospacing="0" w:after="0" w:afterAutospacing="0"/>
        <w:jc w:val="center"/>
        <w:divId w:val="684094127"/>
        <w:rPr>
          <w:sz w:val="18"/>
          <w:szCs w:val="18"/>
        </w:rPr>
      </w:pPr>
      <w:r>
        <w:rPr>
          <w:b/>
          <w:bCs/>
          <w:sz w:val="18"/>
          <w:szCs w:val="18"/>
        </w:rPr>
        <w:t>Washington, D.C. 20549</w:t>
      </w:r>
    </w:p>
    <w:p w:rsidR="00000000" w:rsidRDefault="008B747E">
      <w:pPr>
        <w:pStyle w:val="a3"/>
        <w:spacing w:before="0" w:beforeAutospacing="0" w:after="0" w:afterAutospacing="0"/>
        <w:jc w:val="center"/>
        <w:divId w:val="684094127"/>
        <w:rPr>
          <w:sz w:val="20"/>
          <w:szCs w:val="20"/>
        </w:rPr>
      </w:pPr>
      <w:r>
        <w:rPr>
          <w:b/>
          <w:bCs/>
          <w:sz w:val="10"/>
          <w:szCs w:val="10"/>
        </w:rPr>
        <w:t>​</w:t>
      </w:r>
    </w:p>
    <w:p w:rsidR="00000000" w:rsidRDefault="008B747E">
      <w:pPr>
        <w:pStyle w:val="a3"/>
        <w:spacing w:before="0" w:beforeAutospacing="0" w:after="0" w:afterAutospacing="0"/>
        <w:jc w:val="center"/>
        <w:divId w:val="684094127"/>
        <w:rPr>
          <w:sz w:val="20"/>
          <w:szCs w:val="20"/>
        </w:rPr>
      </w:pPr>
      <w:r>
        <w:rPr>
          <w:b/>
          <w:bCs/>
          <w:sz w:val="34"/>
          <w:szCs w:val="34"/>
        </w:rPr>
        <w:t>Form 10-Q</w:t>
      </w:r>
    </w:p>
    <w:p w:rsidR="00000000" w:rsidRDefault="008B747E">
      <w:pPr>
        <w:pStyle w:val="a3"/>
        <w:spacing w:before="0" w:beforeAutospacing="0" w:after="0" w:afterAutospacing="0"/>
        <w:divId w:val="684094127"/>
        <w:rPr>
          <w:sz w:val="20"/>
          <w:szCs w:val="20"/>
        </w:rPr>
      </w:pPr>
      <w:r>
        <w:rPr>
          <w:b/>
          <w:bCs/>
          <w:sz w:val="10"/>
          <w:szCs w:val="10"/>
        </w:rPr>
        <w:t>​</w:t>
      </w:r>
    </w:p>
    <w:p w:rsidR="00000000" w:rsidRDefault="008B747E">
      <w:pPr>
        <w:pStyle w:val="a3"/>
        <w:spacing w:before="0" w:beforeAutospacing="0" w:after="0" w:afterAutospacing="0"/>
        <w:divId w:val="684094127"/>
        <w:rPr>
          <w:sz w:val="18"/>
          <w:szCs w:val="18"/>
        </w:rPr>
      </w:pPr>
      <w:r>
        <w:rPr>
          <w:b/>
          <w:bCs/>
          <w:sz w:val="18"/>
          <w:szCs w:val="18"/>
        </w:rPr>
        <w:t>(Mark One)</w:t>
      </w:r>
    </w:p>
    <w:p w:rsidR="00000000" w:rsidRDefault="008B747E">
      <w:pPr>
        <w:pStyle w:val="a3"/>
        <w:spacing w:before="0" w:beforeAutospacing="0" w:after="0" w:afterAutospacing="0"/>
        <w:ind w:left="360" w:hanging="360"/>
        <w:divId w:val="684094127"/>
        <w:rPr>
          <w:sz w:val="20"/>
          <w:szCs w:val="20"/>
        </w:rPr>
      </w:pPr>
      <w:r>
        <w:rPr>
          <w:b/>
          <w:bCs/>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3"/>
        <w:gridCol w:w="7573"/>
      </w:tblGrid>
      <w:tr w:rsidR="00000000">
        <w:trPr>
          <w:divId w:val="684094127"/>
        </w:trPr>
        <w:tc>
          <w:tcPr>
            <w:tcW w:w="360" w:type="dxa"/>
            <w:tcMar>
              <w:top w:w="0" w:type="dxa"/>
              <w:left w:w="0" w:type="dxa"/>
              <w:bottom w:w="0" w:type="dxa"/>
              <w:right w:w="0" w:type="dxa"/>
            </w:tcMar>
            <w:vAlign w:val="center"/>
            <w:hideMark/>
          </w:tcPr>
          <w:p w:rsidR="00000000" w:rsidRDefault="008B747E">
            <w:pPr>
              <w:rPr>
                <w:sz w:val="20"/>
                <w:szCs w:val="20"/>
              </w:rPr>
            </w:pPr>
          </w:p>
        </w:tc>
        <w:tc>
          <w:tcPr>
            <w:tcW w:w="357" w:type="dxa"/>
            <w:noWrap/>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rFonts w:ascii="Segoe UI Symbol" w:hAnsi="Segoe UI Symbol"/>
                <w:b/>
                <w:bCs/>
                <w:sz w:val="18"/>
                <w:szCs w:val="18"/>
              </w:rPr>
              <w:t>☒</w:t>
            </w:r>
          </w:p>
        </w:tc>
        <w:tc>
          <w:tcPr>
            <w:tcW w:w="0" w:type="auto"/>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b/>
                <w:bCs/>
                <w:sz w:val="18"/>
                <w:szCs w:val="18"/>
              </w:rPr>
              <w:t>QUARTERLY REPORT PURSUANT TO SECTION 13 OR 15(d) OF THE SECURITIES EXCHANGE ACT OF 1934</w:t>
            </w:r>
          </w:p>
        </w:tc>
      </w:tr>
    </w:tbl>
    <w:p w:rsidR="00000000" w:rsidRDefault="008B747E">
      <w:pPr>
        <w:pStyle w:val="a3"/>
        <w:spacing w:before="0" w:beforeAutospacing="0" w:after="0" w:afterAutospacing="0"/>
        <w:jc w:val="center"/>
        <w:divId w:val="684094127"/>
        <w:rPr>
          <w:sz w:val="20"/>
          <w:szCs w:val="20"/>
        </w:rPr>
      </w:pPr>
      <w:r>
        <w:rPr>
          <w:sz w:val="10"/>
          <w:szCs w:val="10"/>
        </w:rPr>
        <w:t>​</w:t>
      </w:r>
    </w:p>
    <w:p w:rsidR="00000000" w:rsidRDefault="008B747E">
      <w:pPr>
        <w:pStyle w:val="a3"/>
        <w:spacing w:before="0" w:beforeAutospacing="0" w:after="0" w:afterAutospacing="0"/>
        <w:jc w:val="center"/>
        <w:divId w:val="684094127"/>
        <w:rPr>
          <w:sz w:val="18"/>
          <w:szCs w:val="18"/>
        </w:rPr>
      </w:pPr>
      <w:r>
        <w:rPr>
          <w:b/>
          <w:bCs/>
          <w:sz w:val="18"/>
          <w:szCs w:val="18"/>
        </w:rPr>
        <w:t>For the quarterly period ended June 30, 2019</w:t>
      </w:r>
    </w:p>
    <w:p w:rsidR="00000000" w:rsidRDefault="008B747E">
      <w:pPr>
        <w:pStyle w:val="a3"/>
        <w:spacing w:before="0" w:beforeAutospacing="0" w:after="0" w:afterAutospacing="0"/>
        <w:jc w:val="center"/>
        <w:divId w:val="684094127"/>
        <w:rPr>
          <w:sz w:val="20"/>
          <w:szCs w:val="20"/>
        </w:rPr>
      </w:pPr>
      <w:r>
        <w:rPr>
          <w:sz w:val="10"/>
          <w:szCs w:val="10"/>
        </w:rPr>
        <w:t>​</w:t>
      </w:r>
    </w:p>
    <w:p w:rsidR="00000000" w:rsidRDefault="008B747E">
      <w:pPr>
        <w:pStyle w:val="a3"/>
        <w:spacing w:before="0" w:beforeAutospacing="0" w:after="0" w:afterAutospacing="0"/>
        <w:jc w:val="center"/>
        <w:divId w:val="684094127"/>
        <w:rPr>
          <w:sz w:val="18"/>
          <w:szCs w:val="18"/>
        </w:rPr>
      </w:pPr>
      <w:r>
        <w:rPr>
          <w:b/>
          <w:bCs/>
          <w:sz w:val="18"/>
          <w:szCs w:val="18"/>
        </w:rPr>
        <w:t>OR</w:t>
      </w:r>
    </w:p>
    <w:p w:rsidR="00000000" w:rsidRDefault="008B747E">
      <w:pPr>
        <w:pStyle w:val="a3"/>
        <w:spacing w:before="0" w:beforeAutospacing="0" w:after="0" w:afterAutospacing="0"/>
        <w:jc w:val="center"/>
        <w:divId w:val="684094127"/>
        <w:rPr>
          <w:sz w:val="20"/>
          <w:szCs w:val="20"/>
        </w:rPr>
      </w:pPr>
      <w:r>
        <w:rPr>
          <w:sz w:val="10"/>
          <w:szCs w:val="10"/>
        </w:rPr>
        <w:t>​</w:t>
      </w:r>
    </w:p>
    <w:tbl>
      <w:tblPr>
        <w:tblW w:w="0" w:type="auto"/>
        <w:tblCellMar>
          <w:top w:w="15" w:type="dxa"/>
          <w:left w:w="15" w:type="dxa"/>
          <w:bottom w:w="15" w:type="dxa"/>
          <w:right w:w="15" w:type="dxa"/>
        </w:tblCellMar>
        <w:tblLook w:val="04A0" w:firstRow="1" w:lastRow="0" w:firstColumn="1" w:lastColumn="0" w:noHBand="0" w:noVBand="1"/>
      </w:tblPr>
      <w:tblGrid>
        <w:gridCol w:w="360"/>
        <w:gridCol w:w="375"/>
        <w:gridCol w:w="7571"/>
      </w:tblGrid>
      <w:tr w:rsidR="00000000">
        <w:trPr>
          <w:divId w:val="684094127"/>
        </w:trPr>
        <w:tc>
          <w:tcPr>
            <w:tcW w:w="360" w:type="dxa"/>
            <w:tcMar>
              <w:top w:w="0" w:type="dxa"/>
              <w:left w:w="0" w:type="dxa"/>
              <w:bottom w:w="0" w:type="dxa"/>
              <w:right w:w="0" w:type="dxa"/>
            </w:tcMar>
            <w:vAlign w:val="center"/>
            <w:hideMark/>
          </w:tcPr>
          <w:p w:rsidR="00000000" w:rsidRDefault="008B747E">
            <w:pPr>
              <w:rPr>
                <w:sz w:val="20"/>
                <w:szCs w:val="20"/>
              </w:rPr>
            </w:pPr>
          </w:p>
        </w:tc>
        <w:tc>
          <w:tcPr>
            <w:tcW w:w="359" w:type="dxa"/>
            <w:noWrap/>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rFonts w:ascii="Segoe UI Symbol" w:hAnsi="Segoe UI Symbol"/>
                <w:b/>
                <w:bCs/>
                <w:sz w:val="18"/>
                <w:szCs w:val="18"/>
              </w:rPr>
              <w:t>☐</w:t>
            </w:r>
          </w:p>
        </w:tc>
        <w:tc>
          <w:tcPr>
            <w:tcW w:w="0" w:type="auto"/>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b/>
                <w:bCs/>
                <w:sz w:val="18"/>
                <w:szCs w:val="18"/>
              </w:rPr>
              <w:t>TRANSITION REPORT PURSUANT TO SECTION 13 OR 15(d) OF THE SECURITIES EXCHANGE ACT OF 1934</w:t>
            </w:r>
          </w:p>
        </w:tc>
      </w:tr>
    </w:tbl>
    <w:p w:rsidR="00000000" w:rsidRDefault="008B747E">
      <w:pPr>
        <w:pStyle w:val="a3"/>
        <w:spacing w:before="0" w:beforeAutospacing="0" w:after="0" w:afterAutospacing="0"/>
        <w:ind w:hanging="490"/>
        <w:jc w:val="center"/>
        <w:divId w:val="684094127"/>
        <w:rPr>
          <w:sz w:val="20"/>
          <w:szCs w:val="20"/>
        </w:rPr>
      </w:pPr>
      <w:r>
        <w:rPr>
          <w:sz w:val="10"/>
          <w:szCs w:val="10"/>
        </w:rPr>
        <w:t>​</w:t>
      </w:r>
    </w:p>
    <w:p w:rsidR="00000000" w:rsidRDefault="008B747E">
      <w:pPr>
        <w:pStyle w:val="a3"/>
        <w:spacing w:before="0" w:beforeAutospacing="0" w:after="0" w:afterAutospacing="0"/>
        <w:jc w:val="center"/>
        <w:divId w:val="684094127"/>
        <w:rPr>
          <w:sz w:val="18"/>
          <w:szCs w:val="18"/>
        </w:rPr>
      </w:pPr>
      <w:r>
        <w:rPr>
          <w:b/>
          <w:bCs/>
          <w:sz w:val="18"/>
          <w:szCs w:val="18"/>
        </w:rPr>
        <w:t>For the transition period from                  to</w:t>
      </w:r>
    </w:p>
    <w:p w:rsidR="00000000" w:rsidRDefault="008B747E">
      <w:pPr>
        <w:pStyle w:val="a3"/>
        <w:spacing w:before="0" w:beforeAutospacing="0" w:after="0" w:afterAutospacing="0"/>
        <w:jc w:val="center"/>
        <w:divId w:val="684094127"/>
        <w:rPr>
          <w:sz w:val="20"/>
          <w:szCs w:val="20"/>
        </w:rPr>
      </w:pPr>
      <w:r>
        <w:rPr>
          <w:sz w:val="10"/>
          <w:szCs w:val="10"/>
        </w:rPr>
        <w:t>​</w:t>
      </w:r>
    </w:p>
    <w:p w:rsidR="00000000" w:rsidRDefault="008B747E">
      <w:pPr>
        <w:pStyle w:val="a3"/>
        <w:spacing w:before="0" w:beforeAutospacing="0" w:after="0" w:afterAutospacing="0"/>
        <w:jc w:val="center"/>
        <w:divId w:val="684094127"/>
        <w:rPr>
          <w:sz w:val="18"/>
          <w:szCs w:val="18"/>
        </w:rPr>
      </w:pPr>
      <w:r>
        <w:rPr>
          <w:b/>
          <w:bCs/>
          <w:sz w:val="18"/>
          <w:szCs w:val="18"/>
        </w:rPr>
        <w:t>Commission file number: 001-36033</w:t>
      </w:r>
    </w:p>
    <w:p w:rsidR="00000000" w:rsidRDefault="008B747E">
      <w:pPr>
        <w:pStyle w:val="a3"/>
        <w:spacing w:before="0" w:beforeAutospacing="0" w:after="0" w:afterAutospacing="0"/>
        <w:jc w:val="center"/>
        <w:divId w:val="684094127"/>
        <w:rPr>
          <w:sz w:val="20"/>
          <w:szCs w:val="20"/>
        </w:rPr>
      </w:pPr>
      <w:r>
        <w:rPr>
          <w:sz w:val="10"/>
          <w:szCs w:val="10"/>
        </w:rPr>
        <w:t>​</w:t>
      </w:r>
    </w:p>
    <w:p w:rsidR="00000000" w:rsidRDefault="008B747E">
      <w:pPr>
        <w:pStyle w:val="a3"/>
        <w:spacing w:before="0" w:beforeAutospacing="0" w:after="0" w:afterAutospacing="0"/>
        <w:jc w:val="center"/>
        <w:divId w:val="684094127"/>
        <w:rPr>
          <w:sz w:val="20"/>
          <w:szCs w:val="20"/>
        </w:rPr>
      </w:pPr>
      <w:r>
        <w:rPr>
          <w:b/>
          <w:bCs/>
          <w:sz w:val="34"/>
          <w:szCs w:val="34"/>
        </w:rPr>
        <w:t>THERAVANCE BIOPHARMA, INC.</w:t>
      </w:r>
    </w:p>
    <w:p w:rsidR="00000000" w:rsidRDefault="008B747E">
      <w:pPr>
        <w:pStyle w:val="a3"/>
        <w:spacing w:before="0" w:beforeAutospacing="0" w:after="0" w:afterAutospacing="0"/>
        <w:jc w:val="center"/>
        <w:divId w:val="684094127"/>
        <w:rPr>
          <w:sz w:val="18"/>
          <w:szCs w:val="18"/>
        </w:rPr>
      </w:pPr>
      <w:r>
        <w:rPr>
          <w:sz w:val="18"/>
          <w:szCs w:val="18"/>
        </w:rPr>
        <w:t>(Exact Name of Registrant as Specified in its Ch</w:t>
      </w:r>
      <w:r>
        <w:rPr>
          <w:sz w:val="18"/>
          <w:szCs w:val="18"/>
        </w:rPr>
        <w:t>arter)</w:t>
      </w:r>
    </w:p>
    <w:p w:rsidR="00000000" w:rsidRDefault="008B747E">
      <w:pPr>
        <w:pStyle w:val="a3"/>
        <w:spacing w:before="0" w:beforeAutospacing="0" w:after="0" w:afterAutospacing="0"/>
        <w:jc w:val="center"/>
        <w:divId w:val="684094127"/>
        <w:rPr>
          <w:sz w:val="20"/>
          <w:szCs w:val="20"/>
        </w:rPr>
      </w:pPr>
      <w:r>
        <w:rPr>
          <w:sz w:val="10"/>
          <w:szCs w:val="10"/>
        </w:rPr>
        <w:t>​</w:t>
      </w:r>
    </w:p>
    <w:p w:rsidR="00000000" w:rsidRDefault="008B747E">
      <w:pPr>
        <w:pStyle w:val="a3"/>
        <w:spacing w:before="0" w:beforeAutospacing="0" w:after="0" w:afterAutospacing="0"/>
        <w:divId w:val="684094127"/>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063"/>
        <w:gridCol w:w="180"/>
        <w:gridCol w:w="4063"/>
      </w:tblGrid>
      <w:tr w:rsidR="00000000">
        <w:trPr>
          <w:divId w:val="684094127"/>
        </w:trPr>
        <w:tc>
          <w:tcPr>
            <w:tcW w:w="2449"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2"/>
                <w:szCs w:val="2"/>
              </w:rPr>
              <w:t>​</w:t>
            </w:r>
          </w:p>
        </w:tc>
        <w:tc>
          <w:tcPr>
            <w:tcW w:w="100"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
                <w:szCs w:val="2"/>
              </w:rPr>
              <w:t>​</w:t>
            </w:r>
          </w:p>
        </w:tc>
        <w:tc>
          <w:tcPr>
            <w:tcW w:w="2449"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2"/>
                <w:szCs w:val="2"/>
              </w:rPr>
              <w:t>​</w:t>
            </w:r>
          </w:p>
        </w:tc>
      </w:tr>
      <w:tr w:rsidR="00000000">
        <w:trPr>
          <w:divId w:val="684094127"/>
        </w:trPr>
        <w:tc>
          <w:tcPr>
            <w:tcW w:w="2449" w:type="pct"/>
            <w:tcMar>
              <w:top w:w="0" w:type="dxa"/>
              <w:left w:w="0" w:type="dxa"/>
              <w:bottom w:w="0" w:type="dxa"/>
              <w:right w:w="0" w:type="dxa"/>
            </w:tcMar>
            <w:hideMark/>
          </w:tcPr>
          <w:p w:rsidR="00000000" w:rsidRDefault="008B747E">
            <w:pPr>
              <w:pStyle w:val="a3"/>
              <w:spacing w:before="0" w:beforeAutospacing="0" w:after="0" w:afterAutospacing="0"/>
              <w:ind w:hanging="200"/>
              <w:jc w:val="center"/>
              <w:rPr>
                <w:sz w:val="18"/>
                <w:szCs w:val="18"/>
              </w:rPr>
            </w:pPr>
            <w:r>
              <w:rPr>
                <w:b/>
                <w:bCs/>
                <w:sz w:val="18"/>
                <w:szCs w:val="18"/>
              </w:rPr>
              <w:t>Cayman Islands</w:t>
            </w:r>
          </w:p>
        </w:tc>
        <w:tc>
          <w:tcPr>
            <w:tcW w:w="100" w:type="pct"/>
            <w:tcMar>
              <w:top w:w="0" w:type="dxa"/>
              <w:left w:w="0" w:type="dxa"/>
              <w:bottom w:w="0" w:type="dxa"/>
              <w:right w:w="0" w:type="dxa"/>
            </w:tcMar>
            <w:vAlign w:val="bottom"/>
            <w:hideMark/>
          </w:tcPr>
          <w:p w:rsidR="00000000" w:rsidRDefault="008B747E">
            <w:pPr>
              <w:pStyle w:val="a3"/>
              <w:spacing w:before="0" w:beforeAutospacing="0" w:after="0" w:afterAutospacing="0"/>
              <w:rPr>
                <w:sz w:val="18"/>
                <w:szCs w:val="18"/>
              </w:rPr>
            </w:pPr>
            <w:r>
              <w:rPr>
                <w:b/>
                <w:bCs/>
                <w:sz w:val="18"/>
                <w:szCs w:val="18"/>
              </w:rPr>
              <w:t>    </w:t>
            </w:r>
          </w:p>
        </w:tc>
        <w:tc>
          <w:tcPr>
            <w:tcW w:w="2449" w:type="pct"/>
            <w:tcMar>
              <w:top w:w="0" w:type="dxa"/>
              <w:left w:w="0" w:type="dxa"/>
              <w:bottom w:w="0" w:type="dxa"/>
              <w:right w:w="0" w:type="dxa"/>
            </w:tcMar>
            <w:hideMark/>
          </w:tcPr>
          <w:p w:rsidR="00000000" w:rsidRDefault="008B747E">
            <w:pPr>
              <w:pStyle w:val="a3"/>
              <w:spacing w:before="0" w:beforeAutospacing="0" w:after="0" w:afterAutospacing="0"/>
              <w:jc w:val="center"/>
              <w:rPr>
                <w:sz w:val="18"/>
                <w:szCs w:val="18"/>
              </w:rPr>
            </w:pPr>
            <w:r>
              <w:rPr>
                <w:b/>
                <w:bCs/>
                <w:sz w:val="18"/>
                <w:szCs w:val="18"/>
              </w:rPr>
              <w:t>98-1226628</w:t>
            </w:r>
          </w:p>
        </w:tc>
      </w:tr>
      <w:tr w:rsidR="00000000">
        <w:trPr>
          <w:divId w:val="684094127"/>
        </w:trPr>
        <w:tc>
          <w:tcPr>
            <w:tcW w:w="2449" w:type="pct"/>
            <w:tcMar>
              <w:top w:w="0" w:type="dxa"/>
              <w:left w:w="0" w:type="dxa"/>
              <w:bottom w:w="0" w:type="dxa"/>
              <w:right w:w="0" w:type="dxa"/>
            </w:tcMar>
            <w:hideMark/>
          </w:tcPr>
          <w:p w:rsidR="00000000" w:rsidRDefault="008B747E">
            <w:pPr>
              <w:pStyle w:val="a3"/>
              <w:spacing w:before="0" w:beforeAutospacing="0" w:after="0" w:afterAutospacing="0"/>
              <w:ind w:hanging="200"/>
              <w:jc w:val="center"/>
              <w:rPr>
                <w:sz w:val="18"/>
                <w:szCs w:val="18"/>
              </w:rPr>
            </w:pPr>
            <w:r>
              <w:rPr>
                <w:sz w:val="18"/>
                <w:szCs w:val="18"/>
              </w:rPr>
              <w:t>(State or Other Jurisdiction of</w:t>
            </w:r>
          </w:p>
        </w:tc>
        <w:tc>
          <w:tcPr>
            <w:tcW w:w="100"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8B747E">
            <w:pPr>
              <w:pStyle w:val="a3"/>
              <w:spacing w:before="0" w:beforeAutospacing="0" w:after="0" w:afterAutospacing="0"/>
              <w:jc w:val="center"/>
              <w:rPr>
                <w:sz w:val="18"/>
                <w:szCs w:val="18"/>
              </w:rPr>
            </w:pPr>
            <w:r>
              <w:rPr>
                <w:sz w:val="18"/>
                <w:szCs w:val="18"/>
              </w:rPr>
              <w:t>(I.R.S. Employer</w:t>
            </w:r>
          </w:p>
        </w:tc>
      </w:tr>
      <w:tr w:rsidR="00000000">
        <w:trPr>
          <w:divId w:val="684094127"/>
        </w:trPr>
        <w:tc>
          <w:tcPr>
            <w:tcW w:w="2449" w:type="pct"/>
            <w:tcMar>
              <w:top w:w="0" w:type="dxa"/>
              <w:left w:w="0" w:type="dxa"/>
              <w:bottom w:w="0" w:type="dxa"/>
              <w:right w:w="0" w:type="dxa"/>
            </w:tcMar>
            <w:hideMark/>
          </w:tcPr>
          <w:p w:rsidR="00000000" w:rsidRDefault="008B747E">
            <w:pPr>
              <w:pStyle w:val="a3"/>
              <w:spacing w:before="0" w:beforeAutospacing="0" w:after="0" w:afterAutospacing="0"/>
              <w:ind w:hanging="200"/>
              <w:jc w:val="center"/>
              <w:rPr>
                <w:sz w:val="18"/>
                <w:szCs w:val="18"/>
              </w:rPr>
            </w:pPr>
            <w:r>
              <w:rPr>
                <w:sz w:val="18"/>
                <w:szCs w:val="18"/>
              </w:rPr>
              <w:t>Incorporation or Organization)</w:t>
            </w:r>
          </w:p>
        </w:tc>
        <w:tc>
          <w:tcPr>
            <w:tcW w:w="100"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8B747E">
            <w:pPr>
              <w:pStyle w:val="a3"/>
              <w:spacing w:before="0" w:beforeAutospacing="0" w:after="0" w:afterAutospacing="0"/>
              <w:jc w:val="center"/>
              <w:rPr>
                <w:sz w:val="18"/>
                <w:szCs w:val="18"/>
              </w:rPr>
            </w:pPr>
            <w:r>
              <w:rPr>
                <w:sz w:val="18"/>
                <w:szCs w:val="18"/>
              </w:rPr>
              <w:t>Identification No.)</w:t>
            </w:r>
          </w:p>
        </w:tc>
      </w:tr>
      <w:tr w:rsidR="00000000">
        <w:trPr>
          <w:divId w:val="684094127"/>
        </w:trPr>
        <w:tc>
          <w:tcPr>
            <w:tcW w:w="2449" w:type="pct"/>
            <w:tcMar>
              <w:top w:w="0" w:type="dxa"/>
              <w:left w:w="0" w:type="dxa"/>
              <w:bottom w:w="0" w:type="dxa"/>
              <w:right w:w="0" w:type="dxa"/>
            </w:tcMar>
            <w:hideMark/>
          </w:tcPr>
          <w:p w:rsidR="00000000" w:rsidRDefault="008B747E">
            <w:pPr>
              <w:pStyle w:val="a3"/>
              <w:spacing w:before="0" w:beforeAutospacing="0" w:after="0" w:afterAutospacing="0"/>
              <w:ind w:hanging="200"/>
              <w:jc w:val="center"/>
              <w:rPr>
                <w:sz w:val="20"/>
                <w:szCs w:val="20"/>
              </w:rPr>
            </w:pPr>
            <w:r>
              <w:rPr>
                <w:sz w:val="10"/>
                <w:szCs w:val="10"/>
              </w:rPr>
              <w:t>​</w:t>
            </w:r>
          </w:p>
        </w:tc>
        <w:tc>
          <w:tcPr>
            <w:tcW w:w="100"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0"/>
                <w:szCs w:val="10"/>
              </w:rPr>
              <w:t>​</w:t>
            </w:r>
          </w:p>
        </w:tc>
        <w:tc>
          <w:tcPr>
            <w:tcW w:w="2449" w:type="pct"/>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10"/>
                <w:szCs w:val="10"/>
              </w:rPr>
              <w:t>​</w:t>
            </w:r>
          </w:p>
        </w:tc>
      </w:tr>
      <w:tr w:rsidR="00000000">
        <w:trPr>
          <w:divId w:val="684094127"/>
        </w:trPr>
        <w:tc>
          <w:tcPr>
            <w:tcW w:w="2449" w:type="pct"/>
            <w:tcMar>
              <w:top w:w="0" w:type="dxa"/>
              <w:left w:w="0" w:type="dxa"/>
              <w:bottom w:w="0" w:type="dxa"/>
              <w:right w:w="0" w:type="dxa"/>
            </w:tcMar>
            <w:hideMark/>
          </w:tcPr>
          <w:p w:rsidR="00000000" w:rsidRDefault="008B747E">
            <w:pPr>
              <w:pStyle w:val="a3"/>
              <w:spacing w:before="0" w:beforeAutospacing="0" w:after="0" w:afterAutospacing="0"/>
              <w:ind w:hanging="200"/>
              <w:jc w:val="center"/>
              <w:rPr>
                <w:sz w:val="18"/>
                <w:szCs w:val="18"/>
              </w:rPr>
            </w:pPr>
            <w:r>
              <w:rPr>
                <w:b/>
                <w:bCs/>
                <w:sz w:val="18"/>
                <w:szCs w:val="18"/>
              </w:rPr>
              <w:t>PO Box 309</w:t>
            </w:r>
          </w:p>
        </w:tc>
        <w:tc>
          <w:tcPr>
            <w:tcW w:w="100"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18"/>
                <w:szCs w:val="18"/>
              </w:rPr>
              <w:t>​</w:t>
            </w:r>
          </w:p>
        </w:tc>
      </w:tr>
      <w:tr w:rsidR="00000000">
        <w:trPr>
          <w:divId w:val="684094127"/>
        </w:trPr>
        <w:tc>
          <w:tcPr>
            <w:tcW w:w="2449" w:type="pct"/>
            <w:tcMar>
              <w:top w:w="0" w:type="dxa"/>
              <w:left w:w="0" w:type="dxa"/>
              <w:bottom w:w="0" w:type="dxa"/>
              <w:right w:w="0" w:type="dxa"/>
            </w:tcMar>
            <w:hideMark/>
          </w:tcPr>
          <w:p w:rsidR="00000000" w:rsidRDefault="008B747E">
            <w:pPr>
              <w:pStyle w:val="a3"/>
              <w:spacing w:before="0" w:beforeAutospacing="0" w:after="0" w:afterAutospacing="0"/>
              <w:ind w:hanging="200"/>
              <w:jc w:val="center"/>
              <w:rPr>
                <w:sz w:val="18"/>
                <w:szCs w:val="18"/>
              </w:rPr>
            </w:pPr>
            <w:r>
              <w:rPr>
                <w:b/>
                <w:bCs/>
                <w:sz w:val="18"/>
                <w:szCs w:val="18"/>
              </w:rPr>
              <w:t>Ugland House, South Church Street</w:t>
            </w:r>
          </w:p>
        </w:tc>
        <w:tc>
          <w:tcPr>
            <w:tcW w:w="100"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8"/>
                <w:szCs w:val="18"/>
              </w:rPr>
              <w:t>​</w:t>
            </w:r>
          </w:p>
        </w:tc>
        <w:tc>
          <w:tcPr>
            <w:tcW w:w="2449" w:type="pct"/>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b/>
                <w:bCs/>
                <w:sz w:val="18"/>
                <w:szCs w:val="18"/>
              </w:rPr>
              <w:t>​</w:t>
            </w:r>
          </w:p>
        </w:tc>
      </w:tr>
      <w:tr w:rsidR="00000000">
        <w:trPr>
          <w:divId w:val="684094127"/>
        </w:trPr>
        <w:tc>
          <w:tcPr>
            <w:tcW w:w="2449" w:type="pct"/>
            <w:tcMar>
              <w:top w:w="0" w:type="dxa"/>
              <w:left w:w="0" w:type="dxa"/>
              <w:bottom w:w="0" w:type="dxa"/>
              <w:right w:w="0" w:type="dxa"/>
            </w:tcMar>
            <w:hideMark/>
          </w:tcPr>
          <w:p w:rsidR="00000000" w:rsidRDefault="008B747E">
            <w:pPr>
              <w:pStyle w:val="a3"/>
              <w:spacing w:before="0" w:beforeAutospacing="0" w:after="0" w:afterAutospacing="0"/>
              <w:ind w:hanging="200"/>
              <w:jc w:val="center"/>
              <w:rPr>
                <w:sz w:val="18"/>
                <w:szCs w:val="18"/>
              </w:rPr>
            </w:pPr>
            <w:r>
              <w:rPr>
                <w:b/>
                <w:bCs/>
                <w:sz w:val="18"/>
                <w:szCs w:val="18"/>
              </w:rPr>
              <w:t>George Town, Grand Cayman, Cayman Islands</w:t>
            </w:r>
          </w:p>
        </w:tc>
        <w:tc>
          <w:tcPr>
            <w:tcW w:w="100"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8"/>
                <w:szCs w:val="18"/>
              </w:rPr>
              <w:t>​</w:t>
            </w:r>
          </w:p>
        </w:tc>
        <w:tc>
          <w:tcPr>
            <w:tcW w:w="2449" w:type="pct"/>
            <w:tcMar>
              <w:top w:w="0" w:type="dxa"/>
              <w:left w:w="0" w:type="dxa"/>
              <w:bottom w:w="0" w:type="dxa"/>
              <w:right w:w="0" w:type="dxa"/>
            </w:tcMar>
            <w:hideMark/>
          </w:tcPr>
          <w:p w:rsidR="00000000" w:rsidRDefault="008B747E">
            <w:pPr>
              <w:pStyle w:val="a3"/>
              <w:spacing w:before="0" w:beforeAutospacing="0" w:after="0" w:afterAutospacing="0"/>
              <w:jc w:val="center"/>
              <w:rPr>
                <w:sz w:val="18"/>
                <w:szCs w:val="18"/>
              </w:rPr>
            </w:pPr>
            <w:r>
              <w:rPr>
                <w:b/>
                <w:bCs/>
                <w:sz w:val="18"/>
                <w:szCs w:val="18"/>
              </w:rPr>
              <w:t>KY1-1104</w:t>
            </w:r>
          </w:p>
        </w:tc>
      </w:tr>
      <w:tr w:rsidR="00000000">
        <w:trPr>
          <w:divId w:val="684094127"/>
        </w:trPr>
        <w:tc>
          <w:tcPr>
            <w:tcW w:w="2449" w:type="pct"/>
            <w:tcMar>
              <w:top w:w="0" w:type="dxa"/>
              <w:left w:w="0" w:type="dxa"/>
              <w:bottom w:w="0" w:type="dxa"/>
              <w:right w:w="0" w:type="dxa"/>
            </w:tcMar>
            <w:hideMark/>
          </w:tcPr>
          <w:p w:rsidR="00000000" w:rsidRDefault="008B747E">
            <w:pPr>
              <w:pStyle w:val="a3"/>
              <w:spacing w:before="0" w:beforeAutospacing="0" w:after="0" w:afterAutospacing="0"/>
              <w:ind w:hanging="200"/>
              <w:jc w:val="center"/>
              <w:rPr>
                <w:sz w:val="18"/>
                <w:szCs w:val="18"/>
              </w:rPr>
            </w:pPr>
            <w:r>
              <w:rPr>
                <w:sz w:val="18"/>
                <w:szCs w:val="18"/>
              </w:rPr>
              <w:t>(Address of Principal Executive Offices)</w:t>
            </w:r>
          </w:p>
        </w:tc>
        <w:tc>
          <w:tcPr>
            <w:tcW w:w="100"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8"/>
                <w:szCs w:val="18"/>
              </w:rPr>
              <w:t>​</w:t>
            </w:r>
          </w:p>
        </w:tc>
        <w:tc>
          <w:tcPr>
            <w:tcW w:w="2449" w:type="pct"/>
            <w:tcMar>
              <w:top w:w="0" w:type="dxa"/>
              <w:left w:w="0" w:type="dxa"/>
              <w:bottom w:w="0" w:type="dxa"/>
              <w:right w:w="0" w:type="dxa"/>
            </w:tcMar>
            <w:hideMark/>
          </w:tcPr>
          <w:p w:rsidR="00000000" w:rsidRDefault="008B747E">
            <w:pPr>
              <w:pStyle w:val="a3"/>
              <w:spacing w:before="0" w:beforeAutospacing="0" w:after="0" w:afterAutospacing="0"/>
              <w:jc w:val="center"/>
              <w:rPr>
                <w:sz w:val="18"/>
                <w:szCs w:val="18"/>
              </w:rPr>
            </w:pPr>
            <w:r>
              <w:rPr>
                <w:sz w:val="18"/>
                <w:szCs w:val="18"/>
              </w:rPr>
              <w:t>(Zip Code)</w:t>
            </w:r>
          </w:p>
        </w:tc>
      </w:tr>
    </w:tbl>
    <w:p w:rsidR="00000000" w:rsidRDefault="008B747E">
      <w:pPr>
        <w:pStyle w:val="a3"/>
        <w:spacing w:before="0" w:beforeAutospacing="0" w:after="0" w:afterAutospacing="0"/>
        <w:divId w:val="684094127"/>
        <w:rPr>
          <w:sz w:val="20"/>
          <w:szCs w:val="20"/>
        </w:rPr>
      </w:pPr>
      <w:r>
        <w:rPr>
          <w:sz w:val="10"/>
          <w:szCs w:val="10"/>
        </w:rPr>
        <w:t>​</w:t>
      </w:r>
    </w:p>
    <w:p w:rsidR="00000000" w:rsidRDefault="008B747E">
      <w:pPr>
        <w:pStyle w:val="a3"/>
        <w:spacing w:before="0" w:beforeAutospacing="0" w:after="0" w:afterAutospacing="0"/>
        <w:jc w:val="center"/>
        <w:divId w:val="684094127"/>
        <w:rPr>
          <w:sz w:val="18"/>
          <w:szCs w:val="18"/>
        </w:rPr>
      </w:pPr>
      <w:r>
        <w:rPr>
          <w:b/>
          <w:bCs/>
          <w:sz w:val="18"/>
          <w:szCs w:val="18"/>
        </w:rPr>
        <w:t>(650) 808-6000</w:t>
      </w:r>
    </w:p>
    <w:p w:rsidR="00000000" w:rsidRDefault="008B747E">
      <w:pPr>
        <w:pStyle w:val="a3"/>
        <w:spacing w:before="0" w:beforeAutospacing="0" w:after="0" w:afterAutospacing="0"/>
        <w:jc w:val="center"/>
        <w:divId w:val="684094127"/>
        <w:rPr>
          <w:sz w:val="18"/>
          <w:szCs w:val="18"/>
        </w:rPr>
      </w:pPr>
      <w:r>
        <w:rPr>
          <w:sz w:val="18"/>
          <w:szCs w:val="18"/>
        </w:rPr>
        <w:t>(Registrant’s Telephone Number, Including Area Code)</w:t>
      </w:r>
    </w:p>
    <w:p w:rsidR="00000000" w:rsidRDefault="008B747E">
      <w:pPr>
        <w:pStyle w:val="a3"/>
        <w:spacing w:before="0" w:beforeAutospacing="0" w:after="0" w:afterAutospacing="0"/>
        <w:jc w:val="center"/>
        <w:divId w:val="684094127"/>
        <w:rPr>
          <w:sz w:val="20"/>
          <w:szCs w:val="20"/>
        </w:rPr>
      </w:pPr>
      <w:r>
        <w:rPr>
          <w:sz w:val="10"/>
          <w:szCs w:val="10"/>
        </w:rPr>
        <w:t>​</w:t>
      </w:r>
    </w:p>
    <w:p w:rsidR="00000000" w:rsidRDefault="008B747E">
      <w:pPr>
        <w:pStyle w:val="a3"/>
        <w:spacing w:before="0" w:beforeAutospacing="0" w:after="0" w:afterAutospacing="0"/>
        <w:ind w:firstLine="490"/>
        <w:divId w:val="684094127"/>
        <w:rPr>
          <w:sz w:val="18"/>
          <w:szCs w:val="18"/>
        </w:rPr>
      </w:pPr>
      <w:r>
        <w:rPr>
          <w:spacing w:val="-2"/>
          <w:sz w:val="18"/>
          <w:szCs w:val="18"/>
        </w:rPr>
        <w:t xml:space="preserve">Indicate by check mark whether the registrant: (1) has filed all reports required to be filed by Section 13 or 15(d) of the Securities Exchange Act of 1934 during the preceding 12 months (or for such shorter period that the registrant was required to file </w:t>
      </w:r>
      <w:r>
        <w:rPr>
          <w:spacing w:val="-2"/>
          <w:sz w:val="18"/>
          <w:szCs w:val="18"/>
        </w:rPr>
        <w:t>such reports), and (2) has been subject to such filing requirements for the past 90 days. Yes </w:t>
      </w:r>
      <w:r>
        <w:rPr>
          <w:rFonts w:ascii="Segoe UI Symbol" w:hAnsi="Segoe UI Symbol"/>
          <w:spacing w:val="-2"/>
          <w:sz w:val="18"/>
          <w:szCs w:val="18"/>
        </w:rPr>
        <w:t>☒</w:t>
      </w:r>
      <w:r>
        <w:rPr>
          <w:spacing w:val="-2"/>
          <w:sz w:val="18"/>
          <w:szCs w:val="18"/>
        </w:rPr>
        <w:t xml:space="preserve">  No </w:t>
      </w:r>
      <w:r>
        <w:rPr>
          <w:rFonts w:ascii="Segoe UI Symbol" w:hAnsi="Segoe UI Symbol"/>
          <w:spacing w:val="-2"/>
          <w:sz w:val="18"/>
          <w:szCs w:val="18"/>
        </w:rPr>
        <w:t>☐</w:t>
      </w:r>
      <w:r>
        <w:rPr>
          <w:spacing w:val="-2"/>
          <w:sz w:val="18"/>
          <w:szCs w:val="18"/>
        </w:rPr>
        <w:t> </w:t>
      </w:r>
    </w:p>
    <w:p w:rsidR="00000000" w:rsidRDefault="008B747E">
      <w:pPr>
        <w:pStyle w:val="a3"/>
        <w:spacing w:before="0" w:beforeAutospacing="0" w:after="0" w:afterAutospacing="0"/>
        <w:ind w:firstLine="490"/>
        <w:divId w:val="684094127"/>
        <w:rPr>
          <w:sz w:val="20"/>
          <w:szCs w:val="20"/>
        </w:rPr>
      </w:pPr>
      <w:r>
        <w:rPr>
          <w:sz w:val="10"/>
          <w:szCs w:val="10"/>
        </w:rPr>
        <w:t>​</w:t>
      </w:r>
    </w:p>
    <w:p w:rsidR="00000000" w:rsidRDefault="008B747E">
      <w:pPr>
        <w:pStyle w:val="a3"/>
        <w:spacing w:before="0" w:beforeAutospacing="0" w:after="0" w:afterAutospacing="0"/>
        <w:ind w:firstLine="490"/>
        <w:divId w:val="684094127"/>
        <w:rPr>
          <w:sz w:val="16"/>
          <w:szCs w:val="16"/>
        </w:rPr>
      </w:pPr>
      <w:r>
        <w:rPr>
          <w:spacing w:val="-4"/>
          <w:sz w:val="18"/>
          <w:szCs w:val="18"/>
        </w:rPr>
        <w:t>Indicate by check mark whether the registrant has submitted electronically every Interactive Data File required to be submitted pursuant to Rule 405 of</w:t>
      </w:r>
      <w:r>
        <w:rPr>
          <w:spacing w:val="-4"/>
          <w:sz w:val="18"/>
          <w:szCs w:val="18"/>
        </w:rPr>
        <w:t xml:space="preserve"> Regulation S-T (§ 232.405 of this chapter)</w:t>
      </w:r>
      <w:r>
        <w:rPr>
          <w:spacing w:val="-4"/>
          <w:sz w:val="16"/>
          <w:szCs w:val="16"/>
        </w:rPr>
        <w:t xml:space="preserve"> </w:t>
      </w:r>
      <w:r>
        <w:rPr>
          <w:spacing w:val="-4"/>
          <w:sz w:val="18"/>
          <w:szCs w:val="18"/>
        </w:rPr>
        <w:t>during the preceding 12 months (or for such shorter period that the registrant was required to submit such files). Yes </w:t>
      </w:r>
      <w:r>
        <w:rPr>
          <w:rFonts w:ascii="Segoe UI Symbol" w:hAnsi="Segoe UI Symbol"/>
          <w:spacing w:val="-4"/>
          <w:sz w:val="18"/>
          <w:szCs w:val="18"/>
        </w:rPr>
        <w:t>☒</w:t>
      </w:r>
      <w:r>
        <w:rPr>
          <w:spacing w:val="-4"/>
          <w:sz w:val="18"/>
          <w:szCs w:val="18"/>
        </w:rPr>
        <w:t>  No </w:t>
      </w:r>
      <w:r>
        <w:rPr>
          <w:rFonts w:ascii="Segoe UI Symbol" w:hAnsi="Segoe UI Symbol"/>
          <w:spacing w:val="-4"/>
          <w:sz w:val="18"/>
          <w:szCs w:val="18"/>
        </w:rPr>
        <w:t>☐</w:t>
      </w:r>
    </w:p>
    <w:p w:rsidR="00000000" w:rsidRDefault="008B747E">
      <w:pPr>
        <w:pStyle w:val="a3"/>
        <w:spacing w:before="0" w:beforeAutospacing="0" w:after="0" w:afterAutospacing="0"/>
        <w:ind w:firstLine="490"/>
        <w:divId w:val="684094127"/>
        <w:rPr>
          <w:sz w:val="20"/>
          <w:szCs w:val="20"/>
        </w:rPr>
      </w:pPr>
      <w:r>
        <w:rPr>
          <w:sz w:val="10"/>
          <w:szCs w:val="10"/>
        </w:rPr>
        <w:t>​</w:t>
      </w:r>
    </w:p>
    <w:p w:rsidR="00000000" w:rsidRDefault="008B747E">
      <w:pPr>
        <w:pStyle w:val="a3"/>
        <w:spacing w:before="0" w:beforeAutospacing="0" w:after="0" w:afterAutospacing="0"/>
        <w:ind w:firstLine="490"/>
        <w:divId w:val="684094127"/>
        <w:rPr>
          <w:sz w:val="18"/>
          <w:szCs w:val="18"/>
        </w:rPr>
      </w:pPr>
      <w:r>
        <w:rPr>
          <w:sz w:val="18"/>
          <w:szCs w:val="18"/>
        </w:rPr>
        <w:t>Indicate by check mark whether the registrant is a large accelerated filer, an accelerated filer, a non-accelerated filer, a smaller reporting company, or emerging growth company. See the definitions of “large accelerated filer,” “accelerated filer,” “smal</w:t>
      </w:r>
      <w:r>
        <w:rPr>
          <w:sz w:val="18"/>
          <w:szCs w:val="18"/>
        </w:rPr>
        <w:t xml:space="preserve">ler reporting company,” and “emerging growth company” in Rule 12b-2 of the Exchange Act. </w:t>
      </w:r>
    </w:p>
    <w:p w:rsidR="00000000" w:rsidRDefault="008B747E">
      <w:pPr>
        <w:pStyle w:val="a3"/>
        <w:spacing w:before="0" w:beforeAutospacing="0" w:after="0" w:afterAutospacing="0"/>
        <w:divId w:val="684094127"/>
        <w:rPr>
          <w:sz w:val="20"/>
          <w:szCs w:val="20"/>
        </w:rPr>
      </w:pPr>
      <w:r>
        <w:rPr>
          <w:sz w:val="10"/>
          <w:szCs w:val="10"/>
        </w:rPr>
        <w:t>​</w:t>
      </w:r>
    </w:p>
    <w:tbl>
      <w:tblPr>
        <w:tblW w:w="4000" w:type="pct"/>
        <w:tblCellMar>
          <w:top w:w="15" w:type="dxa"/>
          <w:left w:w="0" w:type="dxa"/>
          <w:bottom w:w="15" w:type="dxa"/>
          <w:right w:w="0" w:type="dxa"/>
        </w:tblCellMar>
        <w:tblLook w:val="04A0" w:firstRow="1" w:lastRow="0" w:firstColumn="1" w:lastColumn="0" w:noHBand="0" w:noVBand="1"/>
      </w:tblPr>
      <w:tblGrid>
        <w:gridCol w:w="3025"/>
        <w:gridCol w:w="180"/>
        <w:gridCol w:w="3440"/>
      </w:tblGrid>
      <w:tr w:rsidR="00000000">
        <w:trPr>
          <w:divId w:val="684094127"/>
          <w:trHeight w:val="20"/>
        </w:trPr>
        <w:tc>
          <w:tcPr>
            <w:tcW w:w="2288" w:type="pct"/>
            <w:tcMar>
              <w:top w:w="0" w:type="dxa"/>
              <w:left w:w="0" w:type="dxa"/>
              <w:bottom w:w="0" w:type="dxa"/>
              <w:right w:w="0" w:type="dxa"/>
            </w:tcMar>
            <w:hideMark/>
          </w:tcPr>
          <w:p w:rsidR="00000000" w:rsidRDefault="008B747E">
            <w:pPr>
              <w:pStyle w:val="a3"/>
              <w:spacing w:before="0" w:beforeAutospacing="0" w:after="0" w:afterAutospacing="0"/>
              <w:divId w:val="1156535280"/>
              <w:rPr>
                <w:sz w:val="20"/>
                <w:szCs w:val="20"/>
              </w:rPr>
            </w:pPr>
            <w:r>
              <w:rPr>
                <w:sz w:val="2"/>
                <w:szCs w:val="2"/>
              </w:rPr>
              <w:t>​</w:t>
            </w:r>
          </w:p>
        </w:tc>
        <w:tc>
          <w:tcPr>
            <w:tcW w:w="112" w:type="pct"/>
            <w:tcMar>
              <w:top w:w="0" w:type="dxa"/>
              <w:left w:w="0" w:type="dxa"/>
              <w:bottom w:w="0" w:type="dxa"/>
              <w:right w:w="0" w:type="dxa"/>
            </w:tcMar>
            <w:vAlign w:val="bottom"/>
            <w:hideMark/>
          </w:tcPr>
          <w:p w:rsidR="00000000" w:rsidRDefault="008B747E">
            <w:pPr>
              <w:pStyle w:val="a3"/>
              <w:spacing w:before="0" w:beforeAutospacing="0" w:after="0" w:afterAutospacing="0"/>
              <w:divId w:val="1575818743"/>
              <w:rPr>
                <w:sz w:val="20"/>
                <w:szCs w:val="20"/>
              </w:rPr>
            </w:pPr>
            <w:r>
              <w:rPr>
                <w:sz w:val="2"/>
                <w:szCs w:val="2"/>
              </w:rPr>
              <w:t>​</w:t>
            </w:r>
          </w:p>
        </w:tc>
        <w:tc>
          <w:tcPr>
            <w:tcW w:w="2599" w:type="pct"/>
            <w:tcMar>
              <w:top w:w="0" w:type="dxa"/>
              <w:left w:w="0" w:type="dxa"/>
              <w:bottom w:w="0" w:type="dxa"/>
              <w:right w:w="0" w:type="dxa"/>
            </w:tcMar>
            <w:hideMark/>
          </w:tcPr>
          <w:p w:rsidR="00000000" w:rsidRDefault="008B747E">
            <w:pPr>
              <w:pStyle w:val="a3"/>
              <w:spacing w:before="0" w:beforeAutospacing="0" w:after="0" w:afterAutospacing="0"/>
              <w:divId w:val="1831404415"/>
              <w:rPr>
                <w:sz w:val="20"/>
                <w:szCs w:val="20"/>
              </w:rPr>
            </w:pPr>
            <w:r>
              <w:rPr>
                <w:sz w:val="2"/>
                <w:szCs w:val="2"/>
              </w:rPr>
              <w:t>​</w:t>
            </w:r>
          </w:p>
        </w:tc>
      </w:tr>
      <w:tr w:rsidR="00000000">
        <w:trPr>
          <w:divId w:val="684094127"/>
        </w:trPr>
        <w:tc>
          <w:tcPr>
            <w:tcW w:w="2288" w:type="pct"/>
            <w:tcMar>
              <w:top w:w="0" w:type="dxa"/>
              <w:left w:w="0" w:type="dxa"/>
              <w:bottom w:w="0" w:type="dxa"/>
              <w:right w:w="0" w:type="dxa"/>
            </w:tcMar>
            <w:hideMark/>
          </w:tcPr>
          <w:p w:rsidR="00000000" w:rsidRDefault="008B747E">
            <w:pPr>
              <w:pStyle w:val="a3"/>
              <w:spacing w:before="0" w:beforeAutospacing="0" w:after="0" w:afterAutospacing="0"/>
              <w:jc w:val="center"/>
              <w:rPr>
                <w:sz w:val="16"/>
                <w:szCs w:val="16"/>
              </w:rPr>
            </w:pPr>
            <w:r>
              <w:rPr>
                <w:sz w:val="18"/>
                <w:szCs w:val="18"/>
              </w:rPr>
              <w:t>Large</w:t>
            </w:r>
            <w:r>
              <w:rPr>
                <w:rFonts w:ascii="Helvetica" w:hAnsi="Helvetica"/>
                <w:sz w:val="16"/>
                <w:szCs w:val="16"/>
              </w:rPr>
              <w:t xml:space="preserve"> </w:t>
            </w:r>
            <w:r>
              <w:rPr>
                <w:sz w:val="18"/>
                <w:szCs w:val="18"/>
              </w:rPr>
              <w:t>Accelerated</w:t>
            </w:r>
            <w:r>
              <w:rPr>
                <w:rFonts w:ascii="Helvetica" w:hAnsi="Helvetica"/>
                <w:sz w:val="16"/>
                <w:szCs w:val="16"/>
              </w:rPr>
              <w:t xml:space="preserve"> </w:t>
            </w:r>
            <w:r>
              <w:rPr>
                <w:sz w:val="18"/>
                <w:szCs w:val="18"/>
              </w:rPr>
              <w:t>Filer</w:t>
            </w:r>
            <w:r>
              <w:rPr>
                <w:rFonts w:ascii="Helvetica" w:hAnsi="Helvetica"/>
                <w:sz w:val="16"/>
                <w:szCs w:val="16"/>
              </w:rPr>
              <w:t xml:space="preserve"> </w:t>
            </w:r>
            <w:r>
              <w:rPr>
                <w:rFonts w:ascii="Segoe UI Symbol" w:hAnsi="Segoe UI Symbol"/>
                <w:sz w:val="18"/>
                <w:szCs w:val="18"/>
              </w:rPr>
              <w:t>☒</w:t>
            </w:r>
          </w:p>
        </w:tc>
        <w:tc>
          <w:tcPr>
            <w:tcW w:w="112" w:type="pct"/>
            <w:tcMar>
              <w:top w:w="0" w:type="dxa"/>
              <w:left w:w="0" w:type="dxa"/>
              <w:bottom w:w="0" w:type="dxa"/>
              <w:right w:w="0" w:type="dxa"/>
            </w:tcMar>
            <w:vAlign w:val="bottom"/>
            <w:hideMark/>
          </w:tcPr>
          <w:p w:rsidR="00000000" w:rsidRDefault="008B747E">
            <w:pPr>
              <w:pStyle w:val="a3"/>
              <w:spacing w:before="0" w:beforeAutospacing="0" w:after="0" w:afterAutospacing="0"/>
              <w:rPr>
                <w:sz w:val="18"/>
                <w:szCs w:val="18"/>
              </w:rPr>
            </w:pPr>
            <w:r>
              <w:rPr>
                <w:sz w:val="18"/>
                <w:szCs w:val="18"/>
              </w:rPr>
              <w:t>    </w:t>
            </w:r>
          </w:p>
        </w:tc>
        <w:tc>
          <w:tcPr>
            <w:tcW w:w="2599" w:type="pct"/>
            <w:tcMar>
              <w:top w:w="0" w:type="dxa"/>
              <w:left w:w="0" w:type="dxa"/>
              <w:bottom w:w="0" w:type="dxa"/>
              <w:right w:w="0" w:type="dxa"/>
            </w:tcMar>
            <w:hideMark/>
          </w:tcPr>
          <w:p w:rsidR="00000000" w:rsidRDefault="008B747E">
            <w:pPr>
              <w:pStyle w:val="a3"/>
              <w:spacing w:before="0" w:beforeAutospacing="0" w:after="0" w:afterAutospacing="0"/>
              <w:jc w:val="center"/>
              <w:rPr>
                <w:sz w:val="18"/>
                <w:szCs w:val="18"/>
              </w:rPr>
            </w:pPr>
            <w:r>
              <w:rPr>
                <w:sz w:val="18"/>
                <w:szCs w:val="18"/>
              </w:rPr>
              <w:t>Smaller Reporting Company </w:t>
            </w:r>
            <w:r>
              <w:rPr>
                <w:rFonts w:ascii="Segoe UI Symbol" w:hAnsi="Segoe UI Symbol"/>
                <w:sz w:val="18"/>
                <w:szCs w:val="18"/>
              </w:rPr>
              <w:t>☐</w:t>
            </w:r>
          </w:p>
        </w:tc>
      </w:tr>
      <w:tr w:rsidR="00000000">
        <w:trPr>
          <w:divId w:val="684094127"/>
        </w:trPr>
        <w:tc>
          <w:tcPr>
            <w:tcW w:w="2288" w:type="pct"/>
            <w:tcMar>
              <w:top w:w="0" w:type="dxa"/>
              <w:left w:w="0" w:type="dxa"/>
              <w:bottom w:w="0" w:type="dxa"/>
              <w:right w:w="0" w:type="dxa"/>
            </w:tcMar>
            <w:hideMark/>
          </w:tcPr>
          <w:p w:rsidR="00000000" w:rsidRDefault="008B747E">
            <w:pPr>
              <w:pStyle w:val="a3"/>
              <w:spacing w:before="0" w:beforeAutospacing="0" w:after="0" w:afterAutospacing="0"/>
              <w:jc w:val="center"/>
              <w:rPr>
                <w:sz w:val="18"/>
                <w:szCs w:val="18"/>
              </w:rPr>
            </w:pPr>
            <w:r>
              <w:rPr>
                <w:sz w:val="18"/>
                <w:szCs w:val="18"/>
              </w:rPr>
              <w:lastRenderedPageBreak/>
              <w:t xml:space="preserve">Non-accelerated Filer </w:t>
            </w:r>
            <w:r>
              <w:rPr>
                <w:rFonts w:ascii="Segoe UI Symbol" w:hAnsi="Segoe UI Symbol"/>
                <w:sz w:val="18"/>
                <w:szCs w:val="18"/>
              </w:rPr>
              <w:t>☐</w:t>
            </w:r>
          </w:p>
        </w:tc>
        <w:tc>
          <w:tcPr>
            <w:tcW w:w="112"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0"/>
                <w:szCs w:val="10"/>
              </w:rPr>
              <w:t>​</w:t>
            </w:r>
          </w:p>
        </w:tc>
        <w:tc>
          <w:tcPr>
            <w:tcW w:w="2599" w:type="pct"/>
            <w:tcMar>
              <w:top w:w="0" w:type="dxa"/>
              <w:left w:w="0" w:type="dxa"/>
              <w:bottom w:w="0" w:type="dxa"/>
              <w:right w:w="0" w:type="dxa"/>
            </w:tcMar>
            <w:hideMark/>
          </w:tcPr>
          <w:p w:rsidR="00000000" w:rsidRDefault="008B747E">
            <w:pPr>
              <w:pStyle w:val="a3"/>
              <w:spacing w:before="0" w:beforeAutospacing="0" w:after="0" w:afterAutospacing="0"/>
              <w:jc w:val="center"/>
              <w:rPr>
                <w:sz w:val="18"/>
                <w:szCs w:val="18"/>
              </w:rPr>
            </w:pPr>
            <w:r>
              <w:rPr>
                <w:sz w:val="18"/>
                <w:szCs w:val="18"/>
              </w:rPr>
              <w:t xml:space="preserve">Emerging Growth Company </w:t>
            </w:r>
            <w:r>
              <w:rPr>
                <w:rFonts w:ascii="Segoe UI Symbol" w:hAnsi="Segoe UI Symbol"/>
                <w:sz w:val="18"/>
                <w:szCs w:val="18"/>
              </w:rPr>
              <w:t>☐</w:t>
            </w:r>
          </w:p>
        </w:tc>
      </w:tr>
      <w:tr w:rsidR="00000000">
        <w:trPr>
          <w:divId w:val="684094127"/>
        </w:trPr>
        <w:tc>
          <w:tcPr>
            <w:tcW w:w="2288" w:type="pct"/>
            <w:tcMar>
              <w:top w:w="0" w:type="dxa"/>
              <w:left w:w="0" w:type="dxa"/>
              <w:bottom w:w="0" w:type="dxa"/>
              <w:right w:w="0" w:type="dxa"/>
            </w:tcMar>
            <w:hideMark/>
          </w:tcPr>
          <w:p w:rsidR="00000000" w:rsidRDefault="008B747E">
            <w:pPr>
              <w:pStyle w:val="a3"/>
              <w:spacing w:before="0" w:beforeAutospacing="0" w:after="0" w:afterAutospacing="0"/>
              <w:jc w:val="center"/>
              <w:rPr>
                <w:sz w:val="18"/>
                <w:szCs w:val="18"/>
              </w:rPr>
            </w:pPr>
            <w:r>
              <w:rPr>
                <w:sz w:val="18"/>
                <w:szCs w:val="18"/>
              </w:rPr>
              <w:t>Accelerated Filer </w:t>
            </w:r>
            <w:r>
              <w:rPr>
                <w:rFonts w:ascii="Segoe UI Symbol" w:hAnsi="Segoe UI Symbol"/>
                <w:sz w:val="18"/>
                <w:szCs w:val="18"/>
              </w:rPr>
              <w:t>☐</w:t>
            </w:r>
          </w:p>
        </w:tc>
        <w:tc>
          <w:tcPr>
            <w:tcW w:w="112"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8"/>
                <w:szCs w:val="18"/>
              </w:rPr>
              <w:t>​</w:t>
            </w:r>
          </w:p>
        </w:tc>
        <w:tc>
          <w:tcPr>
            <w:tcW w:w="2599" w:type="pct"/>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18"/>
                <w:szCs w:val="18"/>
              </w:rPr>
              <w:t>​</w:t>
            </w:r>
          </w:p>
        </w:tc>
      </w:tr>
    </w:tbl>
    <w:p w:rsidR="00000000" w:rsidRDefault="008B747E">
      <w:pPr>
        <w:pStyle w:val="a3"/>
        <w:spacing w:before="0" w:beforeAutospacing="0" w:after="0" w:afterAutospacing="0"/>
        <w:divId w:val="684094127"/>
        <w:rPr>
          <w:sz w:val="20"/>
          <w:szCs w:val="20"/>
        </w:rPr>
      </w:pPr>
      <w:r>
        <w:rPr>
          <w:sz w:val="10"/>
          <w:szCs w:val="10"/>
        </w:rPr>
        <w:t>​</w:t>
      </w:r>
    </w:p>
    <w:p w:rsidR="00000000" w:rsidRDefault="008B747E">
      <w:pPr>
        <w:pStyle w:val="a3"/>
        <w:spacing w:before="0" w:beforeAutospacing="0" w:after="0" w:afterAutospacing="0"/>
        <w:ind w:firstLine="490"/>
        <w:divId w:val="684094127"/>
        <w:rPr>
          <w:sz w:val="18"/>
          <w:szCs w:val="18"/>
        </w:rPr>
      </w:pPr>
      <w:r>
        <w:rPr>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hAnsi="Segoe UI Symbol"/>
          <w:sz w:val="18"/>
          <w:szCs w:val="18"/>
        </w:rPr>
        <w:t>☐</w:t>
      </w:r>
    </w:p>
    <w:p w:rsidR="00000000" w:rsidRDefault="008B747E">
      <w:pPr>
        <w:pStyle w:val="a3"/>
        <w:spacing w:before="0" w:beforeAutospacing="0" w:after="0" w:afterAutospacing="0"/>
        <w:ind w:firstLine="490"/>
        <w:divId w:val="684094127"/>
        <w:rPr>
          <w:sz w:val="20"/>
          <w:szCs w:val="20"/>
        </w:rPr>
      </w:pPr>
      <w:r>
        <w:rPr>
          <w:sz w:val="10"/>
          <w:szCs w:val="10"/>
        </w:rPr>
        <w:t>​</w:t>
      </w:r>
    </w:p>
    <w:p w:rsidR="00000000" w:rsidRDefault="008B747E">
      <w:pPr>
        <w:pStyle w:val="a3"/>
        <w:spacing w:before="0" w:beforeAutospacing="0" w:after="0" w:afterAutospacing="0"/>
        <w:ind w:firstLine="490"/>
        <w:divId w:val="684094127"/>
        <w:rPr>
          <w:sz w:val="18"/>
          <w:szCs w:val="18"/>
        </w:rPr>
      </w:pPr>
      <w:r>
        <w:rPr>
          <w:sz w:val="18"/>
          <w:szCs w:val="18"/>
        </w:rPr>
        <w:t>I</w:t>
      </w:r>
      <w:r>
        <w:rPr>
          <w:sz w:val="18"/>
          <w:szCs w:val="18"/>
        </w:rPr>
        <w:t>ndicate by check mark whether the registrant is a shell company (as defined in Rule 12b-2 of the Exchange Act). Yes </w:t>
      </w:r>
      <w:r>
        <w:rPr>
          <w:rFonts w:ascii="Segoe UI Symbol" w:hAnsi="Segoe UI Symbol"/>
          <w:sz w:val="18"/>
          <w:szCs w:val="18"/>
        </w:rPr>
        <w:t>☐</w:t>
      </w:r>
      <w:r>
        <w:rPr>
          <w:sz w:val="18"/>
          <w:szCs w:val="18"/>
        </w:rPr>
        <w:t>  No </w:t>
      </w:r>
      <w:r>
        <w:rPr>
          <w:rFonts w:ascii="Segoe UI Symbol" w:hAnsi="Segoe UI Symbol"/>
          <w:sz w:val="18"/>
          <w:szCs w:val="18"/>
        </w:rPr>
        <w:t>☒</w:t>
      </w:r>
    </w:p>
    <w:p w:rsidR="00000000" w:rsidRDefault="008B747E">
      <w:pPr>
        <w:pStyle w:val="a3"/>
        <w:spacing w:before="0" w:beforeAutospacing="0" w:after="0" w:afterAutospacing="0"/>
        <w:ind w:firstLine="490"/>
        <w:divId w:val="684094127"/>
        <w:rPr>
          <w:sz w:val="20"/>
          <w:szCs w:val="20"/>
        </w:rPr>
      </w:pPr>
      <w:r>
        <w:rPr>
          <w:sz w:val="10"/>
          <w:szCs w:val="10"/>
        </w:rPr>
        <w:t>​</w:t>
      </w:r>
    </w:p>
    <w:p w:rsidR="00000000" w:rsidRDefault="008B747E">
      <w:pPr>
        <w:pStyle w:val="a3"/>
        <w:spacing w:before="0" w:beforeAutospacing="0" w:after="60" w:afterAutospacing="0"/>
        <w:ind w:firstLine="490"/>
        <w:divId w:val="684094127"/>
        <w:rPr>
          <w:sz w:val="18"/>
          <w:szCs w:val="18"/>
        </w:rPr>
      </w:pPr>
      <w:r>
        <w:rPr>
          <w:sz w:val="18"/>
          <w:szCs w:val="18"/>
        </w:rPr>
        <w:t>Securities registered pursuant to Section 12(b) of the Act:</w:t>
      </w:r>
    </w:p>
    <w:tbl>
      <w:tblPr>
        <w:tblW w:w="5000" w:type="pct"/>
        <w:tblCellMar>
          <w:top w:w="15" w:type="dxa"/>
          <w:left w:w="0" w:type="dxa"/>
          <w:bottom w:w="15" w:type="dxa"/>
          <w:right w:w="0" w:type="dxa"/>
        </w:tblCellMar>
        <w:tblLook w:val="04A0" w:firstRow="1" w:lastRow="0" w:firstColumn="1" w:lastColumn="0" w:noHBand="0" w:noVBand="1"/>
      </w:tblPr>
      <w:tblGrid>
        <w:gridCol w:w="2740"/>
        <w:gridCol w:w="185"/>
        <w:gridCol w:w="185"/>
        <w:gridCol w:w="1367"/>
        <w:gridCol w:w="183"/>
        <w:gridCol w:w="3646"/>
      </w:tblGrid>
      <w:tr w:rsidR="00000000">
        <w:trPr>
          <w:divId w:val="684094127"/>
          <w:trHeight w:val="20"/>
        </w:trPr>
        <w:tc>
          <w:tcPr>
            <w:tcW w:w="1648" w:type="pct"/>
            <w:noWrap/>
            <w:tcMar>
              <w:top w:w="0" w:type="dxa"/>
              <w:left w:w="0" w:type="dxa"/>
              <w:bottom w:w="0" w:type="dxa"/>
              <w:right w:w="0" w:type="dxa"/>
            </w:tcMar>
            <w:vAlign w:val="bottom"/>
            <w:hideMark/>
          </w:tcPr>
          <w:p w:rsidR="00000000" w:rsidRDefault="008B747E">
            <w:pPr>
              <w:rPr>
                <w:sz w:val="18"/>
                <w:szCs w:val="18"/>
              </w:rPr>
            </w:pPr>
          </w:p>
        </w:tc>
        <w:tc>
          <w:tcPr>
            <w:tcW w:w="111" w:type="pct"/>
            <w:tcMar>
              <w:top w:w="0" w:type="dxa"/>
              <w:left w:w="0" w:type="dxa"/>
              <w:bottom w:w="0" w:type="dxa"/>
              <w:right w:w="0" w:type="dxa"/>
            </w:tcMar>
            <w:hideMark/>
          </w:tcPr>
          <w:p w:rsidR="00000000" w:rsidRDefault="008B747E">
            <w:pPr>
              <w:pStyle w:val="a3"/>
              <w:spacing w:before="0" w:beforeAutospacing="0" w:after="0" w:afterAutospacing="0"/>
              <w:divId w:val="1552495801"/>
              <w:rPr>
                <w:sz w:val="20"/>
                <w:szCs w:val="20"/>
              </w:rPr>
            </w:pPr>
            <w:r>
              <w:rPr>
                <w:sz w:val="2"/>
                <w:szCs w:val="2"/>
              </w:rPr>
              <w:t>​</w:t>
            </w:r>
          </w:p>
        </w:tc>
        <w:tc>
          <w:tcPr>
            <w:tcW w:w="111" w:type="pct"/>
            <w:tcMar>
              <w:top w:w="0" w:type="dxa"/>
              <w:left w:w="0" w:type="dxa"/>
              <w:bottom w:w="0" w:type="dxa"/>
              <w:right w:w="0" w:type="dxa"/>
            </w:tcMar>
            <w:hideMark/>
          </w:tcPr>
          <w:p w:rsidR="00000000" w:rsidRDefault="008B747E">
            <w:pPr>
              <w:rPr>
                <w:sz w:val="20"/>
                <w:szCs w:val="20"/>
              </w:rPr>
            </w:pPr>
          </w:p>
        </w:tc>
        <w:tc>
          <w:tcPr>
            <w:tcW w:w="823" w:type="pct"/>
            <w:noWrap/>
            <w:tcMar>
              <w:top w:w="0" w:type="dxa"/>
              <w:left w:w="0" w:type="dxa"/>
              <w:bottom w:w="0" w:type="dxa"/>
              <w:right w:w="0" w:type="dxa"/>
            </w:tcMar>
            <w:vAlign w:val="bottom"/>
            <w:hideMark/>
          </w:tcPr>
          <w:p w:rsidR="00000000" w:rsidRDefault="008B747E">
            <w:pPr>
              <w:rPr>
                <w:rFonts w:eastAsia="Times New Roman"/>
                <w:sz w:val="20"/>
                <w:szCs w:val="20"/>
              </w:rPr>
            </w:pPr>
          </w:p>
        </w:tc>
        <w:tc>
          <w:tcPr>
            <w:tcW w:w="110" w:type="pct"/>
            <w:tcMar>
              <w:top w:w="0" w:type="dxa"/>
              <w:left w:w="0" w:type="dxa"/>
              <w:bottom w:w="0" w:type="dxa"/>
              <w:right w:w="0" w:type="dxa"/>
            </w:tcMar>
            <w:hideMark/>
          </w:tcPr>
          <w:p w:rsidR="00000000" w:rsidRDefault="008B747E">
            <w:pPr>
              <w:rPr>
                <w:rFonts w:eastAsia="Times New Roman"/>
                <w:sz w:val="20"/>
                <w:szCs w:val="20"/>
              </w:rPr>
            </w:pPr>
          </w:p>
        </w:tc>
        <w:tc>
          <w:tcPr>
            <w:tcW w:w="2194" w:type="pct"/>
            <w:noWrap/>
            <w:tcMar>
              <w:top w:w="0" w:type="dxa"/>
              <w:left w:w="0" w:type="dxa"/>
              <w:bottom w:w="0" w:type="dxa"/>
              <w:right w:w="0" w:type="dxa"/>
            </w:tcMar>
            <w:vAlign w:val="bottom"/>
            <w:hideMark/>
          </w:tcPr>
          <w:p w:rsidR="00000000" w:rsidRDefault="008B747E">
            <w:pPr>
              <w:rPr>
                <w:rFonts w:eastAsia="Times New Roman"/>
                <w:sz w:val="20"/>
                <w:szCs w:val="20"/>
              </w:rPr>
            </w:pPr>
          </w:p>
        </w:tc>
      </w:tr>
      <w:tr w:rsidR="00000000">
        <w:trPr>
          <w:divId w:val="684094127"/>
        </w:trPr>
        <w:tc>
          <w:tcPr>
            <w:tcW w:w="164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u w:val="single"/>
              </w:rPr>
              <w:t>Title of each class</w:t>
            </w:r>
          </w:p>
        </w:tc>
        <w:tc>
          <w:tcPr>
            <w:tcW w:w="111" w:type="pct"/>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b/>
                <w:bCs/>
                <w:sz w:val="16"/>
                <w:szCs w:val="16"/>
              </w:rPr>
              <w:t>​</w:t>
            </w:r>
          </w:p>
        </w:tc>
        <w:tc>
          <w:tcPr>
            <w:tcW w:w="111" w:type="pct"/>
            <w:tcMar>
              <w:top w:w="0" w:type="dxa"/>
              <w:left w:w="0" w:type="dxa"/>
              <w:bottom w:w="0" w:type="dxa"/>
              <w:right w:w="0" w:type="dxa"/>
            </w:tcMar>
            <w:hideMark/>
          </w:tcPr>
          <w:p w:rsidR="00000000" w:rsidRDefault="008B747E">
            <w:pPr>
              <w:pStyle w:val="a3"/>
              <w:spacing w:before="0" w:beforeAutospacing="0" w:after="0" w:afterAutospacing="0"/>
              <w:jc w:val="center"/>
              <w:rPr>
                <w:sz w:val="16"/>
                <w:szCs w:val="16"/>
              </w:rPr>
            </w:pPr>
            <w:r>
              <w:rPr>
                <w:b/>
                <w:bCs/>
                <w:sz w:val="16"/>
                <w:szCs w:val="16"/>
              </w:rPr>
              <w:t>    </w:t>
            </w:r>
          </w:p>
        </w:tc>
        <w:tc>
          <w:tcPr>
            <w:tcW w:w="823"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u w:val="single"/>
              </w:rPr>
              <w:t>Trading Symbol</w:t>
            </w:r>
          </w:p>
        </w:tc>
        <w:tc>
          <w:tcPr>
            <w:tcW w:w="110" w:type="pct"/>
            <w:tcMar>
              <w:top w:w="0" w:type="dxa"/>
              <w:left w:w="0" w:type="dxa"/>
              <w:bottom w:w="0" w:type="dxa"/>
              <w:right w:w="0" w:type="dxa"/>
            </w:tcMar>
            <w:hideMark/>
          </w:tcPr>
          <w:p w:rsidR="00000000" w:rsidRDefault="008B747E">
            <w:pPr>
              <w:pStyle w:val="a3"/>
              <w:spacing w:before="0" w:beforeAutospacing="0" w:after="0" w:afterAutospacing="0"/>
              <w:jc w:val="center"/>
              <w:rPr>
                <w:sz w:val="16"/>
                <w:szCs w:val="16"/>
              </w:rPr>
            </w:pPr>
            <w:r>
              <w:rPr>
                <w:b/>
                <w:bCs/>
                <w:sz w:val="16"/>
                <w:szCs w:val="16"/>
              </w:rPr>
              <w:t>    </w:t>
            </w:r>
          </w:p>
        </w:tc>
        <w:tc>
          <w:tcPr>
            <w:tcW w:w="219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u w:val="single"/>
              </w:rPr>
              <w:t>Name of each exchange on which registered</w:t>
            </w:r>
          </w:p>
        </w:tc>
      </w:tr>
      <w:tr w:rsidR="00000000">
        <w:trPr>
          <w:divId w:val="684094127"/>
        </w:trPr>
        <w:tc>
          <w:tcPr>
            <w:tcW w:w="1648" w:type="pct"/>
            <w:tcMar>
              <w:top w:w="0" w:type="dxa"/>
              <w:left w:w="0" w:type="dxa"/>
              <w:bottom w:w="0" w:type="dxa"/>
              <w:right w:w="0" w:type="dxa"/>
            </w:tcMar>
            <w:hideMark/>
          </w:tcPr>
          <w:p w:rsidR="00000000" w:rsidRDefault="008B747E">
            <w:pPr>
              <w:pStyle w:val="a3"/>
              <w:spacing w:before="0" w:beforeAutospacing="0" w:after="0" w:afterAutospacing="0"/>
              <w:jc w:val="center"/>
              <w:rPr>
                <w:sz w:val="18"/>
                <w:szCs w:val="18"/>
              </w:rPr>
            </w:pPr>
            <w:r>
              <w:rPr>
                <w:sz w:val="18"/>
                <w:szCs w:val="18"/>
              </w:rPr>
              <w:t>Ordinary Share $0.00001 Par Value</w:t>
            </w:r>
          </w:p>
        </w:tc>
        <w:tc>
          <w:tcPr>
            <w:tcW w:w="111" w:type="pct"/>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18"/>
                <w:szCs w:val="18"/>
              </w:rPr>
              <w:t>​</w:t>
            </w:r>
          </w:p>
        </w:tc>
        <w:tc>
          <w:tcPr>
            <w:tcW w:w="111" w:type="pct"/>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18"/>
                <w:szCs w:val="18"/>
              </w:rPr>
              <w:t>​</w:t>
            </w:r>
          </w:p>
        </w:tc>
        <w:tc>
          <w:tcPr>
            <w:tcW w:w="823" w:type="pct"/>
            <w:tcMar>
              <w:top w:w="0" w:type="dxa"/>
              <w:left w:w="0" w:type="dxa"/>
              <w:bottom w:w="0" w:type="dxa"/>
              <w:right w:w="0" w:type="dxa"/>
            </w:tcMar>
            <w:hideMark/>
          </w:tcPr>
          <w:p w:rsidR="00000000" w:rsidRDefault="008B747E">
            <w:pPr>
              <w:pStyle w:val="a3"/>
              <w:spacing w:before="0" w:beforeAutospacing="0" w:after="0" w:afterAutospacing="0"/>
              <w:jc w:val="center"/>
              <w:rPr>
                <w:sz w:val="18"/>
                <w:szCs w:val="18"/>
              </w:rPr>
            </w:pPr>
            <w:r>
              <w:rPr>
                <w:sz w:val="18"/>
                <w:szCs w:val="18"/>
              </w:rPr>
              <w:t>TBPH</w:t>
            </w:r>
          </w:p>
        </w:tc>
        <w:tc>
          <w:tcPr>
            <w:tcW w:w="110" w:type="pct"/>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18"/>
                <w:szCs w:val="18"/>
              </w:rPr>
              <w:t>​</w:t>
            </w:r>
          </w:p>
        </w:tc>
        <w:tc>
          <w:tcPr>
            <w:tcW w:w="2194" w:type="pct"/>
            <w:tcMar>
              <w:top w:w="0" w:type="dxa"/>
              <w:left w:w="0" w:type="dxa"/>
              <w:bottom w:w="0" w:type="dxa"/>
              <w:right w:w="0" w:type="dxa"/>
            </w:tcMar>
            <w:hideMark/>
          </w:tcPr>
          <w:p w:rsidR="00000000" w:rsidRDefault="008B747E">
            <w:pPr>
              <w:pStyle w:val="a3"/>
              <w:spacing w:before="0" w:beforeAutospacing="0" w:after="0" w:afterAutospacing="0"/>
              <w:jc w:val="center"/>
              <w:rPr>
                <w:sz w:val="18"/>
                <w:szCs w:val="18"/>
              </w:rPr>
            </w:pPr>
            <w:r>
              <w:rPr>
                <w:sz w:val="18"/>
                <w:szCs w:val="18"/>
              </w:rPr>
              <w:t>NASDAQ Global Market</w:t>
            </w:r>
          </w:p>
        </w:tc>
      </w:tr>
    </w:tbl>
    <w:p w:rsidR="00000000" w:rsidRDefault="008B747E">
      <w:pPr>
        <w:pStyle w:val="a3"/>
        <w:spacing w:before="0" w:beforeAutospacing="0" w:after="0" w:afterAutospacing="0"/>
        <w:ind w:firstLine="490"/>
        <w:divId w:val="684094127"/>
        <w:rPr>
          <w:sz w:val="20"/>
          <w:szCs w:val="20"/>
        </w:rPr>
      </w:pPr>
      <w:r>
        <w:rPr>
          <w:sz w:val="10"/>
          <w:szCs w:val="10"/>
        </w:rPr>
        <w:t>​</w:t>
      </w:r>
    </w:p>
    <w:p w:rsidR="00000000" w:rsidRDefault="008B747E">
      <w:pPr>
        <w:pStyle w:val="a3"/>
        <w:spacing w:before="0" w:beforeAutospacing="0" w:after="0" w:afterAutospacing="0"/>
        <w:ind w:firstLine="490"/>
        <w:divId w:val="684094127"/>
        <w:rPr>
          <w:sz w:val="18"/>
          <w:szCs w:val="18"/>
        </w:rPr>
      </w:pPr>
      <w:r>
        <w:rPr>
          <w:sz w:val="18"/>
          <w:szCs w:val="18"/>
        </w:rPr>
        <w:t>As of July 26, 2019, the number of the registrant’s outstanding ordinary shares was 56,637,038</w:t>
      </w:r>
      <w:r>
        <w:rPr>
          <w:sz w:val="20"/>
          <w:szCs w:val="20"/>
        </w:rPr>
        <w:t>.</w:t>
      </w:r>
    </w:p>
    <w:p w:rsidR="00000000" w:rsidRDefault="008B747E">
      <w:pPr>
        <w:pStyle w:val="a3"/>
        <w:pBdr>
          <w:top w:val="single" w:sz="8" w:space="1" w:color="000000"/>
          <w:bottom w:val="single" w:sz="24" w:space="1" w:color="000000"/>
        </w:pBdr>
        <w:spacing w:before="0" w:beforeAutospacing="0" w:after="0" w:afterAutospacing="0"/>
        <w:divId w:val="684094127"/>
        <w:rPr>
          <w:sz w:val="20"/>
          <w:szCs w:val="20"/>
        </w:rPr>
      </w:pPr>
      <w:r>
        <w:rPr>
          <w:sz w:val="2"/>
          <w:szCs w:val="2"/>
        </w:rPr>
        <w:t>​</w:t>
      </w:r>
    </w:p>
    <w:p w:rsidR="00000000" w:rsidRDefault="008B747E">
      <w:pPr>
        <w:pStyle w:val="a3"/>
        <w:spacing w:before="0" w:beforeAutospacing="0" w:after="0" w:afterAutospacing="0" w:line="0" w:lineRule="atLeast"/>
        <w:jc w:val="center"/>
        <w:divId w:val="684094127"/>
        <w:rPr>
          <w:vanish/>
        </w:rPr>
      </w:pPr>
      <w:r>
        <w:rPr>
          <w:vanish/>
          <w:sz w:val="2"/>
          <w:szCs w:val="2"/>
        </w:rPr>
        <w:t>​</w:t>
      </w:r>
    </w:p>
    <w:p w:rsidR="00000000" w:rsidRDefault="008B747E">
      <w:pPr>
        <w:pStyle w:val="a3"/>
        <w:spacing w:before="0" w:beforeAutospacing="0" w:after="600" w:afterAutospacing="0"/>
        <w:divId w:val="1924295746"/>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jc w:val="center"/>
        <w:divId w:val="625770472"/>
        <w:rPr>
          <w:sz w:val="20"/>
          <w:szCs w:val="20"/>
        </w:rPr>
      </w:pPr>
      <w:r>
        <w:rPr>
          <w:b/>
          <w:bCs/>
          <w:sz w:val="20"/>
          <w:szCs w:val="20"/>
        </w:rPr>
        <w:t>THERAVANCE BIOPHARMA, INC.</w:t>
      </w:r>
    </w:p>
    <w:p w:rsidR="00000000" w:rsidRDefault="008B747E">
      <w:pPr>
        <w:pStyle w:val="a3"/>
        <w:spacing w:before="0" w:beforeAutospacing="0" w:after="0" w:afterAutospacing="0"/>
        <w:jc w:val="center"/>
        <w:divId w:val="625770472"/>
        <w:rPr>
          <w:sz w:val="20"/>
          <w:szCs w:val="20"/>
        </w:rPr>
      </w:pPr>
      <w:r>
        <w:rPr>
          <w:b/>
          <w:bCs/>
          <w:sz w:val="20"/>
          <w:szCs w:val="20"/>
        </w:rPr>
        <w:t>TABLE OF CONTENTS</w:t>
      </w:r>
    </w:p>
    <w:p w:rsidR="00000000" w:rsidRDefault="008B747E">
      <w:pPr>
        <w:pStyle w:val="a3"/>
        <w:spacing w:before="0" w:beforeAutospacing="0" w:after="0" w:afterAutospacing="0"/>
        <w:divId w:val="625770472"/>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7701"/>
        <w:gridCol w:w="605"/>
      </w:tblGrid>
      <w:tr w:rsidR="00000000">
        <w:trPr>
          <w:divId w:val="625770472"/>
          <w:trHeight w:val="20"/>
        </w:trPr>
        <w:tc>
          <w:tcPr>
            <w:tcW w:w="468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divId w:val="1515722841"/>
              <w:rPr>
                <w:sz w:val="20"/>
                <w:szCs w:val="20"/>
              </w:rPr>
            </w:pPr>
            <w:r>
              <w:rPr>
                <w:sz w:val="2"/>
                <w:szCs w:val="2"/>
              </w:rPr>
              <w:t>​</w:t>
            </w:r>
          </w:p>
        </w:tc>
        <w:tc>
          <w:tcPr>
            <w:tcW w:w="312"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divId w:val="1514225523"/>
              <w:rPr>
                <w:sz w:val="20"/>
                <w:szCs w:val="20"/>
              </w:rPr>
            </w:pPr>
            <w:r>
              <w:rPr>
                <w:sz w:val="2"/>
                <w:szCs w:val="2"/>
              </w:rPr>
              <w:t>​</w:t>
            </w:r>
          </w:p>
        </w:tc>
      </w:tr>
      <w:tr w:rsidR="00000000">
        <w:trPr>
          <w:divId w:val="625770472"/>
        </w:trPr>
        <w:tc>
          <w:tcPr>
            <w:tcW w:w="468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rFonts w:ascii="Times New Roman Bold" w:hAnsi="Times New Roman Bold"/>
                <w:sz w:val="16"/>
                <w:szCs w:val="16"/>
              </w:rPr>
              <w:t>​</w:t>
            </w:r>
          </w:p>
        </w:tc>
        <w:tc>
          <w:tcPr>
            <w:tcW w:w="312" w:type="pct"/>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rFonts w:ascii="Times New Roman Bold" w:hAnsi="Times New Roman Bold"/>
                <w:b/>
                <w:bCs/>
                <w:sz w:val="16"/>
                <w:szCs w:val="16"/>
              </w:rPr>
              <w:t>Page No.</w:t>
            </w:r>
          </w:p>
        </w:tc>
      </w:tr>
      <w:tr w:rsidR="00000000">
        <w:trPr>
          <w:divId w:val="625770472"/>
        </w:trPr>
        <w:tc>
          <w:tcPr>
            <w:tcW w:w="468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hyperlink w:anchor="PARTIFINANCIALINFORMATION_279812" w:history="1">
              <w:r>
                <w:rPr>
                  <w:rStyle w:val="a4"/>
                  <w:b/>
                  <w:bCs/>
                  <w:sz w:val="20"/>
                  <w:szCs w:val="20"/>
                </w:rPr>
                <w:t>PART I. FINANCIAL INFORMATION</w:t>
              </w:r>
            </w:hyperlink>
          </w:p>
        </w:tc>
        <w:tc>
          <w:tcPr>
            <w:tcW w:w="312" w:type="pct"/>
            <w:tcBorders>
              <w:top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r>
      <w:tr w:rsidR="00000000">
        <w:trPr>
          <w:divId w:val="625770472"/>
        </w:trPr>
        <w:tc>
          <w:tcPr>
            <w:tcW w:w="468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hyperlink w:anchor="ITEM1FINANCIALSTATEMENTS_368827" w:history="1">
              <w:r>
                <w:rPr>
                  <w:rStyle w:val="a4"/>
                  <w:sz w:val="20"/>
                  <w:szCs w:val="20"/>
                </w:rPr>
                <w:t>Item 1. Financial Statements</w:t>
              </w:r>
            </w:hyperlink>
          </w:p>
        </w:tc>
        <w:tc>
          <w:tcPr>
            <w:tcW w:w="312"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r>
      <w:tr w:rsidR="00000000">
        <w:trPr>
          <w:divId w:val="625770472"/>
        </w:trPr>
        <w:tc>
          <w:tcPr>
            <w:tcW w:w="468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144"/>
              <w:rPr>
                <w:sz w:val="20"/>
                <w:szCs w:val="20"/>
              </w:rPr>
            </w:pPr>
            <w:hyperlink w:anchor="CONSOLIDATEDBALANCESHEETS_45369" w:history="1">
              <w:r>
                <w:rPr>
                  <w:rStyle w:val="a4"/>
                  <w:sz w:val="20"/>
                  <w:szCs w:val="20"/>
                </w:rPr>
                <w:t>Condensed Consolidated Balance Sheets as of June 30, 2019 and December 31, 2018 (unaudited)</w:t>
              </w:r>
            </w:hyperlink>
          </w:p>
        </w:tc>
        <w:tc>
          <w:tcPr>
            <w:tcW w:w="312"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3</w:t>
            </w:r>
          </w:p>
        </w:tc>
      </w:tr>
      <w:tr w:rsidR="00000000">
        <w:trPr>
          <w:divId w:val="625770472"/>
        </w:trPr>
        <w:tc>
          <w:tcPr>
            <w:tcW w:w="468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ind w:left="144" w:hanging="144"/>
              <w:rPr>
                <w:sz w:val="20"/>
                <w:szCs w:val="20"/>
              </w:rPr>
            </w:pPr>
            <w:hyperlink w:anchor="CONSOLIDATEDSTATEMENTSOFOPERATIONS_3228" w:history="1">
              <w:r>
                <w:rPr>
                  <w:rStyle w:val="a4"/>
                  <w:sz w:val="20"/>
                  <w:szCs w:val="20"/>
                </w:rPr>
                <w:t>Condensed Consolidated Statements of Operations and Comprehensive Loss for the three and six months</w:t>
              </w:r>
              <w:r>
                <w:rPr>
                  <w:rStyle w:val="a4"/>
                  <w:sz w:val="20"/>
                  <w:szCs w:val="20"/>
                </w:rPr>
                <w:t xml:space="preserve"> ended June 30, 2019 and 2018 (unaudited)</w:t>
              </w:r>
            </w:hyperlink>
          </w:p>
        </w:tc>
        <w:tc>
          <w:tcPr>
            <w:tcW w:w="312"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4</w:t>
            </w:r>
          </w:p>
        </w:tc>
      </w:tr>
      <w:tr w:rsidR="00000000">
        <w:trPr>
          <w:divId w:val="625770472"/>
        </w:trPr>
        <w:tc>
          <w:tcPr>
            <w:tcW w:w="468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144" w:hanging="144"/>
              <w:rPr>
                <w:sz w:val="20"/>
                <w:szCs w:val="20"/>
              </w:rPr>
            </w:pPr>
            <w:hyperlink w:anchor="CONSOLIDATEDSTATEMENTSOFSHAREHOLDERS_32" w:history="1">
              <w:r>
                <w:rPr>
                  <w:rStyle w:val="a4"/>
                  <w:sz w:val="20"/>
                  <w:szCs w:val="20"/>
                </w:rPr>
                <w:t>Condensed Consolidated Statements of Shareholders’ Equity (Deficit) for the three and six months ended June 30, 2019 and 2018 (unaudited)</w:t>
              </w:r>
            </w:hyperlink>
          </w:p>
        </w:tc>
        <w:tc>
          <w:tcPr>
            <w:tcW w:w="312"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5</w:t>
            </w:r>
          </w:p>
        </w:tc>
      </w:tr>
      <w:tr w:rsidR="00000000">
        <w:trPr>
          <w:divId w:val="625770472"/>
        </w:trPr>
        <w:tc>
          <w:tcPr>
            <w:tcW w:w="468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ind w:left="144" w:hanging="144"/>
              <w:rPr>
                <w:sz w:val="20"/>
                <w:szCs w:val="20"/>
              </w:rPr>
            </w:pPr>
            <w:hyperlink w:anchor="CONSOLIDATEDSTATEMENTSOFCASHFLOWS_69820" w:history="1">
              <w:r>
                <w:rPr>
                  <w:rStyle w:val="a4"/>
                  <w:sz w:val="20"/>
                  <w:szCs w:val="20"/>
                </w:rPr>
                <w:t>Condensed Consolidated Statements of Cash Flows for the six months ended June 30, 2019 and 2018 (unaudited)</w:t>
              </w:r>
            </w:hyperlink>
          </w:p>
        </w:tc>
        <w:tc>
          <w:tcPr>
            <w:tcW w:w="312"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6</w:t>
            </w:r>
          </w:p>
        </w:tc>
      </w:tr>
      <w:tr w:rsidR="00000000">
        <w:trPr>
          <w:divId w:val="625770472"/>
        </w:trPr>
        <w:tc>
          <w:tcPr>
            <w:tcW w:w="468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144"/>
              <w:rPr>
                <w:sz w:val="20"/>
                <w:szCs w:val="20"/>
              </w:rPr>
            </w:pPr>
            <w:hyperlink w:anchor="NOTESTOCONDENSEDCONSOLIDATEDFINANCIAL_8" w:history="1">
              <w:r>
                <w:rPr>
                  <w:rStyle w:val="a4"/>
                  <w:sz w:val="20"/>
                  <w:szCs w:val="20"/>
                </w:rPr>
                <w:t>Notes to Condensed Consolidat</w:t>
              </w:r>
              <w:r>
                <w:rPr>
                  <w:rStyle w:val="a4"/>
                  <w:sz w:val="20"/>
                  <w:szCs w:val="20"/>
                </w:rPr>
                <w:t>ed Financial Statements (unaudited)</w:t>
              </w:r>
            </w:hyperlink>
          </w:p>
        </w:tc>
        <w:tc>
          <w:tcPr>
            <w:tcW w:w="312"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7</w:t>
            </w:r>
          </w:p>
        </w:tc>
      </w:tr>
      <w:tr w:rsidR="00000000">
        <w:trPr>
          <w:divId w:val="625770472"/>
        </w:trPr>
        <w:tc>
          <w:tcPr>
            <w:tcW w:w="468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hyperlink w:anchor="MANAGEMENTSDISCUSSIONANDANALYSIS_237225" w:history="1">
              <w:r>
                <w:rPr>
                  <w:rStyle w:val="a4"/>
                  <w:sz w:val="20"/>
                  <w:szCs w:val="20"/>
                </w:rPr>
                <w:t>Item 2. Management’</w:t>
              </w:r>
              <w:r>
                <w:rPr>
                  <w:rStyle w:val="a4"/>
                  <w:sz w:val="20"/>
                  <w:szCs w:val="20"/>
                </w:rPr>
                <w:t>s Discussion and Analysis of Financial Condition and Results of Operations</w:t>
              </w:r>
            </w:hyperlink>
          </w:p>
        </w:tc>
        <w:tc>
          <w:tcPr>
            <w:tcW w:w="312"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20</w:t>
            </w:r>
          </w:p>
        </w:tc>
      </w:tr>
      <w:tr w:rsidR="00000000">
        <w:trPr>
          <w:divId w:val="625770472"/>
        </w:trPr>
        <w:tc>
          <w:tcPr>
            <w:tcW w:w="468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hyperlink w:anchor="QUANTITATIVEANDQUALITATIVEDISCLOSURES_5" w:history="1">
              <w:r>
                <w:rPr>
                  <w:rStyle w:val="a4"/>
                  <w:sz w:val="20"/>
                  <w:szCs w:val="20"/>
                </w:rPr>
                <w:t>Item 3. Quantitative and Qualitative Disclosures About Market Risk</w:t>
              </w:r>
            </w:hyperlink>
          </w:p>
        </w:tc>
        <w:tc>
          <w:tcPr>
            <w:tcW w:w="312"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33</w:t>
            </w:r>
          </w:p>
        </w:tc>
      </w:tr>
      <w:tr w:rsidR="00000000">
        <w:trPr>
          <w:divId w:val="625770472"/>
        </w:trPr>
        <w:tc>
          <w:tcPr>
            <w:tcW w:w="468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hyperlink w:anchor="CONTROLSANDPROCEDURES_651619" w:history="1">
              <w:r>
                <w:rPr>
                  <w:rStyle w:val="a4"/>
                  <w:sz w:val="20"/>
                  <w:szCs w:val="20"/>
                </w:rPr>
                <w:t>Item 4. Controls and Procedures</w:t>
              </w:r>
            </w:hyperlink>
          </w:p>
        </w:tc>
        <w:tc>
          <w:tcPr>
            <w:tcW w:w="312"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33</w:t>
            </w:r>
          </w:p>
        </w:tc>
      </w:tr>
      <w:tr w:rsidR="00000000">
        <w:trPr>
          <w:divId w:val="625770472"/>
        </w:trPr>
        <w:tc>
          <w:tcPr>
            <w:tcW w:w="468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12"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r>
      <w:tr w:rsidR="00000000">
        <w:trPr>
          <w:divId w:val="625770472"/>
        </w:trPr>
        <w:tc>
          <w:tcPr>
            <w:tcW w:w="468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hyperlink w:anchor="PARTIIOTHERINFORMATION_797321" w:history="1">
              <w:r>
                <w:rPr>
                  <w:rStyle w:val="a4"/>
                  <w:b/>
                  <w:bCs/>
                  <w:sz w:val="20"/>
                  <w:szCs w:val="20"/>
                </w:rPr>
                <w:t>PART II. OTHER INFORMATION</w:t>
              </w:r>
            </w:hyperlink>
          </w:p>
        </w:tc>
        <w:tc>
          <w:tcPr>
            <w:tcW w:w="312"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r>
      <w:tr w:rsidR="00000000">
        <w:trPr>
          <w:divId w:val="625770472"/>
        </w:trPr>
        <w:tc>
          <w:tcPr>
            <w:tcW w:w="468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hyperlink w:anchor="ITEM1LEGALPROCEEDINGS_174301" w:history="1">
              <w:r>
                <w:rPr>
                  <w:rStyle w:val="a4"/>
                  <w:sz w:val="20"/>
                  <w:szCs w:val="20"/>
                </w:rPr>
                <w:t>Item 1. Legal Proceedings</w:t>
              </w:r>
            </w:hyperlink>
          </w:p>
        </w:tc>
        <w:tc>
          <w:tcPr>
            <w:tcW w:w="312"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34</w:t>
            </w:r>
          </w:p>
        </w:tc>
      </w:tr>
      <w:tr w:rsidR="00000000">
        <w:trPr>
          <w:divId w:val="625770472"/>
        </w:trPr>
        <w:tc>
          <w:tcPr>
            <w:tcW w:w="468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hyperlink w:anchor="ITEM1ARISKFACTORS_513956" w:history="1">
              <w:r>
                <w:rPr>
                  <w:rStyle w:val="a4"/>
                  <w:sz w:val="20"/>
                  <w:szCs w:val="20"/>
                </w:rPr>
                <w:t>Item 1A. Risk Factors</w:t>
              </w:r>
            </w:hyperlink>
          </w:p>
        </w:tc>
        <w:tc>
          <w:tcPr>
            <w:tcW w:w="312"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34</w:t>
            </w:r>
          </w:p>
        </w:tc>
      </w:tr>
      <w:tr w:rsidR="00000000">
        <w:trPr>
          <w:divId w:val="625770472"/>
        </w:trPr>
        <w:tc>
          <w:tcPr>
            <w:tcW w:w="468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hyperlink w:anchor="ITEM2UNREGISTEREDSALESOFEQUITYSECURITIE" w:history="1">
              <w:r>
                <w:rPr>
                  <w:rStyle w:val="a4"/>
                  <w:sz w:val="20"/>
                  <w:szCs w:val="20"/>
                </w:rPr>
                <w:t>Item 2. Unregistered Sales of Equity Securities and Use of Proceeds</w:t>
              </w:r>
            </w:hyperlink>
          </w:p>
        </w:tc>
        <w:tc>
          <w:tcPr>
            <w:tcW w:w="312"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65</w:t>
            </w:r>
          </w:p>
        </w:tc>
      </w:tr>
      <w:tr w:rsidR="00000000">
        <w:trPr>
          <w:divId w:val="625770472"/>
        </w:trPr>
        <w:tc>
          <w:tcPr>
            <w:tcW w:w="468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hyperlink w:anchor="ITEM6EXHIBITS_250977" w:history="1">
              <w:r>
                <w:rPr>
                  <w:rStyle w:val="a4"/>
                  <w:sz w:val="20"/>
                  <w:szCs w:val="20"/>
                </w:rPr>
                <w:t>Item 6. Exhibits</w:t>
              </w:r>
            </w:hyperlink>
          </w:p>
        </w:tc>
        <w:tc>
          <w:tcPr>
            <w:tcW w:w="312"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66</w:t>
            </w:r>
          </w:p>
        </w:tc>
      </w:tr>
      <w:tr w:rsidR="00000000">
        <w:trPr>
          <w:divId w:val="625770472"/>
        </w:trPr>
        <w:tc>
          <w:tcPr>
            <w:tcW w:w="468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hyperlink w:anchor="SIGNATURES_417351" w:history="1">
              <w:r>
                <w:rPr>
                  <w:rStyle w:val="a4"/>
                  <w:sz w:val="20"/>
                  <w:szCs w:val="20"/>
                </w:rPr>
                <w:t>Signatures</w:t>
              </w:r>
            </w:hyperlink>
          </w:p>
        </w:tc>
        <w:tc>
          <w:tcPr>
            <w:tcW w:w="312"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67</w:t>
            </w:r>
          </w:p>
        </w:tc>
      </w:tr>
    </w:tbl>
    <w:p w:rsidR="00000000" w:rsidRDefault="008B747E">
      <w:pPr>
        <w:pStyle w:val="a3"/>
        <w:spacing w:before="0" w:beforeAutospacing="0" w:after="0" w:afterAutospacing="0"/>
        <w:divId w:val="625770472"/>
        <w:rPr>
          <w:sz w:val="20"/>
          <w:szCs w:val="20"/>
        </w:rPr>
      </w:pPr>
      <w:r>
        <w:rPr>
          <w:sz w:val="20"/>
          <w:szCs w:val="20"/>
        </w:rPr>
        <w:t>​</w:t>
      </w:r>
    </w:p>
    <w:p w:rsidR="00000000" w:rsidRDefault="008B747E">
      <w:pPr>
        <w:pStyle w:val="a3"/>
        <w:spacing w:before="0" w:beforeAutospacing="0" w:after="0" w:afterAutospacing="0"/>
        <w:divId w:val="625770472"/>
        <w:rPr>
          <w:sz w:val="20"/>
          <w:szCs w:val="20"/>
        </w:rPr>
      </w:pPr>
      <w:r>
        <w:rPr>
          <w:sz w:val="20"/>
          <w:szCs w:val="20"/>
        </w:rPr>
        <w:t>​</w:t>
      </w:r>
    </w:p>
    <w:p w:rsidR="00000000" w:rsidRDefault="008B747E">
      <w:pPr>
        <w:pStyle w:val="a3"/>
        <w:spacing w:before="0" w:beforeAutospacing="0" w:after="0" w:afterAutospacing="0"/>
        <w:divId w:val="625770472"/>
        <w:rPr>
          <w:sz w:val="20"/>
          <w:szCs w:val="20"/>
        </w:rPr>
      </w:pPr>
      <w:r>
        <w:rPr>
          <w:sz w:val="20"/>
          <w:szCs w:val="20"/>
        </w:rPr>
        <w:t>​</w:t>
      </w:r>
    </w:p>
    <w:p w:rsidR="00000000" w:rsidRDefault="008B747E">
      <w:pPr>
        <w:pStyle w:val="a3"/>
        <w:spacing w:before="360" w:beforeAutospacing="0" w:after="0" w:afterAutospacing="0"/>
        <w:jc w:val="center"/>
        <w:divId w:val="218178649"/>
        <w:rPr>
          <w:sz w:val="20"/>
          <w:szCs w:val="20"/>
        </w:rPr>
      </w:pPr>
      <w:r>
        <w:rPr>
          <w:sz w:val="20"/>
          <w:szCs w:val="20"/>
        </w:rPr>
        <w:t>2</w:t>
      </w:r>
    </w:p>
    <w:p w:rsidR="00000000" w:rsidRDefault="008B747E">
      <w:pPr>
        <w:pStyle w:val="a3"/>
        <w:spacing w:before="0" w:beforeAutospacing="0" w:after="600" w:afterAutospacing="0"/>
        <w:divId w:val="1458135165"/>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1729256858"/>
        <w:rPr>
          <w:sz w:val="20"/>
          <w:szCs w:val="20"/>
        </w:rPr>
      </w:pPr>
      <w:r>
        <w:rPr>
          <w:b/>
          <w:bCs/>
          <w:sz w:val="20"/>
          <w:szCs w:val="20"/>
        </w:rPr>
        <w:lastRenderedPageBreak/>
        <w:t>PART I. FINANCIAL INFORMATION</w:t>
      </w:r>
    </w:p>
    <w:p w:rsidR="00000000" w:rsidRDefault="008B747E">
      <w:pPr>
        <w:pStyle w:val="a3"/>
        <w:spacing w:before="0" w:beforeAutospacing="0" w:after="240" w:afterAutospacing="0"/>
        <w:ind w:hanging="1008"/>
        <w:divId w:val="1729256858"/>
        <w:rPr>
          <w:sz w:val="20"/>
          <w:szCs w:val="20"/>
        </w:rPr>
      </w:pPr>
      <w:r>
        <w:rPr>
          <w:b/>
          <w:bCs/>
          <w:sz w:val="20"/>
          <w:szCs w:val="20"/>
        </w:rPr>
        <w:t>ITEM 1.    FINANCIAL STATEMENTS</w:t>
      </w:r>
    </w:p>
    <w:p w:rsidR="00000000" w:rsidRDefault="008B747E">
      <w:pPr>
        <w:pStyle w:val="a3"/>
        <w:spacing w:before="0" w:beforeAutospacing="0" w:after="0" w:afterAutospacing="0"/>
        <w:jc w:val="center"/>
        <w:divId w:val="1729256858"/>
        <w:rPr>
          <w:sz w:val="20"/>
          <w:szCs w:val="20"/>
        </w:rPr>
      </w:pPr>
      <w:r>
        <w:rPr>
          <w:b/>
          <w:bCs/>
          <w:sz w:val="20"/>
          <w:szCs w:val="20"/>
        </w:rPr>
        <w:t>THERAVANCE BIOPHARMA, INC.</w:t>
      </w:r>
    </w:p>
    <w:p w:rsidR="00000000" w:rsidRDefault="008B747E">
      <w:pPr>
        <w:pStyle w:val="a3"/>
        <w:spacing w:before="0" w:beforeAutospacing="0" w:after="0" w:afterAutospacing="0"/>
        <w:jc w:val="center"/>
        <w:divId w:val="1729256858"/>
        <w:rPr>
          <w:sz w:val="20"/>
          <w:szCs w:val="20"/>
        </w:rPr>
      </w:pPr>
      <w:r>
        <w:rPr>
          <w:b/>
          <w:bCs/>
          <w:sz w:val="20"/>
          <w:szCs w:val="20"/>
        </w:rPr>
        <w:t>CONDENSED CONSOLIDATED BALANCE SHEETS</w:t>
      </w:r>
    </w:p>
    <w:p w:rsidR="00000000" w:rsidRDefault="008B747E">
      <w:pPr>
        <w:pStyle w:val="a3"/>
        <w:spacing w:before="0" w:beforeAutospacing="0" w:after="0" w:afterAutospacing="0"/>
        <w:jc w:val="center"/>
        <w:divId w:val="1729256858"/>
        <w:rPr>
          <w:sz w:val="20"/>
          <w:szCs w:val="20"/>
        </w:rPr>
      </w:pPr>
      <w:r>
        <w:rPr>
          <w:b/>
          <w:bCs/>
          <w:sz w:val="20"/>
          <w:szCs w:val="20"/>
        </w:rPr>
        <w:t>(Unaudited)</w:t>
      </w:r>
    </w:p>
    <w:p w:rsidR="00000000" w:rsidRDefault="008B747E">
      <w:pPr>
        <w:pStyle w:val="a3"/>
        <w:spacing w:before="0" w:beforeAutospacing="0" w:after="120" w:afterAutospacing="0"/>
        <w:jc w:val="center"/>
        <w:divId w:val="1729256858"/>
        <w:rPr>
          <w:sz w:val="20"/>
          <w:szCs w:val="20"/>
        </w:rPr>
      </w:pPr>
      <w:r>
        <w:rPr>
          <w:b/>
          <w:bCs/>
          <w:sz w:val="20"/>
          <w:szCs w:val="20"/>
        </w:rPr>
        <w:t>(In thousa</w:t>
      </w:r>
      <w:r>
        <w:rPr>
          <w:b/>
          <w:bCs/>
          <w:sz w:val="20"/>
          <w:szCs w:val="20"/>
        </w:rPr>
        <w:t>nds, except per share data)</w:t>
      </w:r>
    </w:p>
    <w:tbl>
      <w:tblPr>
        <w:tblW w:w="5000" w:type="pct"/>
        <w:tblCellMar>
          <w:top w:w="15" w:type="dxa"/>
          <w:left w:w="0" w:type="dxa"/>
          <w:bottom w:w="15" w:type="dxa"/>
          <w:right w:w="0" w:type="dxa"/>
        </w:tblCellMar>
        <w:tblLook w:val="04A0" w:firstRow="1" w:lastRow="0" w:firstColumn="1" w:lastColumn="0" w:noHBand="0" w:noVBand="1"/>
      </w:tblPr>
      <w:tblGrid>
        <w:gridCol w:w="5799"/>
        <w:gridCol w:w="183"/>
        <w:gridCol w:w="183"/>
        <w:gridCol w:w="887"/>
        <w:gridCol w:w="183"/>
        <w:gridCol w:w="184"/>
        <w:gridCol w:w="887"/>
      </w:tblGrid>
      <w:tr w:rsidR="00000000">
        <w:trPr>
          <w:divId w:val="1729256858"/>
          <w:trHeight w:val="20"/>
        </w:trPr>
        <w:tc>
          <w:tcPr>
            <w:tcW w:w="3504" w:type="pct"/>
            <w:tcMar>
              <w:top w:w="0" w:type="dxa"/>
              <w:left w:w="0" w:type="dxa"/>
              <w:bottom w:w="0" w:type="dxa"/>
              <w:right w:w="0" w:type="dxa"/>
            </w:tcMar>
            <w:hideMark/>
          </w:tcPr>
          <w:p w:rsidR="00000000" w:rsidRDefault="008B747E">
            <w:pPr>
              <w:pStyle w:val="a3"/>
              <w:spacing w:before="0" w:beforeAutospacing="0" w:after="0" w:afterAutospacing="0"/>
              <w:divId w:val="1363241704"/>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914578726"/>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425351802"/>
              <w:rPr>
                <w:sz w:val="20"/>
                <w:szCs w:val="20"/>
              </w:rPr>
            </w:pPr>
            <w:r>
              <w:rPr>
                <w:sz w:val="2"/>
                <w:szCs w:val="2"/>
              </w:rPr>
              <w:t>​</w:t>
            </w:r>
          </w:p>
        </w:tc>
        <w:tc>
          <w:tcPr>
            <w:tcW w:w="496"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374938590"/>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5911699"/>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941444964"/>
              <w:rPr>
                <w:sz w:val="20"/>
                <w:szCs w:val="20"/>
              </w:rPr>
            </w:pPr>
            <w:r>
              <w:rPr>
                <w:sz w:val="2"/>
                <w:szCs w:val="2"/>
              </w:rPr>
              <w:t>​</w:t>
            </w:r>
          </w:p>
        </w:tc>
        <w:tc>
          <w:tcPr>
            <w:tcW w:w="495"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805899076"/>
              <w:rPr>
                <w:sz w:val="20"/>
                <w:szCs w:val="20"/>
              </w:rPr>
            </w:pPr>
            <w:r>
              <w:rPr>
                <w:sz w:val="2"/>
                <w:szCs w:val="2"/>
              </w:rPr>
              <w:t>​</w:t>
            </w:r>
          </w:p>
        </w:tc>
      </w:tr>
      <w:tr w:rsidR="00000000">
        <w:trPr>
          <w:divId w:val="1729256858"/>
        </w:trPr>
        <w:tc>
          <w:tcPr>
            <w:tcW w:w="3504"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125"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622"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125"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621"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December 31, </w:t>
            </w:r>
          </w:p>
        </w:tc>
      </w:tr>
      <w:tr w:rsidR="00000000">
        <w:trPr>
          <w:divId w:val="1729256858"/>
        </w:trPr>
        <w:tc>
          <w:tcPr>
            <w:tcW w:w="3504"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125"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62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125"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62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r>
      <w:tr w:rsidR="00000000">
        <w:trPr>
          <w:divId w:val="1729256858"/>
        </w:trPr>
        <w:tc>
          <w:tcPr>
            <w:tcW w:w="3504"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18"/>
                <w:szCs w:val="18"/>
              </w:rPr>
            </w:pPr>
            <w:r>
              <w:rPr>
                <w:b/>
                <w:bCs/>
                <w:sz w:val="19"/>
                <w:szCs w:val="19"/>
              </w:rPr>
              <w:t>Assets</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9"/>
                <w:szCs w:val="19"/>
              </w:rPr>
              <w:t>​</w:t>
            </w:r>
          </w:p>
        </w:tc>
      </w:tr>
      <w:tr w:rsidR="00000000">
        <w:trPr>
          <w:divId w:val="1729256858"/>
        </w:trPr>
        <w:tc>
          <w:tcPr>
            <w:tcW w:w="3504" w:type="pct"/>
            <w:tcMar>
              <w:top w:w="0" w:type="dxa"/>
              <w:left w:w="0" w:type="dxa"/>
              <w:bottom w:w="0" w:type="dxa"/>
              <w:right w:w="0" w:type="dxa"/>
            </w:tcMar>
            <w:hideMark/>
          </w:tcPr>
          <w:p w:rsidR="00000000" w:rsidRDefault="008B747E">
            <w:pPr>
              <w:pStyle w:val="a3"/>
              <w:spacing w:before="0" w:beforeAutospacing="0" w:after="0" w:afterAutospacing="0"/>
              <w:rPr>
                <w:sz w:val="18"/>
                <w:szCs w:val="18"/>
              </w:rPr>
            </w:pPr>
            <w:r>
              <w:rPr>
                <w:sz w:val="19"/>
                <w:szCs w:val="19"/>
              </w:rPr>
              <w:t>Current assets:</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9"/>
                <w:szCs w:val="19"/>
              </w:rPr>
              <w:t>​</w:t>
            </w:r>
          </w:p>
        </w:tc>
      </w:tr>
      <w:tr w:rsidR="00000000">
        <w:trPr>
          <w:divId w:val="1729256858"/>
        </w:trPr>
        <w:tc>
          <w:tcPr>
            <w:tcW w:w="3504"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left="240"/>
              <w:rPr>
                <w:sz w:val="18"/>
                <w:szCs w:val="18"/>
              </w:rPr>
            </w:pPr>
            <w:r>
              <w:rPr>
                <w:sz w:val="19"/>
                <w:szCs w:val="19"/>
              </w:rPr>
              <w:t xml:space="preserve">Cash and cash equivalents </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178,311</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w:t>
            </w:r>
          </w:p>
        </w:tc>
        <w:tc>
          <w:tcPr>
            <w:tcW w:w="49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378,021</w:t>
            </w:r>
          </w:p>
        </w:tc>
      </w:tr>
      <w:tr w:rsidR="00000000">
        <w:trPr>
          <w:divId w:val="1729256858"/>
        </w:trPr>
        <w:tc>
          <w:tcPr>
            <w:tcW w:w="3504" w:type="pct"/>
            <w:tcMar>
              <w:top w:w="0" w:type="dxa"/>
              <w:left w:w="0" w:type="dxa"/>
              <w:bottom w:w="0" w:type="dxa"/>
              <w:right w:w="0" w:type="dxa"/>
            </w:tcMar>
            <w:hideMark/>
          </w:tcPr>
          <w:p w:rsidR="00000000" w:rsidRDefault="008B747E">
            <w:pPr>
              <w:pStyle w:val="a3"/>
              <w:spacing w:before="0" w:beforeAutospacing="0" w:after="0" w:afterAutospacing="0"/>
              <w:ind w:left="240"/>
              <w:rPr>
                <w:sz w:val="18"/>
                <w:szCs w:val="18"/>
              </w:rPr>
            </w:pPr>
            <w:r>
              <w:rPr>
                <w:sz w:val="19"/>
                <w:szCs w:val="19"/>
              </w:rPr>
              <w:t>Short-term marketable securities</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217,761</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5"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127,255</w:t>
            </w:r>
          </w:p>
        </w:tc>
      </w:tr>
      <w:tr w:rsidR="00000000">
        <w:trPr>
          <w:divId w:val="1729256858"/>
        </w:trPr>
        <w:tc>
          <w:tcPr>
            <w:tcW w:w="3504"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left="240"/>
              <w:rPr>
                <w:sz w:val="18"/>
                <w:szCs w:val="18"/>
              </w:rPr>
            </w:pPr>
            <w:r>
              <w:rPr>
                <w:sz w:val="19"/>
                <w:szCs w:val="19"/>
              </w:rPr>
              <w:t>Accounts receivable, net of allowances of $0 at June 30, 2019 and December 31, 2018</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111</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620</w:t>
            </w:r>
          </w:p>
        </w:tc>
      </w:tr>
      <w:tr w:rsidR="00000000">
        <w:trPr>
          <w:divId w:val="1729256858"/>
        </w:trPr>
        <w:tc>
          <w:tcPr>
            <w:tcW w:w="3504" w:type="pct"/>
            <w:tcMar>
              <w:top w:w="0" w:type="dxa"/>
              <w:left w:w="0" w:type="dxa"/>
              <w:bottom w:w="0" w:type="dxa"/>
              <w:right w:w="0" w:type="dxa"/>
            </w:tcMar>
            <w:hideMark/>
          </w:tcPr>
          <w:p w:rsidR="00000000" w:rsidRDefault="008B747E">
            <w:pPr>
              <w:pStyle w:val="a3"/>
              <w:spacing w:before="0" w:beforeAutospacing="0" w:after="0" w:afterAutospacing="0"/>
              <w:ind w:left="240"/>
              <w:rPr>
                <w:sz w:val="18"/>
                <w:szCs w:val="18"/>
              </w:rPr>
            </w:pPr>
            <w:r>
              <w:rPr>
                <w:sz w:val="19"/>
                <w:szCs w:val="19"/>
              </w:rPr>
              <w:t xml:space="preserve">Receivables from collaborative arrangements </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979</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5"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10,053</w:t>
            </w:r>
          </w:p>
        </w:tc>
      </w:tr>
      <w:tr w:rsidR="00000000">
        <w:trPr>
          <w:divId w:val="1729256858"/>
        </w:trPr>
        <w:tc>
          <w:tcPr>
            <w:tcW w:w="3504"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left="240"/>
              <w:rPr>
                <w:sz w:val="18"/>
                <w:szCs w:val="18"/>
              </w:rPr>
            </w:pPr>
            <w:r>
              <w:rPr>
                <w:sz w:val="19"/>
                <w:szCs w:val="19"/>
              </w:rPr>
              <w:t>Amounts due from TRC, LLC</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20,019</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5,422</w:t>
            </w:r>
          </w:p>
        </w:tc>
      </w:tr>
      <w:tr w:rsidR="00000000">
        <w:trPr>
          <w:divId w:val="1729256858"/>
        </w:trPr>
        <w:tc>
          <w:tcPr>
            <w:tcW w:w="3504" w:type="pct"/>
            <w:tcMar>
              <w:top w:w="0" w:type="dxa"/>
              <w:left w:w="0" w:type="dxa"/>
              <w:bottom w:w="0" w:type="dxa"/>
              <w:right w:w="0" w:type="dxa"/>
            </w:tcMar>
            <w:hideMark/>
          </w:tcPr>
          <w:p w:rsidR="00000000" w:rsidRDefault="008B747E">
            <w:pPr>
              <w:pStyle w:val="a3"/>
              <w:spacing w:before="0" w:beforeAutospacing="0" w:after="0" w:afterAutospacing="0"/>
              <w:ind w:left="240"/>
              <w:rPr>
                <w:sz w:val="18"/>
                <w:szCs w:val="18"/>
              </w:rPr>
            </w:pPr>
            <w:r>
              <w:rPr>
                <w:sz w:val="19"/>
                <w:szCs w:val="19"/>
              </w:rPr>
              <w:t>Other prepaid and current assets</w:t>
            </w:r>
            <w:r>
              <w:rPr>
                <w:sz w:val="19"/>
                <w:szCs w:val="19"/>
              </w:rPr>
              <w:t xml:space="preserve"> </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6"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8,857</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11,452</w:t>
            </w:r>
          </w:p>
        </w:tc>
      </w:tr>
      <w:tr w:rsidR="00000000">
        <w:trPr>
          <w:divId w:val="1729256858"/>
        </w:trPr>
        <w:tc>
          <w:tcPr>
            <w:tcW w:w="3504"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left="360"/>
              <w:rPr>
                <w:sz w:val="18"/>
                <w:szCs w:val="18"/>
              </w:rPr>
            </w:pPr>
            <w:r>
              <w:rPr>
                <w:sz w:val="19"/>
                <w:szCs w:val="19"/>
              </w:rPr>
              <w:t xml:space="preserve">Total current assets </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426,038</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532,823</w:t>
            </w:r>
          </w:p>
        </w:tc>
      </w:tr>
      <w:tr w:rsidR="00000000">
        <w:trPr>
          <w:divId w:val="1729256858"/>
        </w:trPr>
        <w:tc>
          <w:tcPr>
            <w:tcW w:w="3504" w:type="pct"/>
            <w:tcMar>
              <w:top w:w="0" w:type="dxa"/>
              <w:left w:w="0" w:type="dxa"/>
              <w:bottom w:w="0" w:type="dxa"/>
              <w:right w:w="0" w:type="dxa"/>
            </w:tcMar>
            <w:hideMark/>
          </w:tcPr>
          <w:p w:rsidR="00000000" w:rsidRDefault="008B747E">
            <w:pPr>
              <w:pStyle w:val="a3"/>
              <w:spacing w:before="0" w:beforeAutospacing="0" w:after="0" w:afterAutospacing="0"/>
              <w:rPr>
                <w:sz w:val="18"/>
                <w:szCs w:val="18"/>
              </w:rPr>
            </w:pPr>
            <w:r>
              <w:rPr>
                <w:sz w:val="19"/>
                <w:szCs w:val="19"/>
              </w:rPr>
              <w:t xml:space="preserve">Property and equipment, net </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12,662</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5"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13,176</w:t>
            </w:r>
          </w:p>
        </w:tc>
      </w:tr>
      <w:tr w:rsidR="00000000">
        <w:trPr>
          <w:divId w:val="1729256858"/>
        </w:trPr>
        <w:tc>
          <w:tcPr>
            <w:tcW w:w="3504"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18"/>
                <w:szCs w:val="18"/>
              </w:rPr>
            </w:pPr>
            <w:r>
              <w:rPr>
                <w:sz w:val="19"/>
                <w:szCs w:val="19"/>
              </w:rPr>
              <w:t>Long-term marketable securities</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11,869</w:t>
            </w:r>
          </w:p>
        </w:tc>
      </w:tr>
      <w:tr w:rsidR="00000000">
        <w:trPr>
          <w:divId w:val="1729256858"/>
        </w:trPr>
        <w:tc>
          <w:tcPr>
            <w:tcW w:w="3504" w:type="pct"/>
            <w:tcMar>
              <w:top w:w="0" w:type="dxa"/>
              <w:left w:w="0" w:type="dxa"/>
              <w:bottom w:w="0" w:type="dxa"/>
              <w:right w:w="0" w:type="dxa"/>
            </w:tcMar>
            <w:hideMark/>
          </w:tcPr>
          <w:p w:rsidR="00000000" w:rsidRDefault="008B747E">
            <w:pPr>
              <w:pStyle w:val="a3"/>
              <w:spacing w:before="0" w:beforeAutospacing="0" w:after="0" w:afterAutospacing="0"/>
              <w:rPr>
                <w:sz w:val="18"/>
                <w:szCs w:val="18"/>
              </w:rPr>
            </w:pPr>
            <w:r>
              <w:rPr>
                <w:sz w:val="19"/>
                <w:szCs w:val="19"/>
              </w:rPr>
              <w:t>Operating lease assets</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47,831</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w:t>
            </w:r>
          </w:p>
        </w:tc>
      </w:tr>
      <w:tr w:rsidR="00000000">
        <w:trPr>
          <w:divId w:val="1729256858"/>
        </w:trPr>
        <w:tc>
          <w:tcPr>
            <w:tcW w:w="3504"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18"/>
                <w:szCs w:val="18"/>
              </w:rPr>
            </w:pPr>
            <w:r>
              <w:rPr>
                <w:sz w:val="19"/>
                <w:szCs w:val="19"/>
              </w:rPr>
              <w:t>Income tax receivable</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3,695</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w:t>
            </w:r>
          </w:p>
        </w:tc>
      </w:tr>
      <w:tr w:rsidR="00000000">
        <w:trPr>
          <w:divId w:val="1729256858"/>
        </w:trPr>
        <w:tc>
          <w:tcPr>
            <w:tcW w:w="3504" w:type="pct"/>
            <w:tcMar>
              <w:top w:w="0" w:type="dxa"/>
              <w:left w:w="0" w:type="dxa"/>
              <w:bottom w:w="0" w:type="dxa"/>
              <w:right w:w="0" w:type="dxa"/>
            </w:tcMar>
            <w:hideMark/>
          </w:tcPr>
          <w:p w:rsidR="00000000" w:rsidRDefault="008B747E">
            <w:pPr>
              <w:pStyle w:val="a3"/>
              <w:spacing w:before="0" w:beforeAutospacing="0" w:after="0" w:afterAutospacing="0"/>
              <w:rPr>
                <w:sz w:val="18"/>
                <w:szCs w:val="18"/>
              </w:rPr>
            </w:pPr>
            <w:r>
              <w:rPr>
                <w:sz w:val="19"/>
                <w:szCs w:val="19"/>
              </w:rPr>
              <w:t xml:space="preserve">Restricted cash </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833</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5"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833</w:t>
            </w:r>
          </w:p>
        </w:tc>
      </w:tr>
      <w:tr w:rsidR="00000000">
        <w:trPr>
          <w:divId w:val="1729256858"/>
        </w:trPr>
        <w:tc>
          <w:tcPr>
            <w:tcW w:w="3504"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18"/>
                <w:szCs w:val="18"/>
              </w:rPr>
            </w:pPr>
            <w:r>
              <w:rPr>
                <w:sz w:val="19"/>
                <w:szCs w:val="19"/>
              </w:rPr>
              <w:t>Other assets</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1,388</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1,534</w:t>
            </w:r>
          </w:p>
        </w:tc>
      </w:tr>
      <w:tr w:rsidR="00000000">
        <w:trPr>
          <w:divId w:val="1729256858"/>
        </w:trPr>
        <w:tc>
          <w:tcPr>
            <w:tcW w:w="3504" w:type="pct"/>
            <w:tcMar>
              <w:top w:w="0" w:type="dxa"/>
              <w:left w:w="0" w:type="dxa"/>
              <w:bottom w:w="0" w:type="dxa"/>
              <w:right w:w="0" w:type="dxa"/>
            </w:tcMar>
            <w:hideMark/>
          </w:tcPr>
          <w:p w:rsidR="00000000" w:rsidRDefault="008B747E">
            <w:pPr>
              <w:pStyle w:val="a3"/>
              <w:spacing w:before="0" w:beforeAutospacing="0" w:after="0" w:afterAutospacing="0"/>
              <w:ind w:left="360"/>
              <w:rPr>
                <w:sz w:val="18"/>
                <w:szCs w:val="18"/>
              </w:rPr>
            </w:pPr>
            <w:r>
              <w:rPr>
                <w:sz w:val="19"/>
                <w:szCs w:val="19"/>
              </w:rPr>
              <w:t xml:space="preserve">Total assets </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492,447</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w:t>
            </w:r>
          </w:p>
        </w:tc>
        <w:tc>
          <w:tcPr>
            <w:tcW w:w="495"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560,235</w:t>
            </w:r>
          </w:p>
        </w:tc>
      </w:tr>
      <w:tr w:rsidR="00000000">
        <w:trPr>
          <w:divId w:val="1729256858"/>
        </w:trPr>
        <w:tc>
          <w:tcPr>
            <w:tcW w:w="3504"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9"/>
                <w:szCs w:val="19"/>
              </w:rPr>
              <w:t>​</w:t>
            </w:r>
          </w:p>
        </w:tc>
      </w:tr>
      <w:tr w:rsidR="00000000">
        <w:trPr>
          <w:divId w:val="1729256858"/>
        </w:trPr>
        <w:tc>
          <w:tcPr>
            <w:tcW w:w="3504" w:type="pct"/>
            <w:tcMar>
              <w:top w:w="0" w:type="dxa"/>
              <w:left w:w="0" w:type="dxa"/>
              <w:bottom w:w="0" w:type="dxa"/>
              <w:right w:w="0" w:type="dxa"/>
            </w:tcMar>
            <w:hideMark/>
          </w:tcPr>
          <w:p w:rsidR="00000000" w:rsidRDefault="008B747E">
            <w:pPr>
              <w:pStyle w:val="a3"/>
              <w:spacing w:before="0" w:beforeAutospacing="0" w:after="0" w:afterAutospacing="0"/>
              <w:rPr>
                <w:sz w:val="18"/>
                <w:szCs w:val="18"/>
              </w:rPr>
            </w:pPr>
            <w:r>
              <w:rPr>
                <w:b/>
                <w:bCs/>
                <w:sz w:val="19"/>
                <w:szCs w:val="19"/>
              </w:rPr>
              <w:t>Liabilities and Shareholders' Deficit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9"/>
                <w:szCs w:val="19"/>
              </w:rPr>
              <w:t>​</w:t>
            </w:r>
          </w:p>
        </w:tc>
      </w:tr>
      <w:tr w:rsidR="00000000">
        <w:trPr>
          <w:divId w:val="1729256858"/>
        </w:trPr>
        <w:tc>
          <w:tcPr>
            <w:tcW w:w="3504"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18"/>
                <w:szCs w:val="18"/>
              </w:rPr>
            </w:pPr>
            <w:r>
              <w:rPr>
                <w:sz w:val="19"/>
                <w:szCs w:val="19"/>
              </w:rPr>
              <w:t>Current liabilities:</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9"/>
                <w:szCs w:val="19"/>
              </w:rPr>
              <w:t>​</w:t>
            </w:r>
          </w:p>
        </w:tc>
      </w:tr>
      <w:tr w:rsidR="00000000">
        <w:trPr>
          <w:divId w:val="1729256858"/>
        </w:trPr>
        <w:tc>
          <w:tcPr>
            <w:tcW w:w="3504" w:type="pct"/>
            <w:tcMar>
              <w:top w:w="0" w:type="dxa"/>
              <w:left w:w="0" w:type="dxa"/>
              <w:bottom w:w="0" w:type="dxa"/>
              <w:right w:w="0" w:type="dxa"/>
            </w:tcMar>
            <w:hideMark/>
          </w:tcPr>
          <w:p w:rsidR="00000000" w:rsidRDefault="008B747E">
            <w:pPr>
              <w:pStyle w:val="a3"/>
              <w:spacing w:before="0" w:beforeAutospacing="0" w:after="0" w:afterAutospacing="0"/>
              <w:ind w:left="240"/>
              <w:rPr>
                <w:sz w:val="18"/>
                <w:szCs w:val="18"/>
              </w:rPr>
            </w:pPr>
            <w:r>
              <w:rPr>
                <w:sz w:val="19"/>
                <w:szCs w:val="19"/>
              </w:rPr>
              <w:t xml:space="preserve">Accounts payable </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w:t>
            </w:r>
          </w:p>
        </w:tc>
        <w:tc>
          <w:tcPr>
            <w:tcW w:w="49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3,501</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w:t>
            </w:r>
          </w:p>
        </w:tc>
        <w:tc>
          <w:tcPr>
            <w:tcW w:w="495"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9,028</w:t>
            </w:r>
          </w:p>
        </w:tc>
      </w:tr>
      <w:tr w:rsidR="00000000">
        <w:trPr>
          <w:divId w:val="1729256858"/>
        </w:trPr>
        <w:tc>
          <w:tcPr>
            <w:tcW w:w="3504"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left="240"/>
              <w:rPr>
                <w:sz w:val="18"/>
                <w:szCs w:val="18"/>
              </w:rPr>
            </w:pPr>
            <w:r>
              <w:rPr>
                <w:sz w:val="19"/>
                <w:szCs w:val="19"/>
              </w:rPr>
              <w:t xml:space="preserve">Accrued personnel-related expenses </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23,495</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23,803</w:t>
            </w:r>
          </w:p>
        </w:tc>
      </w:tr>
      <w:tr w:rsidR="00000000">
        <w:trPr>
          <w:divId w:val="1729256858"/>
        </w:trPr>
        <w:tc>
          <w:tcPr>
            <w:tcW w:w="3504" w:type="pct"/>
            <w:tcMar>
              <w:top w:w="0" w:type="dxa"/>
              <w:left w:w="0" w:type="dxa"/>
              <w:bottom w:w="0" w:type="dxa"/>
              <w:right w:w="0" w:type="dxa"/>
            </w:tcMar>
            <w:hideMark/>
          </w:tcPr>
          <w:p w:rsidR="00000000" w:rsidRDefault="008B747E">
            <w:pPr>
              <w:pStyle w:val="a3"/>
              <w:spacing w:before="0" w:beforeAutospacing="0" w:after="0" w:afterAutospacing="0"/>
              <w:ind w:left="240"/>
              <w:rPr>
                <w:sz w:val="18"/>
                <w:szCs w:val="18"/>
              </w:rPr>
            </w:pPr>
            <w:r>
              <w:rPr>
                <w:sz w:val="19"/>
                <w:szCs w:val="19"/>
              </w:rPr>
              <w:t xml:space="preserve">Accrued clinical and development expenses </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7,404</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5"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11,876</w:t>
            </w:r>
          </w:p>
        </w:tc>
      </w:tr>
      <w:tr w:rsidR="00000000">
        <w:trPr>
          <w:divId w:val="1729256858"/>
        </w:trPr>
        <w:tc>
          <w:tcPr>
            <w:tcW w:w="3504"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left="240"/>
              <w:rPr>
                <w:sz w:val="18"/>
                <w:szCs w:val="18"/>
              </w:rPr>
            </w:pPr>
            <w:r>
              <w:rPr>
                <w:sz w:val="19"/>
                <w:szCs w:val="19"/>
              </w:rPr>
              <w:t>Accrued interest payable</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5,758</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3,086</w:t>
            </w:r>
          </w:p>
        </w:tc>
      </w:tr>
      <w:tr w:rsidR="00000000">
        <w:trPr>
          <w:divId w:val="1729256858"/>
        </w:trPr>
        <w:tc>
          <w:tcPr>
            <w:tcW w:w="3504" w:type="pct"/>
            <w:tcMar>
              <w:top w:w="0" w:type="dxa"/>
              <w:left w:w="0" w:type="dxa"/>
              <w:bottom w:w="0" w:type="dxa"/>
              <w:right w:w="0" w:type="dxa"/>
            </w:tcMar>
            <w:hideMark/>
          </w:tcPr>
          <w:p w:rsidR="00000000" w:rsidRDefault="008B747E">
            <w:pPr>
              <w:pStyle w:val="a3"/>
              <w:spacing w:before="0" w:beforeAutospacing="0" w:after="0" w:afterAutospacing="0"/>
              <w:ind w:left="240"/>
              <w:rPr>
                <w:sz w:val="18"/>
                <w:szCs w:val="18"/>
              </w:rPr>
            </w:pPr>
            <w:r>
              <w:rPr>
                <w:sz w:val="19"/>
                <w:szCs w:val="19"/>
              </w:rPr>
              <w:t>Non-recourse notes due 2033, net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12,348</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w:t>
            </w:r>
          </w:p>
        </w:tc>
      </w:tr>
      <w:tr w:rsidR="00000000">
        <w:trPr>
          <w:divId w:val="1729256858"/>
        </w:trPr>
        <w:tc>
          <w:tcPr>
            <w:tcW w:w="3504"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left="240"/>
              <w:rPr>
                <w:sz w:val="18"/>
                <w:szCs w:val="18"/>
              </w:rPr>
            </w:pPr>
            <w:r>
              <w:rPr>
                <w:sz w:val="19"/>
                <w:szCs w:val="19"/>
              </w:rPr>
              <w:t>Operating lease liabilities</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7,887</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w:t>
            </w:r>
          </w:p>
        </w:tc>
      </w:tr>
      <w:tr w:rsidR="00000000">
        <w:trPr>
          <w:divId w:val="1729256858"/>
        </w:trPr>
        <w:tc>
          <w:tcPr>
            <w:tcW w:w="3504" w:type="pct"/>
            <w:tcMar>
              <w:top w:w="0" w:type="dxa"/>
              <w:left w:w="0" w:type="dxa"/>
              <w:bottom w:w="0" w:type="dxa"/>
              <w:right w:w="0" w:type="dxa"/>
            </w:tcMar>
            <w:hideMark/>
          </w:tcPr>
          <w:p w:rsidR="00000000" w:rsidRDefault="008B747E">
            <w:pPr>
              <w:pStyle w:val="a3"/>
              <w:spacing w:before="0" w:beforeAutospacing="0" w:after="0" w:afterAutospacing="0"/>
              <w:ind w:left="240"/>
              <w:rPr>
                <w:sz w:val="18"/>
                <w:szCs w:val="18"/>
              </w:rPr>
            </w:pPr>
            <w:r>
              <w:rPr>
                <w:sz w:val="19"/>
                <w:szCs w:val="19"/>
              </w:rPr>
              <w:t>Deferred revenue</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43,311</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5"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43,402</w:t>
            </w:r>
          </w:p>
        </w:tc>
      </w:tr>
      <w:tr w:rsidR="00000000">
        <w:trPr>
          <w:divId w:val="1729256858"/>
        </w:trPr>
        <w:tc>
          <w:tcPr>
            <w:tcW w:w="3504"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left="240"/>
              <w:rPr>
                <w:sz w:val="18"/>
                <w:szCs w:val="18"/>
              </w:rPr>
            </w:pPr>
            <w:r>
              <w:rPr>
                <w:sz w:val="19"/>
                <w:szCs w:val="19"/>
              </w:rPr>
              <w:t xml:space="preserve">Other accrued liabilities </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6,432</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7,359</w:t>
            </w:r>
          </w:p>
        </w:tc>
      </w:tr>
      <w:tr w:rsidR="00000000">
        <w:trPr>
          <w:divId w:val="1729256858"/>
        </w:trPr>
        <w:tc>
          <w:tcPr>
            <w:tcW w:w="3504" w:type="pct"/>
            <w:tcMar>
              <w:top w:w="0" w:type="dxa"/>
              <w:left w:w="0" w:type="dxa"/>
              <w:bottom w:w="0" w:type="dxa"/>
              <w:right w:w="0" w:type="dxa"/>
            </w:tcMar>
            <w:hideMark/>
          </w:tcPr>
          <w:p w:rsidR="00000000" w:rsidRDefault="008B747E">
            <w:pPr>
              <w:pStyle w:val="a3"/>
              <w:spacing w:before="0" w:beforeAutospacing="0" w:after="0" w:afterAutospacing="0"/>
              <w:ind w:left="360"/>
              <w:rPr>
                <w:sz w:val="18"/>
                <w:szCs w:val="18"/>
              </w:rPr>
            </w:pPr>
            <w:r>
              <w:rPr>
                <w:sz w:val="19"/>
                <w:szCs w:val="19"/>
              </w:rPr>
              <w:t xml:space="preserve">Total current liabilities </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110,136</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5"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98,554</w:t>
            </w:r>
          </w:p>
        </w:tc>
      </w:tr>
      <w:tr w:rsidR="00000000">
        <w:trPr>
          <w:divId w:val="1729256858"/>
        </w:trPr>
        <w:tc>
          <w:tcPr>
            <w:tcW w:w="3504"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18"/>
                <w:szCs w:val="18"/>
              </w:rPr>
            </w:pPr>
            <w:r>
              <w:rPr>
                <w:sz w:val="19"/>
                <w:szCs w:val="19"/>
              </w:rPr>
              <w:t>Convertible senior notes due 2023, net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225,354</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224,818</w:t>
            </w:r>
          </w:p>
        </w:tc>
      </w:tr>
      <w:tr w:rsidR="00000000">
        <w:trPr>
          <w:divId w:val="1729256858"/>
        </w:trPr>
        <w:tc>
          <w:tcPr>
            <w:tcW w:w="3504" w:type="pct"/>
            <w:tcMar>
              <w:top w:w="0" w:type="dxa"/>
              <w:left w:w="0" w:type="dxa"/>
              <w:bottom w:w="0" w:type="dxa"/>
              <w:right w:w="0" w:type="dxa"/>
            </w:tcMar>
            <w:vAlign w:val="bottom"/>
            <w:hideMark/>
          </w:tcPr>
          <w:p w:rsidR="00000000" w:rsidRDefault="008B747E">
            <w:pPr>
              <w:pStyle w:val="a3"/>
              <w:spacing w:before="0" w:beforeAutospacing="0" w:after="0" w:afterAutospacing="0"/>
              <w:rPr>
                <w:sz w:val="18"/>
                <w:szCs w:val="18"/>
              </w:rPr>
            </w:pPr>
            <w:r>
              <w:rPr>
                <w:sz w:val="19"/>
                <w:szCs w:val="19"/>
              </w:rPr>
              <w:t>Non-recourse notes due 2033, net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217,715</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229,535</w:t>
            </w:r>
          </w:p>
        </w:tc>
      </w:tr>
      <w:tr w:rsidR="00000000">
        <w:trPr>
          <w:divId w:val="1729256858"/>
        </w:trPr>
        <w:tc>
          <w:tcPr>
            <w:tcW w:w="3504"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18"/>
                <w:szCs w:val="18"/>
              </w:rPr>
            </w:pPr>
            <w:r>
              <w:rPr>
                <w:sz w:val="19"/>
                <w:szCs w:val="19"/>
              </w:rPr>
              <w:t xml:space="preserve">Deferred rent </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7,976</w:t>
            </w:r>
          </w:p>
        </w:tc>
      </w:tr>
      <w:tr w:rsidR="00000000">
        <w:trPr>
          <w:divId w:val="1729256858"/>
        </w:trPr>
        <w:tc>
          <w:tcPr>
            <w:tcW w:w="3504" w:type="pct"/>
            <w:tcMar>
              <w:top w:w="0" w:type="dxa"/>
              <w:left w:w="0" w:type="dxa"/>
              <w:bottom w:w="0" w:type="dxa"/>
              <w:right w:w="0" w:type="dxa"/>
            </w:tcMar>
            <w:hideMark/>
          </w:tcPr>
          <w:p w:rsidR="00000000" w:rsidRDefault="008B747E">
            <w:pPr>
              <w:pStyle w:val="a3"/>
              <w:spacing w:before="0" w:beforeAutospacing="0" w:after="0" w:afterAutospacing="0"/>
              <w:rPr>
                <w:sz w:val="18"/>
                <w:szCs w:val="18"/>
              </w:rPr>
            </w:pPr>
            <w:r>
              <w:rPr>
                <w:sz w:val="19"/>
                <w:szCs w:val="19"/>
              </w:rPr>
              <w:t>Long-term operating lease liabilities</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48,565</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w:t>
            </w:r>
          </w:p>
        </w:tc>
      </w:tr>
      <w:tr w:rsidR="00000000">
        <w:trPr>
          <w:divId w:val="1729256858"/>
        </w:trPr>
        <w:tc>
          <w:tcPr>
            <w:tcW w:w="3504"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18"/>
                <w:szCs w:val="18"/>
              </w:rPr>
            </w:pPr>
            <w:r>
              <w:rPr>
                <w:sz w:val="19"/>
                <w:szCs w:val="19"/>
              </w:rPr>
              <w:t>Long-term deferred revenue</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13,444</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26,179</w:t>
            </w:r>
          </w:p>
        </w:tc>
      </w:tr>
      <w:tr w:rsidR="00000000">
        <w:trPr>
          <w:divId w:val="1729256858"/>
        </w:trPr>
        <w:tc>
          <w:tcPr>
            <w:tcW w:w="3504" w:type="pct"/>
            <w:tcMar>
              <w:top w:w="0" w:type="dxa"/>
              <w:left w:w="0" w:type="dxa"/>
              <w:bottom w:w="0" w:type="dxa"/>
              <w:right w:w="0" w:type="dxa"/>
            </w:tcMar>
            <w:hideMark/>
          </w:tcPr>
          <w:p w:rsidR="00000000" w:rsidRDefault="008B747E">
            <w:pPr>
              <w:pStyle w:val="a3"/>
              <w:spacing w:before="0" w:beforeAutospacing="0" w:after="0" w:afterAutospacing="0"/>
              <w:rPr>
                <w:sz w:val="18"/>
                <w:szCs w:val="18"/>
              </w:rPr>
            </w:pPr>
            <w:r>
              <w:rPr>
                <w:sz w:val="19"/>
                <w:szCs w:val="19"/>
              </w:rPr>
              <w:t>Other long-term liabilities</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14,457</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24,762</w:t>
            </w:r>
          </w:p>
        </w:tc>
      </w:tr>
      <w:tr w:rsidR="00000000">
        <w:trPr>
          <w:divId w:val="1729256858"/>
        </w:trPr>
        <w:tc>
          <w:tcPr>
            <w:tcW w:w="3504"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18"/>
                <w:szCs w:val="18"/>
              </w:rPr>
            </w:pPr>
            <w:r>
              <w:rPr>
                <w:sz w:val="19"/>
                <w:szCs w:val="19"/>
              </w:rPr>
              <w:t>Commitments and contingencies</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9"/>
                <w:szCs w:val="19"/>
              </w:rPr>
              <w:t>​</w:t>
            </w:r>
          </w:p>
        </w:tc>
      </w:tr>
      <w:tr w:rsidR="00000000">
        <w:trPr>
          <w:divId w:val="1729256858"/>
        </w:trPr>
        <w:tc>
          <w:tcPr>
            <w:tcW w:w="3504"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9"/>
                <w:szCs w:val="19"/>
              </w:rPr>
              <w:t>​</w:t>
            </w:r>
          </w:p>
        </w:tc>
      </w:tr>
      <w:tr w:rsidR="00000000">
        <w:trPr>
          <w:divId w:val="1729256858"/>
        </w:trPr>
        <w:tc>
          <w:tcPr>
            <w:tcW w:w="3504"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18"/>
                <w:szCs w:val="18"/>
              </w:rPr>
            </w:pPr>
            <w:r>
              <w:rPr>
                <w:b/>
                <w:bCs/>
                <w:sz w:val="19"/>
                <w:szCs w:val="19"/>
              </w:rPr>
              <w:t>Shareholders’ Deficit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9"/>
                <w:szCs w:val="19"/>
              </w:rPr>
              <w:t>​</w:t>
            </w:r>
          </w:p>
        </w:tc>
      </w:tr>
      <w:tr w:rsidR="00000000">
        <w:trPr>
          <w:divId w:val="1729256858"/>
        </w:trPr>
        <w:tc>
          <w:tcPr>
            <w:tcW w:w="3504" w:type="pct"/>
            <w:tcMar>
              <w:top w:w="0" w:type="dxa"/>
              <w:left w:w="0" w:type="dxa"/>
              <w:bottom w:w="0" w:type="dxa"/>
              <w:right w:w="0" w:type="dxa"/>
            </w:tcMar>
            <w:hideMark/>
          </w:tcPr>
          <w:p w:rsidR="00000000" w:rsidRDefault="008B747E">
            <w:pPr>
              <w:pStyle w:val="a3"/>
              <w:spacing w:before="0" w:beforeAutospacing="0" w:after="0" w:afterAutospacing="0"/>
              <w:rPr>
                <w:sz w:val="18"/>
                <w:szCs w:val="18"/>
              </w:rPr>
            </w:pPr>
            <w:r>
              <w:rPr>
                <w:sz w:val="19"/>
                <w:szCs w:val="19"/>
              </w:rPr>
              <w:t>Preferred shares, $0.00001 par value: 230 shares authorized, no shares issued or outstanding</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w:t>
            </w:r>
          </w:p>
        </w:tc>
      </w:tr>
      <w:tr w:rsidR="00000000">
        <w:trPr>
          <w:divId w:val="1729256858"/>
        </w:trPr>
        <w:tc>
          <w:tcPr>
            <w:tcW w:w="3504"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hanging="270"/>
              <w:rPr>
                <w:sz w:val="18"/>
                <w:szCs w:val="18"/>
              </w:rPr>
            </w:pPr>
            <w:r>
              <w:rPr>
                <w:sz w:val="19"/>
                <w:szCs w:val="19"/>
              </w:rPr>
              <w:t>Ordinary shares, $0.00001 par value: 200,000 shares authorized; 56,637 and 55,681 shares issued and outstanding at June </w:t>
            </w:r>
            <w:r>
              <w:rPr>
                <w:sz w:val="19"/>
                <w:szCs w:val="19"/>
              </w:rPr>
              <w:t>30, 2019 and December 31, 2018, respectively</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1</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1</w:t>
            </w:r>
          </w:p>
        </w:tc>
      </w:tr>
      <w:tr w:rsidR="00000000">
        <w:trPr>
          <w:divId w:val="1729256858"/>
        </w:trPr>
        <w:tc>
          <w:tcPr>
            <w:tcW w:w="3504" w:type="pct"/>
            <w:tcMar>
              <w:top w:w="0" w:type="dxa"/>
              <w:left w:w="0" w:type="dxa"/>
              <w:bottom w:w="0" w:type="dxa"/>
              <w:right w:w="0" w:type="dxa"/>
            </w:tcMar>
            <w:hideMark/>
          </w:tcPr>
          <w:p w:rsidR="00000000" w:rsidRDefault="008B747E">
            <w:pPr>
              <w:pStyle w:val="a3"/>
              <w:spacing w:before="0" w:beforeAutospacing="0" w:after="0" w:afterAutospacing="0"/>
              <w:rPr>
                <w:sz w:val="18"/>
                <w:szCs w:val="18"/>
              </w:rPr>
            </w:pPr>
            <w:r>
              <w:rPr>
                <w:sz w:val="19"/>
                <w:szCs w:val="19"/>
              </w:rPr>
              <w:t>Additional paid-in capital</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987,209</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9"/>
                <w:szCs w:val="19"/>
              </w:rPr>
              <w:t>​</w:t>
            </w:r>
          </w:p>
        </w:tc>
        <w:tc>
          <w:tcPr>
            <w:tcW w:w="495"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960,721</w:t>
            </w:r>
          </w:p>
        </w:tc>
      </w:tr>
      <w:tr w:rsidR="00000000">
        <w:trPr>
          <w:divId w:val="1729256858"/>
        </w:trPr>
        <w:tc>
          <w:tcPr>
            <w:tcW w:w="3504"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18"/>
                <w:szCs w:val="18"/>
              </w:rPr>
            </w:pPr>
            <w:r>
              <w:rPr>
                <w:sz w:val="19"/>
                <w:szCs w:val="19"/>
              </w:rPr>
              <w:t>Accumulated other comprehensive income (loss)</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129</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8"/>
                <w:szCs w:val="18"/>
              </w:rPr>
            </w:pPr>
            <w:r>
              <w:rPr>
                <w:sz w:val="19"/>
                <w:szCs w:val="19"/>
              </w:rPr>
              <w:t>(166)</w:t>
            </w:r>
          </w:p>
        </w:tc>
      </w:tr>
      <w:tr w:rsidR="00000000">
        <w:trPr>
          <w:divId w:val="1729256858"/>
        </w:trPr>
        <w:tc>
          <w:tcPr>
            <w:tcW w:w="3504" w:type="pct"/>
            <w:tcMar>
              <w:top w:w="0" w:type="dxa"/>
              <w:left w:w="0" w:type="dxa"/>
              <w:bottom w:w="0" w:type="dxa"/>
              <w:right w:w="0" w:type="dxa"/>
            </w:tcMar>
            <w:hideMark/>
          </w:tcPr>
          <w:p w:rsidR="00000000" w:rsidRDefault="008B747E">
            <w:pPr>
              <w:pStyle w:val="a3"/>
              <w:spacing w:before="0" w:beforeAutospacing="0" w:after="0" w:afterAutospacing="0"/>
              <w:rPr>
                <w:sz w:val="18"/>
                <w:szCs w:val="18"/>
              </w:rPr>
            </w:pPr>
            <w:r>
              <w:rPr>
                <w:sz w:val="19"/>
                <w:szCs w:val="19"/>
              </w:rPr>
              <w:t xml:space="preserve">Accumulated deficit </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6"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8"/>
                <w:szCs w:val="18"/>
              </w:rPr>
            </w:pPr>
            <w:r>
              <w:rPr>
                <w:sz w:val="19"/>
                <w:szCs w:val="19"/>
              </w:rPr>
              <w:t>(1,124,563)</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5"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8"/>
                <w:szCs w:val="18"/>
              </w:rPr>
            </w:pPr>
            <w:r>
              <w:rPr>
                <w:sz w:val="19"/>
                <w:szCs w:val="19"/>
              </w:rPr>
              <w:t>(1,012,145)</w:t>
            </w:r>
          </w:p>
        </w:tc>
      </w:tr>
      <w:tr w:rsidR="00000000">
        <w:trPr>
          <w:divId w:val="1729256858"/>
        </w:trPr>
        <w:tc>
          <w:tcPr>
            <w:tcW w:w="3504"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left="360"/>
              <w:rPr>
                <w:sz w:val="18"/>
                <w:szCs w:val="18"/>
              </w:rPr>
            </w:pPr>
            <w:r>
              <w:rPr>
                <w:sz w:val="19"/>
                <w:szCs w:val="19"/>
              </w:rPr>
              <w:t>Total shareholders’ deficit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8"/>
                <w:szCs w:val="18"/>
              </w:rPr>
            </w:pPr>
            <w:r>
              <w:rPr>
                <w:sz w:val="19"/>
                <w:szCs w:val="19"/>
              </w:rPr>
              <w:t>(137,224)</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 </w:t>
            </w:r>
          </w:p>
        </w:tc>
        <w:tc>
          <w:tcPr>
            <w:tcW w:w="49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8"/>
                <w:szCs w:val="18"/>
              </w:rPr>
            </w:pPr>
            <w:r>
              <w:rPr>
                <w:sz w:val="19"/>
                <w:szCs w:val="19"/>
              </w:rPr>
              <w:t>(51,589)</w:t>
            </w:r>
          </w:p>
        </w:tc>
      </w:tr>
      <w:tr w:rsidR="00000000">
        <w:trPr>
          <w:divId w:val="1729256858"/>
        </w:trPr>
        <w:tc>
          <w:tcPr>
            <w:tcW w:w="3504" w:type="pct"/>
            <w:tcMar>
              <w:top w:w="0" w:type="dxa"/>
              <w:left w:w="0" w:type="dxa"/>
              <w:bottom w:w="0" w:type="dxa"/>
              <w:right w:w="0" w:type="dxa"/>
            </w:tcMar>
            <w:hideMark/>
          </w:tcPr>
          <w:p w:rsidR="00000000" w:rsidRDefault="008B747E">
            <w:pPr>
              <w:pStyle w:val="a3"/>
              <w:spacing w:before="0" w:beforeAutospacing="0" w:after="0" w:afterAutospacing="0"/>
              <w:ind w:left="360"/>
              <w:rPr>
                <w:sz w:val="18"/>
                <w:szCs w:val="18"/>
              </w:rPr>
            </w:pPr>
            <w:r>
              <w:rPr>
                <w:sz w:val="19"/>
                <w:szCs w:val="19"/>
              </w:rPr>
              <w:t>Total liabilities and shareholders’ deficit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w:t>
            </w:r>
          </w:p>
        </w:tc>
        <w:tc>
          <w:tcPr>
            <w:tcW w:w="496"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492,447</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9"/>
                <w:szCs w:val="19"/>
              </w:rPr>
              <w:t>​</w:t>
            </w:r>
          </w:p>
        </w:tc>
        <w:tc>
          <w:tcPr>
            <w:tcW w:w="125"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8"/>
                <w:szCs w:val="18"/>
              </w:rPr>
            </w:pPr>
            <w:r>
              <w:rPr>
                <w:sz w:val="19"/>
                <w:szCs w:val="19"/>
              </w:rPr>
              <w:t>$</w:t>
            </w:r>
          </w:p>
        </w:tc>
        <w:tc>
          <w:tcPr>
            <w:tcW w:w="495"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8"/>
                <w:szCs w:val="18"/>
              </w:rPr>
            </w:pPr>
            <w:r>
              <w:rPr>
                <w:sz w:val="19"/>
                <w:szCs w:val="19"/>
              </w:rPr>
              <w:t>560,235</w:t>
            </w:r>
          </w:p>
        </w:tc>
      </w:tr>
    </w:tbl>
    <w:p w:rsidR="00000000" w:rsidRDefault="008B747E">
      <w:pPr>
        <w:pStyle w:val="a3"/>
        <w:spacing w:before="240" w:beforeAutospacing="0" w:after="0" w:afterAutospacing="0"/>
        <w:jc w:val="center"/>
        <w:divId w:val="1729256858"/>
        <w:rPr>
          <w:sz w:val="20"/>
          <w:szCs w:val="20"/>
        </w:rPr>
      </w:pPr>
      <w:r>
        <w:rPr>
          <w:i/>
          <w:iCs/>
          <w:sz w:val="20"/>
          <w:szCs w:val="20"/>
        </w:rPr>
        <w:lastRenderedPageBreak/>
        <w:t>See accompanying notes to condensed consolidated financial statements.</w:t>
      </w:r>
    </w:p>
    <w:p w:rsidR="00000000" w:rsidRDefault="008B747E">
      <w:pPr>
        <w:pStyle w:val="a3"/>
        <w:spacing w:before="360" w:beforeAutospacing="0" w:after="0" w:afterAutospacing="0"/>
        <w:jc w:val="center"/>
        <w:divId w:val="1935747634"/>
        <w:rPr>
          <w:sz w:val="20"/>
          <w:szCs w:val="20"/>
        </w:rPr>
      </w:pPr>
      <w:r>
        <w:rPr>
          <w:sz w:val="20"/>
          <w:szCs w:val="20"/>
        </w:rPr>
        <w:t>3</w:t>
      </w:r>
    </w:p>
    <w:p w:rsidR="00000000" w:rsidRDefault="008B747E">
      <w:pPr>
        <w:pStyle w:val="a3"/>
        <w:spacing w:before="0" w:beforeAutospacing="0" w:after="600" w:afterAutospacing="0"/>
        <w:divId w:val="1717968706"/>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jc w:val="center"/>
        <w:divId w:val="1016158610"/>
        <w:rPr>
          <w:sz w:val="20"/>
          <w:szCs w:val="20"/>
        </w:rPr>
      </w:pPr>
      <w:r>
        <w:rPr>
          <w:b/>
          <w:bCs/>
          <w:sz w:val="20"/>
          <w:szCs w:val="20"/>
        </w:rPr>
        <w:t>THERAVANCE BIOPHARMA, INC.</w:t>
      </w:r>
    </w:p>
    <w:p w:rsidR="00000000" w:rsidRDefault="008B747E">
      <w:pPr>
        <w:pStyle w:val="a3"/>
        <w:spacing w:before="0" w:beforeAutospacing="0" w:after="0" w:afterAutospacing="0"/>
        <w:jc w:val="center"/>
        <w:divId w:val="1016158610"/>
        <w:rPr>
          <w:sz w:val="20"/>
          <w:szCs w:val="20"/>
        </w:rPr>
      </w:pPr>
      <w:r>
        <w:rPr>
          <w:b/>
          <w:bCs/>
          <w:sz w:val="20"/>
          <w:szCs w:val="20"/>
        </w:rPr>
        <w:t>CONDENSED CONSOLIDATED STATEMENTS OF OPERATIONS AND COMPREHENSIVE LOSS</w:t>
      </w:r>
    </w:p>
    <w:p w:rsidR="00000000" w:rsidRDefault="008B747E">
      <w:pPr>
        <w:pStyle w:val="a3"/>
        <w:spacing w:before="0" w:beforeAutospacing="0" w:after="0" w:afterAutospacing="0"/>
        <w:jc w:val="center"/>
        <w:divId w:val="1016158610"/>
        <w:rPr>
          <w:sz w:val="20"/>
          <w:szCs w:val="20"/>
        </w:rPr>
      </w:pPr>
      <w:r>
        <w:rPr>
          <w:b/>
          <w:bCs/>
          <w:sz w:val="20"/>
          <w:szCs w:val="20"/>
        </w:rPr>
        <w:t>(Unaudited)</w:t>
      </w:r>
    </w:p>
    <w:p w:rsidR="00000000" w:rsidRDefault="008B747E">
      <w:pPr>
        <w:pStyle w:val="a3"/>
        <w:spacing w:before="0" w:beforeAutospacing="0" w:after="0" w:afterAutospacing="0"/>
        <w:jc w:val="center"/>
        <w:divId w:val="1016158610"/>
        <w:rPr>
          <w:sz w:val="20"/>
          <w:szCs w:val="20"/>
        </w:rPr>
      </w:pPr>
      <w:r>
        <w:rPr>
          <w:b/>
          <w:bCs/>
          <w:sz w:val="20"/>
          <w:szCs w:val="20"/>
        </w:rPr>
        <w:t>(In thousands, except per share data)</w:t>
      </w:r>
    </w:p>
    <w:p w:rsidR="00000000" w:rsidRDefault="008B747E">
      <w:pPr>
        <w:pStyle w:val="a3"/>
        <w:spacing w:before="0" w:beforeAutospacing="0" w:after="0" w:afterAutospacing="0"/>
        <w:jc w:val="center"/>
        <w:divId w:val="1016158610"/>
        <w:rPr>
          <w:sz w:val="20"/>
          <w:szCs w:val="20"/>
        </w:rPr>
      </w:pPr>
      <w:r>
        <w:rPr>
          <w:sz w:val="20"/>
          <w:szCs w:val="20"/>
        </w:rPr>
        <w:t>​</w:t>
      </w:r>
    </w:p>
    <w:tbl>
      <w:tblPr>
        <w:tblW w:w="5018" w:type="pct"/>
        <w:tblCellMar>
          <w:top w:w="15" w:type="dxa"/>
          <w:left w:w="0" w:type="dxa"/>
          <w:bottom w:w="15" w:type="dxa"/>
          <w:right w:w="0" w:type="dxa"/>
        </w:tblCellMar>
        <w:tblLook w:val="04A0" w:firstRow="1" w:lastRow="0" w:firstColumn="1" w:lastColumn="0" w:noHBand="0" w:noVBand="1"/>
      </w:tblPr>
      <w:tblGrid>
        <w:gridCol w:w="4200"/>
        <w:gridCol w:w="160"/>
        <w:gridCol w:w="100"/>
        <w:gridCol w:w="684"/>
        <w:gridCol w:w="160"/>
        <w:gridCol w:w="100"/>
        <w:gridCol w:w="684"/>
        <w:gridCol w:w="160"/>
        <w:gridCol w:w="100"/>
        <w:gridCol w:w="784"/>
        <w:gridCol w:w="160"/>
        <w:gridCol w:w="100"/>
        <w:gridCol w:w="784"/>
        <w:gridCol w:w="160"/>
      </w:tblGrid>
      <w:tr w:rsidR="00000000">
        <w:trPr>
          <w:divId w:val="1016158610"/>
          <w:trHeight w:val="20"/>
        </w:trPr>
        <w:tc>
          <w:tcPr>
            <w:tcW w:w="2640" w:type="pct"/>
            <w:tcMar>
              <w:top w:w="0" w:type="dxa"/>
              <w:left w:w="0" w:type="dxa"/>
              <w:bottom w:w="0" w:type="dxa"/>
              <w:right w:w="0" w:type="dxa"/>
            </w:tcMar>
            <w:vAlign w:val="bottom"/>
            <w:hideMark/>
          </w:tcPr>
          <w:p w:rsidR="00000000" w:rsidRDefault="008B747E">
            <w:pPr>
              <w:pStyle w:val="a3"/>
              <w:spacing w:before="0" w:beforeAutospacing="0" w:after="0" w:afterAutospacing="0"/>
              <w:divId w:val="1145463747"/>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00411715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4991556"/>
              <w:rPr>
                <w:sz w:val="20"/>
                <w:szCs w:val="20"/>
              </w:rPr>
            </w:pPr>
            <w:r>
              <w:rPr>
                <w:sz w:val="2"/>
                <w:szCs w:val="2"/>
              </w:rPr>
              <w:t>​</w:t>
            </w:r>
          </w:p>
        </w:tc>
        <w:tc>
          <w:tcPr>
            <w:tcW w:w="36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414741542"/>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282229498"/>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92563033"/>
              <w:rPr>
                <w:sz w:val="20"/>
                <w:szCs w:val="20"/>
              </w:rPr>
            </w:pPr>
            <w:r>
              <w:rPr>
                <w:sz w:val="2"/>
                <w:szCs w:val="2"/>
              </w:rPr>
              <w:t>​</w:t>
            </w:r>
          </w:p>
        </w:tc>
        <w:tc>
          <w:tcPr>
            <w:tcW w:w="36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426198612"/>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954896345"/>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276064114"/>
              <w:rPr>
                <w:sz w:val="20"/>
                <w:szCs w:val="20"/>
              </w:rPr>
            </w:pPr>
            <w:r>
              <w:rPr>
                <w:sz w:val="2"/>
                <w:szCs w:val="2"/>
              </w:rPr>
              <w:t>​</w:t>
            </w:r>
          </w:p>
        </w:tc>
        <w:tc>
          <w:tcPr>
            <w:tcW w:w="412"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75065633"/>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52188129"/>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701274791"/>
              <w:rPr>
                <w:sz w:val="20"/>
                <w:szCs w:val="20"/>
              </w:rPr>
            </w:pPr>
            <w:r>
              <w:rPr>
                <w:sz w:val="2"/>
                <w:szCs w:val="2"/>
              </w:rPr>
              <w:t>​</w:t>
            </w:r>
          </w:p>
        </w:tc>
        <w:tc>
          <w:tcPr>
            <w:tcW w:w="412"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68390334"/>
              <w:rPr>
                <w:sz w:val="20"/>
                <w:szCs w:val="20"/>
              </w:rPr>
            </w:pPr>
            <w:r>
              <w:rPr>
                <w:sz w:val="2"/>
                <w:szCs w:val="2"/>
              </w:rPr>
              <w:t>​</w:t>
            </w:r>
          </w:p>
        </w:tc>
        <w:tc>
          <w:tcPr>
            <w:tcW w:w="86"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94406763"/>
              <w:rPr>
                <w:sz w:val="20"/>
                <w:szCs w:val="20"/>
              </w:rPr>
            </w:pPr>
            <w:r>
              <w:rPr>
                <w:sz w:val="2"/>
                <w:szCs w:val="2"/>
              </w:rPr>
              <w:t>​</w:t>
            </w:r>
          </w:p>
        </w:tc>
      </w:tr>
      <w:tr w:rsidR="00000000">
        <w:trPr>
          <w:divId w:val="1016158610"/>
        </w:trPr>
        <w:tc>
          <w:tcPr>
            <w:tcW w:w="2640"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8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1004" w:type="pct"/>
            <w:gridSpan w:val="5"/>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Three Months Ended </w:t>
            </w:r>
          </w:p>
        </w:tc>
        <w:tc>
          <w:tcPr>
            <w:tcW w:w="8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1091" w:type="pct"/>
            <w:gridSpan w:val="5"/>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Six Months Ended </w:t>
            </w:r>
          </w:p>
        </w:tc>
        <w:tc>
          <w:tcPr>
            <w:tcW w:w="86"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r>
      <w:tr w:rsidR="00000000">
        <w:trPr>
          <w:divId w:val="1016158610"/>
        </w:trPr>
        <w:tc>
          <w:tcPr>
            <w:tcW w:w="2640"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8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1004" w:type="pct"/>
            <w:gridSpan w:val="5"/>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8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1091" w:type="pct"/>
            <w:gridSpan w:val="5"/>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86"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r>
      <w:tr w:rsidR="00000000">
        <w:trPr>
          <w:divId w:val="1016158610"/>
        </w:trPr>
        <w:tc>
          <w:tcPr>
            <w:tcW w:w="2640"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8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5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8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5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8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50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8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501"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86"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r>
      <w:tr w:rsidR="00000000">
        <w:trPr>
          <w:divId w:val="1016158610"/>
        </w:trPr>
        <w:tc>
          <w:tcPr>
            <w:tcW w:w="2640"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8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w:t>
            </w:r>
          </w:p>
        </w:tc>
        <w:tc>
          <w:tcPr>
            <w:tcW w:w="36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b/>
                <w:bCs/>
                <w:sz w:val="20"/>
                <w:szCs w:val="20"/>
              </w:rPr>
              <w:t>​</w:t>
            </w:r>
          </w:p>
        </w:tc>
        <w:tc>
          <w:tcPr>
            <w:tcW w:w="8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458"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w:t>
            </w:r>
          </w:p>
        </w:tc>
        <w:tc>
          <w:tcPr>
            <w:tcW w:w="8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8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w:t>
            </w:r>
          </w:p>
        </w:tc>
        <w:tc>
          <w:tcPr>
            <w:tcW w:w="41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b/>
                <w:bCs/>
                <w:sz w:val="20"/>
                <w:szCs w:val="20"/>
              </w:rPr>
              <w:t>​</w:t>
            </w:r>
          </w:p>
        </w:tc>
        <w:tc>
          <w:tcPr>
            <w:tcW w:w="8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501"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w:t>
            </w:r>
          </w:p>
        </w:tc>
        <w:tc>
          <w:tcPr>
            <w:tcW w:w="86"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r>
      <w:tr w:rsidR="00000000">
        <w:trPr>
          <w:divId w:val="1016158610"/>
        </w:trPr>
        <w:tc>
          <w:tcPr>
            <w:tcW w:w="264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Revenue:</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w:t>
            </w:r>
          </w:p>
        </w:tc>
        <w:tc>
          <w:tcPr>
            <w:tcW w:w="36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w:t>
            </w:r>
          </w:p>
        </w:tc>
        <w:tc>
          <w:tcPr>
            <w:tcW w:w="36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w:t>
            </w:r>
          </w:p>
        </w:tc>
        <w:tc>
          <w:tcPr>
            <w:tcW w:w="4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w:t>
            </w:r>
          </w:p>
        </w:tc>
        <w:tc>
          <w:tcPr>
            <w:tcW w:w="4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r>
      <w:tr w:rsidR="00000000">
        <w:trPr>
          <w:divId w:val="1016158610"/>
        </w:trPr>
        <w:tc>
          <w:tcPr>
            <w:tcW w:w="2640" w:type="pct"/>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 xml:space="preserve">Product sales </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5,361</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9,040</w:t>
            </w:r>
          </w:p>
        </w:tc>
        <w:tc>
          <w:tcPr>
            <w:tcW w:w="86"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Collaboration revenue</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7,650</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18,115</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12,988</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22,755</w:t>
            </w:r>
          </w:p>
        </w:tc>
        <w:tc>
          <w:tcPr>
            <w:tcW w:w="8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Licensing revenue</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18,500</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18,500</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360"/>
              <w:rPr>
                <w:sz w:val="20"/>
                <w:szCs w:val="20"/>
              </w:rPr>
            </w:pPr>
            <w:r>
              <w:rPr>
                <w:sz w:val="20"/>
                <w:szCs w:val="20"/>
              </w:rPr>
              <w:t>Total revenue</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26,150</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23,476</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top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2" w:type="pct"/>
            <w:tcBorders>
              <w:top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31,488</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top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2" w:type="pct"/>
            <w:tcBorders>
              <w:top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31,795</w:t>
            </w:r>
          </w:p>
        </w:tc>
        <w:tc>
          <w:tcPr>
            <w:tcW w:w="8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Costs and expenses:</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Cost of goods sold (Note 11)</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69"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69"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(1,448)</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2"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2"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(622)</w:t>
            </w:r>
          </w:p>
        </w:tc>
        <w:tc>
          <w:tcPr>
            <w:tcW w:w="86"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Research and development (1)</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46,399</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48,621</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100,217</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96,386</w:t>
            </w:r>
          </w:p>
        </w:tc>
        <w:tc>
          <w:tcPr>
            <w:tcW w:w="8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Selling, general and administrative (1)</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69"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22,227</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69"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25,007</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2"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47,413</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2"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49,711</w:t>
            </w:r>
          </w:p>
        </w:tc>
        <w:tc>
          <w:tcPr>
            <w:tcW w:w="86"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360"/>
              <w:rPr>
                <w:sz w:val="20"/>
                <w:szCs w:val="20"/>
              </w:rPr>
            </w:pPr>
            <w:r>
              <w:rPr>
                <w:sz w:val="20"/>
                <w:szCs w:val="20"/>
              </w:rPr>
              <w:t xml:space="preserve">Total costs and expenses </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68,626</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72,180</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147,630</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145,475</w:t>
            </w:r>
          </w:p>
        </w:tc>
        <w:tc>
          <w:tcPr>
            <w:tcW w:w="8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 xml:space="preserve">Loss from operations </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(42,476)</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(48,704)</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(116,142)</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(113,680)</w:t>
            </w:r>
          </w:p>
        </w:tc>
        <w:tc>
          <w:tcPr>
            <w:tcW w:w="8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Income from investment in TRC, LLC</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8,366</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1,949</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14,595</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2,635</w:t>
            </w:r>
          </w:p>
        </w:tc>
        <w:tc>
          <w:tcPr>
            <w:tcW w:w="86"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Interest expense</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(7,901)</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(2,137)</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(15,759)</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(4,274)</w:t>
            </w:r>
          </w:p>
        </w:tc>
        <w:tc>
          <w:tcPr>
            <w:tcW w:w="8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Interest and other income, net</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69"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2,374</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69"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1,284</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2"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5,169</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2"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2,768</w:t>
            </w:r>
          </w:p>
        </w:tc>
        <w:tc>
          <w:tcPr>
            <w:tcW w:w="86"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 xml:space="preserve">Loss before income taxes </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(39,637)</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6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(47,608)</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(112,137)</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(112,551)</w:t>
            </w:r>
          </w:p>
        </w:tc>
        <w:tc>
          <w:tcPr>
            <w:tcW w:w="8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Provision for income tax (expense) benefit</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69"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(201)</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69"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6,790</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2"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(281)</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2"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6,646</w:t>
            </w:r>
          </w:p>
        </w:tc>
        <w:tc>
          <w:tcPr>
            <w:tcW w:w="86"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 xml:space="preserve">Net loss </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(39,838)</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(40,818)</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(112,418)</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(105,905)</w:t>
            </w:r>
          </w:p>
        </w:tc>
        <w:tc>
          <w:tcPr>
            <w:tcW w:w="8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Net unrealized gain on available-for-sale investments</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8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165</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329</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295</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208</w:t>
            </w:r>
          </w:p>
        </w:tc>
        <w:tc>
          <w:tcPr>
            <w:tcW w:w="8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Total comprehensive loss</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(39,673)</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(40,489)</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(112,123)</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r>
              <w:rPr>
                <w:sz w:val="20"/>
                <w:szCs w:val="20"/>
              </w:rPr>
              <w:t>105,697)</w:t>
            </w:r>
          </w:p>
        </w:tc>
        <w:tc>
          <w:tcPr>
            <w:tcW w:w="86"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Net loss per share:</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6"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Basic and diluted net loss per share</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(0.72)</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(0.76)</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(2.04)</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(1.98)</w:t>
            </w:r>
          </w:p>
        </w:tc>
        <w:tc>
          <w:tcPr>
            <w:tcW w:w="8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Shares used to compute basic and diluted net loss per share</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69"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55,529</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69"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53,799</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2"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55,235</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2"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53,529</w:t>
            </w:r>
          </w:p>
        </w:tc>
        <w:tc>
          <w:tcPr>
            <w:tcW w:w="86"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64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bl>
    <w:p w:rsidR="00000000" w:rsidRDefault="008B747E">
      <w:pPr>
        <w:divId w:val="101615861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1016158610"/>
        </w:trPr>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8B747E">
            <w:pPr>
              <w:rPr>
                <w:rFonts w:eastAsia="Times New Roman"/>
                <w:sz w:val="20"/>
                <w:szCs w:val="20"/>
              </w:rPr>
            </w:pPr>
            <w:r>
              <w:rPr>
                <w:rFonts w:eastAsia="Times New Roman"/>
                <w:color w:val="000000"/>
                <w:sz w:val="20"/>
                <w:szCs w:val="20"/>
              </w:rPr>
              <w:t>Amounts include share-based compensation expense as follows:</w:t>
            </w:r>
          </w:p>
        </w:tc>
      </w:tr>
    </w:tbl>
    <w:p w:rsidR="00000000" w:rsidRDefault="008B747E">
      <w:pPr>
        <w:pStyle w:val="a3"/>
        <w:spacing w:before="0" w:beforeAutospacing="0" w:after="0" w:afterAutospacing="0"/>
        <w:divId w:val="101615861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637"/>
        <w:gridCol w:w="160"/>
        <w:gridCol w:w="106"/>
        <w:gridCol w:w="610"/>
        <w:gridCol w:w="160"/>
        <w:gridCol w:w="107"/>
        <w:gridCol w:w="610"/>
        <w:gridCol w:w="160"/>
        <w:gridCol w:w="108"/>
        <w:gridCol w:w="610"/>
        <w:gridCol w:w="160"/>
        <w:gridCol w:w="108"/>
        <w:gridCol w:w="610"/>
        <w:gridCol w:w="160"/>
      </w:tblGrid>
      <w:tr w:rsidR="00000000">
        <w:trPr>
          <w:divId w:val="1016158610"/>
          <w:trHeight w:val="20"/>
        </w:trPr>
        <w:tc>
          <w:tcPr>
            <w:tcW w:w="2813" w:type="pct"/>
            <w:tcMar>
              <w:top w:w="0" w:type="dxa"/>
              <w:left w:w="0" w:type="dxa"/>
              <w:bottom w:w="0" w:type="dxa"/>
              <w:right w:w="0" w:type="dxa"/>
            </w:tcMar>
            <w:vAlign w:val="bottom"/>
            <w:hideMark/>
          </w:tcPr>
          <w:p w:rsidR="00000000" w:rsidRDefault="008B747E">
            <w:pPr>
              <w:pStyle w:val="a3"/>
              <w:spacing w:before="0" w:beforeAutospacing="0" w:after="0" w:afterAutospacing="0"/>
              <w:divId w:val="1187788354"/>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082022783"/>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76683711"/>
              <w:rPr>
                <w:sz w:val="20"/>
                <w:szCs w:val="20"/>
              </w:rPr>
            </w:pPr>
            <w:r>
              <w:rPr>
                <w:sz w:val="2"/>
                <w:szCs w:val="2"/>
              </w:rPr>
              <w:t>​</w:t>
            </w:r>
          </w:p>
        </w:tc>
        <w:tc>
          <w:tcPr>
            <w:tcW w:w="350" w:type="pct"/>
            <w:noWrap/>
            <w:tcMar>
              <w:top w:w="0" w:type="dxa"/>
              <w:left w:w="0" w:type="dxa"/>
              <w:bottom w:w="0" w:type="dxa"/>
              <w:right w:w="0" w:type="dxa"/>
            </w:tcMar>
            <w:vAlign w:val="center"/>
            <w:hideMark/>
          </w:tcPr>
          <w:p w:rsidR="00000000" w:rsidRDefault="008B747E">
            <w:pPr>
              <w:pStyle w:val="a3"/>
              <w:spacing w:before="0" w:beforeAutospacing="0" w:after="0" w:afterAutospacing="0"/>
              <w:divId w:val="134435869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6908583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330720604"/>
              <w:rPr>
                <w:sz w:val="20"/>
                <w:szCs w:val="20"/>
              </w:rPr>
            </w:pPr>
            <w:r>
              <w:rPr>
                <w:sz w:val="2"/>
                <w:szCs w:val="2"/>
              </w:rPr>
              <w:t>​</w:t>
            </w:r>
          </w:p>
        </w:tc>
        <w:tc>
          <w:tcPr>
            <w:tcW w:w="350" w:type="pct"/>
            <w:noWrap/>
            <w:tcMar>
              <w:top w:w="0" w:type="dxa"/>
              <w:left w:w="0" w:type="dxa"/>
              <w:bottom w:w="0" w:type="dxa"/>
              <w:right w:w="0" w:type="dxa"/>
            </w:tcMar>
            <w:vAlign w:val="center"/>
            <w:hideMark/>
          </w:tcPr>
          <w:p w:rsidR="00000000" w:rsidRDefault="008B747E">
            <w:pPr>
              <w:pStyle w:val="a3"/>
              <w:spacing w:before="0" w:beforeAutospacing="0" w:after="0" w:afterAutospacing="0"/>
              <w:divId w:val="546071476"/>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20137467"/>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69482607"/>
              <w:rPr>
                <w:sz w:val="20"/>
                <w:szCs w:val="20"/>
              </w:rPr>
            </w:pPr>
            <w:r>
              <w:rPr>
                <w:sz w:val="2"/>
                <w:szCs w:val="2"/>
              </w:rPr>
              <w:t>​</w:t>
            </w:r>
          </w:p>
        </w:tc>
        <w:tc>
          <w:tcPr>
            <w:tcW w:w="350" w:type="pct"/>
            <w:noWrap/>
            <w:tcMar>
              <w:top w:w="0" w:type="dxa"/>
              <w:left w:w="0" w:type="dxa"/>
              <w:bottom w:w="0" w:type="dxa"/>
              <w:right w:w="0" w:type="dxa"/>
            </w:tcMar>
            <w:vAlign w:val="center"/>
            <w:hideMark/>
          </w:tcPr>
          <w:p w:rsidR="00000000" w:rsidRDefault="008B747E">
            <w:pPr>
              <w:pStyle w:val="a3"/>
              <w:spacing w:before="0" w:beforeAutospacing="0" w:after="0" w:afterAutospacing="0"/>
              <w:divId w:val="1905406002"/>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71458911"/>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41910579"/>
              <w:rPr>
                <w:sz w:val="20"/>
                <w:szCs w:val="20"/>
              </w:rPr>
            </w:pPr>
            <w:r>
              <w:rPr>
                <w:sz w:val="2"/>
                <w:szCs w:val="2"/>
              </w:rPr>
              <w:t>​</w:t>
            </w:r>
          </w:p>
        </w:tc>
        <w:tc>
          <w:tcPr>
            <w:tcW w:w="350" w:type="pct"/>
            <w:noWrap/>
            <w:tcMar>
              <w:top w:w="0" w:type="dxa"/>
              <w:left w:w="0" w:type="dxa"/>
              <w:bottom w:w="0" w:type="dxa"/>
              <w:right w:w="0" w:type="dxa"/>
            </w:tcMar>
            <w:vAlign w:val="center"/>
            <w:hideMark/>
          </w:tcPr>
          <w:p w:rsidR="00000000" w:rsidRDefault="008B747E">
            <w:pPr>
              <w:pStyle w:val="a3"/>
              <w:spacing w:before="0" w:beforeAutospacing="0" w:after="0" w:afterAutospacing="0"/>
              <w:divId w:val="114105304"/>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61424806"/>
              <w:rPr>
                <w:sz w:val="20"/>
                <w:szCs w:val="20"/>
              </w:rPr>
            </w:pPr>
            <w:r>
              <w:rPr>
                <w:sz w:val="2"/>
                <w:szCs w:val="2"/>
              </w:rPr>
              <w:t>​</w:t>
            </w:r>
          </w:p>
        </w:tc>
      </w:tr>
      <w:tr w:rsidR="00000000">
        <w:trPr>
          <w:divId w:val="1016158610"/>
        </w:trPr>
        <w:tc>
          <w:tcPr>
            <w:tcW w:w="2813"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8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63" w:type="pct"/>
            <w:gridSpan w:val="5"/>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Three Months Ended </w:t>
            </w:r>
          </w:p>
        </w:tc>
        <w:tc>
          <w:tcPr>
            <w:tcW w:w="8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66" w:type="pct"/>
            <w:gridSpan w:val="5"/>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Six Months Ended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r>
      <w:tr w:rsidR="00000000">
        <w:trPr>
          <w:divId w:val="1016158610"/>
        </w:trPr>
        <w:tc>
          <w:tcPr>
            <w:tcW w:w="2813"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8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63" w:type="pct"/>
            <w:gridSpan w:val="5"/>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8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66" w:type="pct"/>
            <w:gridSpan w:val="5"/>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r>
      <w:tr w:rsidR="00000000">
        <w:trPr>
          <w:divId w:val="1016158610"/>
        </w:trPr>
        <w:tc>
          <w:tcPr>
            <w:tcW w:w="2813" w:type="pct"/>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(In thousands)</w:t>
            </w:r>
          </w:p>
        </w:tc>
        <w:tc>
          <w:tcPr>
            <w:tcW w:w="8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3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8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3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8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8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r>
      <w:tr w:rsidR="00000000">
        <w:trPr>
          <w:divId w:val="1016158610"/>
        </w:trPr>
        <w:tc>
          <w:tcPr>
            <w:tcW w:w="2813"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 xml:space="preserve">Research and development </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5,720</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6,904</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11,880</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13,463</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813"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 xml:space="preserve">Selling, general and administrative </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50" w:type="pct"/>
            <w:tcBorders>
              <w:bottom w:val="single" w:sz="6" w:space="0" w:color="000000"/>
            </w:tcBorders>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5,578</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50" w:type="pct"/>
            <w:tcBorders>
              <w:bottom w:val="single" w:sz="6" w:space="0" w:color="000000"/>
            </w:tcBorders>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6,951</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50" w:type="pct"/>
            <w:tcBorders>
              <w:bottom w:val="single" w:sz="6" w:space="0" w:color="000000"/>
            </w:tcBorders>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11,639</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50" w:type="pct"/>
            <w:tcBorders>
              <w:bottom w:val="single" w:sz="6" w:space="0" w:color="000000"/>
            </w:tcBorders>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14,390</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16158610"/>
        </w:trPr>
        <w:tc>
          <w:tcPr>
            <w:tcW w:w="2813"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 xml:space="preserve">Total share-based compensation expense </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11,298</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13,855</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23,519</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27,853</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bl>
    <w:p w:rsidR="00000000" w:rsidRDefault="008B747E">
      <w:pPr>
        <w:pStyle w:val="a3"/>
        <w:spacing w:before="0" w:beforeAutospacing="0" w:after="0" w:afterAutospacing="0"/>
        <w:divId w:val="1016158610"/>
        <w:rPr>
          <w:sz w:val="20"/>
          <w:szCs w:val="20"/>
        </w:rPr>
      </w:pPr>
      <w:r>
        <w:rPr>
          <w:sz w:val="20"/>
          <w:szCs w:val="20"/>
        </w:rPr>
        <w:lastRenderedPageBreak/>
        <w:t>​</w:t>
      </w:r>
    </w:p>
    <w:p w:rsidR="00000000" w:rsidRDefault="008B747E">
      <w:pPr>
        <w:pStyle w:val="a3"/>
        <w:spacing w:before="0" w:beforeAutospacing="0" w:after="0" w:afterAutospacing="0"/>
        <w:jc w:val="center"/>
        <w:divId w:val="1016158610"/>
        <w:rPr>
          <w:sz w:val="20"/>
          <w:szCs w:val="20"/>
        </w:rPr>
      </w:pPr>
      <w:r>
        <w:rPr>
          <w:i/>
          <w:iCs/>
          <w:sz w:val="20"/>
          <w:szCs w:val="20"/>
        </w:rPr>
        <w:t>See accompanying notes to condensed consolidated financial statements.</w:t>
      </w:r>
    </w:p>
    <w:p w:rsidR="00000000" w:rsidRDefault="008B747E">
      <w:pPr>
        <w:pStyle w:val="a3"/>
        <w:spacing w:before="0" w:beforeAutospacing="0" w:after="0" w:afterAutospacing="0"/>
        <w:divId w:val="1016158610"/>
        <w:rPr>
          <w:sz w:val="20"/>
          <w:szCs w:val="20"/>
        </w:rPr>
      </w:pPr>
      <w:r>
        <w:rPr>
          <w:sz w:val="20"/>
          <w:szCs w:val="20"/>
        </w:rPr>
        <w:t>​</w:t>
      </w:r>
    </w:p>
    <w:p w:rsidR="00000000" w:rsidRDefault="008B747E">
      <w:pPr>
        <w:pStyle w:val="a3"/>
        <w:spacing w:before="360" w:beforeAutospacing="0" w:after="0" w:afterAutospacing="0"/>
        <w:jc w:val="center"/>
        <w:divId w:val="1248728112"/>
        <w:rPr>
          <w:sz w:val="20"/>
          <w:szCs w:val="20"/>
        </w:rPr>
      </w:pPr>
      <w:r>
        <w:rPr>
          <w:sz w:val="20"/>
          <w:szCs w:val="20"/>
        </w:rPr>
        <w:t>4</w:t>
      </w:r>
    </w:p>
    <w:p w:rsidR="00000000" w:rsidRDefault="008B747E">
      <w:pPr>
        <w:pStyle w:val="a3"/>
        <w:spacing w:before="0" w:beforeAutospacing="0" w:after="600" w:afterAutospacing="0"/>
        <w:divId w:val="1784416859"/>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jc w:val="center"/>
        <w:divId w:val="1134325290"/>
        <w:rPr>
          <w:sz w:val="20"/>
          <w:szCs w:val="20"/>
        </w:rPr>
      </w:pPr>
      <w:r>
        <w:rPr>
          <w:b/>
          <w:bCs/>
          <w:sz w:val="20"/>
          <w:szCs w:val="20"/>
        </w:rPr>
        <w:t>THERAVANCE BIOPHARMA, INC.</w:t>
      </w:r>
    </w:p>
    <w:p w:rsidR="00000000" w:rsidRDefault="008B747E">
      <w:pPr>
        <w:pStyle w:val="a3"/>
        <w:spacing w:before="0" w:beforeAutospacing="0" w:after="0" w:afterAutospacing="0"/>
        <w:jc w:val="center"/>
        <w:divId w:val="1134325290"/>
        <w:rPr>
          <w:sz w:val="20"/>
          <w:szCs w:val="20"/>
        </w:rPr>
      </w:pPr>
      <w:r>
        <w:rPr>
          <w:b/>
          <w:bCs/>
          <w:sz w:val="20"/>
          <w:szCs w:val="20"/>
        </w:rPr>
        <w:t>CONDENSED CONSOLIDATED STATEMENTS OF SHAREHOLDERS’ EQUITY (DEFICIT)</w:t>
      </w:r>
    </w:p>
    <w:p w:rsidR="00000000" w:rsidRDefault="008B747E">
      <w:pPr>
        <w:pStyle w:val="a3"/>
        <w:spacing w:before="0" w:beforeAutospacing="0" w:after="0" w:afterAutospacing="0"/>
        <w:jc w:val="center"/>
        <w:divId w:val="1134325290"/>
        <w:rPr>
          <w:sz w:val="20"/>
          <w:szCs w:val="20"/>
        </w:rPr>
      </w:pPr>
      <w:r>
        <w:rPr>
          <w:b/>
          <w:bCs/>
          <w:sz w:val="20"/>
          <w:szCs w:val="20"/>
        </w:rPr>
        <w:t>(Unaudited)</w:t>
      </w:r>
    </w:p>
    <w:p w:rsidR="00000000" w:rsidRDefault="008B747E">
      <w:pPr>
        <w:pStyle w:val="a3"/>
        <w:spacing w:before="0" w:beforeAutospacing="0" w:after="0" w:afterAutospacing="0"/>
        <w:jc w:val="center"/>
        <w:divId w:val="1134325290"/>
        <w:rPr>
          <w:sz w:val="20"/>
          <w:szCs w:val="20"/>
        </w:rPr>
      </w:pPr>
      <w:r>
        <w:rPr>
          <w:b/>
          <w:bCs/>
          <w:sz w:val="20"/>
          <w:szCs w:val="20"/>
        </w:rPr>
        <w:t>(In thousands)</w:t>
      </w:r>
    </w:p>
    <w:p w:rsidR="00000000" w:rsidRDefault="008B747E">
      <w:pPr>
        <w:pStyle w:val="a3"/>
        <w:spacing w:before="0" w:beforeAutospacing="0" w:after="0" w:afterAutospacing="0"/>
        <w:divId w:val="1134325290"/>
        <w:rPr>
          <w:sz w:val="20"/>
          <w:szCs w:val="20"/>
        </w:rPr>
      </w:pPr>
      <w:r>
        <w:rPr>
          <w:b/>
          <w:bCs/>
          <w:sz w:val="14"/>
          <w:szCs w:val="14"/>
        </w:rPr>
        <w:t>​</w:t>
      </w:r>
    </w:p>
    <w:tbl>
      <w:tblPr>
        <w:tblW w:w="5000" w:type="pct"/>
        <w:tblCellMar>
          <w:top w:w="15" w:type="dxa"/>
          <w:left w:w="0" w:type="dxa"/>
          <w:bottom w:w="15" w:type="dxa"/>
          <w:right w:w="0" w:type="dxa"/>
        </w:tblCellMar>
        <w:tblLook w:val="04A0" w:firstRow="1" w:lastRow="0" w:firstColumn="1" w:lastColumn="0" w:noHBand="0" w:noVBand="1"/>
      </w:tblPr>
      <w:tblGrid>
        <w:gridCol w:w="2839"/>
        <w:gridCol w:w="120"/>
        <w:gridCol w:w="501"/>
        <w:gridCol w:w="121"/>
        <w:gridCol w:w="106"/>
        <w:gridCol w:w="471"/>
        <w:gridCol w:w="120"/>
        <w:gridCol w:w="134"/>
        <w:gridCol w:w="596"/>
        <w:gridCol w:w="120"/>
        <w:gridCol w:w="218"/>
        <w:gridCol w:w="849"/>
        <w:gridCol w:w="120"/>
        <w:gridCol w:w="172"/>
        <w:gridCol w:w="747"/>
        <w:gridCol w:w="120"/>
        <w:gridCol w:w="194"/>
        <w:gridCol w:w="758"/>
      </w:tblGrid>
      <w:tr w:rsidR="00000000">
        <w:trPr>
          <w:divId w:val="1134325290"/>
          <w:trHeight w:val="2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divId w:val="1582375145"/>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886725937"/>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212572731"/>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86590017"/>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87506177"/>
              <w:rPr>
                <w:sz w:val="20"/>
                <w:szCs w:val="20"/>
              </w:rPr>
            </w:pPr>
            <w:r>
              <w:rPr>
                <w:sz w:val="2"/>
                <w:szCs w:val="2"/>
              </w:rPr>
              <w:t>​</w:t>
            </w:r>
          </w:p>
        </w:tc>
        <w:tc>
          <w:tcPr>
            <w:tcW w:w="345"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56059346"/>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958679662"/>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64692161"/>
              <w:rPr>
                <w:sz w:val="20"/>
                <w:szCs w:val="20"/>
              </w:rPr>
            </w:pPr>
            <w:r>
              <w:rPr>
                <w:sz w:val="2"/>
                <w:szCs w:val="2"/>
              </w:rPr>
              <w:t>​</w:t>
            </w:r>
          </w:p>
        </w:tc>
        <w:tc>
          <w:tcPr>
            <w:tcW w:w="346"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662196948"/>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05528893"/>
              <w:rPr>
                <w:sz w:val="20"/>
                <w:szCs w:val="20"/>
              </w:rPr>
            </w:pPr>
            <w:r>
              <w:rPr>
                <w:sz w:val="2"/>
                <w:szCs w:val="2"/>
              </w:rPr>
              <w:t>​</w:t>
            </w:r>
          </w:p>
        </w:tc>
        <w:tc>
          <w:tcPr>
            <w:tcW w:w="10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465856344"/>
              <w:rPr>
                <w:sz w:val="20"/>
                <w:szCs w:val="20"/>
              </w:rPr>
            </w:pPr>
            <w:r>
              <w:rPr>
                <w:sz w:val="2"/>
                <w:szCs w:val="2"/>
              </w:rPr>
              <w:t>​</w:t>
            </w:r>
          </w:p>
        </w:tc>
        <w:tc>
          <w:tcPr>
            <w:tcW w:w="422"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428160846"/>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091703156"/>
              <w:rPr>
                <w:sz w:val="20"/>
                <w:szCs w:val="20"/>
              </w:rPr>
            </w:pPr>
            <w:r>
              <w:rPr>
                <w:sz w:val="2"/>
                <w:szCs w:val="2"/>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25958280"/>
              <w:rPr>
                <w:sz w:val="20"/>
                <w:szCs w:val="20"/>
              </w:rPr>
            </w:pPr>
            <w:r>
              <w:rPr>
                <w:sz w:val="2"/>
                <w:szCs w:val="2"/>
              </w:rPr>
              <w:t>​</w:t>
            </w:r>
          </w:p>
        </w:tc>
        <w:tc>
          <w:tcPr>
            <w:tcW w:w="390"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495142877"/>
              <w:rPr>
                <w:sz w:val="20"/>
                <w:szCs w:val="20"/>
              </w:rPr>
            </w:pPr>
            <w:r>
              <w:rPr>
                <w:sz w:val="2"/>
                <w:szCs w:val="2"/>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59386160"/>
              <w:rPr>
                <w:sz w:val="20"/>
                <w:szCs w:val="20"/>
              </w:rPr>
            </w:pPr>
            <w:r>
              <w:rPr>
                <w:sz w:val="2"/>
                <w:szCs w:val="2"/>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503856151"/>
              <w:rPr>
                <w:sz w:val="20"/>
                <w:szCs w:val="20"/>
              </w:rPr>
            </w:pPr>
            <w:r>
              <w:rPr>
                <w:sz w:val="2"/>
                <w:szCs w:val="2"/>
              </w:rPr>
              <w:t>​</w:t>
            </w:r>
          </w:p>
        </w:tc>
        <w:tc>
          <w:tcPr>
            <w:tcW w:w="375"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918976563"/>
              <w:rPr>
                <w:sz w:val="20"/>
                <w:szCs w:val="20"/>
              </w:rPr>
            </w:pPr>
            <w:r>
              <w:rPr>
                <w:sz w:val="2"/>
                <w:szCs w:val="2"/>
              </w:rPr>
              <w:t>​</w:t>
            </w:r>
          </w:p>
        </w:tc>
      </w:tr>
      <w:tr w:rsidR="00000000">
        <w:trPr>
          <w:divId w:val="1134325290"/>
        </w:trPr>
        <w:tc>
          <w:tcPr>
            <w:tcW w:w="184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color w:val="0563C1"/>
                <w:sz w:val="16"/>
                <w:szCs w:val="16"/>
                <w:u w:val="single"/>
              </w:rPr>
              <w:t>​</w:t>
            </w:r>
          </w:p>
        </w:tc>
        <w:tc>
          <w:tcPr>
            <w:tcW w:w="7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530"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Accumulated</w:t>
            </w:r>
          </w:p>
        </w:tc>
        <w:tc>
          <w:tcPr>
            <w:tcW w:w="78"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1"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1134325290"/>
        </w:trPr>
        <w:tc>
          <w:tcPr>
            <w:tcW w:w="184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345"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345"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25"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Additional</w:t>
            </w:r>
          </w:p>
        </w:tc>
        <w:tc>
          <w:tcPr>
            <w:tcW w:w="78"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530"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Other</w:t>
            </w:r>
          </w:p>
        </w:tc>
        <w:tc>
          <w:tcPr>
            <w:tcW w:w="78"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1"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390"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72"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Total</w:t>
            </w:r>
          </w:p>
        </w:tc>
      </w:tr>
      <w:tr w:rsidR="00000000">
        <w:trPr>
          <w:divId w:val="1134325290"/>
        </w:trPr>
        <w:tc>
          <w:tcPr>
            <w:tcW w:w="184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848"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Ordinary Shares</w:t>
            </w:r>
          </w:p>
        </w:tc>
        <w:tc>
          <w:tcPr>
            <w:tcW w:w="78"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25"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Paid-In</w:t>
            </w:r>
          </w:p>
        </w:tc>
        <w:tc>
          <w:tcPr>
            <w:tcW w:w="78"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530"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Comprehensive</w:t>
            </w:r>
          </w:p>
        </w:tc>
        <w:tc>
          <w:tcPr>
            <w:tcW w:w="78"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82"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Accumulated</w:t>
            </w:r>
          </w:p>
        </w:tc>
        <w:tc>
          <w:tcPr>
            <w:tcW w:w="78"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72"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Shareholders'</w:t>
            </w:r>
          </w:p>
        </w:tc>
      </w:tr>
      <w:tr w:rsidR="00000000">
        <w:trPr>
          <w:divId w:val="1134325290"/>
        </w:trPr>
        <w:tc>
          <w:tcPr>
            <w:tcW w:w="184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345"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Shares</w:t>
            </w:r>
          </w:p>
        </w:tc>
        <w:tc>
          <w:tcPr>
            <w:tcW w:w="7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42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Amount</w:t>
            </w:r>
          </w:p>
        </w:tc>
        <w:tc>
          <w:tcPr>
            <w:tcW w:w="7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42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Capital</w:t>
            </w:r>
          </w:p>
        </w:tc>
        <w:tc>
          <w:tcPr>
            <w:tcW w:w="7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53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Income (Loss)</w:t>
            </w:r>
          </w:p>
        </w:tc>
        <w:tc>
          <w:tcPr>
            <w:tcW w:w="7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48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Deficit</w:t>
            </w:r>
          </w:p>
        </w:tc>
        <w:tc>
          <w:tcPr>
            <w:tcW w:w="7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47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Deficit</w:t>
            </w:r>
          </w:p>
        </w:tc>
      </w:tr>
      <w:tr w:rsidR="00000000">
        <w:trPr>
          <w:divId w:val="1134325290"/>
        </w:trPr>
        <w:tc>
          <w:tcPr>
            <w:tcW w:w="184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Balances at March 31, 2019</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56,122</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4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4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971,508</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42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(36)</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9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(1,084,725)</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7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(113,252)</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Proceeds from ESPP purchases</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145</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2,605</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2,605</w:t>
            </w:r>
          </w:p>
        </w:tc>
      </w:tr>
      <w:tr w:rsidR="00000000">
        <w:trPr>
          <w:divId w:val="1134325290"/>
        </w:trPr>
        <w:tc>
          <w:tcPr>
            <w:tcW w:w="184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Employee share-based compensation expense</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11,298</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11,298</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Issuance of restricted shares</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263</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r>
      <w:tr w:rsidR="00000000">
        <w:trPr>
          <w:divId w:val="1134325290"/>
        </w:trPr>
        <w:tc>
          <w:tcPr>
            <w:tcW w:w="184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Option exercises</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107</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2,292</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2,292</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Repurchase of shares to satisfy tax withholding</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(494)</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(494)</w:t>
            </w:r>
          </w:p>
        </w:tc>
      </w:tr>
      <w:tr w:rsidR="00000000">
        <w:trPr>
          <w:divId w:val="1134325290"/>
        </w:trPr>
        <w:tc>
          <w:tcPr>
            <w:tcW w:w="184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Net unrealized gain on marketable securities</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165</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165</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Net loss</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(39,838)</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(39,838)</w:t>
            </w:r>
          </w:p>
        </w:tc>
      </w:tr>
      <w:tr w:rsidR="00000000">
        <w:trPr>
          <w:divId w:val="1134325290"/>
        </w:trPr>
        <w:tc>
          <w:tcPr>
            <w:tcW w:w="184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Balances at June 30, 2019</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56,637</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987,209</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4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129</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(1,124,563)</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(137,224)</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r>
      <w:tr w:rsidR="00000000">
        <w:trPr>
          <w:divId w:val="1134325290"/>
        </w:trPr>
        <w:tc>
          <w:tcPr>
            <w:tcW w:w="184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1134325290"/>
        </w:trPr>
        <w:tc>
          <w:tcPr>
            <w:tcW w:w="184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color w:val="0563C1"/>
                <w:sz w:val="16"/>
                <w:szCs w:val="16"/>
                <w:u w:val="single"/>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530"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Accumulated</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25"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Additional</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530"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Other</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Total</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848" w:type="pct"/>
            <w:gridSpan w:val="4"/>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Ordinary Shares</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25"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Paid-In</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530"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Comprehensive</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82"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Accumulated</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Shareholders'</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345"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Shares</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424" w:type="pct"/>
            <w:gridSpan w:val="2"/>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Amount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425" w:type="pct"/>
            <w:gridSpan w:val="2"/>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Capital</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Income (Loss)</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482" w:type="pct"/>
            <w:gridSpan w:val="2"/>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Deficit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Deficit</w:t>
            </w:r>
          </w:p>
        </w:tc>
      </w:tr>
      <w:tr w:rsidR="00000000">
        <w:trPr>
          <w:divId w:val="1134325290"/>
        </w:trPr>
        <w:tc>
          <w:tcPr>
            <w:tcW w:w="184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Balances at December 31, 2018</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55,681</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4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4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960,721</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42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(166)</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9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w:t>
            </w:r>
            <w:r>
              <w:rPr>
                <w:sz w:val="16"/>
                <w:szCs w:val="16"/>
              </w:rPr>
              <w:t>1,012,145)</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7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(51,589)</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Proceeds from ESPP purchases</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145</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2,605</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2,605</w:t>
            </w:r>
          </w:p>
        </w:tc>
      </w:tr>
      <w:tr w:rsidR="00000000">
        <w:trPr>
          <w:divId w:val="1134325290"/>
        </w:trPr>
        <w:tc>
          <w:tcPr>
            <w:tcW w:w="184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Employee share-based compensation expense</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23,519</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23,519</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Issuance of restricted shares</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689</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r>
      <w:tr w:rsidR="00000000">
        <w:trPr>
          <w:divId w:val="1134325290"/>
        </w:trPr>
        <w:tc>
          <w:tcPr>
            <w:tcW w:w="184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Option exercises</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122</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2,545</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2,545</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Repurchase of shares to satisfy tax withholding</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(2,181)</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(2,181)</w:t>
            </w:r>
          </w:p>
        </w:tc>
      </w:tr>
      <w:tr w:rsidR="00000000">
        <w:trPr>
          <w:divId w:val="1134325290"/>
        </w:trPr>
        <w:tc>
          <w:tcPr>
            <w:tcW w:w="184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Net unrealized gain on marketable securities</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295</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295</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Net loss</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(112,418)</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(112,418)</w:t>
            </w:r>
          </w:p>
        </w:tc>
      </w:tr>
      <w:tr w:rsidR="00000000">
        <w:trPr>
          <w:divId w:val="1134325290"/>
        </w:trPr>
        <w:tc>
          <w:tcPr>
            <w:tcW w:w="184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Balances at June 30, 2019</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56,637</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987,209</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4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129</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(1,124,563)</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(137,224)</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r>
      <w:tr w:rsidR="00000000">
        <w:trPr>
          <w:divId w:val="1134325290"/>
        </w:trPr>
        <w:tc>
          <w:tcPr>
            <w:tcW w:w="184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1134325290"/>
        </w:trPr>
        <w:tc>
          <w:tcPr>
            <w:tcW w:w="184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color w:val="0563C1"/>
                <w:sz w:val="16"/>
                <w:szCs w:val="16"/>
                <w:u w:val="single"/>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530"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Accumulated</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25"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Additional</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530"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Other</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Total</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848" w:type="pct"/>
            <w:gridSpan w:val="4"/>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Ordinary Shares</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25"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Paid-In</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530"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Comprehensive</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82"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Accumulated</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Shareholders'</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345"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Shares</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424" w:type="pct"/>
            <w:gridSpan w:val="2"/>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Amount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425" w:type="pct"/>
            <w:gridSpan w:val="2"/>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Capital</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Income (Loss)</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482" w:type="pct"/>
            <w:gridSpan w:val="2"/>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Deficit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Equity</w:t>
            </w:r>
          </w:p>
        </w:tc>
      </w:tr>
      <w:tr w:rsidR="00000000">
        <w:trPr>
          <w:divId w:val="1134325290"/>
        </w:trPr>
        <w:tc>
          <w:tcPr>
            <w:tcW w:w="184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Balances at March 31, 2018</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54,798</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4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4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925,968</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42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(854)</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9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(861,708)</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7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63,407</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Proceeds from ESPP purchases</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135</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2,742</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2,742</w:t>
            </w:r>
          </w:p>
        </w:tc>
      </w:tr>
      <w:tr w:rsidR="00000000">
        <w:trPr>
          <w:divId w:val="1134325290"/>
        </w:trPr>
        <w:tc>
          <w:tcPr>
            <w:tcW w:w="184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lastRenderedPageBreak/>
              <w:t>Employee share-based compensation expense</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13,871</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13,871</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Issuance of restricted shares</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314</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r>
      <w:tr w:rsidR="00000000">
        <w:trPr>
          <w:divId w:val="1134325290"/>
        </w:trPr>
        <w:tc>
          <w:tcPr>
            <w:tcW w:w="184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Option exercises</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3</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46</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46</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Repurchase of shares to satisfy tax withholding</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(146)</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(5,190)</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(5,190)</w:t>
            </w:r>
          </w:p>
        </w:tc>
      </w:tr>
      <w:tr w:rsidR="00000000">
        <w:trPr>
          <w:divId w:val="1134325290"/>
        </w:trPr>
        <w:tc>
          <w:tcPr>
            <w:tcW w:w="184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Net unrealized gain on marketable securities</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329</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329</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Net loss</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(40,818)</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(40,818)</w:t>
            </w:r>
          </w:p>
        </w:tc>
      </w:tr>
      <w:tr w:rsidR="00000000">
        <w:trPr>
          <w:divId w:val="1134325290"/>
        </w:trPr>
        <w:tc>
          <w:tcPr>
            <w:tcW w:w="184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Balances at June 30, 2018</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55,104</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4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4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937,437</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42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(525)</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(902,526)</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7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34,387</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r>
      <w:tr w:rsidR="00000000">
        <w:trPr>
          <w:divId w:val="1134325290"/>
        </w:trPr>
        <w:tc>
          <w:tcPr>
            <w:tcW w:w="184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1134325290"/>
        </w:trPr>
        <w:tc>
          <w:tcPr>
            <w:tcW w:w="184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color w:val="0563C1"/>
                <w:sz w:val="16"/>
                <w:szCs w:val="16"/>
                <w:u w:val="single"/>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530"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Accumulated</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25"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Additional</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530"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Other</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1"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390"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Total</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848" w:type="pct"/>
            <w:gridSpan w:val="4"/>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Ordinary Shares</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25"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Paid-In</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530"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Comprehensive</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82"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Accumulated</w:t>
            </w:r>
          </w:p>
        </w:tc>
        <w:tc>
          <w:tcPr>
            <w:tcW w:w="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72" w:type="pct"/>
            <w:gridSpan w:val="2"/>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Shareholders'</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345"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Shares</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424" w:type="pct"/>
            <w:gridSpan w:val="2"/>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Amount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425" w:type="pct"/>
            <w:gridSpan w:val="2"/>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Capital</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530" w:type="pct"/>
            <w:gridSpan w:val="2"/>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Income (Loss)</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482" w:type="pct"/>
            <w:gridSpan w:val="2"/>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Deficit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   </w:t>
            </w:r>
          </w:p>
        </w:tc>
        <w:tc>
          <w:tcPr>
            <w:tcW w:w="472" w:type="pct"/>
            <w:gridSpan w:val="2"/>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Equity</w:t>
            </w:r>
          </w:p>
        </w:tc>
      </w:tr>
      <w:tr w:rsidR="00000000">
        <w:trPr>
          <w:divId w:val="1134325290"/>
        </w:trPr>
        <w:tc>
          <w:tcPr>
            <w:tcW w:w="184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Balances at December 31, 2017</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54,381</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4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4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913,650</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42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(733)</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9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(797,740)</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7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115,178</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Proceeds from ESPP purchases</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135</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2,742</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2,742</w:t>
            </w:r>
          </w:p>
        </w:tc>
      </w:tr>
      <w:tr w:rsidR="00000000">
        <w:trPr>
          <w:divId w:val="1134325290"/>
        </w:trPr>
        <w:tc>
          <w:tcPr>
            <w:tcW w:w="184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Employee share-based compensation expense</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27,869</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27,869</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Issuance of restricted shares</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729</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r>
      <w:tr w:rsidR="00000000">
        <w:trPr>
          <w:divId w:val="1134325290"/>
        </w:trPr>
        <w:tc>
          <w:tcPr>
            <w:tcW w:w="184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Option exercises</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5</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81</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81</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Cumulative effect upon the adoption of ASC 606</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1,119</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1,119</w:t>
            </w:r>
          </w:p>
        </w:tc>
      </w:tr>
      <w:tr w:rsidR="00000000">
        <w:trPr>
          <w:divId w:val="1134325290"/>
        </w:trPr>
        <w:tc>
          <w:tcPr>
            <w:tcW w:w="184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Repurchase of shares to satisfy tax withholding</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(146)</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(6,905)</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(6,905)</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Net unrealized gain on marketable securities</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208</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208</w:t>
            </w:r>
          </w:p>
        </w:tc>
      </w:tr>
      <w:tr w:rsidR="00000000">
        <w:trPr>
          <w:divId w:val="1134325290"/>
        </w:trPr>
        <w:tc>
          <w:tcPr>
            <w:tcW w:w="184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16"/>
                <w:szCs w:val="16"/>
              </w:rPr>
            </w:pPr>
            <w:r>
              <w:rPr>
                <w:sz w:val="16"/>
                <w:szCs w:val="16"/>
              </w:rPr>
              <w:t>Net loss</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tcBorders>
              <w:bottom w:val="single" w:sz="6" w:space="0" w:color="000000"/>
            </w:tcBorders>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5" w:type="pct"/>
            <w:tcBorders>
              <w:bottom w:val="single" w:sz="6" w:space="0" w:color="000000"/>
            </w:tcBorders>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22"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9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(105,905)</w:t>
            </w:r>
          </w:p>
        </w:tc>
        <w:tc>
          <w:tcPr>
            <w:tcW w:w="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7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(105,905)</w:t>
            </w:r>
          </w:p>
        </w:tc>
      </w:tr>
      <w:tr w:rsidR="00000000">
        <w:trPr>
          <w:divId w:val="113432529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Balances at June 30, 2018</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345"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55,104</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45"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8"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46"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937,437</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08"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422"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(525)</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1"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90"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(902,526)</w:t>
            </w:r>
          </w:p>
        </w:tc>
        <w:tc>
          <w:tcPr>
            <w:tcW w:w="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6"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375"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34,387</w:t>
            </w:r>
          </w:p>
        </w:tc>
      </w:tr>
    </w:tbl>
    <w:p w:rsidR="00000000" w:rsidRDefault="008B747E">
      <w:pPr>
        <w:pStyle w:val="a3"/>
        <w:spacing w:before="0" w:beforeAutospacing="0" w:after="0" w:afterAutospacing="0"/>
        <w:divId w:val="1134325290"/>
        <w:rPr>
          <w:sz w:val="20"/>
          <w:szCs w:val="20"/>
        </w:rPr>
      </w:pPr>
      <w:r>
        <w:rPr>
          <w:sz w:val="12"/>
          <w:szCs w:val="12"/>
        </w:rPr>
        <w:t>​</w:t>
      </w:r>
    </w:p>
    <w:p w:rsidR="00000000" w:rsidRDefault="008B747E">
      <w:pPr>
        <w:pStyle w:val="a3"/>
        <w:spacing w:before="0" w:beforeAutospacing="0" w:after="0" w:afterAutospacing="0"/>
        <w:ind w:firstLine="720"/>
        <w:jc w:val="center"/>
        <w:divId w:val="1134325290"/>
        <w:rPr>
          <w:sz w:val="20"/>
          <w:szCs w:val="20"/>
        </w:rPr>
      </w:pPr>
      <w:r>
        <w:rPr>
          <w:i/>
          <w:iCs/>
          <w:sz w:val="20"/>
          <w:szCs w:val="20"/>
        </w:rPr>
        <w:t>See accompanying notes to condensed consolidated financial statements.</w:t>
      </w:r>
    </w:p>
    <w:p w:rsidR="00000000" w:rsidRDefault="008B747E">
      <w:pPr>
        <w:pStyle w:val="a3"/>
        <w:spacing w:before="360" w:beforeAutospacing="0" w:after="0" w:afterAutospacing="0"/>
        <w:jc w:val="center"/>
        <w:divId w:val="2092728298"/>
        <w:rPr>
          <w:sz w:val="20"/>
          <w:szCs w:val="20"/>
        </w:rPr>
      </w:pPr>
      <w:r>
        <w:rPr>
          <w:sz w:val="20"/>
          <w:szCs w:val="20"/>
        </w:rPr>
        <w:t>5</w:t>
      </w:r>
    </w:p>
    <w:p w:rsidR="00000000" w:rsidRDefault="008B747E">
      <w:pPr>
        <w:pStyle w:val="a3"/>
        <w:spacing w:before="0" w:beforeAutospacing="0" w:after="600" w:afterAutospacing="0"/>
        <w:divId w:val="1347757654"/>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jc w:val="center"/>
        <w:divId w:val="97257996"/>
        <w:rPr>
          <w:sz w:val="20"/>
          <w:szCs w:val="20"/>
        </w:rPr>
      </w:pPr>
      <w:r>
        <w:rPr>
          <w:b/>
          <w:bCs/>
          <w:sz w:val="20"/>
          <w:szCs w:val="20"/>
        </w:rPr>
        <w:t>THERAVANCE BIOPHARMA, INC.</w:t>
      </w:r>
    </w:p>
    <w:p w:rsidR="00000000" w:rsidRDefault="008B747E">
      <w:pPr>
        <w:pStyle w:val="a3"/>
        <w:spacing w:before="0" w:beforeAutospacing="0" w:after="0" w:afterAutospacing="0"/>
        <w:jc w:val="center"/>
        <w:divId w:val="97257996"/>
        <w:rPr>
          <w:sz w:val="20"/>
          <w:szCs w:val="20"/>
        </w:rPr>
      </w:pPr>
      <w:r>
        <w:rPr>
          <w:b/>
          <w:bCs/>
          <w:sz w:val="20"/>
          <w:szCs w:val="20"/>
        </w:rPr>
        <w:t>CONDENSED CONSOLIDATED STATEMENTS OF CASH FLOWS</w:t>
      </w:r>
    </w:p>
    <w:p w:rsidR="00000000" w:rsidRDefault="008B747E">
      <w:pPr>
        <w:pStyle w:val="a3"/>
        <w:spacing w:before="0" w:beforeAutospacing="0" w:after="0" w:afterAutospacing="0"/>
        <w:jc w:val="center"/>
        <w:divId w:val="97257996"/>
        <w:rPr>
          <w:sz w:val="20"/>
          <w:szCs w:val="20"/>
        </w:rPr>
      </w:pPr>
      <w:r>
        <w:rPr>
          <w:b/>
          <w:bCs/>
          <w:sz w:val="20"/>
          <w:szCs w:val="20"/>
        </w:rPr>
        <w:t>(Unaudited)</w:t>
      </w:r>
    </w:p>
    <w:p w:rsidR="00000000" w:rsidRDefault="008B747E">
      <w:pPr>
        <w:pStyle w:val="a3"/>
        <w:spacing w:before="0" w:beforeAutospacing="0" w:after="0" w:afterAutospacing="0"/>
        <w:jc w:val="center"/>
        <w:divId w:val="97257996"/>
        <w:rPr>
          <w:sz w:val="20"/>
          <w:szCs w:val="20"/>
        </w:rPr>
      </w:pPr>
      <w:r>
        <w:rPr>
          <w:b/>
          <w:bCs/>
          <w:sz w:val="20"/>
          <w:szCs w:val="20"/>
        </w:rPr>
        <w:t>(In thousands)</w:t>
      </w:r>
    </w:p>
    <w:p w:rsidR="00000000" w:rsidRDefault="008B747E">
      <w:pPr>
        <w:pStyle w:val="a3"/>
        <w:spacing w:before="0" w:beforeAutospacing="0" w:after="0" w:afterAutospacing="0"/>
        <w:jc w:val="center"/>
        <w:divId w:val="97257996"/>
        <w:rPr>
          <w:sz w:val="20"/>
          <w:szCs w:val="20"/>
        </w:rPr>
      </w:pPr>
      <w:r>
        <w:rPr>
          <w:sz w:val="8"/>
          <w:szCs w:val="8"/>
        </w:rPr>
        <w:t>​</w:t>
      </w:r>
    </w:p>
    <w:tbl>
      <w:tblPr>
        <w:tblW w:w="5000" w:type="pct"/>
        <w:tblCellMar>
          <w:top w:w="15" w:type="dxa"/>
          <w:left w:w="0" w:type="dxa"/>
          <w:bottom w:w="15" w:type="dxa"/>
          <w:right w:w="0" w:type="dxa"/>
        </w:tblCellMar>
        <w:tblLook w:val="04A0" w:firstRow="1" w:lastRow="0" w:firstColumn="1" w:lastColumn="0" w:noHBand="0" w:noVBand="1"/>
      </w:tblPr>
      <w:tblGrid>
        <w:gridCol w:w="5724"/>
        <w:gridCol w:w="202"/>
        <w:gridCol w:w="202"/>
        <w:gridCol w:w="807"/>
        <w:gridCol w:w="202"/>
        <w:gridCol w:w="202"/>
        <w:gridCol w:w="807"/>
        <w:gridCol w:w="160"/>
      </w:tblGrid>
      <w:tr w:rsidR="00000000">
        <w:trPr>
          <w:divId w:val="97257996"/>
          <w:trHeight w:val="20"/>
        </w:trPr>
        <w:tc>
          <w:tcPr>
            <w:tcW w:w="3448" w:type="pct"/>
            <w:tcMar>
              <w:top w:w="0" w:type="dxa"/>
              <w:left w:w="0" w:type="dxa"/>
              <w:bottom w:w="0" w:type="dxa"/>
              <w:right w:w="0" w:type="dxa"/>
            </w:tcMar>
            <w:hideMark/>
          </w:tcPr>
          <w:p w:rsidR="00000000" w:rsidRDefault="008B747E">
            <w:pPr>
              <w:pStyle w:val="a3"/>
              <w:spacing w:before="0" w:beforeAutospacing="0" w:after="0" w:afterAutospacing="0"/>
              <w:divId w:val="1401905480"/>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126776162"/>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809127005"/>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51405774"/>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976139759"/>
              <w:rPr>
                <w:sz w:val="20"/>
                <w:szCs w:val="20"/>
              </w:rPr>
            </w:pPr>
            <w:r>
              <w:rPr>
                <w:sz w:val="2"/>
                <w:szCs w:val="2"/>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626546151"/>
              <w:rPr>
                <w:sz w:val="20"/>
                <w:szCs w:val="20"/>
              </w:rPr>
            </w:pPr>
            <w:r>
              <w:rPr>
                <w:sz w:val="2"/>
                <w:szCs w:val="2"/>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51565258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520171314"/>
              <w:rPr>
                <w:sz w:val="20"/>
                <w:szCs w:val="20"/>
              </w:rPr>
            </w:pPr>
            <w:r>
              <w:rPr>
                <w:sz w:val="2"/>
                <w:szCs w:val="2"/>
              </w:rPr>
              <w:t>​</w:t>
            </w:r>
          </w:p>
        </w:tc>
      </w:tr>
      <w:tr w:rsidR="00000000">
        <w:trPr>
          <w:divId w:val="97257996"/>
        </w:trPr>
        <w:tc>
          <w:tcPr>
            <w:tcW w:w="344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12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1348" w:type="pct"/>
            <w:gridSpan w:val="5"/>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Six Months Ended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r>
      <w:tr w:rsidR="00000000">
        <w:trPr>
          <w:divId w:val="97257996"/>
        </w:trPr>
        <w:tc>
          <w:tcPr>
            <w:tcW w:w="344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12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1348"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r>
      <w:tr w:rsidR="00000000">
        <w:trPr>
          <w:divId w:val="97257996"/>
        </w:trPr>
        <w:tc>
          <w:tcPr>
            <w:tcW w:w="344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12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61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12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61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16"/>
                <w:szCs w:val="16"/>
              </w:rPr>
            </w:pPr>
            <w:r>
              <w:rPr>
                <w:b/>
                <w:bCs/>
                <w:sz w:val="16"/>
                <w:szCs w:val="16"/>
              </w:rPr>
              <w:t>Operating activities</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rPr>
                <w:sz w:val="16"/>
                <w:szCs w:val="16"/>
              </w:rPr>
            </w:pPr>
            <w:r>
              <w:rPr>
                <w:sz w:val="16"/>
                <w:szCs w:val="16"/>
              </w:rPr>
              <w:t xml:space="preserve">Net loss </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(112,418)</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(105,905)</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16"/>
                <w:szCs w:val="16"/>
              </w:rPr>
            </w:pPr>
            <w:r>
              <w:rPr>
                <w:sz w:val="16"/>
                <w:szCs w:val="16"/>
              </w:rPr>
              <w:t>Adjustments to reconcile net loss to net cash used in operating activities:</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ind w:left="240"/>
              <w:rPr>
                <w:sz w:val="16"/>
                <w:szCs w:val="16"/>
              </w:rPr>
            </w:pPr>
            <w:r>
              <w:rPr>
                <w:sz w:val="16"/>
                <w:szCs w:val="16"/>
              </w:rPr>
              <w:t>Depreciation and amortization</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2,867</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2,126</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left="240"/>
              <w:rPr>
                <w:sz w:val="16"/>
                <w:szCs w:val="16"/>
              </w:rPr>
            </w:pPr>
            <w:r>
              <w:rPr>
                <w:sz w:val="16"/>
                <w:szCs w:val="16"/>
              </w:rPr>
              <w:t>Amortization and accretion income, net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(1,696)</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(436)</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ind w:left="240"/>
              <w:rPr>
                <w:sz w:val="16"/>
                <w:szCs w:val="16"/>
              </w:rPr>
            </w:pPr>
            <w:r>
              <w:rPr>
                <w:sz w:val="16"/>
                <w:szCs w:val="16"/>
              </w:rPr>
              <w:t xml:space="preserve">Share-based compensation </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23,519</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27,853</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left="240"/>
              <w:rPr>
                <w:sz w:val="16"/>
                <w:szCs w:val="16"/>
              </w:rPr>
            </w:pPr>
            <w:r>
              <w:rPr>
                <w:sz w:val="16"/>
                <w:szCs w:val="16"/>
              </w:rPr>
              <w:t>Reversal of inventory purchase commitment liability</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(2,250)</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ind w:left="240"/>
              <w:rPr>
                <w:sz w:val="16"/>
                <w:szCs w:val="16"/>
              </w:rPr>
            </w:pPr>
            <w:r>
              <w:rPr>
                <w:sz w:val="16"/>
                <w:szCs w:val="16"/>
              </w:rPr>
              <w:t>Amortization of right-of-use assets</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2,016</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left="240"/>
              <w:rPr>
                <w:sz w:val="16"/>
                <w:szCs w:val="16"/>
              </w:rPr>
            </w:pPr>
            <w:r>
              <w:rPr>
                <w:sz w:val="16"/>
                <w:szCs w:val="16"/>
              </w:rPr>
              <w:t>Undistributed earnings from investment in TRC, LLC</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(14,595)</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(1,633)</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ind w:left="240"/>
              <w:rPr>
                <w:sz w:val="16"/>
                <w:szCs w:val="16"/>
              </w:rPr>
            </w:pPr>
            <w:r>
              <w:rPr>
                <w:sz w:val="16"/>
                <w:szCs w:val="16"/>
              </w:rPr>
              <w:t>Other</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53</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(21)</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left="240"/>
              <w:rPr>
                <w:sz w:val="16"/>
                <w:szCs w:val="16"/>
              </w:rPr>
            </w:pPr>
            <w:r>
              <w:rPr>
                <w:sz w:val="16"/>
                <w:szCs w:val="16"/>
              </w:rPr>
              <w:t>Changes in operating assets and liabilities:</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ind w:left="360"/>
              <w:rPr>
                <w:sz w:val="16"/>
                <w:szCs w:val="16"/>
              </w:rPr>
            </w:pPr>
            <w:r>
              <w:rPr>
                <w:sz w:val="16"/>
                <w:szCs w:val="16"/>
              </w:rPr>
              <w:t xml:space="preserve">Accounts receivable </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389</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(1,181)</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left="360"/>
              <w:rPr>
                <w:sz w:val="16"/>
                <w:szCs w:val="16"/>
              </w:rPr>
            </w:pPr>
            <w:r>
              <w:rPr>
                <w:sz w:val="16"/>
                <w:szCs w:val="16"/>
              </w:rPr>
              <w:t xml:space="preserve">Receivables from collaborative arrangements </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9,074</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3,244</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ind w:left="360"/>
              <w:rPr>
                <w:sz w:val="16"/>
                <w:szCs w:val="16"/>
              </w:rPr>
            </w:pPr>
            <w:r>
              <w:rPr>
                <w:sz w:val="16"/>
                <w:szCs w:val="16"/>
              </w:rPr>
              <w:t>Other prepaid and current assets</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(2,407)</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(2,963)</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left="360"/>
              <w:rPr>
                <w:sz w:val="16"/>
                <w:szCs w:val="16"/>
              </w:rPr>
            </w:pPr>
            <w:r>
              <w:rPr>
                <w:sz w:val="16"/>
                <w:szCs w:val="16"/>
              </w:rPr>
              <w:t xml:space="preserve">Inventories </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(351)</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ind w:left="360"/>
              <w:rPr>
                <w:sz w:val="16"/>
                <w:szCs w:val="16"/>
              </w:rPr>
            </w:pPr>
            <w:r>
              <w:rPr>
                <w:sz w:val="16"/>
                <w:szCs w:val="16"/>
              </w:rPr>
              <w:t>Tax receivable</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(3,700)</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5,092</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360"/>
              <w:rPr>
                <w:sz w:val="16"/>
                <w:szCs w:val="16"/>
              </w:rPr>
            </w:pPr>
            <w:r>
              <w:rPr>
                <w:sz w:val="16"/>
                <w:szCs w:val="16"/>
              </w:rPr>
              <w:t>Other assets</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(41)</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ind w:left="360"/>
              <w:rPr>
                <w:sz w:val="16"/>
                <w:szCs w:val="16"/>
              </w:rPr>
            </w:pPr>
            <w:r>
              <w:rPr>
                <w:sz w:val="16"/>
                <w:szCs w:val="16"/>
              </w:rPr>
              <w:t xml:space="preserve">Accounts payable </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(5,491)</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(2,311)</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left="360"/>
              <w:rPr>
                <w:sz w:val="16"/>
                <w:szCs w:val="16"/>
              </w:rPr>
            </w:pPr>
            <w:r>
              <w:rPr>
                <w:sz w:val="16"/>
                <w:szCs w:val="16"/>
              </w:rPr>
              <w:t xml:space="preserve">Accrued personnel-related expenses, accrued clinical and development expenses, and </w:t>
            </w:r>
            <w:r>
              <w:rPr>
                <w:sz w:val="16"/>
                <w:szCs w:val="16"/>
              </w:rPr>
              <w:br/>
            </w:r>
            <w:r>
              <w:rPr>
                <w:sz w:val="16"/>
                <w:szCs w:val="16"/>
              </w:rPr>
              <w:t>other accrued liabilities</w:t>
            </w:r>
            <w:r>
              <w:rPr>
                <w:sz w:val="16"/>
                <w:szCs w:val="16"/>
              </w:rPr>
              <w:t xml:space="preserve"> </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(15,580)</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(19,049)</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ind w:left="360"/>
              <w:rPr>
                <w:sz w:val="16"/>
                <w:szCs w:val="16"/>
              </w:rPr>
            </w:pPr>
            <w:r>
              <w:rPr>
                <w:sz w:val="16"/>
                <w:szCs w:val="16"/>
              </w:rPr>
              <w:t>Accrued interest payable</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2,672</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left="360"/>
              <w:rPr>
                <w:sz w:val="16"/>
                <w:szCs w:val="16"/>
              </w:rPr>
            </w:pPr>
            <w:r>
              <w:rPr>
                <w:sz w:val="16"/>
                <w:szCs w:val="16"/>
              </w:rPr>
              <w:t>Deferred rent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3,002</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ind w:left="360"/>
              <w:rPr>
                <w:sz w:val="16"/>
                <w:szCs w:val="16"/>
              </w:rPr>
            </w:pPr>
            <w:r>
              <w:rPr>
                <w:sz w:val="16"/>
                <w:szCs w:val="16"/>
              </w:rPr>
              <w:t xml:space="preserve">Deferred revenue </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(12,826)</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88,256</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left="360"/>
              <w:rPr>
                <w:sz w:val="16"/>
                <w:szCs w:val="16"/>
              </w:rPr>
            </w:pPr>
            <w:r>
              <w:rPr>
                <w:sz w:val="16"/>
                <w:szCs w:val="16"/>
              </w:rPr>
              <w:t>Operating lease liabilities</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(1,371)</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ind w:left="360"/>
              <w:rPr>
                <w:sz w:val="16"/>
                <w:szCs w:val="16"/>
              </w:rPr>
            </w:pPr>
            <w:r>
              <w:rPr>
                <w:sz w:val="16"/>
                <w:szCs w:val="16"/>
              </w:rPr>
              <w:t>Other long-term liabilities</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269</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(5,144)</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left="480"/>
              <w:rPr>
                <w:sz w:val="16"/>
                <w:szCs w:val="16"/>
              </w:rPr>
            </w:pPr>
            <w:r>
              <w:rPr>
                <w:sz w:val="16"/>
                <w:szCs w:val="16"/>
              </w:rPr>
              <w:t xml:space="preserve">Net cash used in operating activities </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(129,223)</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(11,712)</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16"/>
                <w:szCs w:val="16"/>
              </w:rPr>
            </w:pPr>
            <w:r>
              <w:rPr>
                <w:b/>
                <w:bCs/>
                <w:sz w:val="16"/>
                <w:szCs w:val="16"/>
              </w:rPr>
              <w:t>Investing activities</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rPr>
                <w:sz w:val="16"/>
                <w:szCs w:val="16"/>
              </w:rPr>
            </w:pPr>
            <w:r>
              <w:rPr>
                <w:sz w:val="16"/>
                <w:szCs w:val="16"/>
              </w:rPr>
              <w:t>Purchases of property and equipment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(1,796)</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(3,865)</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16"/>
                <w:szCs w:val="16"/>
              </w:rPr>
            </w:pPr>
            <w:r>
              <w:rPr>
                <w:sz w:val="16"/>
                <w:szCs w:val="16"/>
              </w:rPr>
              <w:t xml:space="preserve">Purchases of marketable securities </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(208,028)</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(101,912)</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rPr>
                <w:sz w:val="16"/>
                <w:szCs w:val="16"/>
              </w:rPr>
            </w:pPr>
            <w:r>
              <w:rPr>
                <w:sz w:val="16"/>
                <w:szCs w:val="16"/>
              </w:rPr>
              <w:t xml:space="preserve">Maturities of marketable securities </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131,368</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136,428</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16"/>
                <w:szCs w:val="16"/>
              </w:rPr>
            </w:pPr>
            <w:r>
              <w:rPr>
                <w:sz w:val="16"/>
                <w:szCs w:val="16"/>
              </w:rPr>
              <w:t>Proceeds from the sale of VIBATIV business, net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5,000</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rPr>
                <w:sz w:val="16"/>
                <w:szCs w:val="16"/>
              </w:rPr>
            </w:pPr>
            <w:r>
              <w:rPr>
                <w:sz w:val="16"/>
                <w:szCs w:val="16"/>
              </w:rPr>
              <w:t>Proceeds from the sale of fixed assets</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17</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left="480"/>
              <w:rPr>
                <w:sz w:val="16"/>
                <w:szCs w:val="16"/>
              </w:rPr>
            </w:pPr>
            <w:r>
              <w:rPr>
                <w:sz w:val="16"/>
                <w:szCs w:val="16"/>
              </w:rPr>
              <w:t xml:space="preserve">Net cash (used in) provided by investing activities </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(73,456)</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30,668</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16"/>
                <w:szCs w:val="16"/>
              </w:rPr>
            </w:pPr>
            <w:r>
              <w:rPr>
                <w:b/>
                <w:bCs/>
                <w:sz w:val="16"/>
                <w:szCs w:val="16"/>
              </w:rPr>
              <w:t>Financing activities</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sz w:val="16"/>
                <w:szCs w:val="16"/>
              </w:rPr>
              <w:t>Proceeds from ESPP purchases</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2,605</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2,742</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16"/>
                <w:szCs w:val="16"/>
              </w:rPr>
            </w:pPr>
            <w:r>
              <w:rPr>
                <w:sz w:val="16"/>
                <w:szCs w:val="16"/>
              </w:rPr>
              <w:t>Proceeds from option exercises</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2,545</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81</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rPr>
                <w:sz w:val="16"/>
                <w:szCs w:val="16"/>
              </w:rPr>
            </w:pPr>
            <w:r>
              <w:rPr>
                <w:sz w:val="16"/>
                <w:szCs w:val="16"/>
              </w:rPr>
              <w:t>Repurchase of shares to satisfy tax withholding</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(2,181)</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(6,905)</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left="480"/>
              <w:rPr>
                <w:sz w:val="16"/>
                <w:szCs w:val="16"/>
              </w:rPr>
            </w:pPr>
            <w:r>
              <w:rPr>
                <w:sz w:val="16"/>
                <w:szCs w:val="16"/>
              </w:rPr>
              <w:t>Net cash provided by (used in) financing activities</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2,969</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(4,082)</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16"/>
                <w:szCs w:val="16"/>
              </w:rPr>
            </w:pPr>
            <w:r>
              <w:rPr>
                <w:b/>
                <w:bCs/>
                <w:sz w:val="16"/>
                <w:szCs w:val="16"/>
              </w:rPr>
              <w:t>Net (decrease) increase in cash, cash equivalents, and restricted cash</w:t>
            </w:r>
            <w:r>
              <w:rPr>
                <w:sz w:val="16"/>
                <w:szCs w:val="16"/>
              </w:rPr>
              <w:t xml:space="preserve"> </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(199,710)</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14,874</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rPr>
                <w:sz w:val="16"/>
                <w:szCs w:val="16"/>
              </w:rPr>
            </w:pPr>
            <w:r>
              <w:rPr>
                <w:b/>
                <w:bCs/>
                <w:sz w:val="16"/>
                <w:szCs w:val="16"/>
              </w:rPr>
              <w:t>Cash, cash equivalents, and restricted cash at beginning of period</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378,854</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 </w:t>
            </w:r>
          </w:p>
        </w:tc>
        <w:tc>
          <w:tcPr>
            <w:tcW w:w="4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89,813</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16"/>
                <w:szCs w:val="16"/>
              </w:rPr>
            </w:pPr>
            <w:r>
              <w:rPr>
                <w:b/>
                <w:bCs/>
                <w:sz w:val="16"/>
                <w:szCs w:val="16"/>
              </w:rPr>
              <w:t>Cash, cash equivalents, and restricted cash at end of period</w:t>
            </w:r>
            <w:r>
              <w:rPr>
                <w:sz w:val="16"/>
                <w:szCs w:val="16"/>
              </w:rPr>
              <w:t xml:space="preserve"> </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4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179,144</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4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104,687</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b/>
                <w:bCs/>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16"/>
                <w:szCs w:val="16"/>
              </w:rPr>
            </w:pPr>
            <w:r>
              <w:rPr>
                <w:b/>
                <w:bCs/>
                <w:sz w:val="16"/>
                <w:szCs w:val="16"/>
              </w:rPr>
              <w:t>Supplemental disclosure of cash flow information</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16"/>
                <w:szCs w:val="16"/>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rPr>
                <w:sz w:val="16"/>
                <w:szCs w:val="16"/>
              </w:rPr>
            </w:pPr>
            <w:r>
              <w:rPr>
                <w:sz w:val="16"/>
                <w:szCs w:val="16"/>
              </w:rPr>
              <w:t>Cash paid for interest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11,753</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3,738</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16"/>
                <w:szCs w:val="16"/>
              </w:rPr>
            </w:pPr>
            <w:r>
              <w:rPr>
                <w:sz w:val="16"/>
                <w:szCs w:val="16"/>
              </w:rPr>
              <w:t>Cash paid (received) for income taxes, net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21</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4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16"/>
                <w:szCs w:val="16"/>
              </w:rPr>
            </w:pPr>
            <w:r>
              <w:rPr>
                <w:sz w:val="16"/>
                <w:szCs w:val="16"/>
              </w:rPr>
              <w:t>(4,455)</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r w:rsidR="00000000">
        <w:trPr>
          <w:divId w:val="97257996"/>
        </w:trPr>
        <w:tc>
          <w:tcPr>
            <w:tcW w:w="3448" w:type="pct"/>
            <w:tcMar>
              <w:top w:w="0" w:type="dxa"/>
              <w:left w:w="0" w:type="dxa"/>
              <w:bottom w:w="0" w:type="dxa"/>
              <w:right w:w="0" w:type="dxa"/>
            </w:tcMar>
            <w:hideMark/>
          </w:tcPr>
          <w:p w:rsidR="00000000" w:rsidRDefault="008B747E">
            <w:pPr>
              <w:pStyle w:val="a3"/>
              <w:spacing w:before="0" w:beforeAutospacing="0" w:after="0" w:afterAutospacing="0"/>
              <w:rPr>
                <w:sz w:val="16"/>
                <w:szCs w:val="16"/>
              </w:rPr>
            </w:pPr>
            <w:r>
              <w:rPr>
                <w:sz w:val="16"/>
                <w:szCs w:val="16"/>
              </w:rPr>
              <w:t>Right-of-use assets obtained in exchange for lease obligations (1)</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49,847</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12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sz w:val="16"/>
                <w:szCs w:val="16"/>
              </w:rPr>
              <w:t>$</w:t>
            </w:r>
          </w:p>
        </w:tc>
        <w:tc>
          <w:tcPr>
            <w:tcW w:w="488"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16"/>
                <w:szCs w:val="16"/>
              </w:rPr>
            </w:pPr>
            <w:r>
              <w:rPr>
                <w:sz w:val="16"/>
                <w:szCs w:val="16"/>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r>
    </w:tbl>
    <w:p w:rsidR="00000000" w:rsidRDefault="008B747E">
      <w:pPr>
        <w:divId w:val="2119249353"/>
        <w:rPr>
          <w:rFonts w:eastAsia="Times New Roman"/>
          <w:sz w:val="20"/>
          <w:szCs w:val="20"/>
        </w:rPr>
      </w:pPr>
      <w:r>
        <w:rPr>
          <w:rFonts w:eastAsia="Times New Roman"/>
          <w:sz w:val="20"/>
          <w:szCs w:val="20"/>
        </w:rPr>
        <w:t>(1</w:t>
      </w:r>
      <w:r>
        <w:rPr>
          <w:rFonts w:eastAsia="Times New Roman"/>
          <w:sz w:val="20"/>
          <w:szCs w:val="20"/>
        </w:rPr>
        <w:t>)</w:t>
      </w:r>
      <w:r>
        <w:rPr>
          <w:rFonts w:eastAsia="Times New Roman"/>
          <w:sz w:val="20"/>
          <w:szCs w:val="20"/>
        </w:rPr>
        <w:t>Amounts for the six months ended June 30, 2019 include the transition adjustment for the adoption of ASC 842.</w:t>
      </w:r>
    </w:p>
    <w:p w:rsidR="00000000" w:rsidRDefault="008B747E">
      <w:pPr>
        <w:pStyle w:val="a3"/>
        <w:spacing w:before="0" w:beforeAutospacing="0" w:after="0" w:afterAutospacing="0"/>
        <w:jc w:val="center"/>
        <w:divId w:val="97257996"/>
        <w:rPr>
          <w:sz w:val="20"/>
          <w:szCs w:val="20"/>
        </w:rPr>
      </w:pPr>
      <w:r>
        <w:rPr>
          <w:i/>
          <w:iCs/>
          <w:sz w:val="20"/>
          <w:szCs w:val="20"/>
        </w:rPr>
        <w:t>See accompanying notes to condensed consolidated financial statements</w:t>
      </w:r>
      <w:r>
        <w:rPr>
          <w:sz w:val="20"/>
          <w:szCs w:val="20"/>
        </w:rPr>
        <w:t>.</w:t>
      </w:r>
    </w:p>
    <w:p w:rsidR="00000000" w:rsidRDefault="008B747E">
      <w:pPr>
        <w:pStyle w:val="a3"/>
        <w:spacing w:before="0" w:beforeAutospacing="0" w:after="0" w:afterAutospacing="0"/>
        <w:divId w:val="97257996"/>
        <w:rPr>
          <w:sz w:val="20"/>
          <w:szCs w:val="20"/>
        </w:rPr>
      </w:pPr>
      <w:r>
        <w:rPr>
          <w:sz w:val="20"/>
          <w:szCs w:val="20"/>
        </w:rPr>
        <w:t>​</w:t>
      </w:r>
    </w:p>
    <w:p w:rsidR="00000000" w:rsidRDefault="008B747E">
      <w:pPr>
        <w:pStyle w:val="a3"/>
        <w:spacing w:before="360" w:beforeAutospacing="0" w:after="0" w:afterAutospacing="0"/>
        <w:jc w:val="center"/>
        <w:divId w:val="164370729"/>
        <w:rPr>
          <w:sz w:val="20"/>
          <w:szCs w:val="20"/>
        </w:rPr>
      </w:pPr>
      <w:r>
        <w:rPr>
          <w:sz w:val="20"/>
          <w:szCs w:val="20"/>
        </w:rPr>
        <w:t>6</w:t>
      </w:r>
    </w:p>
    <w:p w:rsidR="00000000" w:rsidRDefault="008B747E">
      <w:pPr>
        <w:pStyle w:val="a3"/>
        <w:spacing w:before="0" w:beforeAutospacing="0" w:after="600" w:afterAutospacing="0"/>
        <w:divId w:val="551111575"/>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jc w:val="center"/>
        <w:divId w:val="177550993"/>
        <w:rPr>
          <w:sz w:val="20"/>
          <w:szCs w:val="20"/>
        </w:rPr>
      </w:pPr>
      <w:r>
        <w:rPr>
          <w:b/>
          <w:bCs/>
          <w:sz w:val="20"/>
          <w:szCs w:val="20"/>
        </w:rPr>
        <w:t>THERAVANCE BIOPHARMA, INC.</w:t>
      </w:r>
    </w:p>
    <w:p w:rsidR="00000000" w:rsidRDefault="008B747E">
      <w:pPr>
        <w:pStyle w:val="a3"/>
        <w:spacing w:before="0" w:beforeAutospacing="0" w:after="0" w:afterAutospacing="0"/>
        <w:jc w:val="center"/>
        <w:divId w:val="177550993"/>
        <w:rPr>
          <w:sz w:val="20"/>
          <w:szCs w:val="20"/>
        </w:rPr>
      </w:pPr>
      <w:r>
        <w:rPr>
          <w:b/>
          <w:bCs/>
          <w:sz w:val="20"/>
          <w:szCs w:val="20"/>
        </w:rPr>
        <w:t>NOTES TO CONDENSED CONSOLIDATED FINANCIAL STATEMENTS</w:t>
      </w:r>
    </w:p>
    <w:p w:rsidR="00000000" w:rsidRDefault="008B747E">
      <w:pPr>
        <w:pStyle w:val="a3"/>
        <w:spacing w:before="0" w:beforeAutospacing="0" w:after="0" w:afterAutospacing="0"/>
        <w:jc w:val="center"/>
        <w:divId w:val="177550993"/>
        <w:rPr>
          <w:sz w:val="20"/>
          <w:szCs w:val="20"/>
        </w:rPr>
      </w:pPr>
      <w:r>
        <w:rPr>
          <w:b/>
          <w:bCs/>
          <w:sz w:val="20"/>
          <w:szCs w:val="20"/>
        </w:rPr>
        <w:t>(Unaudited)</w:t>
      </w:r>
    </w:p>
    <w:p w:rsidR="00000000" w:rsidRDefault="008B747E">
      <w:pPr>
        <w:pStyle w:val="a3"/>
        <w:spacing w:before="0" w:beforeAutospacing="0" w:after="0" w:afterAutospacing="0"/>
        <w:divId w:val="177550993"/>
        <w:rPr>
          <w:sz w:val="20"/>
          <w:szCs w:val="20"/>
        </w:rPr>
      </w:pPr>
      <w:r>
        <w:rPr>
          <w:sz w:val="20"/>
          <w:szCs w:val="20"/>
        </w:rPr>
        <w:t>​</w:t>
      </w:r>
    </w:p>
    <w:p w:rsidR="00000000" w:rsidRDefault="008B747E">
      <w:pPr>
        <w:pStyle w:val="a3"/>
        <w:spacing w:before="0" w:beforeAutospacing="0" w:after="0" w:afterAutospacing="0"/>
        <w:divId w:val="177550993"/>
        <w:rPr>
          <w:sz w:val="20"/>
          <w:szCs w:val="20"/>
        </w:rPr>
      </w:pPr>
      <w:r>
        <w:rPr>
          <w:b/>
          <w:bCs/>
          <w:sz w:val="20"/>
          <w:szCs w:val="20"/>
        </w:rPr>
        <w:t>1. Organization and Summary of Significant Accounting Policies</w:t>
      </w:r>
    </w:p>
    <w:p w:rsidR="00000000" w:rsidRDefault="008B747E">
      <w:pPr>
        <w:pStyle w:val="a3"/>
        <w:spacing w:before="0" w:beforeAutospacing="0" w:after="0" w:afterAutospacing="0"/>
        <w:divId w:val="177550993"/>
        <w:rPr>
          <w:sz w:val="20"/>
          <w:szCs w:val="20"/>
        </w:rPr>
      </w:pPr>
      <w:r>
        <w:rPr>
          <w:sz w:val="10"/>
          <w:szCs w:val="10"/>
        </w:rPr>
        <w:t>​</w:t>
      </w:r>
    </w:p>
    <w:p w:rsidR="00000000" w:rsidRDefault="008B747E">
      <w:pPr>
        <w:pStyle w:val="a3"/>
        <w:spacing w:before="0" w:beforeAutospacing="0" w:after="0" w:afterAutospacing="0"/>
        <w:ind w:firstLine="720"/>
        <w:divId w:val="177550993"/>
        <w:rPr>
          <w:sz w:val="20"/>
          <w:szCs w:val="20"/>
        </w:rPr>
      </w:pPr>
      <w:r>
        <w:rPr>
          <w:sz w:val="20"/>
          <w:szCs w:val="20"/>
        </w:rPr>
        <w:t>Theravance Biopharma, Inc. (“Theravance Biopharma” or the “Company”</w:t>
      </w:r>
      <w:r>
        <w:rPr>
          <w:sz w:val="20"/>
          <w:szCs w:val="20"/>
        </w:rPr>
        <w:t>) is a diversified biopharmaceutical company primarily focused on the discovery, development and commercialization of organ-selective medicines. Our purpose is to create transformational medicines to improve the lives of patients suffering from serious ill</w:t>
      </w:r>
      <w:r>
        <w:rPr>
          <w:sz w:val="20"/>
          <w:szCs w:val="20"/>
        </w:rPr>
        <w:t>nesses. Our research is focused in the areas of inflammation and immunology.</w:t>
      </w:r>
    </w:p>
    <w:p w:rsidR="00000000" w:rsidRDefault="008B747E">
      <w:pPr>
        <w:pStyle w:val="a3"/>
        <w:spacing w:before="0" w:beforeAutospacing="0" w:after="0" w:afterAutospacing="0"/>
        <w:ind w:firstLine="720"/>
        <w:divId w:val="177550993"/>
        <w:rPr>
          <w:sz w:val="20"/>
          <w:szCs w:val="20"/>
        </w:rPr>
      </w:pPr>
      <w:r>
        <w:rPr>
          <w:sz w:val="20"/>
          <w:szCs w:val="20"/>
        </w:rPr>
        <w:t>​</w:t>
      </w:r>
    </w:p>
    <w:p w:rsidR="00000000" w:rsidRDefault="008B747E">
      <w:pPr>
        <w:pStyle w:val="a3"/>
        <w:spacing w:before="0" w:beforeAutospacing="0" w:after="0" w:afterAutospacing="0"/>
        <w:divId w:val="177550993"/>
        <w:rPr>
          <w:sz w:val="20"/>
          <w:szCs w:val="20"/>
        </w:rPr>
      </w:pPr>
      <w:r>
        <w:rPr>
          <w:b/>
          <w:bCs/>
          <w:i/>
          <w:iCs/>
          <w:sz w:val="20"/>
          <w:szCs w:val="20"/>
        </w:rPr>
        <w:t>Basis of Presentation</w:t>
      </w:r>
    </w:p>
    <w:p w:rsidR="00000000" w:rsidRDefault="008B747E">
      <w:pPr>
        <w:pStyle w:val="a3"/>
        <w:spacing w:before="0" w:beforeAutospacing="0" w:after="0" w:afterAutospacing="0"/>
        <w:divId w:val="177550993"/>
        <w:rPr>
          <w:sz w:val="20"/>
          <w:szCs w:val="20"/>
        </w:rPr>
      </w:pPr>
      <w:r>
        <w:rPr>
          <w:sz w:val="10"/>
          <w:szCs w:val="10"/>
        </w:rPr>
        <w:t>​</w:t>
      </w:r>
    </w:p>
    <w:p w:rsidR="00000000" w:rsidRDefault="008B747E">
      <w:pPr>
        <w:pStyle w:val="a3"/>
        <w:spacing w:before="0" w:beforeAutospacing="0" w:after="0" w:afterAutospacing="0"/>
        <w:ind w:firstLine="720"/>
        <w:divId w:val="177550993"/>
        <w:rPr>
          <w:sz w:val="20"/>
          <w:szCs w:val="20"/>
        </w:rPr>
      </w:pPr>
      <w:r>
        <w:rPr>
          <w:sz w:val="20"/>
          <w:szCs w:val="20"/>
        </w:rPr>
        <w:t>The Company’s condensed consolidated financial information as of June 30, 2019, and the three and six months ended June 30, 2019 and 2018 is unaudited bu</w:t>
      </w:r>
      <w:r>
        <w:rPr>
          <w:sz w:val="20"/>
          <w:szCs w:val="20"/>
        </w:rPr>
        <w:t>t includes all adjustments (consisting only of normal recurring adjustments), which are considered necessary for a fair presentation of the financial position at such date and of the operating results and cash flows for those periods, and have been prepare</w:t>
      </w:r>
      <w:r>
        <w:rPr>
          <w:sz w:val="20"/>
          <w:szCs w:val="20"/>
        </w:rPr>
        <w:t>d in accordance with US generally accepted accounting principles (“GAAP”) for interim financial information. Accordingly, they do not include all of the information and notes required by GAAP for complete financial statements. The accompanying unaudited co</w:t>
      </w:r>
      <w:r>
        <w:rPr>
          <w:sz w:val="20"/>
          <w:szCs w:val="20"/>
        </w:rPr>
        <w:t xml:space="preserve">ndensed consolidated financial statements should be read in conjunction with the audited consolidated December 31, 2018 financial statements and notes thereto included in the Company’s Annual Report on Form 10-K for the year ended December 31, 2018, filed </w:t>
      </w:r>
      <w:r>
        <w:rPr>
          <w:sz w:val="20"/>
          <w:szCs w:val="20"/>
        </w:rPr>
        <w:t>with the Securities and Exchange Commission (“SEC”) on February 28, 2019.</w:t>
      </w:r>
    </w:p>
    <w:p w:rsidR="00000000" w:rsidRDefault="008B747E">
      <w:pPr>
        <w:pStyle w:val="a3"/>
        <w:spacing w:before="0" w:beforeAutospacing="0" w:after="0" w:afterAutospacing="0"/>
        <w:ind w:firstLine="720"/>
        <w:divId w:val="177550993"/>
        <w:rPr>
          <w:sz w:val="20"/>
          <w:szCs w:val="20"/>
        </w:rPr>
      </w:pPr>
      <w:r>
        <w:rPr>
          <w:sz w:val="20"/>
          <w:szCs w:val="20"/>
        </w:rPr>
        <w:t>​</w:t>
      </w:r>
    </w:p>
    <w:p w:rsidR="00000000" w:rsidRDefault="008B747E">
      <w:pPr>
        <w:pStyle w:val="a3"/>
        <w:spacing w:before="0" w:beforeAutospacing="0" w:after="0" w:afterAutospacing="0"/>
        <w:ind w:firstLine="720"/>
        <w:divId w:val="177550993"/>
        <w:rPr>
          <w:sz w:val="20"/>
          <w:szCs w:val="20"/>
        </w:rPr>
      </w:pPr>
      <w:r>
        <w:rPr>
          <w:rFonts w:ascii="inherit" w:hAnsi="inherit"/>
          <w:sz w:val="20"/>
          <w:szCs w:val="20"/>
        </w:rPr>
        <w:t>The results for the three and six months ended June 30, 2019 are not necessarily indicative of the results to be expected for the year ending December 31, 2019, or for any other in</w:t>
      </w:r>
      <w:r>
        <w:rPr>
          <w:rFonts w:ascii="inherit" w:hAnsi="inherit"/>
          <w:sz w:val="20"/>
          <w:szCs w:val="20"/>
        </w:rPr>
        <w:t>terim period or for any future period. These condensed consolidated financial statements include the accounts of the Company and its subsidiaries, and intercompany transactions and balances have been eliminated.</w:t>
      </w:r>
    </w:p>
    <w:p w:rsidR="00000000" w:rsidRDefault="008B747E">
      <w:pPr>
        <w:pStyle w:val="a3"/>
        <w:spacing w:before="0" w:beforeAutospacing="0" w:after="0" w:afterAutospacing="0"/>
        <w:ind w:firstLine="720"/>
        <w:divId w:val="177550993"/>
        <w:rPr>
          <w:sz w:val="20"/>
          <w:szCs w:val="20"/>
        </w:rPr>
      </w:pPr>
      <w:r>
        <w:rPr>
          <w:sz w:val="20"/>
          <w:szCs w:val="20"/>
        </w:rPr>
        <w:t>​</w:t>
      </w:r>
    </w:p>
    <w:p w:rsidR="00000000" w:rsidRDefault="008B747E">
      <w:pPr>
        <w:pStyle w:val="a3"/>
        <w:spacing w:before="0" w:beforeAutospacing="0" w:after="0" w:afterAutospacing="0"/>
        <w:divId w:val="177550993"/>
        <w:rPr>
          <w:sz w:val="20"/>
          <w:szCs w:val="20"/>
        </w:rPr>
      </w:pPr>
      <w:r>
        <w:rPr>
          <w:rFonts w:ascii="inherit" w:hAnsi="inherit"/>
          <w:b/>
          <w:bCs/>
          <w:i/>
          <w:iCs/>
          <w:sz w:val="20"/>
          <w:szCs w:val="20"/>
        </w:rPr>
        <w:t>Use of Estimates</w:t>
      </w:r>
    </w:p>
    <w:p w:rsidR="00000000" w:rsidRDefault="008B747E">
      <w:pPr>
        <w:pStyle w:val="a3"/>
        <w:spacing w:before="0" w:beforeAutospacing="0" w:after="0" w:afterAutospacing="0"/>
        <w:divId w:val="177550993"/>
        <w:rPr>
          <w:sz w:val="20"/>
          <w:szCs w:val="20"/>
        </w:rPr>
      </w:pPr>
      <w:r>
        <w:rPr>
          <w:sz w:val="10"/>
          <w:szCs w:val="10"/>
        </w:rPr>
        <w:t>​</w:t>
      </w:r>
    </w:p>
    <w:p w:rsidR="00000000" w:rsidRDefault="008B747E">
      <w:pPr>
        <w:pStyle w:val="a3"/>
        <w:spacing w:before="0" w:beforeAutospacing="0" w:after="0" w:afterAutospacing="0"/>
        <w:ind w:firstLine="720"/>
        <w:divId w:val="177550993"/>
        <w:rPr>
          <w:sz w:val="20"/>
          <w:szCs w:val="20"/>
        </w:rPr>
      </w:pPr>
      <w:r>
        <w:rPr>
          <w:rFonts w:ascii="inherit" w:hAnsi="inherit"/>
          <w:sz w:val="20"/>
          <w:szCs w:val="20"/>
        </w:rPr>
        <w:t>The preparation of fina</w:t>
      </w:r>
      <w:r>
        <w:rPr>
          <w:rFonts w:ascii="inherit" w:hAnsi="inherit"/>
          <w:sz w:val="20"/>
          <w:szCs w:val="20"/>
        </w:rPr>
        <w:t>ncial statements in conformity with GAAP requires management to make estimates and assumptions that affect the reported amounts of assets, liabilities, revenues and expenses, and related disclosures in the condensed consolidated financial statements and ac</w:t>
      </w:r>
      <w:r>
        <w:rPr>
          <w:rFonts w:ascii="inherit" w:hAnsi="inherit"/>
          <w:sz w:val="20"/>
          <w:szCs w:val="20"/>
        </w:rPr>
        <w:t>companying notes. Management bases its estimates on historical experience and on assumptions believed to be reasonable under the circumstances. Actual results could differ materially from those estimates.</w:t>
      </w:r>
    </w:p>
    <w:p w:rsidR="00000000" w:rsidRDefault="008B747E">
      <w:pPr>
        <w:pStyle w:val="a3"/>
        <w:spacing w:before="0" w:beforeAutospacing="0" w:after="0" w:afterAutospacing="0"/>
        <w:divId w:val="177550993"/>
        <w:rPr>
          <w:sz w:val="20"/>
          <w:szCs w:val="20"/>
        </w:rPr>
      </w:pPr>
      <w:r>
        <w:rPr>
          <w:sz w:val="20"/>
          <w:szCs w:val="20"/>
        </w:rPr>
        <w:t>​</w:t>
      </w:r>
    </w:p>
    <w:p w:rsidR="00000000" w:rsidRDefault="008B747E">
      <w:pPr>
        <w:pStyle w:val="a3"/>
        <w:spacing w:before="0" w:beforeAutospacing="0" w:after="0" w:afterAutospacing="0"/>
        <w:divId w:val="177550993"/>
        <w:rPr>
          <w:sz w:val="20"/>
          <w:szCs w:val="20"/>
        </w:rPr>
      </w:pPr>
      <w:r>
        <w:rPr>
          <w:rFonts w:ascii="inherit" w:hAnsi="inherit"/>
          <w:b/>
          <w:bCs/>
          <w:i/>
          <w:iCs/>
          <w:sz w:val="20"/>
          <w:szCs w:val="20"/>
        </w:rPr>
        <w:t>Significant Accounting Policies</w:t>
      </w:r>
    </w:p>
    <w:p w:rsidR="00000000" w:rsidRDefault="008B747E">
      <w:pPr>
        <w:pStyle w:val="a3"/>
        <w:spacing w:before="0" w:beforeAutospacing="0" w:after="0" w:afterAutospacing="0"/>
        <w:divId w:val="177550993"/>
        <w:rPr>
          <w:sz w:val="20"/>
          <w:szCs w:val="20"/>
        </w:rPr>
      </w:pPr>
      <w:r>
        <w:rPr>
          <w:rFonts w:ascii="inherit" w:hAnsi="inherit"/>
          <w:sz w:val="10"/>
          <w:szCs w:val="10"/>
        </w:rPr>
        <w:t>​</w:t>
      </w:r>
    </w:p>
    <w:p w:rsidR="00000000" w:rsidRDefault="008B747E">
      <w:pPr>
        <w:pStyle w:val="a3"/>
        <w:spacing w:before="0" w:beforeAutospacing="0" w:after="0" w:afterAutospacing="0"/>
        <w:ind w:firstLine="720"/>
        <w:divId w:val="177550993"/>
        <w:rPr>
          <w:sz w:val="20"/>
          <w:szCs w:val="20"/>
        </w:rPr>
      </w:pPr>
      <w:r>
        <w:rPr>
          <w:rFonts w:ascii="inherit" w:hAnsi="inherit"/>
          <w:sz w:val="20"/>
          <w:szCs w:val="20"/>
        </w:rPr>
        <w:t xml:space="preserve">Other than the recently adopted accounting pronouncements below, there have been no material revisions in the Company’s significant accounting policies described in Note 1 to the consolidated financial statements included in its Annual Report on Form 10-K </w:t>
      </w:r>
      <w:r>
        <w:rPr>
          <w:rFonts w:ascii="inherit" w:hAnsi="inherit"/>
          <w:sz w:val="20"/>
          <w:szCs w:val="20"/>
        </w:rPr>
        <w:t>for the year ended December 31, 2018.</w:t>
      </w:r>
    </w:p>
    <w:p w:rsidR="00000000" w:rsidRDefault="008B747E">
      <w:pPr>
        <w:pStyle w:val="a3"/>
        <w:spacing w:before="0" w:beforeAutospacing="0" w:after="0" w:afterAutospacing="0"/>
        <w:divId w:val="177550993"/>
        <w:rPr>
          <w:sz w:val="20"/>
          <w:szCs w:val="20"/>
        </w:rPr>
      </w:pPr>
      <w:r>
        <w:rPr>
          <w:rFonts w:ascii="inherit" w:hAnsi="inherit"/>
          <w:sz w:val="20"/>
          <w:szCs w:val="20"/>
        </w:rPr>
        <w:t>​</w:t>
      </w:r>
    </w:p>
    <w:p w:rsidR="00000000" w:rsidRDefault="008B747E">
      <w:pPr>
        <w:pStyle w:val="a3"/>
        <w:spacing w:before="0" w:beforeAutospacing="0" w:after="0" w:afterAutospacing="0"/>
        <w:divId w:val="177550993"/>
        <w:rPr>
          <w:sz w:val="20"/>
          <w:szCs w:val="20"/>
        </w:rPr>
      </w:pPr>
      <w:r>
        <w:rPr>
          <w:b/>
          <w:bCs/>
          <w:i/>
          <w:iCs/>
          <w:sz w:val="20"/>
          <w:szCs w:val="20"/>
        </w:rPr>
        <w:t>Recently Adopted Accounting Pronouncements</w:t>
      </w:r>
    </w:p>
    <w:p w:rsidR="00000000" w:rsidRDefault="008B747E">
      <w:pPr>
        <w:pStyle w:val="a3"/>
        <w:spacing w:before="0" w:beforeAutospacing="0" w:after="0" w:afterAutospacing="0"/>
        <w:divId w:val="177550993"/>
        <w:rPr>
          <w:sz w:val="20"/>
          <w:szCs w:val="20"/>
        </w:rPr>
      </w:pPr>
      <w:r>
        <w:rPr>
          <w:sz w:val="10"/>
          <w:szCs w:val="10"/>
        </w:rPr>
        <w:t>​</w:t>
      </w:r>
    </w:p>
    <w:p w:rsidR="00000000" w:rsidRDefault="008B747E">
      <w:pPr>
        <w:pStyle w:val="a3"/>
        <w:spacing w:before="0" w:beforeAutospacing="0" w:after="0" w:afterAutospacing="0"/>
        <w:ind w:firstLine="720"/>
        <w:divId w:val="177550993"/>
        <w:rPr>
          <w:sz w:val="20"/>
          <w:szCs w:val="20"/>
        </w:rPr>
      </w:pPr>
      <w:r>
        <w:rPr>
          <w:sz w:val="20"/>
          <w:szCs w:val="20"/>
        </w:rPr>
        <w:t xml:space="preserve">Effective January 1, 2019, the Company adopted Accounting Standards Update (“ASU”) 2016-02, </w:t>
      </w:r>
      <w:r>
        <w:rPr>
          <w:i/>
          <w:iCs/>
          <w:sz w:val="20"/>
          <w:szCs w:val="20"/>
        </w:rPr>
        <w:t>Leases</w:t>
      </w:r>
      <w:r>
        <w:rPr>
          <w:sz w:val="20"/>
          <w:szCs w:val="20"/>
        </w:rPr>
        <w:t xml:space="preserve"> (</w:t>
      </w:r>
      <w:r>
        <w:rPr>
          <w:i/>
          <w:iCs/>
          <w:sz w:val="20"/>
          <w:szCs w:val="20"/>
        </w:rPr>
        <w:t>Topic 842</w:t>
      </w:r>
      <w:r>
        <w:rPr>
          <w:sz w:val="20"/>
          <w:szCs w:val="20"/>
        </w:rPr>
        <w:t>) (“ASU 2016-02”) under the required modified retrospective ap</w:t>
      </w:r>
      <w:r>
        <w:rPr>
          <w:sz w:val="20"/>
          <w:szCs w:val="20"/>
        </w:rPr>
        <w:t xml:space="preserve">proach. ASU 2016-02 was aimed at making leasing activities more transparent and comparable, and requires leases with terms greater than one year to be recognized by lessees on their balance sheet as a right-of-use asset and corresponding lease liability. </w:t>
      </w:r>
    </w:p>
    <w:p w:rsidR="00000000" w:rsidRDefault="008B747E">
      <w:pPr>
        <w:pStyle w:val="a3"/>
        <w:spacing w:before="0" w:beforeAutospacing="0" w:after="0" w:afterAutospacing="0"/>
        <w:ind w:firstLine="720"/>
        <w:divId w:val="177550993"/>
        <w:rPr>
          <w:sz w:val="20"/>
          <w:szCs w:val="20"/>
        </w:rPr>
      </w:pPr>
      <w:r>
        <w:rPr>
          <w:sz w:val="20"/>
          <w:szCs w:val="20"/>
        </w:rPr>
        <w:t>​</w:t>
      </w:r>
    </w:p>
    <w:p w:rsidR="00000000" w:rsidRDefault="008B747E">
      <w:pPr>
        <w:pStyle w:val="a3"/>
        <w:spacing w:before="0" w:beforeAutospacing="0" w:after="0" w:afterAutospacing="0"/>
        <w:ind w:firstLine="720"/>
        <w:divId w:val="177550993"/>
        <w:rPr>
          <w:sz w:val="20"/>
          <w:szCs w:val="20"/>
        </w:rPr>
      </w:pPr>
      <w:r>
        <w:rPr>
          <w:sz w:val="20"/>
          <w:szCs w:val="20"/>
        </w:rPr>
        <w:t>The Company elected the optional transition method to initially account for the impact of the adoption with a cumulative adjustment to accumulated deficit, if any, on the effective date of ASU 2016-02 of January 1, 2019, rather than applying the transiti</w:t>
      </w:r>
      <w:r>
        <w:rPr>
          <w:sz w:val="20"/>
          <w:szCs w:val="20"/>
        </w:rPr>
        <w:t>on provisions in the earliest period presented, and the Company elected a package of practical expedients that allowed entities to not: (i) reassess whether any expired or existing contracts are considered or contain leases; (ii) reassess the lease classif</w:t>
      </w:r>
      <w:r>
        <w:rPr>
          <w:sz w:val="20"/>
          <w:szCs w:val="20"/>
        </w:rPr>
        <w:t>ication for any expired or existing leases; and (iii) reassess initial direct costs for any existing leases. In addition, the Company elected other practical expedients that allowed entities to: (i) use hindsight in determining the term of a lease when the</w:t>
      </w:r>
      <w:r>
        <w:rPr>
          <w:sz w:val="20"/>
          <w:szCs w:val="20"/>
        </w:rPr>
        <w:t xml:space="preserve"> lease includes an option to extend the lease term; (ii) exclude all leases, on a go forward basis, that have a </w:t>
      </w:r>
    </w:p>
    <w:p w:rsidR="00000000" w:rsidRDefault="008B747E">
      <w:pPr>
        <w:pStyle w:val="a3"/>
        <w:spacing w:before="360" w:beforeAutospacing="0" w:after="0" w:afterAutospacing="0"/>
        <w:jc w:val="center"/>
        <w:divId w:val="1627201934"/>
        <w:rPr>
          <w:sz w:val="20"/>
          <w:szCs w:val="20"/>
        </w:rPr>
      </w:pPr>
      <w:r>
        <w:rPr>
          <w:sz w:val="20"/>
          <w:szCs w:val="20"/>
        </w:rPr>
        <w:t>7</w:t>
      </w:r>
    </w:p>
    <w:p w:rsidR="00000000" w:rsidRDefault="008B747E">
      <w:pPr>
        <w:pStyle w:val="a3"/>
        <w:spacing w:before="0" w:beforeAutospacing="0" w:after="600" w:afterAutospacing="0"/>
        <w:divId w:val="597908034"/>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947464488"/>
        <w:rPr>
          <w:sz w:val="20"/>
          <w:szCs w:val="20"/>
        </w:rPr>
      </w:pPr>
      <w:r>
        <w:rPr>
          <w:sz w:val="20"/>
          <w:szCs w:val="20"/>
        </w:rPr>
        <w:t>lease term of 12-months or less; and (iii) combine lease and non-lease components (e.g., office c</w:t>
      </w:r>
      <w:r>
        <w:rPr>
          <w:sz w:val="20"/>
          <w:szCs w:val="20"/>
        </w:rPr>
        <w:t>ommon area maintenance expenses) when recognizing a lease on an entity’s balance sheet on a go forward basis.</w:t>
      </w:r>
    </w:p>
    <w:p w:rsidR="00000000" w:rsidRDefault="008B747E">
      <w:pPr>
        <w:pStyle w:val="a3"/>
        <w:spacing w:before="0" w:beforeAutospacing="0" w:after="0" w:afterAutospacing="0"/>
        <w:ind w:firstLine="720"/>
        <w:divId w:val="947464488"/>
        <w:rPr>
          <w:sz w:val="20"/>
          <w:szCs w:val="20"/>
        </w:rPr>
      </w:pPr>
      <w:r>
        <w:rPr>
          <w:sz w:val="20"/>
          <w:szCs w:val="20"/>
        </w:rPr>
        <w:t>​</w:t>
      </w:r>
    </w:p>
    <w:p w:rsidR="00000000" w:rsidRDefault="008B747E">
      <w:pPr>
        <w:pStyle w:val="a3"/>
        <w:spacing w:before="0" w:beforeAutospacing="0" w:after="0" w:afterAutospacing="0"/>
        <w:ind w:firstLine="720"/>
        <w:divId w:val="947464488"/>
        <w:rPr>
          <w:sz w:val="20"/>
          <w:szCs w:val="20"/>
        </w:rPr>
      </w:pPr>
      <w:r>
        <w:rPr>
          <w:sz w:val="20"/>
          <w:szCs w:val="20"/>
        </w:rPr>
        <w:t>As a result of the adoption of ASU 2016-02, on January 1, 2019, the Company recorded a right-of-use operating lease asset</w:t>
      </w:r>
      <w:r>
        <w:rPr>
          <w:color w:val="FF0000"/>
          <w:sz w:val="20"/>
          <w:szCs w:val="20"/>
        </w:rPr>
        <w:t xml:space="preserve"> </w:t>
      </w:r>
      <w:r>
        <w:rPr>
          <w:sz w:val="20"/>
          <w:szCs w:val="20"/>
        </w:rPr>
        <w:t>of $48.3 million and a</w:t>
      </w:r>
      <w:r>
        <w:rPr>
          <w:sz w:val="20"/>
          <w:szCs w:val="20"/>
        </w:rPr>
        <w:t>n operating lease liability of $56.3 million related to its office leases in South San Francisco, California and Dublin, Ireland. The lease liability included $8.0 million related to deferred rent liabilities. The adoption of ASU 2016-02 did not have an im</w:t>
      </w:r>
      <w:r>
        <w:rPr>
          <w:sz w:val="20"/>
          <w:szCs w:val="20"/>
        </w:rPr>
        <w:t>pact on the Company’s consolidated results of operations, lease expense, or cash flows.</w:t>
      </w:r>
    </w:p>
    <w:p w:rsidR="00000000" w:rsidRDefault="008B747E">
      <w:pPr>
        <w:pStyle w:val="a3"/>
        <w:spacing w:before="0" w:beforeAutospacing="0" w:after="0" w:afterAutospacing="0"/>
        <w:divId w:val="947464488"/>
        <w:rPr>
          <w:sz w:val="20"/>
          <w:szCs w:val="20"/>
        </w:rPr>
      </w:pPr>
      <w:r>
        <w:rPr>
          <w:sz w:val="20"/>
          <w:szCs w:val="20"/>
        </w:rPr>
        <w:t>​</w:t>
      </w:r>
    </w:p>
    <w:p w:rsidR="00000000" w:rsidRDefault="008B747E">
      <w:pPr>
        <w:pStyle w:val="a3"/>
        <w:spacing w:before="0" w:beforeAutospacing="0" w:after="0" w:afterAutospacing="0"/>
        <w:ind w:firstLine="720"/>
        <w:divId w:val="947464488"/>
        <w:rPr>
          <w:sz w:val="20"/>
          <w:szCs w:val="20"/>
        </w:rPr>
      </w:pPr>
      <w:r>
        <w:rPr>
          <w:sz w:val="20"/>
          <w:szCs w:val="20"/>
        </w:rPr>
        <w:t xml:space="preserve">Effective January 1, 2019, the Company adopted ASU 2017-09, </w:t>
      </w:r>
      <w:r>
        <w:rPr>
          <w:i/>
          <w:iCs/>
          <w:sz w:val="20"/>
          <w:szCs w:val="20"/>
        </w:rPr>
        <w:t>Compensation – Stock Compensation (Topic 718): Scope of Modification Accounting</w:t>
      </w:r>
      <w:r>
        <w:rPr>
          <w:sz w:val="20"/>
          <w:szCs w:val="20"/>
        </w:rPr>
        <w:t xml:space="preserve"> (“ASU 2017-09”). ASU 2017-</w:t>
      </w:r>
      <w:r>
        <w:rPr>
          <w:sz w:val="20"/>
          <w:szCs w:val="20"/>
        </w:rPr>
        <w:t>09 was issued to provide clarity and reduce both (i) diversity in practice and (ii) cost and complexity when applying the guidance in Topic 718, Compensation—Stock Compensation, to a change to the terms or conditions of a share-based payment award. The ame</w:t>
      </w:r>
      <w:r>
        <w:rPr>
          <w:sz w:val="20"/>
          <w:szCs w:val="20"/>
        </w:rPr>
        <w:t>ndments in ASU 2017-09 provided guidance about which changes to the terms or conditions of a share-based payment award require an entity to apply modification accounting in Topic 718. Essentially, an entity will not have to account for the effects of a mod</w:t>
      </w:r>
      <w:r>
        <w:rPr>
          <w:sz w:val="20"/>
          <w:szCs w:val="20"/>
        </w:rPr>
        <w:t xml:space="preserve">ification if: (i) the fair value of the modified award is the same immediately before and after the modification; (ii) the vesting conditions of the modified award are the same immediately before and after the modification; and (iii) the classification of </w:t>
      </w:r>
      <w:r>
        <w:rPr>
          <w:sz w:val="20"/>
          <w:szCs w:val="20"/>
        </w:rPr>
        <w:t>the modified award as either an equity instrument or liability instrument is the same immediately before and after the modification. The adoption of ASU 2017-09 did not have a material impact upon the Company’s condensed consolidated financial statements a</w:t>
      </w:r>
      <w:r>
        <w:rPr>
          <w:sz w:val="20"/>
          <w:szCs w:val="20"/>
        </w:rPr>
        <w:t>nd related disclosures as of January 1, 2019.</w:t>
      </w:r>
    </w:p>
    <w:p w:rsidR="00000000" w:rsidRDefault="008B747E">
      <w:pPr>
        <w:pStyle w:val="a3"/>
        <w:spacing w:before="0" w:beforeAutospacing="0" w:after="0" w:afterAutospacing="0"/>
        <w:divId w:val="947464488"/>
        <w:rPr>
          <w:sz w:val="20"/>
          <w:szCs w:val="20"/>
        </w:rPr>
      </w:pPr>
      <w:r>
        <w:rPr>
          <w:sz w:val="20"/>
          <w:szCs w:val="20"/>
        </w:rPr>
        <w:t>​</w:t>
      </w:r>
    </w:p>
    <w:p w:rsidR="00000000" w:rsidRDefault="008B747E">
      <w:pPr>
        <w:pStyle w:val="a3"/>
        <w:spacing w:before="0" w:beforeAutospacing="0" w:after="0" w:afterAutospacing="0"/>
        <w:ind w:firstLine="720"/>
        <w:divId w:val="947464488"/>
        <w:rPr>
          <w:sz w:val="20"/>
          <w:szCs w:val="20"/>
        </w:rPr>
      </w:pPr>
      <w:r>
        <w:rPr>
          <w:sz w:val="20"/>
          <w:szCs w:val="20"/>
        </w:rPr>
        <w:t>Effective January 1, 2019, the Company adopted the new final rule under SEC Release No. 33-10532, Disclosure Update and Simplification, amending certain disclosure requirements that were redundant, duplicativ</w:t>
      </w:r>
      <w:r>
        <w:rPr>
          <w:sz w:val="20"/>
          <w:szCs w:val="20"/>
        </w:rPr>
        <w:t>e, overlapping, outdated or superseded. In addition, the amendments expanded the disclosure requirements on the analysis of stockholders’ equity for interim financial statements. Under the amendments, an analysis of changes in each caption of stockholders’</w:t>
      </w:r>
      <w:r>
        <w:rPr>
          <w:sz w:val="20"/>
          <w:szCs w:val="20"/>
        </w:rPr>
        <w:t xml:space="preserve"> equity presented in the balance sheet must be provided in a note or separate statement. The analysis should present a reconciliation of the beginning balance to the ending balance of each period for which a statement of comprehensive income is required to</w:t>
      </w:r>
      <w:r>
        <w:rPr>
          <w:sz w:val="20"/>
          <w:szCs w:val="20"/>
        </w:rPr>
        <w:t xml:space="preserve"> be filed. The Company has included condensed consolidated statements of shareholders’ equity (deficit) in this Form 10-Q for the three and six months ended June 30, 2019 and 2018.</w:t>
      </w:r>
    </w:p>
    <w:p w:rsidR="00000000" w:rsidRDefault="008B747E">
      <w:pPr>
        <w:pStyle w:val="a3"/>
        <w:spacing w:before="0" w:beforeAutospacing="0" w:after="0" w:afterAutospacing="0"/>
        <w:divId w:val="947464488"/>
        <w:rPr>
          <w:sz w:val="20"/>
          <w:szCs w:val="20"/>
        </w:rPr>
      </w:pPr>
      <w:r>
        <w:rPr>
          <w:sz w:val="20"/>
          <w:szCs w:val="20"/>
        </w:rPr>
        <w:t>​</w:t>
      </w:r>
    </w:p>
    <w:p w:rsidR="00000000" w:rsidRDefault="008B747E">
      <w:pPr>
        <w:pStyle w:val="a3"/>
        <w:spacing w:before="0" w:beforeAutospacing="0" w:after="0" w:afterAutospacing="0"/>
        <w:divId w:val="947464488"/>
        <w:rPr>
          <w:sz w:val="20"/>
          <w:szCs w:val="20"/>
        </w:rPr>
      </w:pPr>
      <w:r>
        <w:rPr>
          <w:b/>
          <w:bCs/>
          <w:i/>
          <w:iCs/>
          <w:sz w:val="20"/>
          <w:szCs w:val="20"/>
        </w:rPr>
        <w:t xml:space="preserve">Recently Issued Accounting Pronouncements Not Yet Adopted </w:t>
      </w:r>
    </w:p>
    <w:p w:rsidR="00000000" w:rsidRDefault="008B747E">
      <w:pPr>
        <w:pStyle w:val="a3"/>
        <w:spacing w:before="0" w:beforeAutospacing="0" w:after="0" w:afterAutospacing="0"/>
        <w:divId w:val="947464488"/>
        <w:rPr>
          <w:sz w:val="20"/>
          <w:szCs w:val="20"/>
        </w:rPr>
      </w:pPr>
      <w:r>
        <w:rPr>
          <w:b/>
          <w:bCs/>
          <w:i/>
          <w:iCs/>
          <w:sz w:val="10"/>
          <w:szCs w:val="10"/>
        </w:rPr>
        <w:t>​</w:t>
      </w:r>
    </w:p>
    <w:p w:rsidR="00000000" w:rsidRDefault="008B747E">
      <w:pPr>
        <w:pStyle w:val="a3"/>
        <w:spacing w:before="0" w:beforeAutospacing="0" w:after="0" w:afterAutospacing="0"/>
        <w:ind w:firstLine="720"/>
        <w:divId w:val="947464488"/>
        <w:rPr>
          <w:sz w:val="20"/>
          <w:szCs w:val="20"/>
        </w:rPr>
      </w:pPr>
      <w:r>
        <w:rPr>
          <w:sz w:val="20"/>
          <w:szCs w:val="20"/>
          <w:shd w:val="clear" w:color="auto" w:fill="FFFFFF"/>
        </w:rPr>
        <w:t>In June 2016</w:t>
      </w:r>
      <w:r>
        <w:rPr>
          <w:sz w:val="20"/>
          <w:szCs w:val="20"/>
          <w:shd w:val="clear" w:color="auto" w:fill="FFFFFF"/>
        </w:rPr>
        <w:t>, the Financial Accounting Standards Board (“FASB”) issued ASU 2016-13, </w:t>
      </w:r>
      <w:r>
        <w:rPr>
          <w:i/>
          <w:iCs/>
          <w:sz w:val="20"/>
          <w:szCs w:val="20"/>
          <w:shd w:val="clear" w:color="auto" w:fill="FFFFFF"/>
        </w:rPr>
        <w:t>Financial Instruments - Credit Losses (Topic 326): Measurement of Credit Losses on Financial Instruments</w:t>
      </w:r>
      <w:r>
        <w:rPr>
          <w:sz w:val="20"/>
          <w:szCs w:val="20"/>
          <w:shd w:val="clear" w:color="auto" w:fill="FFFFFF"/>
        </w:rPr>
        <w:t> (“ASU 2016-13"). This guidance requires that financial assets measured at amort</w:t>
      </w:r>
      <w:r>
        <w:rPr>
          <w:sz w:val="20"/>
          <w:szCs w:val="20"/>
          <w:shd w:val="clear" w:color="auto" w:fill="FFFFFF"/>
        </w:rPr>
        <w:t xml:space="preserve">ized cost be presented at the net amount expected to be collected. The measurement of expected credit losses is based on historical experience, current conditions, and reasonable and supportable forecasts that affect collectability. </w:t>
      </w:r>
      <w:r>
        <w:rPr>
          <w:sz w:val="20"/>
          <w:szCs w:val="20"/>
        </w:rPr>
        <w:t>ASU 2016-13 also eliminates the concept of “other-than-temporary” impairment when evaluating available-for-sale debt securities and instead focuses on determining whether any impairment is a result of a credit loss or other factors. An entity will recogniz</w:t>
      </w:r>
      <w:r>
        <w:rPr>
          <w:sz w:val="20"/>
          <w:szCs w:val="20"/>
        </w:rPr>
        <w:t xml:space="preserve">e an allowance for credit losses on available-for-sale debt securities rather than an other-than-temporary impairment that reduces the cost basis of the investment. </w:t>
      </w:r>
      <w:r>
        <w:rPr>
          <w:sz w:val="20"/>
          <w:szCs w:val="20"/>
          <w:shd w:val="clear" w:color="auto" w:fill="FFFFFF"/>
        </w:rPr>
        <w:t>ASU 2016-13 is effective for annual reporting periods and interim periods within those year</w:t>
      </w:r>
      <w:r>
        <w:rPr>
          <w:sz w:val="20"/>
          <w:szCs w:val="20"/>
          <w:shd w:val="clear" w:color="auto" w:fill="FFFFFF"/>
        </w:rPr>
        <w:t>s beginning after December 15, 2019. The Company does not currently expect ASU 2016-13 to have a material impact on its consolidated financial statements and related disclosures based on the historically high credit quality of the Company’s financial instr</w:t>
      </w:r>
      <w:r>
        <w:rPr>
          <w:sz w:val="20"/>
          <w:szCs w:val="20"/>
          <w:shd w:val="clear" w:color="auto" w:fill="FFFFFF"/>
        </w:rPr>
        <w:t>uments.</w:t>
      </w:r>
    </w:p>
    <w:p w:rsidR="00000000" w:rsidRDefault="008B747E">
      <w:pPr>
        <w:pStyle w:val="a3"/>
        <w:spacing w:before="0" w:beforeAutospacing="0" w:after="0" w:afterAutospacing="0"/>
        <w:ind w:firstLine="720"/>
        <w:divId w:val="947464488"/>
        <w:rPr>
          <w:sz w:val="20"/>
          <w:szCs w:val="20"/>
        </w:rPr>
      </w:pPr>
      <w:r>
        <w:rPr>
          <w:sz w:val="20"/>
          <w:szCs w:val="20"/>
          <w:shd w:val="clear" w:color="auto" w:fill="FFFFFF"/>
        </w:rPr>
        <w:t>​</w:t>
      </w:r>
    </w:p>
    <w:p w:rsidR="00000000" w:rsidRDefault="008B747E">
      <w:pPr>
        <w:pStyle w:val="a3"/>
        <w:spacing w:before="0" w:beforeAutospacing="0" w:after="0" w:afterAutospacing="0"/>
        <w:ind w:firstLine="720"/>
        <w:divId w:val="947464488"/>
        <w:rPr>
          <w:sz w:val="20"/>
          <w:szCs w:val="20"/>
        </w:rPr>
      </w:pPr>
      <w:r>
        <w:rPr>
          <w:sz w:val="20"/>
          <w:szCs w:val="20"/>
          <w:shd w:val="clear" w:color="auto" w:fill="FFFFFF"/>
        </w:rPr>
        <w:t xml:space="preserve">In November 2018, the FASB issued ASU 2018-18, </w:t>
      </w:r>
      <w:r>
        <w:rPr>
          <w:i/>
          <w:iCs/>
          <w:sz w:val="20"/>
          <w:szCs w:val="20"/>
          <w:shd w:val="clear" w:color="auto" w:fill="FFFFFF"/>
        </w:rPr>
        <w:t>Collaboration Arrangements: Clarifying the Interaction between Topic 808 and Topic 606</w:t>
      </w:r>
      <w:r>
        <w:rPr>
          <w:sz w:val="20"/>
          <w:szCs w:val="20"/>
          <w:shd w:val="clear" w:color="auto" w:fill="FFFFFF"/>
        </w:rPr>
        <w:t>. The issuance of Topic 606 raised questions about the interaction between the guidance on collaborative arrangem</w:t>
      </w:r>
      <w:r>
        <w:rPr>
          <w:sz w:val="20"/>
          <w:szCs w:val="20"/>
          <w:shd w:val="clear" w:color="auto" w:fill="FFFFFF"/>
        </w:rPr>
        <w:t>ents and revenue recognition. </w:t>
      </w:r>
      <w:r>
        <w:rPr>
          <w:sz w:val="20"/>
          <w:szCs w:val="20"/>
        </w:rPr>
        <w:t>ASU 2018-18 </w:t>
      </w:r>
      <w:r>
        <w:rPr>
          <w:sz w:val="20"/>
          <w:szCs w:val="20"/>
          <w:shd w:val="clear" w:color="auto" w:fill="FFFFFF"/>
        </w:rPr>
        <w:t xml:space="preserve">addresses this uncertainty by (i) clarifying that certain transactions between collaborative arrangement participants should be accounted for as revenue under ASC 606 when the collaboration arrangement participant </w:t>
      </w:r>
      <w:r>
        <w:rPr>
          <w:sz w:val="20"/>
          <w:szCs w:val="20"/>
          <w:shd w:val="clear" w:color="auto" w:fill="FFFFFF"/>
        </w:rPr>
        <w:t>is a customer; (ii) adding unit of account guidance to assess whether the collaboration arrangement or a part of the arrangement is with a customer; and (iii) precluding a company from presenting transactions with collaboration arrangement participants tha</w:t>
      </w:r>
      <w:r>
        <w:rPr>
          <w:sz w:val="20"/>
          <w:szCs w:val="20"/>
          <w:shd w:val="clear" w:color="auto" w:fill="FFFFFF"/>
        </w:rPr>
        <w:t>t are not directly related to sales to third parties together with revenue from contracts with customers. ASU 2018-18 is effective for fiscal years beginning after December 15, 2019, and interim periods within those fiscal years. Early adoption is permitte</w:t>
      </w:r>
      <w:r>
        <w:rPr>
          <w:sz w:val="20"/>
          <w:szCs w:val="20"/>
          <w:shd w:val="clear" w:color="auto" w:fill="FFFFFF"/>
        </w:rPr>
        <w:t>d. The Company is currently evaluating the impact of adopting ASU 2018-18 on its consolidated financial statements and related disclosures.</w:t>
      </w:r>
    </w:p>
    <w:p w:rsidR="00000000" w:rsidRDefault="008B747E">
      <w:pPr>
        <w:pStyle w:val="a3"/>
        <w:spacing w:before="0" w:beforeAutospacing="0" w:after="0" w:afterAutospacing="0"/>
        <w:divId w:val="947464488"/>
        <w:rPr>
          <w:sz w:val="20"/>
          <w:szCs w:val="20"/>
        </w:rPr>
      </w:pPr>
      <w:r>
        <w:rPr>
          <w:sz w:val="20"/>
          <w:szCs w:val="20"/>
        </w:rPr>
        <w:t>​</w:t>
      </w:r>
    </w:p>
    <w:p w:rsidR="00000000" w:rsidRDefault="008B747E">
      <w:pPr>
        <w:pStyle w:val="a3"/>
        <w:spacing w:before="360" w:beforeAutospacing="0" w:after="0" w:afterAutospacing="0"/>
        <w:jc w:val="center"/>
        <w:divId w:val="2097437648"/>
        <w:rPr>
          <w:sz w:val="20"/>
          <w:szCs w:val="20"/>
        </w:rPr>
      </w:pPr>
      <w:r>
        <w:rPr>
          <w:sz w:val="20"/>
          <w:szCs w:val="20"/>
        </w:rPr>
        <w:t>8</w:t>
      </w:r>
    </w:p>
    <w:p w:rsidR="00000000" w:rsidRDefault="008B747E">
      <w:pPr>
        <w:pStyle w:val="a3"/>
        <w:spacing w:before="0" w:beforeAutospacing="0" w:after="600" w:afterAutospacing="0"/>
        <w:divId w:val="1621571538"/>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ind w:firstLine="720"/>
        <w:divId w:val="1005935210"/>
        <w:rPr>
          <w:sz w:val="20"/>
          <w:szCs w:val="20"/>
        </w:rPr>
      </w:pPr>
      <w:r>
        <w:rPr>
          <w:sz w:val="20"/>
          <w:szCs w:val="20"/>
        </w:rPr>
        <w:t>The Company is currently evaluating other recently issued accounting pronouncements and does not currently believe that any of those pronouncements will have a material impact on its consolidated financial statements and related disclosures.</w:t>
      </w:r>
    </w:p>
    <w:p w:rsidR="00000000" w:rsidRDefault="008B747E">
      <w:pPr>
        <w:pStyle w:val="a3"/>
        <w:spacing w:before="0" w:beforeAutospacing="0" w:after="0" w:afterAutospacing="0"/>
        <w:ind w:firstLine="720"/>
        <w:jc w:val="both"/>
        <w:divId w:val="1005935210"/>
        <w:rPr>
          <w:sz w:val="20"/>
          <w:szCs w:val="20"/>
        </w:rPr>
      </w:pPr>
      <w:r>
        <w:rPr>
          <w:sz w:val="20"/>
          <w:szCs w:val="20"/>
        </w:rPr>
        <w:t>​</w:t>
      </w:r>
    </w:p>
    <w:p w:rsidR="00000000" w:rsidRDefault="008B747E">
      <w:pPr>
        <w:pStyle w:val="a3"/>
        <w:spacing w:before="0" w:beforeAutospacing="0" w:after="0" w:afterAutospacing="0"/>
        <w:divId w:val="1005935210"/>
        <w:rPr>
          <w:sz w:val="20"/>
          <w:szCs w:val="20"/>
        </w:rPr>
      </w:pPr>
      <w:r>
        <w:rPr>
          <w:sz w:val="2"/>
          <w:szCs w:val="2"/>
        </w:rPr>
        <w:t>​</w:t>
      </w:r>
    </w:p>
    <w:p w:rsidR="00000000" w:rsidRDefault="008B747E">
      <w:pPr>
        <w:pStyle w:val="a3"/>
        <w:spacing w:before="0" w:beforeAutospacing="0" w:after="0" w:afterAutospacing="0"/>
        <w:divId w:val="1005935210"/>
        <w:rPr>
          <w:sz w:val="20"/>
          <w:szCs w:val="20"/>
        </w:rPr>
      </w:pPr>
      <w:r>
        <w:rPr>
          <w:b/>
          <w:bCs/>
          <w:sz w:val="20"/>
          <w:szCs w:val="20"/>
        </w:rPr>
        <w:t>2. Net Los</w:t>
      </w:r>
      <w:r>
        <w:rPr>
          <w:b/>
          <w:bCs/>
          <w:sz w:val="20"/>
          <w:szCs w:val="20"/>
        </w:rPr>
        <w:t>s per Share</w:t>
      </w:r>
    </w:p>
    <w:p w:rsidR="00000000" w:rsidRDefault="008B747E">
      <w:pPr>
        <w:pStyle w:val="a3"/>
        <w:spacing w:before="0" w:beforeAutospacing="0" w:after="0" w:afterAutospacing="0"/>
        <w:divId w:val="1005935210"/>
        <w:rPr>
          <w:sz w:val="20"/>
          <w:szCs w:val="20"/>
        </w:rPr>
      </w:pPr>
      <w:r>
        <w:rPr>
          <w:sz w:val="10"/>
          <w:szCs w:val="10"/>
        </w:rPr>
        <w:t>​</w:t>
      </w:r>
    </w:p>
    <w:p w:rsidR="00000000" w:rsidRDefault="008B747E">
      <w:pPr>
        <w:pStyle w:val="a3"/>
        <w:spacing w:before="0" w:beforeAutospacing="0" w:after="0" w:afterAutospacing="0"/>
        <w:ind w:firstLine="720"/>
        <w:divId w:val="1005935210"/>
        <w:rPr>
          <w:sz w:val="20"/>
          <w:szCs w:val="20"/>
        </w:rPr>
      </w:pPr>
      <w:r>
        <w:rPr>
          <w:sz w:val="20"/>
          <w:szCs w:val="20"/>
        </w:rPr>
        <w:t>Basic net loss per share is computed by dividing net loss by the weighted-average number of shares of outstanding, less ordinary shares subject to forfeiture. Diluted net loss per share is computed by dividing net loss by the weighted-average</w:t>
      </w:r>
      <w:r>
        <w:rPr>
          <w:sz w:val="20"/>
          <w:szCs w:val="20"/>
        </w:rPr>
        <w:t xml:space="preserve"> number of shares outstanding, less ordinary shares subject to forfeiture, plus all additional ordinary shares that would have been outstanding, assuming dilutive potential ordinary shares had been issued for other dilutive securities.</w:t>
      </w:r>
    </w:p>
    <w:p w:rsidR="00000000" w:rsidRDefault="008B747E">
      <w:pPr>
        <w:pStyle w:val="a3"/>
        <w:spacing w:before="0" w:beforeAutospacing="0" w:after="0" w:afterAutospacing="0"/>
        <w:ind w:firstLine="720"/>
        <w:divId w:val="100593521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330"/>
        <w:gridCol w:w="160"/>
        <w:gridCol w:w="100"/>
        <w:gridCol w:w="684"/>
        <w:gridCol w:w="160"/>
        <w:gridCol w:w="100"/>
        <w:gridCol w:w="684"/>
        <w:gridCol w:w="160"/>
        <w:gridCol w:w="100"/>
        <w:gridCol w:w="784"/>
        <w:gridCol w:w="160"/>
        <w:gridCol w:w="100"/>
        <w:gridCol w:w="784"/>
      </w:tblGrid>
      <w:tr w:rsidR="00000000">
        <w:trPr>
          <w:divId w:val="1005935210"/>
          <w:trHeight w:val="20"/>
        </w:trPr>
        <w:tc>
          <w:tcPr>
            <w:tcW w:w="2836"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
                <w:szCs w:val="2"/>
              </w:rPr>
              <w:t>​</w:t>
            </w:r>
          </w:p>
        </w:tc>
        <w:tc>
          <w:tcPr>
            <w:tcW w:w="70"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
                <w:szCs w:val="2"/>
              </w:rPr>
              <w:t>​</w:t>
            </w:r>
          </w:p>
        </w:tc>
        <w:tc>
          <w:tcPr>
            <w:tcW w:w="366"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
                <w:szCs w:val="2"/>
              </w:rPr>
              <w:t>​</w:t>
            </w:r>
          </w:p>
        </w:tc>
        <w:tc>
          <w:tcPr>
            <w:tcW w:w="41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
                <w:szCs w:val="2"/>
              </w:rPr>
              <w:t>​</w:t>
            </w:r>
          </w:p>
        </w:tc>
        <w:tc>
          <w:tcPr>
            <w:tcW w:w="71"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
                <w:szCs w:val="2"/>
              </w:rPr>
              <w:t>​</w:t>
            </w:r>
          </w:p>
        </w:tc>
        <w:tc>
          <w:tcPr>
            <w:tcW w:w="416"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
                <w:szCs w:val="2"/>
              </w:rPr>
              <w:t>​</w:t>
            </w:r>
          </w:p>
        </w:tc>
      </w:tr>
      <w:tr w:rsidR="00000000">
        <w:trPr>
          <w:divId w:val="1005935210"/>
        </w:trPr>
        <w:tc>
          <w:tcPr>
            <w:tcW w:w="2836"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color w:val="FF0000"/>
                <w:sz w:val="20"/>
                <w:szCs w:val="20"/>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51" w:type="pct"/>
            <w:gridSpan w:val="5"/>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Three Months Ended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1053" w:type="pct"/>
            <w:gridSpan w:val="5"/>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Six Months Ended </w:t>
            </w:r>
          </w:p>
        </w:tc>
      </w:tr>
      <w:tr w:rsidR="00000000">
        <w:trPr>
          <w:divId w:val="1005935210"/>
        </w:trPr>
        <w:tc>
          <w:tcPr>
            <w:tcW w:w="2836"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51" w:type="pct"/>
            <w:gridSpan w:val="5"/>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1053" w:type="pct"/>
            <w:gridSpan w:val="5"/>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r>
      <w:tr w:rsidR="00000000">
        <w:trPr>
          <w:divId w:val="1005935210"/>
        </w:trPr>
        <w:tc>
          <w:tcPr>
            <w:tcW w:w="2836" w:type="pct"/>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(In thousands)</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3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3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8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8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r>
      <w:tr w:rsidR="00000000">
        <w:trPr>
          <w:divId w:val="1005935210"/>
        </w:trPr>
        <w:tc>
          <w:tcPr>
            <w:tcW w:w="2836"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b/>
                <w:bCs/>
                <w:sz w:val="20"/>
                <w:szCs w:val="20"/>
              </w:rPr>
              <w:t>Numerator:</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6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1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1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05935210"/>
        </w:trPr>
        <w:tc>
          <w:tcPr>
            <w:tcW w:w="2836" w:type="pct"/>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sz w:val="20"/>
                <w:szCs w:val="20"/>
              </w:rPr>
              <w:t>Net loss</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4"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(39,838)</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6"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(40,818)</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4"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(112,418)</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6"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r>
              <w:rPr>
                <w:sz w:val="20"/>
                <w:szCs w:val="20"/>
              </w:rPr>
              <w:t>105,905)</w:t>
            </w:r>
          </w:p>
        </w:tc>
      </w:tr>
      <w:tr w:rsidR="00000000">
        <w:trPr>
          <w:divId w:val="1005935210"/>
        </w:trPr>
        <w:tc>
          <w:tcPr>
            <w:tcW w:w="2836"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b/>
                <w:bCs/>
                <w:sz w:val="20"/>
                <w:szCs w:val="20"/>
              </w:rPr>
              <w:t>Denominator:</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6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6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05935210"/>
        </w:trPr>
        <w:tc>
          <w:tcPr>
            <w:tcW w:w="2836" w:type="pct"/>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sz w:val="20"/>
                <w:szCs w:val="20"/>
              </w:rPr>
              <w:t>Weighted-average common shares outstanding</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4"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56,407</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0"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54,958</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4"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56,114</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1"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54,763</w:t>
            </w:r>
          </w:p>
        </w:tc>
      </w:tr>
      <w:tr w:rsidR="00000000">
        <w:trPr>
          <w:divId w:val="1005935210"/>
        </w:trPr>
        <w:tc>
          <w:tcPr>
            <w:tcW w:w="2836"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sz w:val="20"/>
                <w:szCs w:val="20"/>
              </w:rPr>
              <w:t>Less: weighted-average common shares subject to forfeiture</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(878)</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0"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(1,159)</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(879)</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1"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(1,234)</w:t>
            </w:r>
          </w:p>
        </w:tc>
      </w:tr>
      <w:tr w:rsidR="00000000">
        <w:trPr>
          <w:divId w:val="1005935210"/>
        </w:trPr>
        <w:tc>
          <w:tcPr>
            <w:tcW w:w="2836" w:type="pct"/>
            <w:tcMar>
              <w:top w:w="0" w:type="dxa"/>
              <w:left w:w="0" w:type="dxa"/>
              <w:bottom w:w="0" w:type="dxa"/>
              <w:right w:w="0" w:type="dxa"/>
            </w:tcMar>
            <w:vAlign w:val="center"/>
            <w:hideMark/>
          </w:tcPr>
          <w:p w:rsidR="00000000" w:rsidRDefault="008B747E">
            <w:pPr>
              <w:pStyle w:val="a3"/>
              <w:spacing w:before="0" w:beforeAutospacing="0" w:after="0" w:afterAutospacing="0"/>
              <w:ind w:hanging="270"/>
              <w:rPr>
                <w:sz w:val="20"/>
                <w:szCs w:val="20"/>
              </w:rPr>
            </w:pPr>
            <w:r>
              <w:rPr>
                <w:sz w:val="20"/>
                <w:szCs w:val="20"/>
              </w:rPr>
              <w:t>Weighted-average common shares used to compute basic and diluted net loss per share</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4"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55,529</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0"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6"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53,799</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4"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55,235</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1"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6"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53,529</w:t>
            </w:r>
          </w:p>
        </w:tc>
      </w:tr>
      <w:tr w:rsidR="00000000">
        <w:trPr>
          <w:divId w:val="1005935210"/>
        </w:trPr>
        <w:tc>
          <w:tcPr>
            <w:tcW w:w="2836"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ind w:left="240"/>
              <w:rPr>
                <w:sz w:val="20"/>
                <w:szCs w:val="20"/>
              </w:rPr>
            </w:pPr>
            <w:r>
              <w:rPr>
                <w:sz w:val="20"/>
                <w:szCs w:val="20"/>
              </w:rPr>
              <w:t>Basic and diluted net loss per share</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(0.72)</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(0.76)</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(2.04)</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1"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(1.98)</w:t>
            </w:r>
          </w:p>
        </w:tc>
      </w:tr>
    </w:tbl>
    <w:p w:rsidR="00000000" w:rsidRDefault="008B747E">
      <w:pPr>
        <w:pStyle w:val="a3"/>
        <w:spacing w:before="0" w:beforeAutospacing="0" w:after="0" w:afterAutospacing="0"/>
        <w:divId w:val="1005935210"/>
        <w:rPr>
          <w:sz w:val="20"/>
          <w:szCs w:val="20"/>
        </w:rPr>
      </w:pPr>
      <w:r>
        <w:rPr>
          <w:sz w:val="20"/>
          <w:szCs w:val="20"/>
        </w:rPr>
        <w:t>​</w:t>
      </w:r>
    </w:p>
    <w:p w:rsidR="00000000" w:rsidRDefault="008B747E">
      <w:pPr>
        <w:pStyle w:val="a3"/>
        <w:spacing w:before="0" w:beforeAutospacing="0" w:after="0" w:afterAutospacing="0"/>
        <w:ind w:firstLine="720"/>
        <w:divId w:val="1005935210"/>
        <w:rPr>
          <w:sz w:val="20"/>
          <w:szCs w:val="20"/>
        </w:rPr>
      </w:pPr>
      <w:r>
        <w:rPr>
          <w:sz w:val="20"/>
          <w:szCs w:val="20"/>
        </w:rPr>
        <w:t xml:space="preserve">For the three and six months ended June 30, 2019 and 2018, diluted and basic net loss per share was identical since potential ordinary shares were excluded from the calculation, as their effect was anti-dilutive. </w:t>
      </w:r>
    </w:p>
    <w:p w:rsidR="00000000" w:rsidRDefault="008B747E">
      <w:pPr>
        <w:pStyle w:val="a3"/>
        <w:spacing w:before="0" w:beforeAutospacing="0" w:after="0" w:afterAutospacing="0"/>
        <w:ind w:firstLine="720"/>
        <w:divId w:val="1005935210"/>
        <w:rPr>
          <w:sz w:val="20"/>
          <w:szCs w:val="20"/>
        </w:rPr>
      </w:pPr>
      <w:r>
        <w:rPr>
          <w:sz w:val="20"/>
          <w:szCs w:val="20"/>
        </w:rPr>
        <w:t>​</w:t>
      </w:r>
    </w:p>
    <w:p w:rsidR="00000000" w:rsidRDefault="008B747E">
      <w:pPr>
        <w:pStyle w:val="a3"/>
        <w:spacing w:before="0" w:beforeAutospacing="0" w:after="0" w:afterAutospacing="0"/>
        <w:divId w:val="1005935210"/>
        <w:rPr>
          <w:sz w:val="20"/>
          <w:szCs w:val="20"/>
        </w:rPr>
      </w:pPr>
      <w:r>
        <w:rPr>
          <w:b/>
          <w:bCs/>
          <w:i/>
          <w:iCs/>
          <w:sz w:val="20"/>
          <w:szCs w:val="20"/>
        </w:rPr>
        <w:t>Anti-dilutive Securities</w:t>
      </w:r>
    </w:p>
    <w:p w:rsidR="00000000" w:rsidRDefault="008B747E">
      <w:pPr>
        <w:pStyle w:val="a3"/>
        <w:spacing w:before="0" w:beforeAutospacing="0" w:after="0" w:afterAutospacing="0"/>
        <w:divId w:val="1005935210"/>
        <w:rPr>
          <w:sz w:val="20"/>
          <w:szCs w:val="20"/>
        </w:rPr>
      </w:pPr>
      <w:r>
        <w:rPr>
          <w:sz w:val="10"/>
          <w:szCs w:val="10"/>
        </w:rPr>
        <w:t>​</w:t>
      </w:r>
    </w:p>
    <w:p w:rsidR="00000000" w:rsidRDefault="008B747E">
      <w:pPr>
        <w:pStyle w:val="a3"/>
        <w:spacing w:before="0" w:beforeAutospacing="0" w:after="0" w:afterAutospacing="0"/>
        <w:ind w:firstLine="720"/>
        <w:divId w:val="1005935210"/>
        <w:rPr>
          <w:sz w:val="20"/>
          <w:szCs w:val="20"/>
        </w:rPr>
      </w:pPr>
      <w:r>
        <w:rPr>
          <w:sz w:val="20"/>
          <w:szCs w:val="20"/>
        </w:rPr>
        <w:t>The following ordinary equivalent shares were not included in the computation of diluted net loss per share because their effect was anti-dilutive:</w:t>
      </w:r>
    </w:p>
    <w:p w:rsidR="00000000" w:rsidRDefault="008B747E">
      <w:pPr>
        <w:pStyle w:val="a3"/>
        <w:spacing w:before="0" w:beforeAutospacing="0" w:after="0" w:afterAutospacing="0"/>
        <w:ind w:firstLine="720"/>
        <w:divId w:val="1005935210"/>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5110"/>
        <w:gridCol w:w="160"/>
        <w:gridCol w:w="635"/>
        <w:gridCol w:w="161"/>
        <w:gridCol w:w="641"/>
        <w:gridCol w:w="161"/>
        <w:gridCol w:w="636"/>
        <w:gridCol w:w="161"/>
        <w:gridCol w:w="641"/>
      </w:tblGrid>
      <w:tr w:rsidR="00000000">
        <w:trPr>
          <w:divId w:val="1005935210"/>
          <w:trHeight w:val="20"/>
        </w:trPr>
        <w:tc>
          <w:tcPr>
            <w:tcW w:w="3073" w:type="pct"/>
            <w:tcMar>
              <w:top w:w="0" w:type="dxa"/>
              <w:left w:w="0" w:type="dxa"/>
              <w:bottom w:w="0" w:type="dxa"/>
              <w:right w:w="0" w:type="dxa"/>
            </w:tcMar>
            <w:vAlign w:val="bottom"/>
            <w:hideMark/>
          </w:tcPr>
          <w:p w:rsidR="00000000" w:rsidRDefault="008B747E">
            <w:pPr>
              <w:pStyle w:val="a3"/>
              <w:spacing w:before="0" w:beforeAutospacing="0" w:after="0" w:afterAutospacing="0"/>
              <w:divId w:val="2104917238"/>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2942152"/>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09763224"/>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092315853"/>
              <w:rPr>
                <w:sz w:val="20"/>
                <w:szCs w:val="20"/>
              </w:rPr>
            </w:pPr>
            <w:r>
              <w:rPr>
                <w:sz w:val="2"/>
                <w:szCs w:val="2"/>
              </w:rPr>
              <w:t>​</w:t>
            </w:r>
          </w:p>
        </w:tc>
        <w:tc>
          <w:tcPr>
            <w:tcW w:w="38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930500147"/>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368487657"/>
              <w:rPr>
                <w:sz w:val="20"/>
                <w:szCs w:val="20"/>
              </w:rPr>
            </w:pPr>
            <w:r>
              <w:rPr>
                <w:sz w:val="2"/>
                <w:szCs w:val="2"/>
              </w:rPr>
              <w:t>​</w:t>
            </w:r>
          </w:p>
        </w:tc>
        <w:tc>
          <w:tcPr>
            <w:tcW w:w="383"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53437726"/>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491414703"/>
              <w:rPr>
                <w:sz w:val="20"/>
                <w:szCs w:val="20"/>
              </w:rPr>
            </w:pPr>
            <w:r>
              <w:rPr>
                <w:sz w:val="2"/>
                <w:szCs w:val="2"/>
              </w:rPr>
              <w:t>​</w:t>
            </w:r>
          </w:p>
        </w:tc>
        <w:tc>
          <w:tcPr>
            <w:tcW w:w="38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242174890"/>
              <w:rPr>
                <w:sz w:val="20"/>
                <w:szCs w:val="20"/>
              </w:rPr>
            </w:pPr>
            <w:r>
              <w:rPr>
                <w:sz w:val="2"/>
                <w:szCs w:val="2"/>
              </w:rPr>
              <w:t>​</w:t>
            </w:r>
          </w:p>
        </w:tc>
      </w:tr>
      <w:tr w:rsidR="00000000">
        <w:trPr>
          <w:divId w:val="1005935210"/>
        </w:trPr>
        <w:tc>
          <w:tcPr>
            <w:tcW w:w="3073"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866" w:type="pct"/>
            <w:gridSpan w:val="3"/>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Three Months Ended </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866" w:type="pct"/>
            <w:gridSpan w:val="3"/>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Six Months Ended </w:t>
            </w:r>
          </w:p>
        </w:tc>
      </w:tr>
      <w:tr w:rsidR="00000000">
        <w:trPr>
          <w:divId w:val="1005935210"/>
        </w:trPr>
        <w:tc>
          <w:tcPr>
            <w:tcW w:w="3073"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866" w:type="pct"/>
            <w:gridSpan w:val="3"/>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866" w:type="pct"/>
            <w:gridSpan w:val="3"/>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r>
      <w:tr w:rsidR="00000000">
        <w:trPr>
          <w:divId w:val="1005935210"/>
        </w:trPr>
        <w:tc>
          <w:tcPr>
            <w:tcW w:w="3073" w:type="pct"/>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(In </w:t>
            </w:r>
            <w:r>
              <w:rPr>
                <w:b/>
                <w:bCs/>
                <w:sz w:val="16"/>
                <w:szCs w:val="16"/>
              </w:rPr>
              <w:t>thousands)</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383"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38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383"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384"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r>
      <w:tr w:rsidR="00000000">
        <w:trPr>
          <w:divId w:val="1005935210"/>
        </w:trPr>
        <w:tc>
          <w:tcPr>
            <w:tcW w:w="3073"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20"/>
                <w:szCs w:val="20"/>
              </w:rPr>
              <w:t>Share issuances under equity incentive plans and ESPP </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7,468</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5,383</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383"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6,227</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8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4,622</w:t>
            </w:r>
          </w:p>
        </w:tc>
      </w:tr>
      <w:tr w:rsidR="00000000">
        <w:trPr>
          <w:divId w:val="1005935210"/>
        </w:trPr>
        <w:tc>
          <w:tcPr>
            <w:tcW w:w="3073"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 xml:space="preserve">Restricted shares </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383"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4</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383"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84"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4</w:t>
            </w:r>
          </w:p>
        </w:tc>
      </w:tr>
      <w:tr w:rsidR="00000000">
        <w:trPr>
          <w:divId w:val="1005935210"/>
        </w:trPr>
        <w:tc>
          <w:tcPr>
            <w:tcW w:w="3073" w:type="pct"/>
            <w:shd w:val="clear" w:color="auto" w:fill="CCEEFF"/>
            <w:noWrap/>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20"/>
                <w:szCs w:val="20"/>
              </w:rPr>
              <w:t xml:space="preserve">Share issuances upon the conversion of convertible senior notes </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6,676</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6,676</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383"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6,676</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8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6,676</w:t>
            </w:r>
          </w:p>
        </w:tc>
      </w:tr>
      <w:tr w:rsidR="00000000">
        <w:trPr>
          <w:divId w:val="1005935210"/>
        </w:trPr>
        <w:tc>
          <w:tcPr>
            <w:tcW w:w="3073"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20"/>
                <w:szCs w:val="20"/>
              </w:rPr>
              <w:t>Tota</w:t>
            </w:r>
            <w:r>
              <w:rPr>
                <w:sz w:val="20"/>
                <w:szCs w:val="20"/>
              </w:rPr>
              <w:t>l</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 </w:t>
            </w:r>
          </w:p>
        </w:tc>
        <w:tc>
          <w:tcPr>
            <w:tcW w:w="383"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14,144</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84"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12,063</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 </w:t>
            </w:r>
          </w:p>
        </w:tc>
        <w:tc>
          <w:tcPr>
            <w:tcW w:w="383"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12,903</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84"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11,302</w:t>
            </w:r>
          </w:p>
        </w:tc>
      </w:tr>
    </w:tbl>
    <w:p w:rsidR="00000000" w:rsidRDefault="008B747E">
      <w:pPr>
        <w:pStyle w:val="a3"/>
        <w:spacing w:before="0" w:beforeAutospacing="0" w:after="0" w:afterAutospacing="0"/>
        <w:divId w:val="1005935210"/>
        <w:rPr>
          <w:sz w:val="20"/>
          <w:szCs w:val="20"/>
        </w:rPr>
      </w:pPr>
      <w:r>
        <w:rPr>
          <w:sz w:val="20"/>
          <w:szCs w:val="20"/>
        </w:rPr>
        <w:t>​</w:t>
      </w:r>
    </w:p>
    <w:p w:rsidR="00000000" w:rsidRDefault="008B747E">
      <w:pPr>
        <w:pStyle w:val="a3"/>
        <w:spacing w:before="0" w:beforeAutospacing="0" w:after="0" w:afterAutospacing="0"/>
        <w:ind w:firstLine="720"/>
        <w:divId w:val="1005935210"/>
        <w:rPr>
          <w:sz w:val="20"/>
          <w:szCs w:val="20"/>
        </w:rPr>
      </w:pPr>
      <w:r>
        <w:rPr>
          <w:sz w:val="20"/>
          <w:szCs w:val="20"/>
        </w:rPr>
        <w:t xml:space="preserve">As of June 30, 2019 and 2018, there were 468,000 and 978,750 </w:t>
      </w:r>
      <w:r>
        <w:rPr>
          <w:sz w:val="20"/>
          <w:szCs w:val="20"/>
        </w:rPr>
        <w:t>shares, respectively, subject to performance-based vesting criteria which have been excluded from the anti-dilutive securities table above.</w:t>
      </w:r>
    </w:p>
    <w:p w:rsidR="00000000" w:rsidRDefault="008B747E">
      <w:pPr>
        <w:pStyle w:val="a3"/>
        <w:spacing w:before="0" w:beforeAutospacing="0" w:after="0" w:afterAutospacing="0"/>
        <w:divId w:val="1005935210"/>
        <w:rPr>
          <w:sz w:val="20"/>
          <w:szCs w:val="20"/>
        </w:rPr>
      </w:pPr>
      <w:r>
        <w:rPr>
          <w:sz w:val="20"/>
          <w:szCs w:val="20"/>
        </w:rPr>
        <w:t>​</w:t>
      </w:r>
    </w:p>
    <w:p w:rsidR="00000000" w:rsidRDefault="008B747E">
      <w:pPr>
        <w:pStyle w:val="a3"/>
        <w:spacing w:before="0" w:beforeAutospacing="0" w:after="0" w:afterAutospacing="0"/>
        <w:divId w:val="1005935210"/>
        <w:rPr>
          <w:sz w:val="20"/>
          <w:szCs w:val="20"/>
        </w:rPr>
      </w:pPr>
      <w:r>
        <w:rPr>
          <w:b/>
          <w:bCs/>
          <w:sz w:val="20"/>
          <w:szCs w:val="20"/>
        </w:rPr>
        <w:t>3. Revenue</w:t>
      </w:r>
    </w:p>
    <w:p w:rsidR="00000000" w:rsidRDefault="008B747E">
      <w:pPr>
        <w:pStyle w:val="a3"/>
        <w:spacing w:before="0" w:beforeAutospacing="0" w:after="0" w:afterAutospacing="0"/>
        <w:divId w:val="1005935210"/>
        <w:rPr>
          <w:sz w:val="20"/>
          <w:szCs w:val="20"/>
        </w:rPr>
      </w:pPr>
      <w:r>
        <w:rPr>
          <w:b/>
          <w:bCs/>
          <w:sz w:val="10"/>
          <w:szCs w:val="10"/>
        </w:rPr>
        <w:t>​</w:t>
      </w:r>
    </w:p>
    <w:p w:rsidR="00000000" w:rsidRDefault="008B747E">
      <w:pPr>
        <w:pStyle w:val="a3"/>
        <w:spacing w:before="0" w:beforeAutospacing="0" w:after="0" w:afterAutospacing="0"/>
        <w:divId w:val="1005935210"/>
        <w:rPr>
          <w:sz w:val="20"/>
          <w:szCs w:val="20"/>
        </w:rPr>
      </w:pPr>
      <w:r>
        <w:rPr>
          <w:b/>
          <w:bCs/>
          <w:i/>
          <w:iCs/>
          <w:sz w:val="20"/>
          <w:szCs w:val="20"/>
        </w:rPr>
        <w:t>Revenue from Collaborative Arrangements</w:t>
      </w:r>
    </w:p>
    <w:p w:rsidR="00000000" w:rsidRDefault="008B747E">
      <w:pPr>
        <w:pStyle w:val="a3"/>
        <w:spacing w:before="0" w:beforeAutospacing="0" w:after="0" w:afterAutospacing="0"/>
        <w:divId w:val="1005935210"/>
        <w:rPr>
          <w:sz w:val="20"/>
          <w:szCs w:val="20"/>
        </w:rPr>
      </w:pPr>
      <w:r>
        <w:rPr>
          <w:i/>
          <w:iCs/>
          <w:sz w:val="10"/>
          <w:szCs w:val="10"/>
        </w:rPr>
        <w:t>​</w:t>
      </w:r>
    </w:p>
    <w:p w:rsidR="00000000" w:rsidRDefault="008B747E">
      <w:pPr>
        <w:pStyle w:val="a3"/>
        <w:spacing w:before="0" w:beforeAutospacing="0" w:after="0" w:afterAutospacing="0"/>
        <w:ind w:firstLine="720"/>
        <w:divId w:val="1005935210"/>
        <w:rPr>
          <w:sz w:val="20"/>
          <w:szCs w:val="20"/>
        </w:rPr>
      </w:pPr>
      <w:r>
        <w:rPr>
          <w:sz w:val="20"/>
          <w:szCs w:val="20"/>
        </w:rPr>
        <w:t>The Company recognized revenues from its collaborative arra</w:t>
      </w:r>
      <w:r>
        <w:rPr>
          <w:sz w:val="20"/>
          <w:szCs w:val="20"/>
        </w:rPr>
        <w:t>ngements as follows:</w:t>
      </w:r>
    </w:p>
    <w:p w:rsidR="00000000" w:rsidRDefault="008B747E">
      <w:pPr>
        <w:pStyle w:val="a3"/>
        <w:spacing w:before="0" w:beforeAutospacing="0" w:after="0" w:afterAutospacing="0"/>
        <w:ind w:firstLine="720"/>
        <w:divId w:val="100593521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741"/>
        <w:gridCol w:w="160"/>
        <w:gridCol w:w="130"/>
        <w:gridCol w:w="575"/>
        <w:gridCol w:w="160"/>
        <w:gridCol w:w="130"/>
        <w:gridCol w:w="610"/>
        <w:gridCol w:w="160"/>
        <w:gridCol w:w="130"/>
        <w:gridCol w:w="610"/>
        <w:gridCol w:w="160"/>
        <w:gridCol w:w="130"/>
        <w:gridCol w:w="610"/>
      </w:tblGrid>
      <w:tr w:rsidR="00000000">
        <w:trPr>
          <w:divId w:val="1005935210"/>
          <w:trHeight w:val="20"/>
        </w:trPr>
        <w:tc>
          <w:tcPr>
            <w:tcW w:w="2863" w:type="pct"/>
            <w:tcMar>
              <w:top w:w="0" w:type="dxa"/>
              <w:left w:w="0" w:type="dxa"/>
              <w:bottom w:w="0" w:type="dxa"/>
              <w:right w:w="0" w:type="dxa"/>
            </w:tcMar>
            <w:hideMark/>
          </w:tcPr>
          <w:p w:rsidR="00000000" w:rsidRDefault="008B747E">
            <w:pPr>
              <w:pStyle w:val="a3"/>
              <w:spacing w:before="0" w:beforeAutospacing="0" w:after="0" w:afterAutospacing="0"/>
              <w:divId w:val="1114442376"/>
              <w:rPr>
                <w:sz w:val="20"/>
                <w:szCs w:val="20"/>
              </w:rPr>
            </w:pPr>
            <w:r>
              <w:rPr>
                <w:sz w:val="2"/>
                <w:szCs w:val="2"/>
              </w:rPr>
              <w:t>​</w:t>
            </w:r>
          </w:p>
        </w:tc>
        <w:tc>
          <w:tcPr>
            <w:tcW w:w="90"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497042407"/>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128887402"/>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029794030"/>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830051461"/>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053847486"/>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791512698"/>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542720222"/>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447627015"/>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42540969"/>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006400112"/>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312563687"/>
              <w:rPr>
                <w:sz w:val="20"/>
                <w:szCs w:val="20"/>
              </w:rPr>
            </w:pPr>
            <w:r>
              <w:rPr>
                <w:sz w:val="2"/>
                <w:szCs w:val="2"/>
              </w:rPr>
              <w:t>​</w:t>
            </w:r>
          </w:p>
        </w:tc>
        <w:tc>
          <w:tcPr>
            <w:tcW w:w="346"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336759542"/>
              <w:rPr>
                <w:sz w:val="20"/>
                <w:szCs w:val="20"/>
              </w:rPr>
            </w:pPr>
            <w:r>
              <w:rPr>
                <w:sz w:val="2"/>
                <w:szCs w:val="2"/>
              </w:rPr>
              <w:t>​</w:t>
            </w:r>
          </w:p>
        </w:tc>
      </w:tr>
      <w:tr w:rsidR="00000000">
        <w:trPr>
          <w:divId w:val="1005935210"/>
        </w:trPr>
        <w:tc>
          <w:tcPr>
            <w:tcW w:w="2863"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0"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83" w:type="pct"/>
            <w:gridSpan w:val="5"/>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Three Months Ended </w:t>
            </w:r>
          </w:p>
        </w:tc>
        <w:tc>
          <w:tcPr>
            <w:tcW w:w="8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72" w:type="pct"/>
            <w:gridSpan w:val="5"/>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Six Months Ended </w:t>
            </w:r>
          </w:p>
        </w:tc>
      </w:tr>
      <w:tr w:rsidR="00000000">
        <w:trPr>
          <w:divId w:val="1005935210"/>
        </w:trPr>
        <w:tc>
          <w:tcPr>
            <w:tcW w:w="2863"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0"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83" w:type="pct"/>
            <w:gridSpan w:val="5"/>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8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72" w:type="pct"/>
            <w:gridSpan w:val="5"/>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r>
      <w:tr w:rsidR="00000000">
        <w:trPr>
          <w:divId w:val="1005935210"/>
        </w:trPr>
        <w:tc>
          <w:tcPr>
            <w:tcW w:w="2863" w:type="pct"/>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(In thousands)</w:t>
            </w:r>
          </w:p>
        </w:tc>
        <w:tc>
          <w:tcPr>
            <w:tcW w:w="90"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8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8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4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8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3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r>
      <w:tr w:rsidR="00000000">
        <w:trPr>
          <w:divId w:val="1005935210"/>
        </w:trPr>
        <w:tc>
          <w:tcPr>
            <w:tcW w:w="2863"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20"/>
                <w:szCs w:val="20"/>
              </w:rPr>
              <w:t>Janssen</w:t>
            </w:r>
          </w:p>
        </w:tc>
        <w:tc>
          <w:tcPr>
            <w:tcW w:w="9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7,392</w:t>
            </w:r>
          </w:p>
        </w:tc>
        <w:tc>
          <w:tcPr>
            <w:tcW w:w="8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7,566</w:t>
            </w:r>
          </w:p>
        </w:tc>
        <w:tc>
          <w:tcPr>
            <w:tcW w:w="8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12,715</w:t>
            </w:r>
          </w:p>
        </w:tc>
        <w:tc>
          <w:tcPr>
            <w:tcW w:w="8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4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12,179</w:t>
            </w:r>
          </w:p>
        </w:tc>
      </w:tr>
      <w:tr w:rsidR="00000000">
        <w:trPr>
          <w:divId w:val="1005935210"/>
        </w:trPr>
        <w:tc>
          <w:tcPr>
            <w:tcW w:w="2863" w:type="pct"/>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sz w:val="20"/>
                <w:szCs w:val="20"/>
              </w:rPr>
              <w:t>Alfasigma</w:t>
            </w:r>
          </w:p>
        </w:tc>
        <w:tc>
          <w:tcPr>
            <w:tcW w:w="90"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57"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95</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57"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10,533</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57"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98</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4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10,533</w:t>
            </w:r>
          </w:p>
        </w:tc>
      </w:tr>
      <w:tr w:rsidR="00000000">
        <w:trPr>
          <w:divId w:val="1005935210"/>
        </w:trPr>
        <w:tc>
          <w:tcPr>
            <w:tcW w:w="2863"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20"/>
                <w:szCs w:val="20"/>
              </w:rPr>
              <w:t>Other</w:t>
            </w:r>
          </w:p>
        </w:tc>
        <w:tc>
          <w:tcPr>
            <w:tcW w:w="9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163</w:t>
            </w:r>
          </w:p>
        </w:tc>
        <w:tc>
          <w:tcPr>
            <w:tcW w:w="8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16</w:t>
            </w:r>
          </w:p>
        </w:tc>
        <w:tc>
          <w:tcPr>
            <w:tcW w:w="8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7"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175</w:t>
            </w:r>
          </w:p>
        </w:tc>
        <w:tc>
          <w:tcPr>
            <w:tcW w:w="8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46"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43</w:t>
            </w:r>
          </w:p>
        </w:tc>
      </w:tr>
      <w:tr w:rsidR="00000000">
        <w:trPr>
          <w:divId w:val="1005935210"/>
        </w:trPr>
        <w:tc>
          <w:tcPr>
            <w:tcW w:w="2863" w:type="pct"/>
            <w:tcMar>
              <w:top w:w="0" w:type="dxa"/>
              <w:left w:w="0" w:type="dxa"/>
              <w:bottom w:w="0" w:type="dxa"/>
              <w:right w:w="0" w:type="dxa"/>
            </w:tcMar>
            <w:hideMark/>
          </w:tcPr>
          <w:p w:rsidR="00000000" w:rsidRDefault="008B747E">
            <w:pPr>
              <w:pStyle w:val="a3"/>
              <w:spacing w:before="0" w:beforeAutospacing="0" w:after="0" w:afterAutospacing="0"/>
              <w:ind w:left="240"/>
              <w:rPr>
                <w:sz w:val="20"/>
                <w:szCs w:val="20"/>
              </w:rPr>
            </w:pPr>
            <w:r>
              <w:rPr>
                <w:sz w:val="20"/>
                <w:szCs w:val="20"/>
              </w:rPr>
              <w:t>Total collaboration revenue</w:t>
            </w:r>
          </w:p>
        </w:tc>
        <w:tc>
          <w:tcPr>
            <w:tcW w:w="90"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7"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7,650</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7"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18,115</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7"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12,988</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46"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22,755</w:t>
            </w:r>
          </w:p>
        </w:tc>
      </w:tr>
    </w:tbl>
    <w:p w:rsidR="00000000" w:rsidRDefault="008B747E">
      <w:pPr>
        <w:pStyle w:val="a3"/>
        <w:spacing w:before="0" w:beforeAutospacing="0" w:after="0" w:afterAutospacing="0"/>
        <w:divId w:val="1005935210"/>
        <w:rPr>
          <w:sz w:val="20"/>
          <w:szCs w:val="20"/>
        </w:rPr>
      </w:pPr>
      <w:r>
        <w:rPr>
          <w:sz w:val="20"/>
          <w:szCs w:val="20"/>
        </w:rPr>
        <w:t>​</w:t>
      </w:r>
    </w:p>
    <w:p w:rsidR="00000000" w:rsidRDefault="008B747E">
      <w:pPr>
        <w:pStyle w:val="a3"/>
        <w:spacing w:before="360" w:beforeAutospacing="0" w:after="0" w:afterAutospacing="0"/>
        <w:jc w:val="center"/>
        <w:divId w:val="1028677899"/>
        <w:rPr>
          <w:sz w:val="20"/>
          <w:szCs w:val="20"/>
        </w:rPr>
      </w:pPr>
      <w:r>
        <w:rPr>
          <w:sz w:val="20"/>
          <w:szCs w:val="20"/>
        </w:rPr>
        <w:t>9</w:t>
      </w:r>
    </w:p>
    <w:p w:rsidR="00000000" w:rsidRDefault="008B747E">
      <w:pPr>
        <w:pStyle w:val="a3"/>
        <w:spacing w:before="0" w:beforeAutospacing="0" w:after="600" w:afterAutospacing="0"/>
        <w:divId w:val="1446197215"/>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1116413121"/>
        <w:rPr>
          <w:sz w:val="20"/>
          <w:szCs w:val="20"/>
        </w:rPr>
      </w:pPr>
      <w:r>
        <w:rPr>
          <w:b/>
          <w:bCs/>
          <w:i/>
          <w:iCs/>
          <w:sz w:val="20"/>
          <w:szCs w:val="20"/>
        </w:rPr>
        <w:t>Changes in Deferred Revenue Balances</w:t>
      </w:r>
    </w:p>
    <w:p w:rsidR="00000000" w:rsidRDefault="008B747E">
      <w:pPr>
        <w:pStyle w:val="a3"/>
        <w:spacing w:before="0" w:beforeAutospacing="0" w:after="0" w:afterAutospacing="0"/>
        <w:divId w:val="1116413121"/>
        <w:rPr>
          <w:sz w:val="20"/>
          <w:szCs w:val="20"/>
        </w:rPr>
      </w:pPr>
      <w:r>
        <w:rPr>
          <w:sz w:val="10"/>
          <w:szCs w:val="10"/>
        </w:rPr>
        <w:t>​</w:t>
      </w:r>
    </w:p>
    <w:p w:rsidR="00000000" w:rsidRDefault="008B747E">
      <w:pPr>
        <w:pStyle w:val="a3"/>
        <w:spacing w:before="0" w:beforeAutospacing="0" w:after="0" w:afterAutospacing="0"/>
        <w:ind w:firstLine="720"/>
        <w:divId w:val="1116413121"/>
        <w:rPr>
          <w:sz w:val="20"/>
          <w:szCs w:val="20"/>
        </w:rPr>
      </w:pPr>
      <w:r>
        <w:rPr>
          <w:sz w:val="20"/>
          <w:szCs w:val="20"/>
        </w:rPr>
        <w:t xml:space="preserve">The changes in the deferred revenue balances arose as a result of the Company recognizing the following revenue from collaborative arrangements during the periods below: </w:t>
      </w:r>
    </w:p>
    <w:p w:rsidR="00000000" w:rsidRDefault="008B747E">
      <w:pPr>
        <w:pStyle w:val="a3"/>
        <w:spacing w:before="0" w:beforeAutospacing="0" w:after="0" w:afterAutospacing="0"/>
        <w:divId w:val="1116413121"/>
        <w:rPr>
          <w:sz w:val="20"/>
          <w:szCs w:val="20"/>
        </w:rPr>
      </w:pPr>
      <w:r>
        <w:rPr>
          <w:sz w:val="12"/>
          <w:szCs w:val="12"/>
        </w:rPr>
        <w:t>​</w:t>
      </w:r>
    </w:p>
    <w:tbl>
      <w:tblPr>
        <w:tblW w:w="5000" w:type="pct"/>
        <w:tblCellMar>
          <w:top w:w="15" w:type="dxa"/>
          <w:left w:w="0" w:type="dxa"/>
          <w:bottom w:w="15" w:type="dxa"/>
          <w:right w:w="0" w:type="dxa"/>
        </w:tblCellMar>
        <w:tblLook w:val="04A0" w:firstRow="1" w:lastRow="0" w:firstColumn="1" w:lastColumn="0" w:noHBand="0" w:noVBand="1"/>
      </w:tblPr>
      <w:tblGrid>
        <w:gridCol w:w="4757"/>
        <w:gridCol w:w="148"/>
        <w:gridCol w:w="146"/>
        <w:gridCol w:w="591"/>
        <w:gridCol w:w="147"/>
        <w:gridCol w:w="147"/>
        <w:gridCol w:w="595"/>
        <w:gridCol w:w="147"/>
        <w:gridCol w:w="147"/>
        <w:gridCol w:w="610"/>
        <w:gridCol w:w="147"/>
        <w:gridCol w:w="147"/>
        <w:gridCol w:w="577"/>
      </w:tblGrid>
      <w:tr w:rsidR="00000000">
        <w:trPr>
          <w:divId w:val="1116413121"/>
          <w:trHeight w:val="20"/>
        </w:trPr>
        <w:tc>
          <w:tcPr>
            <w:tcW w:w="2863" w:type="pct"/>
            <w:tcMar>
              <w:top w:w="0" w:type="dxa"/>
              <w:left w:w="0" w:type="dxa"/>
              <w:bottom w:w="0" w:type="dxa"/>
              <w:right w:w="0" w:type="dxa"/>
            </w:tcMar>
            <w:hideMark/>
          </w:tcPr>
          <w:p w:rsidR="00000000" w:rsidRDefault="008B747E">
            <w:pPr>
              <w:pStyle w:val="a3"/>
              <w:spacing w:before="0" w:beforeAutospacing="0" w:after="0" w:afterAutospacing="0"/>
              <w:divId w:val="1934972581"/>
              <w:rPr>
                <w:sz w:val="20"/>
                <w:szCs w:val="20"/>
              </w:rPr>
            </w:pPr>
            <w:r>
              <w:rPr>
                <w:sz w:val="2"/>
                <w:szCs w:val="2"/>
              </w:rPr>
              <w:t>​</w:t>
            </w:r>
          </w:p>
        </w:tc>
        <w:tc>
          <w:tcPr>
            <w:tcW w:w="90" w:type="pct"/>
            <w:tcMar>
              <w:top w:w="0" w:type="dxa"/>
              <w:left w:w="0" w:type="dxa"/>
              <w:bottom w:w="0" w:type="dxa"/>
              <w:right w:w="0" w:type="dxa"/>
            </w:tcMar>
            <w:vAlign w:val="bottom"/>
            <w:hideMark/>
          </w:tcPr>
          <w:p w:rsidR="00000000" w:rsidRDefault="008B747E">
            <w:pPr>
              <w:pStyle w:val="a3"/>
              <w:spacing w:before="0" w:beforeAutospacing="0" w:after="0" w:afterAutospacing="0"/>
              <w:divId w:val="1093862658"/>
              <w:rPr>
                <w:sz w:val="20"/>
                <w:szCs w:val="20"/>
              </w:rPr>
            </w:pPr>
            <w:r>
              <w:rPr>
                <w:sz w:val="2"/>
                <w:szCs w:val="2"/>
              </w:rPr>
              <w:t>​</w:t>
            </w:r>
          </w:p>
        </w:tc>
        <w:tc>
          <w:tcPr>
            <w:tcW w:w="89" w:type="pct"/>
            <w:tcMar>
              <w:top w:w="0" w:type="dxa"/>
              <w:left w:w="0" w:type="dxa"/>
              <w:bottom w:w="0" w:type="dxa"/>
              <w:right w:w="0" w:type="dxa"/>
            </w:tcMar>
            <w:vAlign w:val="bottom"/>
            <w:hideMark/>
          </w:tcPr>
          <w:p w:rsidR="00000000" w:rsidRDefault="008B747E">
            <w:pPr>
              <w:pStyle w:val="a3"/>
              <w:spacing w:before="0" w:beforeAutospacing="0" w:after="0" w:afterAutospacing="0"/>
              <w:divId w:val="1043941180"/>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529564248"/>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083598965"/>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007633994"/>
              <w:rPr>
                <w:sz w:val="20"/>
                <w:szCs w:val="20"/>
              </w:rPr>
            </w:pPr>
            <w:r>
              <w:rPr>
                <w:sz w:val="2"/>
                <w:szCs w:val="2"/>
              </w:rPr>
              <w:t>​</w:t>
            </w:r>
          </w:p>
        </w:tc>
        <w:tc>
          <w:tcPr>
            <w:tcW w:w="357" w:type="pct"/>
            <w:tcMar>
              <w:top w:w="0" w:type="dxa"/>
              <w:left w:w="0" w:type="dxa"/>
              <w:bottom w:w="0" w:type="dxa"/>
              <w:right w:w="0" w:type="dxa"/>
            </w:tcMar>
            <w:vAlign w:val="bottom"/>
            <w:hideMark/>
          </w:tcPr>
          <w:p w:rsidR="00000000" w:rsidRDefault="008B747E">
            <w:pPr>
              <w:pStyle w:val="a3"/>
              <w:spacing w:before="0" w:beforeAutospacing="0" w:after="0" w:afterAutospacing="0"/>
              <w:divId w:val="1306813609"/>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858808870"/>
              <w:rPr>
                <w:sz w:val="20"/>
                <w:szCs w:val="20"/>
              </w:rPr>
            </w:pPr>
            <w:r>
              <w:rPr>
                <w:sz w:val="2"/>
                <w:szCs w:val="2"/>
              </w:rPr>
              <w:t>​</w:t>
            </w:r>
          </w:p>
        </w:tc>
        <w:tc>
          <w:tcPr>
            <w:tcW w:w="89" w:type="pct"/>
            <w:tcMar>
              <w:top w:w="0" w:type="dxa"/>
              <w:left w:w="0" w:type="dxa"/>
              <w:bottom w:w="0" w:type="dxa"/>
              <w:right w:w="0" w:type="dxa"/>
            </w:tcMar>
            <w:vAlign w:val="bottom"/>
            <w:hideMark/>
          </w:tcPr>
          <w:p w:rsidR="00000000" w:rsidRDefault="008B747E">
            <w:pPr>
              <w:pStyle w:val="a3"/>
              <w:spacing w:before="0" w:beforeAutospacing="0" w:after="0" w:afterAutospacing="0"/>
              <w:divId w:val="1142694733"/>
              <w:rPr>
                <w:sz w:val="20"/>
                <w:szCs w:val="20"/>
              </w:rPr>
            </w:pPr>
            <w:r>
              <w:rPr>
                <w:sz w:val="2"/>
                <w:szCs w:val="2"/>
              </w:rPr>
              <w:t>​</w:t>
            </w:r>
          </w:p>
        </w:tc>
        <w:tc>
          <w:tcPr>
            <w:tcW w:w="35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836918028"/>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808891060"/>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1763192"/>
              <w:rPr>
                <w:sz w:val="20"/>
                <w:szCs w:val="20"/>
              </w:rPr>
            </w:pPr>
            <w:r>
              <w:rPr>
                <w:sz w:val="2"/>
                <w:szCs w:val="2"/>
              </w:rPr>
              <w:t>​</w:t>
            </w:r>
          </w:p>
        </w:tc>
        <w:tc>
          <w:tcPr>
            <w:tcW w:w="346" w:type="pct"/>
            <w:tcMar>
              <w:top w:w="0" w:type="dxa"/>
              <w:left w:w="0" w:type="dxa"/>
              <w:bottom w:w="0" w:type="dxa"/>
              <w:right w:w="0" w:type="dxa"/>
            </w:tcMar>
            <w:vAlign w:val="bottom"/>
            <w:hideMark/>
          </w:tcPr>
          <w:p w:rsidR="00000000" w:rsidRDefault="008B747E">
            <w:pPr>
              <w:pStyle w:val="a3"/>
              <w:spacing w:before="0" w:beforeAutospacing="0" w:after="0" w:afterAutospacing="0"/>
              <w:divId w:val="449737979"/>
              <w:rPr>
                <w:sz w:val="20"/>
                <w:szCs w:val="20"/>
              </w:rPr>
            </w:pPr>
            <w:r>
              <w:rPr>
                <w:sz w:val="2"/>
                <w:szCs w:val="2"/>
              </w:rPr>
              <w:t>​</w:t>
            </w:r>
          </w:p>
        </w:tc>
      </w:tr>
      <w:tr w:rsidR="00000000">
        <w:trPr>
          <w:divId w:val="1116413121"/>
        </w:trPr>
        <w:tc>
          <w:tcPr>
            <w:tcW w:w="2863"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0"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83" w:type="pct"/>
            <w:gridSpan w:val="5"/>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Three Months Ended </w:t>
            </w:r>
          </w:p>
        </w:tc>
        <w:tc>
          <w:tcPr>
            <w:tcW w:w="89"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72" w:type="pct"/>
            <w:gridSpan w:val="5"/>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Six Months Ended </w:t>
            </w:r>
          </w:p>
        </w:tc>
      </w:tr>
      <w:tr w:rsidR="00000000">
        <w:trPr>
          <w:divId w:val="1116413121"/>
        </w:trPr>
        <w:tc>
          <w:tcPr>
            <w:tcW w:w="2863"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0"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8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8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972"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r>
      <w:tr w:rsidR="00000000">
        <w:trPr>
          <w:divId w:val="1116413121"/>
        </w:trPr>
        <w:tc>
          <w:tcPr>
            <w:tcW w:w="2863" w:type="pct"/>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(In thousands)</w:t>
            </w:r>
          </w:p>
        </w:tc>
        <w:tc>
          <w:tcPr>
            <w:tcW w:w="90"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44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8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44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8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16"/>
                <w:szCs w:val="16"/>
              </w:rPr>
              <w:t>​</w:t>
            </w:r>
          </w:p>
        </w:tc>
        <w:tc>
          <w:tcPr>
            <w:tcW w:w="44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8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43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r>
      <w:tr w:rsidR="00000000">
        <w:trPr>
          <w:divId w:val="1116413121"/>
        </w:trPr>
        <w:tc>
          <w:tcPr>
            <w:tcW w:w="2863" w:type="pct"/>
            <w:shd w:val="clear" w:color="auto" w:fill="auto"/>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b/>
                <w:bCs/>
                <w:sz w:val="20"/>
                <w:szCs w:val="20"/>
              </w:rPr>
              <w:t>Collaboration revenue recognized in the period from:</w:t>
            </w:r>
          </w:p>
        </w:tc>
        <w:tc>
          <w:tcPr>
            <w:tcW w:w="90"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89"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w:t>
            </w:r>
          </w:p>
        </w:tc>
        <w:tc>
          <w:tcPr>
            <w:tcW w:w="35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8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b/>
                <w:bCs/>
                <w:sz w:val="20"/>
                <w:szCs w:val="20"/>
              </w:rPr>
              <w:t>​</w:t>
            </w:r>
          </w:p>
        </w:tc>
        <w:tc>
          <w:tcPr>
            <w:tcW w:w="8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w:t>
            </w:r>
          </w:p>
        </w:tc>
        <w:tc>
          <w:tcPr>
            <w:tcW w:w="35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2"/>
                <w:szCs w:val="22"/>
              </w:rPr>
              <w:t>​</w:t>
            </w:r>
          </w:p>
        </w:tc>
        <w:tc>
          <w:tcPr>
            <w:tcW w:w="346"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r>
      <w:tr w:rsidR="00000000">
        <w:trPr>
          <w:divId w:val="1116413121"/>
        </w:trPr>
        <w:tc>
          <w:tcPr>
            <w:tcW w:w="2863" w:type="pct"/>
            <w:shd w:val="clear" w:color="auto" w:fill="CCEEFF"/>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20"/>
                <w:szCs w:val="20"/>
              </w:rPr>
              <w:t>Amounts included in deferred revenue at the beginning of the period</w:t>
            </w:r>
          </w:p>
        </w:tc>
        <w:tc>
          <w:tcPr>
            <w:tcW w:w="9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7,492</w:t>
            </w:r>
          </w:p>
        </w:tc>
        <w:tc>
          <w:tcPr>
            <w:tcW w:w="8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16</w:t>
            </w:r>
          </w:p>
        </w:tc>
        <w:tc>
          <w:tcPr>
            <w:tcW w:w="8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12,825</w:t>
            </w:r>
          </w:p>
        </w:tc>
        <w:tc>
          <w:tcPr>
            <w:tcW w:w="8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4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32</w:t>
            </w:r>
          </w:p>
        </w:tc>
      </w:tr>
      <w:tr w:rsidR="00000000">
        <w:trPr>
          <w:divId w:val="1116413121"/>
        </w:trPr>
        <w:tc>
          <w:tcPr>
            <w:tcW w:w="2863"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20"/>
                <w:szCs w:val="20"/>
              </w:rPr>
              <w:t>Performance obligations satisfied in previous period</w:t>
            </w:r>
          </w:p>
        </w:tc>
        <w:tc>
          <w:tcPr>
            <w:tcW w:w="90"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7"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7"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7"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4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r>
    </w:tbl>
    <w:p w:rsidR="00000000" w:rsidRDefault="008B747E">
      <w:pPr>
        <w:pStyle w:val="a3"/>
        <w:spacing w:before="0" w:beforeAutospacing="0" w:after="0" w:afterAutospacing="0"/>
        <w:divId w:val="1116413121"/>
        <w:rPr>
          <w:sz w:val="20"/>
          <w:szCs w:val="20"/>
        </w:rPr>
      </w:pPr>
      <w:r>
        <w:rPr>
          <w:sz w:val="2"/>
          <w:szCs w:val="2"/>
        </w:rPr>
        <w:t>​</w:t>
      </w:r>
    </w:p>
    <w:p w:rsidR="00000000" w:rsidRDefault="008B747E">
      <w:pPr>
        <w:pStyle w:val="a3"/>
        <w:spacing w:before="240" w:beforeAutospacing="0" w:after="0" w:afterAutospacing="0"/>
        <w:divId w:val="1116413121"/>
        <w:rPr>
          <w:sz w:val="20"/>
          <w:szCs w:val="20"/>
        </w:rPr>
      </w:pPr>
      <w:r>
        <w:rPr>
          <w:b/>
          <w:bCs/>
          <w:i/>
          <w:iCs/>
          <w:sz w:val="20"/>
          <w:szCs w:val="20"/>
        </w:rPr>
        <w:t>Janssen Biotech</w:t>
      </w:r>
    </w:p>
    <w:p w:rsidR="00000000" w:rsidRDefault="008B747E">
      <w:pPr>
        <w:pStyle w:val="a3"/>
        <w:spacing w:before="0" w:beforeAutospacing="0" w:after="0" w:afterAutospacing="0"/>
        <w:divId w:val="1116413121"/>
        <w:rPr>
          <w:sz w:val="20"/>
          <w:szCs w:val="20"/>
        </w:rPr>
      </w:pPr>
      <w:r>
        <w:rPr>
          <w:sz w:val="10"/>
          <w:szCs w:val="10"/>
        </w:rPr>
        <w:t>​</w:t>
      </w:r>
    </w:p>
    <w:p w:rsidR="00000000" w:rsidRDefault="008B747E">
      <w:pPr>
        <w:pStyle w:val="a3"/>
        <w:spacing w:before="0" w:beforeAutospacing="0" w:after="0" w:afterAutospacing="0"/>
        <w:ind w:firstLine="720"/>
        <w:divId w:val="1116413121"/>
        <w:rPr>
          <w:sz w:val="20"/>
          <w:szCs w:val="20"/>
        </w:rPr>
      </w:pPr>
      <w:r>
        <w:rPr>
          <w:sz w:val="20"/>
          <w:szCs w:val="20"/>
        </w:rPr>
        <w:t>In February 2018, the Company entered into a global co-development and commercialization agreement with Janssen Biotech, Inc. (“Janssen”) for TD-1473 and related back-up compounds for inflammatory intestinal diseases, including ulcerative colitis and Crohn</w:t>
      </w:r>
      <w:r>
        <w:rPr>
          <w:sz w:val="20"/>
          <w:szCs w:val="20"/>
        </w:rPr>
        <w:t>’s disease (the “Janssen Agreement”). Under the terms of the Janssen Agreement, the Company received an upfront payment of $100.0 million. The Company is conducting a Phase 2 (DIONE) study of TD-1473 in Crohn’s disease and a Phase 2b/3 (RHEA) induction and</w:t>
      </w:r>
      <w:r>
        <w:rPr>
          <w:sz w:val="20"/>
          <w:szCs w:val="20"/>
        </w:rPr>
        <w:t xml:space="preserve"> maintenance study of TD-1473 in ulcerative colitis.</w:t>
      </w:r>
      <w:r>
        <w:rPr>
          <w:i/>
          <w:iCs/>
          <w:sz w:val="20"/>
          <w:szCs w:val="20"/>
        </w:rPr>
        <w:t xml:space="preserve"> </w:t>
      </w:r>
      <w:r>
        <w:rPr>
          <w:sz w:val="20"/>
          <w:szCs w:val="20"/>
        </w:rPr>
        <w:t xml:space="preserve">Following the initial Phase 2 development period, including the completion of the Phase 2 Crohn’s study and the Phase 2b induction portion of the ulcerative colitis study, Janssen can elect to obtain an </w:t>
      </w:r>
      <w:r>
        <w:rPr>
          <w:sz w:val="20"/>
          <w:szCs w:val="20"/>
        </w:rPr>
        <w:t>exclusive license to develop and commercialize TD-1473 and certain related back-up compounds by paying us a fee of $200.0 million. Upon any such election, the Company and Janssen will jointly develop and commercialize TD-1473 in inflammatory intestinal dis</w:t>
      </w:r>
      <w:r>
        <w:rPr>
          <w:sz w:val="20"/>
          <w:szCs w:val="20"/>
        </w:rPr>
        <w:t>eases and share profits in the US and expenses related to Phase 3 development and registration activities (67% to Janssen; 33% to Theravance Biopharma). The Company would receive royalties on ex-US sales at double-digit tiered percentage royalty rates, and</w:t>
      </w:r>
      <w:r>
        <w:rPr>
          <w:sz w:val="20"/>
          <w:szCs w:val="20"/>
        </w:rPr>
        <w:t xml:space="preserve"> the Company would be eligible to receive up to an additional $700.0 million in development and commercialization milestone payments from Janssen.</w:t>
      </w:r>
    </w:p>
    <w:p w:rsidR="00000000" w:rsidRDefault="008B747E">
      <w:pPr>
        <w:pStyle w:val="a3"/>
        <w:spacing w:before="0" w:beforeAutospacing="0" w:after="0" w:afterAutospacing="0"/>
        <w:ind w:firstLine="720"/>
        <w:divId w:val="1116413121"/>
        <w:rPr>
          <w:sz w:val="20"/>
          <w:szCs w:val="20"/>
        </w:rPr>
      </w:pPr>
      <w:r>
        <w:rPr>
          <w:sz w:val="20"/>
          <w:szCs w:val="20"/>
        </w:rPr>
        <w:t>​</w:t>
      </w:r>
    </w:p>
    <w:p w:rsidR="00000000" w:rsidRDefault="008B747E">
      <w:pPr>
        <w:pStyle w:val="a3"/>
        <w:spacing w:before="0" w:beforeAutospacing="0" w:after="0" w:afterAutospacing="0"/>
        <w:ind w:firstLine="720"/>
        <w:divId w:val="1116413121"/>
        <w:rPr>
          <w:sz w:val="20"/>
          <w:szCs w:val="20"/>
        </w:rPr>
      </w:pPr>
      <w:r>
        <w:rPr>
          <w:sz w:val="20"/>
          <w:szCs w:val="20"/>
        </w:rPr>
        <w:t xml:space="preserve">The Janssen Agreement is considered to be within the scope of Accounting Standards Codification, Topic 808, </w:t>
      </w:r>
      <w:r>
        <w:rPr>
          <w:i/>
          <w:iCs/>
          <w:sz w:val="20"/>
          <w:szCs w:val="20"/>
        </w:rPr>
        <w:t xml:space="preserve">Collaborative Arrangements </w:t>
      </w:r>
      <w:r>
        <w:rPr>
          <w:sz w:val="20"/>
          <w:szCs w:val="20"/>
        </w:rPr>
        <w:t>(“ASC 808”), as the parties are active participants and exposed to the risks and rewards of the collaborative activity. T</w:t>
      </w:r>
      <w:r>
        <w:rPr>
          <w:sz w:val="20"/>
          <w:szCs w:val="20"/>
        </w:rPr>
        <w:t xml:space="preserve">he Company evaluated the terms of the Janssen Agreement and have analogized to Accounting Standards Codification, Topic 606, </w:t>
      </w:r>
      <w:r>
        <w:rPr>
          <w:i/>
          <w:iCs/>
          <w:sz w:val="20"/>
          <w:szCs w:val="20"/>
        </w:rPr>
        <w:t>Revenue from Contracts with Customers</w:t>
      </w:r>
      <w:r>
        <w:rPr>
          <w:sz w:val="20"/>
          <w:szCs w:val="20"/>
        </w:rPr>
        <w:t xml:space="preserve"> (“ASC 606”) for the research and development activities to be performed through the initial P</w:t>
      </w:r>
      <w:r>
        <w:rPr>
          <w:sz w:val="20"/>
          <w:szCs w:val="20"/>
        </w:rPr>
        <w:t>hase 2 development period of the collaborative arrangement that are considered to be part of the Company’s ongoing major or central operations. Using the concepts of ASC 606, the Company has identified research and development activities as its only perfor</w:t>
      </w:r>
      <w:r>
        <w:rPr>
          <w:sz w:val="20"/>
          <w:szCs w:val="20"/>
        </w:rPr>
        <w:t>mance obligation. The Company further determined that the transaction price under the arrangement was the $100.0 million upfront payment which was allocated to the single performance obligation.</w:t>
      </w:r>
    </w:p>
    <w:p w:rsidR="00000000" w:rsidRDefault="008B747E">
      <w:pPr>
        <w:pStyle w:val="a3"/>
        <w:spacing w:before="0" w:beforeAutospacing="0" w:after="0" w:afterAutospacing="0"/>
        <w:divId w:val="1116413121"/>
        <w:rPr>
          <w:sz w:val="20"/>
          <w:szCs w:val="20"/>
        </w:rPr>
      </w:pPr>
      <w:r>
        <w:rPr>
          <w:sz w:val="20"/>
          <w:szCs w:val="20"/>
        </w:rPr>
        <w:t>​</w:t>
      </w:r>
    </w:p>
    <w:p w:rsidR="00000000" w:rsidRDefault="008B747E">
      <w:pPr>
        <w:pStyle w:val="a3"/>
        <w:spacing w:before="0" w:beforeAutospacing="0" w:after="0" w:afterAutospacing="0"/>
        <w:ind w:firstLine="720"/>
        <w:divId w:val="1116413121"/>
        <w:rPr>
          <w:sz w:val="20"/>
          <w:szCs w:val="20"/>
        </w:rPr>
      </w:pPr>
      <w:r>
        <w:rPr>
          <w:sz w:val="20"/>
          <w:szCs w:val="20"/>
        </w:rPr>
        <w:t xml:space="preserve">The $900.0 million in future potential payments, inclusive </w:t>
      </w:r>
      <w:r>
        <w:rPr>
          <w:sz w:val="20"/>
          <w:szCs w:val="20"/>
        </w:rPr>
        <w:t>of $200.0 million opt-in fee and $700.0 million future development and commercialization milestones, is considered variable consideration if Janssen elects to remain in the collaboration arrangement following completion of the initial Phase 2 development p</w:t>
      </w:r>
      <w:r>
        <w:rPr>
          <w:sz w:val="20"/>
          <w:szCs w:val="20"/>
        </w:rPr>
        <w:t>eriod, as described above and, as such, was not included in the transaction price, as the potential payments were all determined to be fully constrained under ASC 606. As part of the Company’s evaluation of this variable consideration constraint, it determ</w:t>
      </w:r>
      <w:r>
        <w:rPr>
          <w:sz w:val="20"/>
          <w:szCs w:val="20"/>
        </w:rPr>
        <w:t>ined that the potential payments are contingent upon developmental and regulatory milestones that are uncertain and are highly susceptible to factors outside of its control. The Company expects that any consideration related to royalties and sales-based mi</w:t>
      </w:r>
      <w:r>
        <w:rPr>
          <w:sz w:val="20"/>
          <w:szCs w:val="20"/>
        </w:rPr>
        <w:t xml:space="preserve">lestones will be recognized when the subsequent sales occur. </w:t>
      </w:r>
    </w:p>
    <w:p w:rsidR="00000000" w:rsidRDefault="008B747E">
      <w:pPr>
        <w:pStyle w:val="a3"/>
        <w:spacing w:before="0" w:beforeAutospacing="0" w:after="0" w:afterAutospacing="0"/>
        <w:divId w:val="1116413121"/>
        <w:rPr>
          <w:sz w:val="20"/>
          <w:szCs w:val="20"/>
        </w:rPr>
      </w:pPr>
      <w:r>
        <w:rPr>
          <w:sz w:val="20"/>
          <w:szCs w:val="20"/>
        </w:rPr>
        <w:t>​</w:t>
      </w:r>
    </w:p>
    <w:p w:rsidR="00000000" w:rsidRDefault="008B747E">
      <w:pPr>
        <w:pStyle w:val="a3"/>
        <w:spacing w:before="0" w:beforeAutospacing="0" w:after="0" w:afterAutospacing="0"/>
        <w:ind w:firstLine="720"/>
        <w:divId w:val="1116413121"/>
        <w:rPr>
          <w:sz w:val="20"/>
          <w:szCs w:val="20"/>
        </w:rPr>
      </w:pPr>
      <w:r>
        <w:rPr>
          <w:sz w:val="20"/>
          <w:szCs w:val="20"/>
        </w:rPr>
        <w:t>For the three and six months ended June 30, 2019, the Company recognized $7.4 million and $12.7 million, respectively, as revenue from collaboration arrangements related to the Janssen Agreeme</w:t>
      </w:r>
      <w:r>
        <w:rPr>
          <w:sz w:val="20"/>
          <w:szCs w:val="20"/>
        </w:rPr>
        <w:t>nt. The remaining transaction price of $56.2 million was recorded in deferred revenue on the condensed consolidated balance sheets and is expected to be recognized as collaboration revenue as the research and development services are delivered over the ini</w:t>
      </w:r>
      <w:r>
        <w:rPr>
          <w:sz w:val="20"/>
          <w:szCs w:val="20"/>
        </w:rPr>
        <w:t>tial Phase 2 development period. Collaboration revenue is recognized for the research and development services based on a measure of the Company’s efforts toward satisfying the performance obligation relative to the total expected efforts or inputs to sati</w:t>
      </w:r>
      <w:r>
        <w:rPr>
          <w:sz w:val="20"/>
          <w:szCs w:val="20"/>
        </w:rPr>
        <w:t>sfy the performance obligation (e.g., costs incurred compared to total budget). For the three and six months ended June 30, 2019, the Company incurred $9.0 million and $17.7 million, respectively, in research and development costs related to the Janssen Ag</w:t>
      </w:r>
      <w:r>
        <w:rPr>
          <w:sz w:val="20"/>
          <w:szCs w:val="20"/>
        </w:rPr>
        <w:t xml:space="preserve">reement, and for the three and six months ended June 30, 2018, the Company incurred $11.1 million and $17.6 million, </w:t>
      </w:r>
    </w:p>
    <w:p w:rsidR="00000000" w:rsidRDefault="008B747E">
      <w:pPr>
        <w:pStyle w:val="a3"/>
        <w:spacing w:before="360" w:beforeAutospacing="0" w:after="0" w:afterAutospacing="0"/>
        <w:jc w:val="center"/>
        <w:divId w:val="852648202"/>
        <w:rPr>
          <w:sz w:val="20"/>
          <w:szCs w:val="20"/>
        </w:rPr>
      </w:pPr>
      <w:r>
        <w:rPr>
          <w:sz w:val="20"/>
          <w:szCs w:val="20"/>
        </w:rPr>
        <w:t>10</w:t>
      </w:r>
    </w:p>
    <w:p w:rsidR="00000000" w:rsidRDefault="008B747E">
      <w:pPr>
        <w:pStyle w:val="a3"/>
        <w:spacing w:before="0" w:beforeAutospacing="0" w:after="600" w:afterAutospacing="0"/>
        <w:divId w:val="1796561472"/>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1626227923"/>
        <w:rPr>
          <w:sz w:val="20"/>
          <w:szCs w:val="20"/>
        </w:rPr>
      </w:pPr>
      <w:r>
        <w:rPr>
          <w:sz w:val="20"/>
          <w:szCs w:val="20"/>
        </w:rPr>
        <w:t>respectively, in research and development costs related to the Janssen Agreement. In future</w:t>
      </w:r>
      <w:r>
        <w:rPr>
          <w:sz w:val="20"/>
          <w:szCs w:val="20"/>
        </w:rPr>
        <w:t xml:space="preserve"> reporting periods, the Company will reevaluate the Company’s estimates related to its efforts towards satisfying the performance obligation and may record a change in estimate if deemed necessary</w:t>
      </w:r>
      <w:r>
        <w:rPr>
          <w:sz w:val="20"/>
          <w:szCs w:val="20"/>
        </w:rPr>
        <w:t>.</w:t>
      </w:r>
    </w:p>
    <w:p w:rsidR="00000000" w:rsidRDefault="008B747E">
      <w:pPr>
        <w:pStyle w:val="a3"/>
        <w:spacing w:before="0" w:beforeAutospacing="0" w:after="0" w:afterAutospacing="0"/>
        <w:divId w:val="1626227923"/>
        <w:rPr>
          <w:sz w:val="20"/>
          <w:szCs w:val="20"/>
        </w:rPr>
      </w:pPr>
      <w:r>
        <w:rPr>
          <w:sz w:val="20"/>
          <w:szCs w:val="20"/>
        </w:rPr>
        <w:t>​</w:t>
      </w:r>
    </w:p>
    <w:p w:rsidR="00000000" w:rsidRDefault="008B747E">
      <w:pPr>
        <w:pStyle w:val="a3"/>
        <w:shd w:val="clear" w:color="auto" w:fill="FFFFFF"/>
        <w:spacing w:before="0" w:beforeAutospacing="0" w:after="0" w:afterAutospacing="0"/>
        <w:divId w:val="1626227923"/>
        <w:rPr>
          <w:sz w:val="20"/>
          <w:szCs w:val="20"/>
        </w:rPr>
      </w:pPr>
      <w:r>
        <w:rPr>
          <w:rFonts w:ascii="Times" w:hAnsi="Times"/>
          <w:b/>
          <w:bCs/>
          <w:i/>
          <w:iCs/>
          <w:sz w:val="20"/>
          <w:szCs w:val="20"/>
        </w:rPr>
        <w:t>Mylan</w:t>
      </w:r>
    </w:p>
    <w:p w:rsidR="00000000" w:rsidRDefault="008B747E">
      <w:pPr>
        <w:pStyle w:val="a3"/>
        <w:shd w:val="clear" w:color="auto" w:fill="FFFFFF"/>
        <w:spacing w:before="0" w:beforeAutospacing="0" w:after="0" w:afterAutospacing="0"/>
        <w:divId w:val="1626227923"/>
        <w:rPr>
          <w:sz w:val="20"/>
          <w:szCs w:val="20"/>
        </w:rPr>
      </w:pPr>
      <w:r>
        <w:rPr>
          <w:rFonts w:ascii="Times" w:hAnsi="Times"/>
          <w:b/>
          <w:bCs/>
          <w:i/>
          <w:iCs/>
          <w:sz w:val="10"/>
          <w:szCs w:val="10"/>
        </w:rPr>
        <w:t>​</w:t>
      </w:r>
    </w:p>
    <w:p w:rsidR="00000000" w:rsidRDefault="008B747E">
      <w:pPr>
        <w:pStyle w:val="a3"/>
        <w:spacing w:before="0" w:beforeAutospacing="0" w:after="0" w:afterAutospacing="0"/>
        <w:ind w:firstLine="720"/>
        <w:divId w:val="1626227923"/>
        <w:rPr>
          <w:sz w:val="20"/>
          <w:szCs w:val="20"/>
        </w:rPr>
      </w:pPr>
      <w:r>
        <w:rPr>
          <w:sz w:val="20"/>
          <w:szCs w:val="20"/>
        </w:rPr>
        <w:t>In January 2015, the Company and Mylan Ireland L</w:t>
      </w:r>
      <w:r>
        <w:rPr>
          <w:sz w:val="20"/>
          <w:szCs w:val="20"/>
        </w:rPr>
        <w:t>imited (“Mylan”) established a strategic collaboration (the “Mylan Agreement”) for the development and commercialization of revefenacin, including YUPELRI</w:t>
      </w:r>
      <w:r>
        <w:rPr>
          <w:sz w:val="15"/>
          <w:szCs w:val="15"/>
          <w:vertAlign w:val="superscript"/>
        </w:rPr>
        <w:t>®</w:t>
      </w:r>
      <w:r>
        <w:rPr>
          <w:sz w:val="20"/>
          <w:szCs w:val="20"/>
        </w:rPr>
        <w:t xml:space="preserve"> (revefenacin) inhalation solution. The Company entered into the collaboration to expand the breadth </w:t>
      </w:r>
      <w:r>
        <w:rPr>
          <w:sz w:val="20"/>
          <w:szCs w:val="20"/>
        </w:rPr>
        <w:t>of its revefenacin development program and extend its commercial reach beyond the hospital setting.</w:t>
      </w:r>
    </w:p>
    <w:p w:rsidR="00000000" w:rsidRDefault="008B747E">
      <w:pPr>
        <w:pStyle w:val="a3"/>
        <w:spacing w:before="0" w:beforeAutospacing="0" w:after="0" w:afterAutospacing="0"/>
        <w:divId w:val="1626227923"/>
        <w:rPr>
          <w:sz w:val="20"/>
          <w:szCs w:val="20"/>
        </w:rPr>
      </w:pPr>
      <w:r>
        <w:rPr>
          <w:sz w:val="20"/>
          <w:szCs w:val="20"/>
        </w:rPr>
        <w:t>​</w:t>
      </w:r>
    </w:p>
    <w:p w:rsidR="00000000" w:rsidRDefault="008B747E">
      <w:pPr>
        <w:pStyle w:val="a3"/>
        <w:spacing w:before="0" w:beforeAutospacing="0" w:after="0" w:afterAutospacing="0"/>
        <w:ind w:firstLine="720"/>
        <w:divId w:val="1626227923"/>
        <w:rPr>
          <w:sz w:val="20"/>
          <w:szCs w:val="20"/>
        </w:rPr>
      </w:pPr>
      <w:r>
        <w:rPr>
          <w:sz w:val="20"/>
          <w:szCs w:val="20"/>
        </w:rPr>
        <w:t xml:space="preserve">Under the Mylan Agreement, Mylan paid the Company an upfront fee of $15.0 million for the delivery of the revefenacin license in 2015 and, in 2016, Mylan </w:t>
      </w:r>
      <w:r>
        <w:rPr>
          <w:sz w:val="20"/>
          <w:szCs w:val="20"/>
        </w:rPr>
        <w:t>paid the Company a milestone payment $15.0 million for the achievement of 50% enrollment in the Phase 3 twelve-month safety study. Separately, pursuant to an agreement to purchase ordinary shares entered into on January 30, 2015, Mylan Inc., a subsidiary o</w:t>
      </w:r>
      <w:r>
        <w:rPr>
          <w:sz w:val="20"/>
          <w:szCs w:val="20"/>
        </w:rPr>
        <w:t>f Mylan N.V., made a $30.0 million equity investment in the Company, buying 1,585,790 ordinary shares from the Company in February 2015 in a private placement transaction at a price of approximately $18.918 per share, which represented a 10% premium, equal</w:t>
      </w:r>
      <w:r>
        <w:rPr>
          <w:sz w:val="20"/>
          <w:szCs w:val="20"/>
        </w:rPr>
        <w:t xml:space="preserve"> to $4.2 million, over the volume weighted-average price per share of the Company’s ordinary shares for the five trading days ending on January</w:t>
      </w:r>
      <w:r>
        <w:rPr>
          <w:sz w:val="20"/>
          <w:szCs w:val="20"/>
        </w:rPr>
        <w:t> </w:t>
      </w:r>
      <w:r>
        <w:rPr>
          <w:sz w:val="20"/>
          <w:szCs w:val="20"/>
        </w:rPr>
        <w:t>30, 2015.</w:t>
      </w:r>
      <w:r>
        <w:rPr>
          <w:sz w:val="20"/>
          <w:szCs w:val="20"/>
        </w:rPr>
        <w:t xml:space="preserve"> </w:t>
      </w:r>
    </w:p>
    <w:p w:rsidR="00000000" w:rsidRDefault="008B747E">
      <w:pPr>
        <w:pStyle w:val="a3"/>
        <w:spacing w:before="0" w:beforeAutospacing="0" w:after="0" w:afterAutospacing="0"/>
        <w:divId w:val="1626227923"/>
        <w:rPr>
          <w:sz w:val="20"/>
          <w:szCs w:val="20"/>
        </w:rPr>
      </w:pPr>
      <w:r>
        <w:rPr>
          <w:sz w:val="20"/>
          <w:szCs w:val="20"/>
        </w:rPr>
        <w:t>​</w:t>
      </w:r>
    </w:p>
    <w:p w:rsidR="00000000" w:rsidRDefault="008B747E">
      <w:pPr>
        <w:pStyle w:val="a3"/>
        <w:spacing w:before="0" w:beforeAutospacing="0" w:after="0" w:afterAutospacing="0"/>
        <w:ind w:firstLine="720"/>
        <w:divId w:val="1626227923"/>
        <w:rPr>
          <w:sz w:val="20"/>
          <w:szCs w:val="20"/>
        </w:rPr>
      </w:pPr>
      <w:r>
        <w:rPr>
          <w:sz w:val="20"/>
          <w:szCs w:val="20"/>
        </w:rPr>
        <w:t>Under the Mylan Agreement, as of June 30, 2019, the Company is eligible to receive from Mylan poten</w:t>
      </w:r>
      <w:r>
        <w:rPr>
          <w:sz w:val="20"/>
          <w:szCs w:val="20"/>
        </w:rPr>
        <w:t xml:space="preserve">tial global (ex-China and </w:t>
      </w:r>
      <w:r>
        <w:rPr>
          <w:sz w:val="20"/>
          <w:szCs w:val="20"/>
          <w:shd w:val="clear" w:color="auto" w:fill="FFFFFF"/>
        </w:rPr>
        <w:t>adjacent territories)</w:t>
      </w:r>
      <w:r>
        <w:rPr>
          <w:sz w:val="20"/>
          <w:szCs w:val="20"/>
        </w:rPr>
        <w:t xml:space="preserve"> development, regulatory and sales milestone payments totaling up to $205.0 million in the aggregate, with $160.0 million associated with YUPELRI monotherapy, and $45.0 million associated with future potential</w:t>
      </w:r>
      <w:r>
        <w:rPr>
          <w:sz w:val="20"/>
          <w:szCs w:val="20"/>
        </w:rPr>
        <w:t xml:space="preserve"> combination products. Of the $160.0 million associated with monotherapy, $150.0 million relates to sales milestones based on achieving certain levels of net sales and $10.0 million relates to regulatory actions in the EU. The $45.0 million associated with</w:t>
      </w:r>
      <w:r>
        <w:rPr>
          <w:sz w:val="20"/>
          <w:szCs w:val="20"/>
        </w:rPr>
        <w:t xml:space="preserve"> future potential combination products relates solely to development and regulatory actions.</w:t>
      </w:r>
    </w:p>
    <w:p w:rsidR="00000000" w:rsidRDefault="008B747E">
      <w:pPr>
        <w:pStyle w:val="a3"/>
        <w:spacing w:before="0" w:beforeAutospacing="0" w:after="0" w:afterAutospacing="0"/>
        <w:ind w:firstLine="720"/>
        <w:divId w:val="1626227923"/>
        <w:rPr>
          <w:sz w:val="20"/>
          <w:szCs w:val="20"/>
        </w:rPr>
      </w:pPr>
      <w:r>
        <w:rPr>
          <w:sz w:val="20"/>
          <w:szCs w:val="20"/>
        </w:rPr>
        <w:t>​</w:t>
      </w:r>
    </w:p>
    <w:p w:rsidR="00000000" w:rsidRDefault="008B747E">
      <w:pPr>
        <w:pStyle w:val="a3"/>
        <w:spacing w:before="0" w:beforeAutospacing="0" w:after="0" w:afterAutospacing="0"/>
        <w:ind w:firstLine="720"/>
        <w:divId w:val="1626227923"/>
        <w:rPr>
          <w:sz w:val="20"/>
          <w:szCs w:val="20"/>
        </w:rPr>
      </w:pPr>
      <w:r>
        <w:rPr>
          <w:sz w:val="20"/>
          <w:szCs w:val="20"/>
        </w:rPr>
        <w:t>The Mylan Agreement is considered to be within the scope of ASC 808, as the parties are active participants and exposed to the risks and rewards of the collabora</w:t>
      </w:r>
      <w:r>
        <w:rPr>
          <w:sz w:val="20"/>
          <w:szCs w:val="20"/>
        </w:rPr>
        <w:t>tive activity. Under the terms of the Mylan Agreement, Mylan was responsible for reimbursement of the Company’s costs related to the registrational program up until the approval of the first new drug application in November 2018, thereafter, R&amp;D expenses a</w:t>
      </w:r>
      <w:r>
        <w:rPr>
          <w:sz w:val="20"/>
          <w:szCs w:val="20"/>
        </w:rPr>
        <w:t>re shared. Performing R&amp;D services for reimbursement is considered to be a collaborative activity under the scope of ASC 808. Reimbursable program costs are recognized proportionately with the performance of the underlying services and accounted for as red</w:t>
      </w:r>
      <w:r>
        <w:rPr>
          <w:sz w:val="20"/>
          <w:szCs w:val="20"/>
        </w:rPr>
        <w:t>uctions to R&amp;D expense. For this unit of account, the Company did not recognize revenue or analogize to ASC 606 and, as such, the reimbursable program costs are excluded from the transaction price.</w:t>
      </w:r>
    </w:p>
    <w:p w:rsidR="00000000" w:rsidRDefault="008B747E">
      <w:pPr>
        <w:pStyle w:val="a3"/>
        <w:spacing w:before="0" w:beforeAutospacing="0" w:after="0" w:afterAutospacing="0"/>
        <w:divId w:val="1626227923"/>
        <w:rPr>
          <w:sz w:val="20"/>
          <w:szCs w:val="20"/>
        </w:rPr>
      </w:pPr>
      <w:r>
        <w:rPr>
          <w:sz w:val="20"/>
          <w:szCs w:val="20"/>
        </w:rPr>
        <w:t>​</w:t>
      </w:r>
    </w:p>
    <w:p w:rsidR="00000000" w:rsidRDefault="008B747E">
      <w:pPr>
        <w:pStyle w:val="a3"/>
        <w:spacing w:before="0" w:beforeAutospacing="0" w:after="0" w:afterAutospacing="0"/>
        <w:ind w:firstLine="720"/>
        <w:divId w:val="1626227923"/>
        <w:rPr>
          <w:sz w:val="20"/>
          <w:szCs w:val="20"/>
        </w:rPr>
      </w:pPr>
      <w:r>
        <w:rPr>
          <w:sz w:val="20"/>
          <w:szCs w:val="20"/>
        </w:rPr>
        <w:t>The Company analogized to ASC 606 for the accounting for</w:t>
      </w:r>
      <w:r>
        <w:rPr>
          <w:sz w:val="20"/>
          <w:szCs w:val="20"/>
        </w:rPr>
        <w:t xml:space="preserve"> two performance obligations: (1) delivery of the license to develop and commercialize revefenacin; and (2) joint steering committee participation. The Company determined the license to be distinct from the joint steering committee participation. The Compa</w:t>
      </w:r>
      <w:r>
        <w:rPr>
          <w:sz w:val="20"/>
          <w:szCs w:val="20"/>
        </w:rPr>
        <w:t>ny further determined that the transaction price under the arrangement was comprised of the following: (1) $15.0 million upfront license fee received in 2015; (2) $4.2 million premium related to the ordinary share purchase agreement received in 2015; and (</w:t>
      </w:r>
      <w:r>
        <w:rPr>
          <w:sz w:val="20"/>
          <w:szCs w:val="20"/>
        </w:rPr>
        <w:t>3) $15.0 million milestone for 50% enrollment in the Phase 3 twelve-month safety study received in 2016. The total transaction price of $34.2 million was allocated to the two performance obligations based on the Company’s best estimate of the relative stan</w:t>
      </w:r>
      <w:r>
        <w:rPr>
          <w:sz w:val="20"/>
          <w:szCs w:val="20"/>
        </w:rPr>
        <w:t xml:space="preserve">d-alone selling price. For the delivery of the license, the Company based the stand-alone selling price on a discounted cash flow approach and considered several factors including, but not limited to: discount rate, development timeline, regulatory risks, </w:t>
      </w:r>
      <w:r>
        <w:rPr>
          <w:sz w:val="20"/>
          <w:szCs w:val="20"/>
        </w:rPr>
        <w:t>estimated market demand and future revenue potential. For the committee participation, the Company based the stand-alone selling price on the average compensation of its committee members estimated to be incurred over the performance period. The Company ex</w:t>
      </w:r>
      <w:r>
        <w:rPr>
          <w:sz w:val="20"/>
          <w:szCs w:val="20"/>
        </w:rPr>
        <w:t>pects to recognize collaboration revenue from the committee participation ratably over the performance period of approximately seventeen years.</w:t>
      </w:r>
    </w:p>
    <w:p w:rsidR="00000000" w:rsidRDefault="008B747E">
      <w:pPr>
        <w:pStyle w:val="a3"/>
        <w:spacing w:before="0" w:beforeAutospacing="0" w:after="0" w:afterAutospacing="0"/>
        <w:divId w:val="1626227923"/>
        <w:rPr>
          <w:sz w:val="20"/>
          <w:szCs w:val="20"/>
        </w:rPr>
      </w:pPr>
      <w:r>
        <w:rPr>
          <w:sz w:val="20"/>
          <w:szCs w:val="20"/>
        </w:rPr>
        <w:t>​</w:t>
      </w:r>
    </w:p>
    <w:p w:rsidR="00000000" w:rsidRDefault="008B747E">
      <w:pPr>
        <w:pStyle w:val="a3"/>
        <w:spacing w:before="0" w:beforeAutospacing="0" w:after="0" w:afterAutospacing="0"/>
        <w:ind w:firstLine="720"/>
        <w:divId w:val="1626227923"/>
        <w:rPr>
          <w:sz w:val="20"/>
          <w:szCs w:val="20"/>
        </w:rPr>
      </w:pPr>
      <w:r>
        <w:rPr>
          <w:sz w:val="20"/>
          <w:szCs w:val="20"/>
        </w:rPr>
        <w:t>The future potential milestone amounts for</w:t>
      </w:r>
      <w:r>
        <w:rPr>
          <w:color w:val="FF0000"/>
          <w:sz w:val="20"/>
          <w:szCs w:val="20"/>
        </w:rPr>
        <w:t xml:space="preserve"> </w:t>
      </w:r>
      <w:r>
        <w:rPr>
          <w:sz w:val="20"/>
          <w:szCs w:val="20"/>
        </w:rPr>
        <w:t xml:space="preserve">the Mylan Agreement were not included in the transaction price, as they were all determined to be fully constrained following the concepts of ASC 606. As part of the Company’s evaluation of the development and regulatory milestones constraint, the Company </w:t>
      </w:r>
      <w:r>
        <w:rPr>
          <w:sz w:val="20"/>
          <w:szCs w:val="20"/>
        </w:rPr>
        <w:t xml:space="preserve">determined that the achievement of such milestones are contingent upon success in future clinical trials and regulatory approvals which are not within its control and uncertain at this stage. The Company expects that the sales-based milestone payments and </w:t>
      </w:r>
      <w:r>
        <w:rPr>
          <w:sz w:val="20"/>
          <w:szCs w:val="20"/>
        </w:rPr>
        <w:t xml:space="preserve">royalty arrangements will be recognized when the </w:t>
      </w:r>
    </w:p>
    <w:p w:rsidR="00000000" w:rsidRDefault="008B747E">
      <w:pPr>
        <w:pStyle w:val="a3"/>
        <w:spacing w:before="360" w:beforeAutospacing="0" w:after="0" w:afterAutospacing="0"/>
        <w:jc w:val="center"/>
        <w:divId w:val="1993605414"/>
        <w:rPr>
          <w:sz w:val="20"/>
          <w:szCs w:val="20"/>
        </w:rPr>
      </w:pPr>
      <w:r>
        <w:rPr>
          <w:sz w:val="20"/>
          <w:szCs w:val="20"/>
        </w:rPr>
        <w:t>11</w:t>
      </w:r>
    </w:p>
    <w:p w:rsidR="00000000" w:rsidRDefault="008B747E">
      <w:pPr>
        <w:pStyle w:val="a3"/>
        <w:spacing w:before="0" w:beforeAutospacing="0" w:after="600" w:afterAutospacing="0"/>
        <w:divId w:val="1502309495"/>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987055225"/>
        <w:rPr>
          <w:sz w:val="20"/>
          <w:szCs w:val="20"/>
        </w:rPr>
      </w:pPr>
      <w:r>
        <w:rPr>
          <w:sz w:val="20"/>
          <w:szCs w:val="20"/>
        </w:rPr>
        <w:t xml:space="preserve">sales occur or the milestone is achieved. The Company will re-evaluate the transaction price each quarter and as uncertain events are resolved or other changes in circumstances occur. </w:t>
      </w:r>
    </w:p>
    <w:p w:rsidR="00000000" w:rsidRDefault="008B747E">
      <w:pPr>
        <w:pStyle w:val="a3"/>
        <w:spacing w:before="0" w:beforeAutospacing="0" w:after="0" w:afterAutospacing="0"/>
        <w:ind w:firstLine="720"/>
        <w:divId w:val="987055225"/>
        <w:rPr>
          <w:sz w:val="20"/>
          <w:szCs w:val="20"/>
        </w:rPr>
      </w:pPr>
      <w:r>
        <w:rPr>
          <w:sz w:val="20"/>
          <w:szCs w:val="20"/>
        </w:rPr>
        <w:t>​</w:t>
      </w:r>
    </w:p>
    <w:p w:rsidR="00000000" w:rsidRDefault="008B747E">
      <w:pPr>
        <w:pStyle w:val="a3"/>
        <w:spacing w:before="0" w:beforeAutospacing="0" w:after="0" w:afterAutospacing="0"/>
        <w:ind w:firstLine="720"/>
        <w:divId w:val="987055225"/>
        <w:rPr>
          <w:sz w:val="20"/>
          <w:szCs w:val="20"/>
        </w:rPr>
      </w:pPr>
      <w:r>
        <w:rPr>
          <w:sz w:val="20"/>
          <w:szCs w:val="20"/>
        </w:rPr>
        <w:t>As of June 30, 2019, $0.3 million was recorded in deferred revenue on</w:t>
      </w:r>
      <w:r>
        <w:rPr>
          <w:sz w:val="20"/>
          <w:szCs w:val="20"/>
        </w:rPr>
        <w:t xml:space="preserve"> the condensed consolidated balance sheets under the Mylan Agreement. This amount reflects revenue allocated to joint steering committee participation which will be recognized as collaboration revenue over the course of the remaining performance period of </w:t>
      </w:r>
      <w:r>
        <w:rPr>
          <w:sz w:val="20"/>
          <w:szCs w:val="20"/>
        </w:rPr>
        <w:t xml:space="preserve">approximately thirteen years. </w:t>
      </w:r>
    </w:p>
    <w:p w:rsidR="00000000" w:rsidRDefault="008B747E">
      <w:pPr>
        <w:pStyle w:val="a3"/>
        <w:spacing w:before="0" w:beforeAutospacing="0" w:after="0" w:afterAutospacing="0"/>
        <w:divId w:val="987055225"/>
        <w:rPr>
          <w:sz w:val="20"/>
          <w:szCs w:val="20"/>
        </w:rPr>
      </w:pPr>
      <w:r>
        <w:rPr>
          <w:b/>
          <w:bCs/>
          <w:i/>
          <w:iCs/>
          <w:sz w:val="20"/>
          <w:szCs w:val="20"/>
        </w:rPr>
        <w:t>​</w:t>
      </w:r>
    </w:p>
    <w:p w:rsidR="00000000" w:rsidRDefault="008B747E">
      <w:pPr>
        <w:pStyle w:val="a3"/>
        <w:spacing w:before="0" w:beforeAutospacing="0" w:after="0" w:afterAutospacing="0"/>
        <w:ind w:firstLine="720"/>
        <w:divId w:val="987055225"/>
        <w:rPr>
          <w:sz w:val="20"/>
          <w:szCs w:val="20"/>
        </w:rPr>
      </w:pPr>
      <w:r>
        <w:rPr>
          <w:sz w:val="20"/>
          <w:szCs w:val="20"/>
        </w:rPr>
        <w:t>The Company is also entitled to a share of US profits and losses (65% to Mylan; 35% to Theravance Biopharma) received in connection with commercialization of YUPELRI, and the Company is entitled to low double-digit tiered r</w:t>
      </w:r>
      <w:r>
        <w:rPr>
          <w:sz w:val="20"/>
          <w:szCs w:val="20"/>
        </w:rPr>
        <w:t xml:space="preserve">oyalties on ex-US net sales. Mylan is the principal in the sales transactions, and as a result, the Company does not reflect the product sales in its financial statements. </w:t>
      </w:r>
    </w:p>
    <w:p w:rsidR="00000000" w:rsidRDefault="008B747E">
      <w:pPr>
        <w:pStyle w:val="a3"/>
        <w:spacing w:before="0" w:beforeAutospacing="0" w:after="0" w:afterAutospacing="0"/>
        <w:ind w:firstLine="720"/>
        <w:divId w:val="987055225"/>
        <w:rPr>
          <w:sz w:val="20"/>
          <w:szCs w:val="20"/>
        </w:rPr>
      </w:pPr>
      <w:r>
        <w:rPr>
          <w:sz w:val="20"/>
          <w:szCs w:val="20"/>
        </w:rPr>
        <w:t>​</w:t>
      </w:r>
    </w:p>
    <w:p w:rsidR="00000000" w:rsidRDefault="008B747E">
      <w:pPr>
        <w:pStyle w:val="a3"/>
        <w:spacing w:before="0" w:beforeAutospacing="0" w:after="0" w:afterAutospacing="0"/>
        <w:ind w:firstLine="720"/>
        <w:divId w:val="987055225"/>
        <w:rPr>
          <w:sz w:val="20"/>
          <w:szCs w:val="20"/>
        </w:rPr>
      </w:pPr>
      <w:r>
        <w:rPr>
          <w:sz w:val="20"/>
          <w:szCs w:val="20"/>
        </w:rPr>
        <w:t>Following the US Food and Drug Administration (“FDA”) approval of YUPELRI in Nove</w:t>
      </w:r>
      <w:r>
        <w:rPr>
          <w:sz w:val="20"/>
          <w:szCs w:val="20"/>
        </w:rPr>
        <w:t>mber 2018, net amounts payable to or receivable from Mylan each quarter under the profit sharing structure are disaggregated according to their individual components. Any reimbursement received from Mylan for the Company’s R&amp;D expense is characterized as a</w:t>
      </w:r>
      <w:r>
        <w:rPr>
          <w:sz w:val="20"/>
          <w:szCs w:val="20"/>
        </w:rPr>
        <w:t xml:space="preserve"> reduction of R&amp;D expense, as the Company does not consider performing research and development services for reimbursement to be a part of its ongoing major or central operations. If in any reporting period, the arrangement results in a receivable from Myl</w:t>
      </w:r>
      <w:r>
        <w:rPr>
          <w:sz w:val="20"/>
          <w:szCs w:val="20"/>
        </w:rPr>
        <w:t xml:space="preserve">an after the Company’s R&amp;D expenses have been reimbursed, then such a receivable is recognized as profit sharing revenue. If in any reporting period, the arrangement results in a payable to Mylan after the Company’s R&amp;D expenses have been reimbursed, then </w:t>
      </w:r>
      <w:r>
        <w:rPr>
          <w:sz w:val="20"/>
          <w:szCs w:val="20"/>
        </w:rPr>
        <w:t>such payments are recognized as collaboration expenses within operating expenses. The following amounts were recorded in the Company’s condensed consolidated statements of operations.</w:t>
      </w:r>
    </w:p>
    <w:p w:rsidR="00000000" w:rsidRDefault="008B747E">
      <w:pPr>
        <w:pStyle w:val="a3"/>
        <w:spacing w:before="0" w:beforeAutospacing="0" w:after="0" w:afterAutospacing="0"/>
        <w:divId w:val="987055225"/>
        <w:rPr>
          <w:sz w:val="20"/>
          <w:szCs w:val="20"/>
        </w:rPr>
      </w:pPr>
      <w:r>
        <w:rPr>
          <w:sz w:val="20"/>
          <w:szCs w:val="20"/>
        </w:rPr>
        <w:t>​</w:t>
      </w:r>
    </w:p>
    <w:p w:rsidR="00000000" w:rsidRDefault="008B747E">
      <w:pPr>
        <w:pStyle w:val="a3"/>
        <w:spacing w:before="0" w:beforeAutospacing="0" w:after="0" w:afterAutospacing="0"/>
        <w:ind w:firstLine="720"/>
        <w:divId w:val="987055225"/>
        <w:rPr>
          <w:sz w:val="20"/>
          <w:szCs w:val="20"/>
        </w:rPr>
      </w:pPr>
      <w:r>
        <w:rPr>
          <w:sz w:val="20"/>
          <w:szCs w:val="20"/>
        </w:rPr>
        <w:t>Prior to the FDA approval of YUPELRI, the Company recorded its 35% sha</w:t>
      </w:r>
      <w:r>
        <w:rPr>
          <w:sz w:val="20"/>
          <w:szCs w:val="20"/>
        </w:rPr>
        <w:t>re of expenses within R&amp;D expense and selling, general and administrative expense on its condensed consolidated statements of operations. For the three and six months ended June 30, 2018, the arrangement resulted in total collaboration expense of $1.3 mill</w:t>
      </w:r>
      <w:r>
        <w:rPr>
          <w:sz w:val="20"/>
          <w:szCs w:val="20"/>
        </w:rPr>
        <w:t>ion and $1.7 million, respectively.</w:t>
      </w:r>
    </w:p>
    <w:p w:rsidR="00000000" w:rsidRDefault="008B747E">
      <w:pPr>
        <w:pStyle w:val="a3"/>
        <w:spacing w:before="0" w:beforeAutospacing="0" w:after="0" w:afterAutospacing="0"/>
        <w:ind w:firstLine="720"/>
        <w:divId w:val="987055225"/>
        <w:rPr>
          <w:sz w:val="20"/>
          <w:szCs w:val="20"/>
        </w:rPr>
      </w:pPr>
      <w:r>
        <w:rPr>
          <w:sz w:val="20"/>
          <w:szCs w:val="20"/>
        </w:rPr>
        <w:t>​</w:t>
      </w:r>
    </w:p>
    <w:p w:rsidR="00000000" w:rsidRDefault="008B747E">
      <w:pPr>
        <w:pStyle w:val="a3"/>
        <w:spacing w:before="0" w:beforeAutospacing="0" w:after="0" w:afterAutospacing="0"/>
        <w:divId w:val="987055225"/>
        <w:rPr>
          <w:sz w:val="20"/>
          <w:szCs w:val="20"/>
        </w:rPr>
      </w:pPr>
      <w:r>
        <w:rPr>
          <w:b/>
          <w:bCs/>
          <w:i/>
          <w:iCs/>
          <w:sz w:val="20"/>
          <w:szCs w:val="20"/>
        </w:rPr>
        <w:t>Reimbursement of R&amp;D Expense</w:t>
      </w:r>
    </w:p>
    <w:p w:rsidR="00000000" w:rsidRDefault="008B747E">
      <w:pPr>
        <w:pStyle w:val="a3"/>
        <w:spacing w:before="0" w:beforeAutospacing="0" w:after="0" w:afterAutospacing="0"/>
        <w:divId w:val="987055225"/>
        <w:rPr>
          <w:sz w:val="20"/>
          <w:szCs w:val="20"/>
        </w:rPr>
      </w:pPr>
      <w:r>
        <w:rPr>
          <w:sz w:val="10"/>
          <w:szCs w:val="10"/>
        </w:rPr>
        <w:t>​</w:t>
      </w:r>
    </w:p>
    <w:p w:rsidR="00000000" w:rsidRDefault="008B747E">
      <w:pPr>
        <w:pStyle w:val="a3"/>
        <w:spacing w:before="0" w:beforeAutospacing="0" w:after="0" w:afterAutospacing="0"/>
        <w:ind w:firstLine="720"/>
        <w:divId w:val="987055225"/>
        <w:rPr>
          <w:sz w:val="20"/>
          <w:szCs w:val="20"/>
        </w:rPr>
      </w:pPr>
      <w:r>
        <w:rPr>
          <w:sz w:val="20"/>
          <w:szCs w:val="20"/>
        </w:rPr>
        <w:t>Under certain collaborative arrangements, the Company is entitled to reimbursement of certain R&amp;D expenses. Activities under collaborative arrangements for which the Company is entitled t</w:t>
      </w:r>
      <w:r>
        <w:rPr>
          <w:sz w:val="20"/>
          <w:szCs w:val="20"/>
        </w:rPr>
        <w:t>o reimbursement are considered to be collaborative activities under the scope of ASC 808. For these units of account, the Company does not analogize to ASC 606 or recognize revenue. The Company records reimbursement payments received from its collaboration</w:t>
      </w:r>
      <w:r>
        <w:rPr>
          <w:sz w:val="20"/>
          <w:szCs w:val="20"/>
        </w:rPr>
        <w:t xml:space="preserve"> partners as reductions to R&amp;D expense.</w:t>
      </w:r>
    </w:p>
    <w:p w:rsidR="00000000" w:rsidRDefault="008B747E">
      <w:pPr>
        <w:pStyle w:val="a3"/>
        <w:spacing w:before="0" w:beforeAutospacing="0" w:after="0" w:afterAutospacing="0"/>
        <w:divId w:val="987055225"/>
        <w:rPr>
          <w:sz w:val="20"/>
          <w:szCs w:val="20"/>
        </w:rPr>
      </w:pPr>
      <w:r>
        <w:rPr>
          <w:sz w:val="20"/>
          <w:szCs w:val="20"/>
        </w:rPr>
        <w:t>​</w:t>
      </w:r>
    </w:p>
    <w:p w:rsidR="00000000" w:rsidRDefault="008B747E">
      <w:pPr>
        <w:pStyle w:val="a3"/>
        <w:spacing w:before="0" w:beforeAutospacing="0" w:after="0" w:afterAutospacing="0"/>
        <w:ind w:firstLine="720"/>
        <w:divId w:val="987055225"/>
        <w:rPr>
          <w:sz w:val="20"/>
          <w:szCs w:val="20"/>
        </w:rPr>
      </w:pPr>
      <w:r>
        <w:rPr>
          <w:sz w:val="20"/>
          <w:szCs w:val="20"/>
        </w:rPr>
        <w:t>The following table summarizes the reductions to R&amp;D expense related to the reimbursement payments:</w:t>
      </w:r>
    </w:p>
    <w:p w:rsidR="00000000" w:rsidRDefault="008B747E">
      <w:pPr>
        <w:pStyle w:val="a3"/>
        <w:spacing w:before="0" w:beforeAutospacing="0" w:after="0" w:afterAutospacing="0"/>
        <w:ind w:firstLine="720"/>
        <w:divId w:val="987055225"/>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4650"/>
        <w:gridCol w:w="160"/>
        <w:gridCol w:w="138"/>
        <w:gridCol w:w="573"/>
        <w:gridCol w:w="160"/>
        <w:gridCol w:w="138"/>
        <w:gridCol w:w="577"/>
        <w:gridCol w:w="160"/>
        <w:gridCol w:w="139"/>
        <w:gridCol w:w="574"/>
        <w:gridCol w:w="160"/>
        <w:gridCol w:w="139"/>
        <w:gridCol w:w="578"/>
        <w:gridCol w:w="160"/>
      </w:tblGrid>
      <w:tr w:rsidR="00000000">
        <w:trPr>
          <w:divId w:val="987055225"/>
          <w:trHeight w:val="20"/>
        </w:trPr>
        <w:tc>
          <w:tcPr>
            <w:tcW w:w="2802" w:type="pct"/>
            <w:tcMar>
              <w:top w:w="0" w:type="dxa"/>
              <w:left w:w="0" w:type="dxa"/>
              <w:bottom w:w="0" w:type="dxa"/>
              <w:right w:w="0" w:type="dxa"/>
            </w:tcMar>
            <w:vAlign w:val="bottom"/>
            <w:hideMark/>
          </w:tcPr>
          <w:p w:rsidR="00000000" w:rsidRDefault="008B747E">
            <w:pPr>
              <w:pStyle w:val="a3"/>
              <w:spacing w:before="0" w:beforeAutospacing="0" w:after="0" w:afterAutospacing="0"/>
              <w:divId w:val="1033113371"/>
              <w:rPr>
                <w:sz w:val="20"/>
                <w:szCs w:val="20"/>
              </w:rPr>
            </w:pPr>
            <w:r>
              <w:rPr>
                <w:sz w:val="2"/>
                <w:szCs w:val="2"/>
              </w:rPr>
              <w:t>​</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318142973"/>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759398390"/>
              <w:rPr>
                <w:sz w:val="20"/>
                <w:szCs w:val="20"/>
              </w:rPr>
            </w:pPr>
            <w:r>
              <w:rPr>
                <w:sz w:val="2"/>
                <w:szCs w:val="2"/>
              </w:rPr>
              <w:t>​</w:t>
            </w:r>
          </w:p>
        </w:tc>
        <w:tc>
          <w:tcPr>
            <w:tcW w:w="350" w:type="pct"/>
            <w:noWrap/>
            <w:tcMar>
              <w:top w:w="0" w:type="dxa"/>
              <w:left w:w="0" w:type="dxa"/>
              <w:bottom w:w="0" w:type="dxa"/>
              <w:right w:w="0" w:type="dxa"/>
            </w:tcMar>
            <w:vAlign w:val="center"/>
            <w:hideMark/>
          </w:tcPr>
          <w:p w:rsidR="00000000" w:rsidRDefault="008B747E">
            <w:pPr>
              <w:pStyle w:val="a3"/>
              <w:spacing w:before="0" w:beforeAutospacing="0" w:after="0" w:afterAutospacing="0"/>
              <w:divId w:val="124349076"/>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570307388"/>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57758932"/>
              <w:rPr>
                <w:sz w:val="20"/>
                <w:szCs w:val="20"/>
              </w:rPr>
            </w:pPr>
            <w:r>
              <w:rPr>
                <w:sz w:val="2"/>
                <w:szCs w:val="2"/>
              </w:rPr>
              <w:t>​</w:t>
            </w:r>
          </w:p>
        </w:tc>
        <w:tc>
          <w:tcPr>
            <w:tcW w:w="350" w:type="pct"/>
            <w:noWrap/>
            <w:tcMar>
              <w:top w:w="0" w:type="dxa"/>
              <w:left w:w="0" w:type="dxa"/>
              <w:bottom w:w="0" w:type="dxa"/>
              <w:right w:w="0" w:type="dxa"/>
            </w:tcMar>
            <w:vAlign w:val="center"/>
            <w:hideMark/>
          </w:tcPr>
          <w:p w:rsidR="00000000" w:rsidRDefault="008B747E">
            <w:pPr>
              <w:pStyle w:val="a3"/>
              <w:spacing w:before="0" w:beforeAutospacing="0" w:after="0" w:afterAutospacing="0"/>
              <w:divId w:val="535771485"/>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454102633"/>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99380826"/>
              <w:rPr>
                <w:sz w:val="20"/>
                <w:szCs w:val="20"/>
              </w:rPr>
            </w:pPr>
            <w:r>
              <w:rPr>
                <w:sz w:val="2"/>
                <w:szCs w:val="2"/>
              </w:rPr>
              <w:t>​</w:t>
            </w:r>
          </w:p>
        </w:tc>
        <w:tc>
          <w:tcPr>
            <w:tcW w:w="350" w:type="pct"/>
            <w:noWrap/>
            <w:tcMar>
              <w:top w:w="0" w:type="dxa"/>
              <w:left w:w="0" w:type="dxa"/>
              <w:bottom w:w="0" w:type="dxa"/>
              <w:right w:w="0" w:type="dxa"/>
            </w:tcMar>
            <w:vAlign w:val="center"/>
            <w:hideMark/>
          </w:tcPr>
          <w:p w:rsidR="00000000" w:rsidRDefault="008B747E">
            <w:pPr>
              <w:pStyle w:val="a3"/>
              <w:spacing w:before="0" w:beforeAutospacing="0" w:after="0" w:afterAutospacing="0"/>
              <w:divId w:val="1014770887"/>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505755164"/>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599794950"/>
              <w:rPr>
                <w:sz w:val="20"/>
                <w:szCs w:val="20"/>
              </w:rPr>
            </w:pPr>
            <w:r>
              <w:rPr>
                <w:sz w:val="2"/>
                <w:szCs w:val="2"/>
              </w:rPr>
              <w:t>​</w:t>
            </w:r>
          </w:p>
        </w:tc>
        <w:tc>
          <w:tcPr>
            <w:tcW w:w="350" w:type="pct"/>
            <w:noWrap/>
            <w:tcMar>
              <w:top w:w="0" w:type="dxa"/>
              <w:left w:w="0" w:type="dxa"/>
              <w:bottom w:w="0" w:type="dxa"/>
              <w:right w:w="0" w:type="dxa"/>
            </w:tcMar>
            <w:vAlign w:val="center"/>
            <w:hideMark/>
          </w:tcPr>
          <w:p w:rsidR="00000000" w:rsidRDefault="008B747E">
            <w:pPr>
              <w:pStyle w:val="a3"/>
              <w:spacing w:before="0" w:beforeAutospacing="0" w:after="0" w:afterAutospacing="0"/>
              <w:divId w:val="1152718370"/>
              <w:rPr>
                <w:sz w:val="20"/>
                <w:szCs w:val="20"/>
              </w:rPr>
            </w:pPr>
            <w:r>
              <w:rPr>
                <w:sz w:val="2"/>
                <w:szCs w:val="2"/>
              </w:rPr>
              <w:t>​</w:t>
            </w:r>
          </w:p>
        </w:tc>
        <w:tc>
          <w:tcPr>
            <w:tcW w:w="85"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323554708"/>
              <w:rPr>
                <w:sz w:val="20"/>
                <w:szCs w:val="20"/>
              </w:rPr>
            </w:pPr>
            <w:r>
              <w:rPr>
                <w:sz w:val="2"/>
                <w:szCs w:val="2"/>
              </w:rPr>
              <w:t>​</w:t>
            </w:r>
          </w:p>
        </w:tc>
      </w:tr>
      <w:tr w:rsidR="00000000">
        <w:trPr>
          <w:divId w:val="987055225"/>
        </w:trPr>
        <w:tc>
          <w:tcPr>
            <w:tcW w:w="2802"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8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66" w:type="pct"/>
            <w:gridSpan w:val="5"/>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Three Months Ended </w:t>
            </w:r>
          </w:p>
        </w:tc>
        <w:tc>
          <w:tcPr>
            <w:tcW w:w="8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66" w:type="pct"/>
            <w:gridSpan w:val="5"/>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Six Months Ended </w:t>
            </w:r>
          </w:p>
        </w:tc>
        <w:tc>
          <w:tcPr>
            <w:tcW w:w="85"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r>
      <w:tr w:rsidR="00000000">
        <w:trPr>
          <w:divId w:val="987055225"/>
        </w:trPr>
        <w:tc>
          <w:tcPr>
            <w:tcW w:w="2802"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8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66" w:type="pct"/>
            <w:gridSpan w:val="5"/>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8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66" w:type="pct"/>
            <w:gridSpan w:val="5"/>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w:t>
            </w:r>
            <w:r>
              <w:rPr>
                <w:b/>
                <w:bCs/>
                <w:sz w:val="16"/>
                <w:szCs w:val="16"/>
              </w:rPr>
              <w:t>30, </w:t>
            </w:r>
          </w:p>
        </w:tc>
        <w:tc>
          <w:tcPr>
            <w:tcW w:w="85"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r>
      <w:tr w:rsidR="00000000">
        <w:trPr>
          <w:divId w:val="987055225"/>
        </w:trPr>
        <w:tc>
          <w:tcPr>
            <w:tcW w:w="2802" w:type="pct"/>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(In thousands)</w:t>
            </w:r>
          </w:p>
        </w:tc>
        <w:tc>
          <w:tcPr>
            <w:tcW w:w="8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8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8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8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85"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r>
      <w:tr w:rsidR="00000000">
        <w:trPr>
          <w:divId w:val="987055225"/>
        </w:trPr>
        <w:tc>
          <w:tcPr>
            <w:tcW w:w="2802"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Janssen</w:t>
            </w:r>
          </w:p>
        </w:tc>
        <w:tc>
          <w:tcPr>
            <w:tcW w:w="8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784</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2,195</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w:t>
            </w:r>
          </w:p>
        </w:tc>
        <w:tc>
          <w:tcPr>
            <w:tcW w:w="8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r>
      <w:tr w:rsidR="00000000">
        <w:trPr>
          <w:divId w:val="987055225"/>
        </w:trPr>
        <w:tc>
          <w:tcPr>
            <w:tcW w:w="2802"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Mylan</w:t>
            </w:r>
          </w:p>
        </w:tc>
        <w:tc>
          <w:tcPr>
            <w:tcW w:w="8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tcBorders>
              <w:bottom w:val="single" w:sz="6" w:space="0" w:color="000000"/>
            </w:tcBorders>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31</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tcBorders>
              <w:bottom w:val="single" w:sz="6" w:space="0" w:color="000000"/>
            </w:tcBorders>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1,395</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tcBorders>
              <w:bottom w:val="single" w:sz="6" w:space="0" w:color="000000"/>
            </w:tcBorders>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234</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tcBorders>
              <w:bottom w:val="single" w:sz="6" w:space="0" w:color="000000"/>
            </w:tcBorders>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3,245</w:t>
            </w:r>
          </w:p>
        </w:tc>
        <w:tc>
          <w:tcPr>
            <w:tcW w:w="8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r>
      <w:tr w:rsidR="00000000">
        <w:trPr>
          <w:divId w:val="987055225"/>
        </w:trPr>
        <w:tc>
          <w:tcPr>
            <w:tcW w:w="2802"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Total reduction to R&amp;D expense</w:t>
            </w:r>
          </w:p>
        </w:tc>
        <w:tc>
          <w:tcPr>
            <w:tcW w:w="8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815</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1,395</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2,429</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3,245</w:t>
            </w:r>
          </w:p>
        </w:tc>
        <w:tc>
          <w:tcPr>
            <w:tcW w:w="8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bl>
    <w:p w:rsidR="00000000" w:rsidRDefault="008B747E">
      <w:pPr>
        <w:pStyle w:val="a3"/>
        <w:spacing w:before="0" w:beforeAutospacing="0" w:after="0" w:afterAutospacing="0"/>
        <w:divId w:val="987055225"/>
        <w:rPr>
          <w:sz w:val="20"/>
          <w:szCs w:val="20"/>
        </w:rPr>
      </w:pPr>
      <w:r>
        <w:rPr>
          <w:sz w:val="20"/>
          <w:szCs w:val="20"/>
        </w:rPr>
        <w:t>​</w:t>
      </w:r>
    </w:p>
    <w:p w:rsidR="00000000" w:rsidRDefault="008B747E">
      <w:pPr>
        <w:pStyle w:val="a3"/>
        <w:spacing w:before="0" w:beforeAutospacing="0" w:after="0" w:afterAutospacing="0"/>
        <w:divId w:val="987055225"/>
        <w:rPr>
          <w:sz w:val="20"/>
          <w:szCs w:val="20"/>
        </w:rPr>
      </w:pPr>
      <w:r>
        <w:rPr>
          <w:b/>
          <w:bCs/>
          <w:i/>
          <w:iCs/>
          <w:sz w:val="20"/>
          <w:szCs w:val="20"/>
        </w:rPr>
        <w:t>Revenue from Licensing Arrangements</w:t>
      </w:r>
    </w:p>
    <w:p w:rsidR="00000000" w:rsidRDefault="008B747E">
      <w:pPr>
        <w:pStyle w:val="a3"/>
        <w:spacing w:before="0" w:beforeAutospacing="0" w:after="0" w:afterAutospacing="0"/>
        <w:divId w:val="987055225"/>
        <w:rPr>
          <w:sz w:val="20"/>
          <w:szCs w:val="20"/>
        </w:rPr>
      </w:pPr>
      <w:r>
        <w:rPr>
          <w:b/>
          <w:bCs/>
          <w:i/>
          <w:iCs/>
          <w:sz w:val="10"/>
          <w:szCs w:val="10"/>
        </w:rPr>
        <w:t>​</w:t>
      </w:r>
    </w:p>
    <w:p w:rsidR="00000000" w:rsidRDefault="008B747E">
      <w:pPr>
        <w:pStyle w:val="a3"/>
        <w:spacing w:before="0" w:beforeAutospacing="0" w:after="0" w:afterAutospacing="0"/>
        <w:ind w:firstLine="720"/>
        <w:divId w:val="987055225"/>
        <w:rPr>
          <w:sz w:val="20"/>
          <w:szCs w:val="20"/>
        </w:rPr>
      </w:pPr>
      <w:r>
        <w:rPr>
          <w:sz w:val="20"/>
          <w:szCs w:val="20"/>
          <w:shd w:val="clear" w:color="auto" w:fill="FFFFFF"/>
        </w:rPr>
        <w:t>In June 2019, the Company announced the expansion of the Mylan Agreement (the “Mylan Amendment”) to grant Mylan exclusive development and commercialization rights to nebulized revefenacin in China and adjacent territor</w:t>
      </w:r>
      <w:r>
        <w:rPr>
          <w:sz w:val="20"/>
          <w:szCs w:val="20"/>
          <w:shd w:val="clear" w:color="auto" w:fill="FFFFFF"/>
        </w:rPr>
        <w:t>ies. In exchange, the Company received an upfront payment of $18.5 million (before a required tax withholding) and will be eligible to receive potential development and sales milestones totaling $54.0 million together with low double-digit tiered royalties</w:t>
      </w:r>
      <w:r>
        <w:rPr>
          <w:sz w:val="20"/>
          <w:szCs w:val="20"/>
          <w:shd w:val="clear" w:color="auto" w:fill="FFFFFF"/>
        </w:rPr>
        <w:t xml:space="preserve"> on net sales of nebulized revefenacin, if approved. Of the $54.0 million in potential milestones, $9.0 million is associated with the development of </w:t>
      </w:r>
      <w:r>
        <w:rPr>
          <w:sz w:val="20"/>
          <w:szCs w:val="20"/>
        </w:rPr>
        <w:t>YUPELRI monotherapy, $7.5 million associated with the development of future potential combination products</w:t>
      </w:r>
      <w:r>
        <w:rPr>
          <w:sz w:val="20"/>
          <w:szCs w:val="20"/>
        </w:rPr>
        <w:t xml:space="preserve">, and </w:t>
      </w:r>
      <w:r>
        <w:rPr>
          <w:sz w:val="20"/>
          <w:szCs w:val="20"/>
          <w:shd w:val="clear" w:color="auto" w:fill="FFFFFF"/>
        </w:rPr>
        <w:t xml:space="preserve">$37.5 million is associated with sales milestones. Mylan will be responsible for all aspects of development and commercialization in the partnered regions, including pre- and post-launch activities and product registration and all associated costs. </w:t>
      </w:r>
    </w:p>
    <w:p w:rsidR="00000000" w:rsidRDefault="008B747E">
      <w:pPr>
        <w:pStyle w:val="a3"/>
        <w:spacing w:before="0" w:beforeAutospacing="0" w:after="0" w:afterAutospacing="0"/>
        <w:divId w:val="987055225"/>
        <w:rPr>
          <w:sz w:val="20"/>
          <w:szCs w:val="20"/>
        </w:rPr>
      </w:pPr>
      <w:r>
        <w:rPr>
          <w:sz w:val="20"/>
          <w:szCs w:val="20"/>
        </w:rPr>
        <w:t>​</w:t>
      </w:r>
    </w:p>
    <w:p w:rsidR="00000000" w:rsidRDefault="008B747E">
      <w:pPr>
        <w:pStyle w:val="a3"/>
        <w:spacing w:before="360" w:beforeAutospacing="0" w:after="0" w:afterAutospacing="0"/>
        <w:jc w:val="center"/>
        <w:divId w:val="1994334839"/>
        <w:rPr>
          <w:sz w:val="20"/>
          <w:szCs w:val="20"/>
        </w:rPr>
      </w:pPr>
      <w:r>
        <w:rPr>
          <w:sz w:val="20"/>
          <w:szCs w:val="20"/>
        </w:rPr>
        <w:t>12</w:t>
      </w:r>
    </w:p>
    <w:p w:rsidR="00000000" w:rsidRDefault="008B747E">
      <w:pPr>
        <w:pStyle w:val="a3"/>
        <w:spacing w:before="0" w:beforeAutospacing="0" w:after="600" w:afterAutospacing="0"/>
        <w:divId w:val="1935745703"/>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ind w:firstLine="720"/>
        <w:divId w:val="1791515517"/>
        <w:rPr>
          <w:sz w:val="20"/>
          <w:szCs w:val="20"/>
        </w:rPr>
      </w:pPr>
      <w:r>
        <w:rPr>
          <w:sz w:val="20"/>
          <w:szCs w:val="20"/>
          <w:shd w:val="clear" w:color="auto" w:fill="FFFFFF"/>
        </w:rPr>
        <w:t>The Mylan Amendment is accounted for under ASC 606 as a separate contract from the original Mylan Agreement. The Company identified a</w:t>
      </w:r>
      <w:r>
        <w:rPr>
          <w:sz w:val="20"/>
          <w:szCs w:val="20"/>
        </w:rPr>
        <w:t xml:space="preserve"> single performance obligation comprising of the delivery of the license t</w:t>
      </w:r>
      <w:r>
        <w:rPr>
          <w:sz w:val="20"/>
          <w:szCs w:val="20"/>
        </w:rPr>
        <w:t>o develop and commercialize revefenacin in China and adjacent territories. The transaction price was determined to be the upfront payable of $18.5 million</w:t>
      </w:r>
      <w:r>
        <w:rPr>
          <w:sz w:val="20"/>
          <w:szCs w:val="20"/>
          <w:shd w:val="clear" w:color="auto" w:fill="FFFFFF"/>
        </w:rPr>
        <w:t xml:space="preserve"> </w:t>
      </w:r>
      <w:r>
        <w:rPr>
          <w:sz w:val="20"/>
          <w:szCs w:val="20"/>
        </w:rPr>
        <w:t>which the Company recognized as licensing revenue following the completion of the performance obligat</w:t>
      </w:r>
      <w:r>
        <w:rPr>
          <w:sz w:val="20"/>
          <w:szCs w:val="20"/>
        </w:rPr>
        <w:t xml:space="preserve">ion in June 2019. </w:t>
      </w:r>
    </w:p>
    <w:p w:rsidR="00000000" w:rsidRDefault="008B747E">
      <w:pPr>
        <w:pStyle w:val="a3"/>
        <w:spacing w:before="0" w:beforeAutospacing="0" w:after="0" w:afterAutospacing="0"/>
        <w:ind w:firstLine="720"/>
        <w:divId w:val="1791515517"/>
        <w:rPr>
          <w:sz w:val="20"/>
          <w:szCs w:val="20"/>
        </w:rPr>
      </w:pPr>
      <w:r>
        <w:rPr>
          <w:sz w:val="20"/>
          <w:szCs w:val="20"/>
        </w:rPr>
        <w:t>​</w:t>
      </w:r>
    </w:p>
    <w:p w:rsidR="00000000" w:rsidRDefault="008B747E">
      <w:pPr>
        <w:pStyle w:val="a3"/>
        <w:spacing w:before="0" w:beforeAutospacing="0" w:after="0" w:afterAutospacing="0"/>
        <w:ind w:firstLine="720"/>
        <w:divId w:val="1791515517"/>
        <w:rPr>
          <w:sz w:val="20"/>
          <w:szCs w:val="20"/>
        </w:rPr>
      </w:pPr>
      <w:r>
        <w:rPr>
          <w:sz w:val="20"/>
          <w:szCs w:val="20"/>
        </w:rPr>
        <w:t>The future potential milestone amounts for</w:t>
      </w:r>
      <w:r>
        <w:rPr>
          <w:color w:val="FF0000"/>
          <w:sz w:val="20"/>
          <w:szCs w:val="20"/>
        </w:rPr>
        <w:t xml:space="preserve"> </w:t>
      </w:r>
      <w:r>
        <w:rPr>
          <w:sz w:val="20"/>
          <w:szCs w:val="20"/>
        </w:rPr>
        <w:t>the Mylan Amendment were not included in the transaction price, as they were all determined to be fully constrained following the concepts of ASC 606. As part of the Company’s evaluation of th</w:t>
      </w:r>
      <w:r>
        <w:rPr>
          <w:sz w:val="20"/>
          <w:szCs w:val="20"/>
        </w:rPr>
        <w:t>e development milestones constraint, the Company determined that the achievement of such milestones is contingent upon success in future clinical trials and regulatory approvals which are not within its control and uncertain at this stage. The Company expe</w:t>
      </w:r>
      <w:r>
        <w:rPr>
          <w:sz w:val="20"/>
          <w:szCs w:val="20"/>
        </w:rPr>
        <w:t>cts that the sales-based milestone payments and royalty arrangements will be recognized when the sales occur, or the milestone is achieved. The Company will re-evaluate the transaction price each quarter and as uncertain events are resolved or other change</w:t>
      </w:r>
      <w:r>
        <w:rPr>
          <w:sz w:val="20"/>
          <w:szCs w:val="20"/>
        </w:rPr>
        <w:t xml:space="preserve">s in circumstances occur. </w:t>
      </w:r>
    </w:p>
    <w:p w:rsidR="00000000" w:rsidRDefault="008B747E">
      <w:pPr>
        <w:pStyle w:val="a3"/>
        <w:spacing w:before="0" w:beforeAutospacing="0" w:after="0" w:afterAutospacing="0"/>
        <w:divId w:val="1791515517"/>
        <w:rPr>
          <w:sz w:val="20"/>
          <w:szCs w:val="20"/>
        </w:rPr>
      </w:pPr>
      <w:r>
        <w:rPr>
          <w:sz w:val="2"/>
          <w:szCs w:val="2"/>
        </w:rPr>
        <w:t>​</w:t>
      </w:r>
    </w:p>
    <w:p w:rsidR="00000000" w:rsidRDefault="008B747E">
      <w:pPr>
        <w:pStyle w:val="a3"/>
        <w:spacing w:before="0" w:beforeAutospacing="0" w:after="0" w:afterAutospacing="0"/>
        <w:divId w:val="1791515517"/>
        <w:rPr>
          <w:sz w:val="20"/>
          <w:szCs w:val="20"/>
        </w:rPr>
      </w:pPr>
      <w:r>
        <w:rPr>
          <w:sz w:val="20"/>
          <w:szCs w:val="20"/>
        </w:rPr>
        <w:t>​</w:t>
      </w:r>
    </w:p>
    <w:p w:rsidR="00000000" w:rsidRDefault="008B747E">
      <w:pPr>
        <w:pStyle w:val="a3"/>
        <w:spacing w:before="0" w:beforeAutospacing="0" w:after="0" w:afterAutospacing="0"/>
        <w:divId w:val="1791515517"/>
        <w:rPr>
          <w:sz w:val="20"/>
          <w:szCs w:val="20"/>
        </w:rPr>
      </w:pPr>
      <w:r>
        <w:rPr>
          <w:b/>
          <w:bCs/>
          <w:sz w:val="20"/>
          <w:szCs w:val="20"/>
        </w:rPr>
        <w:t>4. Cash, Cash Equivalents, and Restricted Cash</w:t>
      </w:r>
    </w:p>
    <w:p w:rsidR="00000000" w:rsidRDefault="008B747E">
      <w:pPr>
        <w:pStyle w:val="a3"/>
        <w:spacing w:before="0" w:beforeAutospacing="0" w:after="0" w:afterAutospacing="0"/>
        <w:divId w:val="1791515517"/>
        <w:rPr>
          <w:sz w:val="20"/>
          <w:szCs w:val="20"/>
        </w:rPr>
      </w:pPr>
      <w:r>
        <w:rPr>
          <w:b/>
          <w:bCs/>
          <w:sz w:val="10"/>
          <w:szCs w:val="10"/>
        </w:rPr>
        <w:t>​</w:t>
      </w:r>
    </w:p>
    <w:p w:rsidR="00000000" w:rsidRDefault="008B747E">
      <w:pPr>
        <w:pStyle w:val="a3"/>
        <w:spacing w:before="0" w:beforeAutospacing="0" w:after="0" w:afterAutospacing="0"/>
        <w:ind w:firstLine="720"/>
        <w:divId w:val="1791515517"/>
        <w:rPr>
          <w:sz w:val="20"/>
          <w:szCs w:val="20"/>
        </w:rPr>
      </w:pPr>
      <w:r>
        <w:rPr>
          <w:sz w:val="20"/>
          <w:szCs w:val="20"/>
        </w:rPr>
        <w:t>The following table provides a reconciliation of cash, cash equivalents, and restricted cash reported within the condensed consolidated balance sheets that sum to the total of the same such amount shown on the condensed consolidated statements of cash flow</w:t>
      </w:r>
      <w:r>
        <w:rPr>
          <w:sz w:val="20"/>
          <w:szCs w:val="20"/>
        </w:rPr>
        <w:t>s.</w:t>
      </w:r>
    </w:p>
    <w:p w:rsidR="00000000" w:rsidRDefault="008B747E">
      <w:pPr>
        <w:pStyle w:val="a3"/>
        <w:spacing w:before="0" w:beforeAutospacing="0" w:after="0" w:afterAutospacing="0"/>
        <w:divId w:val="1791515517"/>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5899"/>
        <w:gridCol w:w="186"/>
        <w:gridCol w:w="186"/>
        <w:gridCol w:w="738"/>
        <w:gridCol w:w="186"/>
        <w:gridCol w:w="186"/>
        <w:gridCol w:w="739"/>
        <w:gridCol w:w="186"/>
      </w:tblGrid>
      <w:tr w:rsidR="00000000">
        <w:trPr>
          <w:divId w:val="1791515517"/>
          <w:trHeight w:val="20"/>
        </w:trPr>
        <w:tc>
          <w:tcPr>
            <w:tcW w:w="3550" w:type="pct"/>
            <w:tcMar>
              <w:top w:w="0" w:type="dxa"/>
              <w:left w:w="0" w:type="dxa"/>
              <w:bottom w:w="0" w:type="dxa"/>
              <w:right w:w="0" w:type="dxa"/>
            </w:tcMar>
            <w:vAlign w:val="center"/>
            <w:hideMark/>
          </w:tcPr>
          <w:p w:rsidR="00000000" w:rsidRDefault="008B747E">
            <w:pPr>
              <w:pStyle w:val="a3"/>
              <w:spacing w:before="0" w:beforeAutospacing="0" w:after="0" w:afterAutospacing="0"/>
              <w:divId w:val="99762943"/>
              <w:rPr>
                <w:sz w:val="20"/>
                <w:szCs w:val="20"/>
              </w:rPr>
            </w:pPr>
            <w:r>
              <w:rPr>
                <w:sz w:val="2"/>
                <w:szCs w:val="2"/>
              </w:rPr>
              <w:t>​</w:t>
            </w:r>
          </w:p>
        </w:tc>
        <w:tc>
          <w:tcPr>
            <w:tcW w:w="112" w:type="pct"/>
            <w:tcMar>
              <w:top w:w="0" w:type="dxa"/>
              <w:left w:w="0" w:type="dxa"/>
              <w:bottom w:w="0" w:type="dxa"/>
              <w:right w:w="0" w:type="dxa"/>
            </w:tcMar>
            <w:vAlign w:val="center"/>
            <w:hideMark/>
          </w:tcPr>
          <w:p w:rsidR="00000000" w:rsidRDefault="008B747E">
            <w:pPr>
              <w:pStyle w:val="a3"/>
              <w:spacing w:before="0" w:beforeAutospacing="0" w:after="0" w:afterAutospacing="0"/>
              <w:divId w:val="1346444737"/>
              <w:rPr>
                <w:sz w:val="20"/>
                <w:szCs w:val="20"/>
              </w:rPr>
            </w:pPr>
            <w:r>
              <w:rPr>
                <w:sz w:val="2"/>
                <w:szCs w:val="2"/>
              </w:rPr>
              <w:t>​</w:t>
            </w:r>
          </w:p>
        </w:tc>
        <w:tc>
          <w:tcPr>
            <w:tcW w:w="112" w:type="pct"/>
            <w:tcMar>
              <w:top w:w="0" w:type="dxa"/>
              <w:left w:w="0" w:type="dxa"/>
              <w:bottom w:w="0" w:type="dxa"/>
              <w:right w:w="0" w:type="dxa"/>
            </w:tcMar>
            <w:vAlign w:val="center"/>
            <w:hideMark/>
          </w:tcPr>
          <w:p w:rsidR="00000000" w:rsidRDefault="008B747E">
            <w:pPr>
              <w:pStyle w:val="a3"/>
              <w:spacing w:before="0" w:beforeAutospacing="0" w:after="0" w:afterAutospacing="0"/>
              <w:divId w:val="1544714731"/>
              <w:rPr>
                <w:sz w:val="20"/>
                <w:szCs w:val="20"/>
              </w:rPr>
            </w:pPr>
            <w:r>
              <w:rPr>
                <w:sz w:val="2"/>
                <w:szCs w:val="2"/>
              </w:rPr>
              <w:t>​</w:t>
            </w:r>
          </w:p>
        </w:tc>
        <w:tc>
          <w:tcPr>
            <w:tcW w:w="443" w:type="pct"/>
            <w:noWrap/>
            <w:tcMar>
              <w:top w:w="0" w:type="dxa"/>
              <w:left w:w="0" w:type="dxa"/>
              <w:bottom w:w="0" w:type="dxa"/>
              <w:right w:w="0" w:type="dxa"/>
            </w:tcMar>
            <w:vAlign w:val="center"/>
            <w:hideMark/>
          </w:tcPr>
          <w:p w:rsidR="00000000" w:rsidRDefault="008B747E">
            <w:pPr>
              <w:pStyle w:val="a3"/>
              <w:spacing w:before="0" w:beforeAutospacing="0" w:after="0" w:afterAutospacing="0"/>
              <w:divId w:val="96410722"/>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342706139"/>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3207824"/>
              <w:rPr>
                <w:sz w:val="20"/>
                <w:szCs w:val="20"/>
              </w:rPr>
            </w:pPr>
            <w:r>
              <w:rPr>
                <w:sz w:val="2"/>
                <w:szCs w:val="2"/>
              </w:rPr>
              <w:t>​</w:t>
            </w:r>
          </w:p>
        </w:tc>
        <w:tc>
          <w:tcPr>
            <w:tcW w:w="444" w:type="pct"/>
            <w:noWrap/>
            <w:tcMar>
              <w:top w:w="0" w:type="dxa"/>
              <w:left w:w="0" w:type="dxa"/>
              <w:bottom w:w="0" w:type="dxa"/>
              <w:right w:w="0" w:type="dxa"/>
            </w:tcMar>
            <w:vAlign w:val="center"/>
            <w:hideMark/>
          </w:tcPr>
          <w:p w:rsidR="00000000" w:rsidRDefault="008B747E">
            <w:pPr>
              <w:pStyle w:val="a3"/>
              <w:spacing w:before="0" w:beforeAutospacing="0" w:after="0" w:afterAutospacing="0"/>
              <w:divId w:val="454299595"/>
              <w:rPr>
                <w:sz w:val="20"/>
                <w:szCs w:val="20"/>
              </w:rPr>
            </w:pPr>
            <w:r>
              <w:rPr>
                <w:sz w:val="2"/>
                <w:szCs w:val="2"/>
              </w:rPr>
              <w:t>​</w:t>
            </w:r>
          </w:p>
        </w:tc>
        <w:tc>
          <w:tcPr>
            <w:tcW w:w="112" w:type="pct"/>
            <w:tcMar>
              <w:top w:w="0" w:type="dxa"/>
              <w:left w:w="0" w:type="dxa"/>
              <w:bottom w:w="0" w:type="dxa"/>
              <w:right w:w="0" w:type="dxa"/>
            </w:tcMar>
            <w:vAlign w:val="center"/>
            <w:hideMark/>
          </w:tcPr>
          <w:p w:rsidR="00000000" w:rsidRDefault="008B747E">
            <w:pPr>
              <w:pStyle w:val="a3"/>
              <w:spacing w:before="0" w:beforeAutospacing="0" w:after="0" w:afterAutospacing="0"/>
              <w:divId w:val="1500996182"/>
              <w:rPr>
                <w:sz w:val="20"/>
                <w:szCs w:val="20"/>
              </w:rPr>
            </w:pPr>
            <w:r>
              <w:rPr>
                <w:sz w:val="2"/>
                <w:szCs w:val="2"/>
              </w:rPr>
              <w:t>​</w:t>
            </w:r>
          </w:p>
        </w:tc>
      </w:tr>
      <w:tr w:rsidR="00000000">
        <w:trPr>
          <w:divId w:val="1791515517"/>
        </w:trPr>
        <w:tc>
          <w:tcPr>
            <w:tcW w:w="3550" w:type="pct"/>
            <w:shd w:val="clear" w:color="auto" w:fill="auto"/>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b/>
                <w:bCs/>
                <w:sz w:val="16"/>
                <w:szCs w:val="16"/>
              </w:rPr>
              <w:t>​</w:t>
            </w:r>
          </w:p>
        </w:tc>
        <w:tc>
          <w:tcPr>
            <w:tcW w:w="112" w:type="pct"/>
            <w:shd w:val="clear" w:color="auto" w:fill="auto"/>
            <w:tcMar>
              <w:top w:w="0" w:type="dxa"/>
              <w:left w:w="0" w:type="dxa"/>
              <w:bottom w:w="0" w:type="dxa"/>
              <w:right w:w="0" w:type="dxa"/>
            </w:tcMar>
            <w:vAlign w:val="center"/>
            <w:hideMark/>
          </w:tcPr>
          <w:p w:rsidR="00000000" w:rsidRDefault="008B747E">
            <w:pPr>
              <w:pStyle w:val="a3"/>
              <w:spacing w:before="0" w:beforeAutospacing="0" w:after="0" w:afterAutospacing="0"/>
              <w:jc w:val="center"/>
              <w:rPr>
                <w:sz w:val="20"/>
                <w:szCs w:val="20"/>
              </w:rPr>
            </w:pPr>
            <w:r>
              <w:rPr>
                <w:b/>
                <w:bCs/>
                <w:sz w:val="16"/>
                <w:szCs w:val="16"/>
              </w:rPr>
              <w:t>​</w:t>
            </w:r>
          </w:p>
        </w:tc>
        <w:tc>
          <w:tcPr>
            <w:tcW w:w="1225" w:type="pct"/>
            <w:gridSpan w:val="5"/>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112" w:type="pct"/>
            <w:shd w:val="clear" w:color="auto" w:fill="auto"/>
            <w:tcMar>
              <w:top w:w="0" w:type="dxa"/>
              <w:left w:w="0" w:type="dxa"/>
              <w:bottom w:w="0" w:type="dxa"/>
              <w:right w:w="0" w:type="dxa"/>
            </w:tcMar>
            <w:vAlign w:val="center"/>
            <w:hideMark/>
          </w:tcPr>
          <w:p w:rsidR="00000000" w:rsidRDefault="008B747E">
            <w:pPr>
              <w:pStyle w:val="a3"/>
              <w:spacing w:before="0" w:beforeAutospacing="0" w:after="0" w:afterAutospacing="0"/>
              <w:jc w:val="center"/>
              <w:rPr>
                <w:sz w:val="20"/>
                <w:szCs w:val="20"/>
              </w:rPr>
            </w:pPr>
            <w:r>
              <w:rPr>
                <w:b/>
                <w:bCs/>
                <w:sz w:val="16"/>
                <w:szCs w:val="16"/>
              </w:rPr>
              <w:t>​</w:t>
            </w:r>
          </w:p>
        </w:tc>
      </w:tr>
      <w:tr w:rsidR="00000000">
        <w:trPr>
          <w:divId w:val="1791515517"/>
        </w:trPr>
        <w:tc>
          <w:tcPr>
            <w:tcW w:w="3550" w:type="pct"/>
            <w:tcBorders>
              <w:bottom w:val="single" w:sz="6" w:space="0" w:color="000000"/>
            </w:tcBorders>
            <w:shd w:val="clear" w:color="auto" w:fill="auto"/>
            <w:tcMar>
              <w:top w:w="0" w:type="dxa"/>
              <w:left w:w="0" w:type="dxa"/>
              <w:bottom w:w="0" w:type="dxa"/>
              <w:right w:w="0" w:type="dxa"/>
            </w:tcMar>
            <w:vAlign w:val="center"/>
            <w:hideMark/>
          </w:tcPr>
          <w:p w:rsidR="00000000" w:rsidRDefault="008B747E">
            <w:pPr>
              <w:pStyle w:val="a3"/>
              <w:spacing w:before="0" w:beforeAutospacing="0" w:after="0" w:afterAutospacing="0"/>
              <w:rPr>
                <w:sz w:val="16"/>
                <w:szCs w:val="16"/>
              </w:rPr>
            </w:pPr>
            <w:r>
              <w:rPr>
                <w:b/>
                <w:bCs/>
                <w:sz w:val="16"/>
                <w:szCs w:val="16"/>
              </w:rPr>
              <w:t>(In thousands)</w:t>
            </w:r>
          </w:p>
        </w:tc>
        <w:tc>
          <w:tcPr>
            <w:tcW w:w="112" w:type="pct"/>
            <w:shd w:val="clear" w:color="auto" w:fill="auto"/>
            <w:tcMar>
              <w:top w:w="0" w:type="dxa"/>
              <w:left w:w="0" w:type="dxa"/>
              <w:bottom w:w="0" w:type="dxa"/>
              <w:right w:w="0" w:type="dxa"/>
            </w:tcMar>
            <w:vAlign w:val="center"/>
            <w:hideMark/>
          </w:tcPr>
          <w:p w:rsidR="00000000" w:rsidRDefault="008B747E">
            <w:pPr>
              <w:pStyle w:val="a3"/>
              <w:spacing w:before="0" w:beforeAutospacing="0" w:after="0" w:afterAutospacing="0"/>
              <w:jc w:val="center"/>
              <w:rPr>
                <w:sz w:val="20"/>
                <w:szCs w:val="20"/>
              </w:rPr>
            </w:pPr>
            <w:r>
              <w:rPr>
                <w:b/>
                <w:bCs/>
                <w:sz w:val="16"/>
                <w:szCs w:val="16"/>
              </w:rPr>
              <w:t>​</w:t>
            </w:r>
          </w:p>
        </w:tc>
        <w:tc>
          <w:tcPr>
            <w:tcW w:w="55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112" w:type="pct"/>
            <w:shd w:val="clear" w:color="auto" w:fill="auto"/>
            <w:tcMar>
              <w:top w:w="0" w:type="dxa"/>
              <w:left w:w="0" w:type="dxa"/>
              <w:bottom w:w="0" w:type="dxa"/>
              <w:right w:w="0" w:type="dxa"/>
            </w:tcMar>
            <w:vAlign w:val="center"/>
            <w:hideMark/>
          </w:tcPr>
          <w:p w:rsidR="00000000" w:rsidRDefault="008B747E">
            <w:pPr>
              <w:pStyle w:val="a3"/>
              <w:spacing w:before="0" w:beforeAutospacing="0" w:after="0" w:afterAutospacing="0"/>
              <w:jc w:val="center"/>
              <w:rPr>
                <w:sz w:val="20"/>
                <w:szCs w:val="20"/>
              </w:rPr>
            </w:pPr>
            <w:r>
              <w:rPr>
                <w:b/>
                <w:bCs/>
                <w:sz w:val="16"/>
                <w:szCs w:val="16"/>
              </w:rPr>
              <w:t>​</w:t>
            </w:r>
          </w:p>
        </w:tc>
        <w:tc>
          <w:tcPr>
            <w:tcW w:w="55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112" w:type="pct"/>
            <w:shd w:val="clear" w:color="auto" w:fill="auto"/>
            <w:tcMar>
              <w:top w:w="0" w:type="dxa"/>
              <w:left w:w="0" w:type="dxa"/>
              <w:bottom w:w="0" w:type="dxa"/>
              <w:right w:w="0" w:type="dxa"/>
            </w:tcMar>
            <w:vAlign w:val="center"/>
            <w:hideMark/>
          </w:tcPr>
          <w:p w:rsidR="00000000" w:rsidRDefault="008B747E">
            <w:pPr>
              <w:pStyle w:val="a3"/>
              <w:spacing w:before="0" w:beforeAutospacing="0" w:after="0" w:afterAutospacing="0"/>
              <w:jc w:val="center"/>
              <w:rPr>
                <w:sz w:val="20"/>
                <w:szCs w:val="20"/>
              </w:rPr>
            </w:pPr>
            <w:r>
              <w:rPr>
                <w:b/>
                <w:bCs/>
                <w:sz w:val="16"/>
                <w:szCs w:val="16"/>
              </w:rPr>
              <w:t>​</w:t>
            </w:r>
          </w:p>
        </w:tc>
      </w:tr>
      <w:tr w:rsidR="00000000">
        <w:trPr>
          <w:divId w:val="1791515517"/>
        </w:trPr>
        <w:tc>
          <w:tcPr>
            <w:tcW w:w="3550"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sz w:val="20"/>
                <w:szCs w:val="20"/>
              </w:rPr>
              <w:t>Cash and cash equivalents</w:t>
            </w:r>
          </w:p>
        </w:tc>
        <w:tc>
          <w:tcPr>
            <w:tcW w:w="112"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sz w:val="20"/>
                <w:szCs w:val="20"/>
              </w:rPr>
              <w:t>​</w:t>
            </w:r>
          </w:p>
        </w:tc>
        <w:tc>
          <w:tcPr>
            <w:tcW w:w="112"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jc w:val="center"/>
              <w:rPr>
                <w:sz w:val="20"/>
                <w:szCs w:val="20"/>
              </w:rPr>
            </w:pPr>
            <w:r>
              <w:rPr>
                <w:sz w:val="20"/>
                <w:szCs w:val="20"/>
              </w:rPr>
              <w:t>$</w:t>
            </w:r>
          </w:p>
        </w:tc>
        <w:tc>
          <w:tcPr>
            <w:tcW w:w="443" w:type="pct"/>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178,311</w:t>
            </w:r>
          </w:p>
        </w:tc>
        <w:tc>
          <w:tcPr>
            <w:tcW w:w="1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44" w:type="pct"/>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103,854</w:t>
            </w:r>
          </w:p>
        </w:tc>
        <w:tc>
          <w:tcPr>
            <w:tcW w:w="112"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sz w:val="20"/>
                <w:szCs w:val="20"/>
              </w:rPr>
              <w:t>​</w:t>
            </w:r>
          </w:p>
        </w:tc>
      </w:tr>
      <w:tr w:rsidR="00000000">
        <w:trPr>
          <w:divId w:val="1791515517"/>
        </w:trPr>
        <w:tc>
          <w:tcPr>
            <w:tcW w:w="3550" w:type="pct"/>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sz w:val="20"/>
                <w:szCs w:val="20"/>
              </w:rPr>
              <w:t>Restricted cash</w:t>
            </w:r>
          </w:p>
        </w:tc>
        <w:tc>
          <w:tcPr>
            <w:tcW w:w="112" w:type="pct"/>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sz w:val="20"/>
                <w:szCs w:val="20"/>
              </w:rPr>
              <w:t>​</w:t>
            </w:r>
          </w:p>
        </w:tc>
        <w:tc>
          <w:tcPr>
            <w:tcW w:w="112" w:type="pct"/>
            <w:tcBorders>
              <w:bottom w:val="single" w:sz="6" w:space="0" w:color="000000"/>
            </w:tcBorders>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sz w:val="20"/>
                <w:szCs w:val="20"/>
              </w:rPr>
              <w:t>​</w:t>
            </w:r>
          </w:p>
        </w:tc>
        <w:tc>
          <w:tcPr>
            <w:tcW w:w="443" w:type="pct"/>
            <w:tcBorders>
              <w:bottom w:val="single" w:sz="6" w:space="0" w:color="000000"/>
            </w:tcBorders>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833</w:t>
            </w:r>
          </w:p>
        </w:tc>
        <w:tc>
          <w:tcPr>
            <w:tcW w:w="112"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12"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44" w:type="pct"/>
            <w:tcBorders>
              <w:bottom w:val="single" w:sz="6" w:space="0" w:color="000000"/>
            </w:tcBorders>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833</w:t>
            </w:r>
          </w:p>
        </w:tc>
        <w:tc>
          <w:tcPr>
            <w:tcW w:w="112" w:type="pct"/>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sz w:val="20"/>
                <w:szCs w:val="20"/>
              </w:rPr>
              <w:t>​</w:t>
            </w:r>
          </w:p>
        </w:tc>
      </w:tr>
      <w:tr w:rsidR="00000000">
        <w:trPr>
          <w:divId w:val="1791515517"/>
        </w:trPr>
        <w:tc>
          <w:tcPr>
            <w:tcW w:w="3550"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left="240"/>
              <w:rPr>
                <w:sz w:val="20"/>
                <w:szCs w:val="20"/>
              </w:rPr>
            </w:pPr>
            <w:r>
              <w:rPr>
                <w:sz w:val="20"/>
                <w:szCs w:val="20"/>
              </w:rPr>
              <w:t xml:space="preserve">Total cash, cash equivalents, and restricted cash shown on the </w:t>
            </w:r>
            <w:r>
              <w:rPr>
                <w:sz w:val="20"/>
                <w:szCs w:val="20"/>
              </w:rPr>
              <w:br/>
              <w:t>condensed consolidated statements of cash flows</w:t>
            </w:r>
          </w:p>
        </w:tc>
        <w:tc>
          <w:tcPr>
            <w:tcW w:w="112"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sz w:val="20"/>
                <w:szCs w:val="20"/>
              </w:rPr>
              <w:t>​</w:t>
            </w:r>
          </w:p>
        </w:tc>
        <w:tc>
          <w:tcPr>
            <w:tcW w:w="1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43"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179,144</w:t>
            </w:r>
          </w:p>
        </w:tc>
        <w:tc>
          <w:tcPr>
            <w:tcW w:w="1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4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104,687</w:t>
            </w:r>
          </w:p>
        </w:tc>
        <w:tc>
          <w:tcPr>
            <w:tcW w:w="112"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sz w:val="20"/>
                <w:szCs w:val="20"/>
              </w:rPr>
              <w:t>​</w:t>
            </w:r>
          </w:p>
        </w:tc>
      </w:tr>
    </w:tbl>
    <w:p w:rsidR="00000000" w:rsidRDefault="008B747E">
      <w:pPr>
        <w:pStyle w:val="a3"/>
        <w:spacing w:before="0" w:beforeAutospacing="0" w:after="0" w:afterAutospacing="0"/>
        <w:divId w:val="1791515517"/>
        <w:rPr>
          <w:sz w:val="20"/>
          <w:szCs w:val="20"/>
        </w:rPr>
      </w:pPr>
      <w:r>
        <w:rPr>
          <w:sz w:val="2"/>
          <w:szCs w:val="2"/>
        </w:rPr>
        <w:t>​</w:t>
      </w:r>
    </w:p>
    <w:p w:rsidR="00000000" w:rsidRDefault="008B747E">
      <w:pPr>
        <w:pStyle w:val="a3"/>
        <w:spacing w:before="0" w:beforeAutospacing="0" w:after="0" w:afterAutospacing="0"/>
        <w:divId w:val="1791515517"/>
        <w:rPr>
          <w:sz w:val="20"/>
          <w:szCs w:val="20"/>
        </w:rPr>
      </w:pPr>
      <w:r>
        <w:rPr>
          <w:sz w:val="20"/>
          <w:szCs w:val="20"/>
        </w:rPr>
        <w:t>​</w:t>
      </w:r>
    </w:p>
    <w:p w:rsidR="00000000" w:rsidRDefault="008B747E">
      <w:pPr>
        <w:pStyle w:val="a3"/>
        <w:spacing w:before="0" w:beforeAutospacing="0" w:after="0" w:afterAutospacing="0"/>
        <w:divId w:val="1791515517"/>
        <w:rPr>
          <w:sz w:val="20"/>
          <w:szCs w:val="20"/>
        </w:rPr>
      </w:pPr>
      <w:r>
        <w:rPr>
          <w:b/>
          <w:bCs/>
          <w:sz w:val="20"/>
          <w:szCs w:val="20"/>
        </w:rPr>
        <w:t>5.</w:t>
      </w:r>
      <w:r>
        <w:rPr>
          <w:sz w:val="20"/>
          <w:szCs w:val="20"/>
        </w:rPr>
        <w:t xml:space="preserve"> </w:t>
      </w:r>
      <w:r>
        <w:rPr>
          <w:b/>
          <w:bCs/>
          <w:sz w:val="20"/>
          <w:szCs w:val="20"/>
        </w:rPr>
        <w:t>Investments and Fair Value Measurements</w:t>
      </w:r>
    </w:p>
    <w:p w:rsidR="00000000" w:rsidRDefault="008B747E">
      <w:pPr>
        <w:pStyle w:val="a3"/>
        <w:spacing w:before="0" w:beforeAutospacing="0" w:after="0" w:afterAutospacing="0"/>
        <w:divId w:val="1791515517"/>
        <w:rPr>
          <w:sz w:val="20"/>
          <w:szCs w:val="20"/>
        </w:rPr>
      </w:pPr>
      <w:r>
        <w:rPr>
          <w:sz w:val="10"/>
          <w:szCs w:val="10"/>
        </w:rPr>
        <w:t>​</w:t>
      </w:r>
    </w:p>
    <w:p w:rsidR="00000000" w:rsidRDefault="008B747E">
      <w:pPr>
        <w:pStyle w:val="a3"/>
        <w:spacing w:before="0" w:beforeAutospacing="0" w:after="0" w:afterAutospacing="0"/>
        <w:divId w:val="1791515517"/>
        <w:rPr>
          <w:sz w:val="20"/>
          <w:szCs w:val="20"/>
        </w:rPr>
      </w:pPr>
      <w:r>
        <w:rPr>
          <w:b/>
          <w:bCs/>
          <w:i/>
          <w:iCs/>
          <w:sz w:val="20"/>
          <w:szCs w:val="20"/>
        </w:rPr>
        <w:t>Available-for-Sale Securities</w:t>
      </w:r>
    </w:p>
    <w:p w:rsidR="00000000" w:rsidRDefault="008B747E">
      <w:pPr>
        <w:pStyle w:val="a3"/>
        <w:spacing w:before="0" w:beforeAutospacing="0" w:after="0" w:afterAutospacing="0"/>
        <w:divId w:val="1791515517"/>
        <w:rPr>
          <w:sz w:val="20"/>
          <w:szCs w:val="20"/>
        </w:rPr>
      </w:pPr>
      <w:r>
        <w:rPr>
          <w:sz w:val="10"/>
          <w:szCs w:val="10"/>
        </w:rPr>
        <w:t>​</w:t>
      </w:r>
    </w:p>
    <w:p w:rsidR="00000000" w:rsidRDefault="008B747E">
      <w:pPr>
        <w:pStyle w:val="a3"/>
        <w:spacing w:before="0" w:beforeAutospacing="0" w:after="0" w:afterAutospacing="0"/>
        <w:ind w:firstLine="720"/>
        <w:divId w:val="1791515517"/>
        <w:rPr>
          <w:sz w:val="20"/>
          <w:szCs w:val="20"/>
        </w:rPr>
      </w:pPr>
      <w:r>
        <w:rPr>
          <w:sz w:val="20"/>
          <w:szCs w:val="20"/>
        </w:rPr>
        <w:t>The estimated fair value of marketable securities is based on quoted market prices for these or similar investments obtained from a commercial pricing service. The fair market value of marketable securities classified within Level 1 is based on quoted pric</w:t>
      </w:r>
      <w:r>
        <w:rPr>
          <w:sz w:val="20"/>
          <w:szCs w:val="20"/>
        </w:rPr>
        <w:t>es for identical instruments in active markets. The fair value of marketable securities classified within Level 2 is based on quoted prices for similar instruments in active markets; quoted prices for identical or similar instruments in markets that are no</w:t>
      </w:r>
      <w:r>
        <w:rPr>
          <w:sz w:val="20"/>
          <w:szCs w:val="20"/>
        </w:rPr>
        <w:t>t active; or model-driven valuations whose inputs are observable or whose significant value drivers are observable. Observable inputs that may include benchmark yields, reported trades, broker/dealer quotes, issuer spreads, two-sided markets, benchmark sec</w:t>
      </w:r>
      <w:r>
        <w:rPr>
          <w:sz w:val="20"/>
          <w:szCs w:val="20"/>
        </w:rPr>
        <w:t xml:space="preserve">urities, bids, offers and reference data including market research publications. </w:t>
      </w:r>
    </w:p>
    <w:p w:rsidR="00000000" w:rsidRDefault="008B747E">
      <w:pPr>
        <w:pStyle w:val="a3"/>
        <w:spacing w:before="0" w:beforeAutospacing="0" w:after="0" w:afterAutospacing="0"/>
        <w:ind w:firstLine="720"/>
        <w:divId w:val="1791515517"/>
        <w:rPr>
          <w:sz w:val="20"/>
          <w:szCs w:val="20"/>
        </w:rPr>
      </w:pPr>
      <w:r>
        <w:rPr>
          <w:sz w:val="20"/>
          <w:szCs w:val="20"/>
        </w:rPr>
        <w:t>​</w:t>
      </w:r>
    </w:p>
    <w:p w:rsidR="00000000" w:rsidRDefault="008B747E">
      <w:pPr>
        <w:pStyle w:val="a3"/>
        <w:spacing w:before="0" w:beforeAutospacing="0" w:after="0" w:afterAutospacing="0"/>
        <w:ind w:firstLine="720"/>
        <w:divId w:val="1791515517"/>
        <w:rPr>
          <w:sz w:val="20"/>
          <w:szCs w:val="20"/>
        </w:rPr>
      </w:pPr>
      <w:r>
        <w:rPr>
          <w:sz w:val="20"/>
          <w:szCs w:val="20"/>
        </w:rPr>
        <w:t>Available-for-sale securities are summarized below:</w:t>
      </w:r>
    </w:p>
    <w:p w:rsidR="00000000" w:rsidRDefault="008B747E">
      <w:pPr>
        <w:pStyle w:val="a3"/>
        <w:spacing w:before="0" w:beforeAutospacing="0" w:after="0" w:afterAutospacing="0"/>
        <w:ind w:firstLine="720"/>
        <w:divId w:val="1791515517"/>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3626"/>
        <w:gridCol w:w="160"/>
        <w:gridCol w:w="604"/>
        <w:gridCol w:w="160"/>
        <w:gridCol w:w="148"/>
        <w:gridCol w:w="710"/>
        <w:gridCol w:w="160"/>
        <w:gridCol w:w="152"/>
        <w:gridCol w:w="628"/>
        <w:gridCol w:w="160"/>
        <w:gridCol w:w="152"/>
        <w:gridCol w:w="628"/>
        <w:gridCol w:w="160"/>
        <w:gridCol w:w="148"/>
        <w:gridCol w:w="710"/>
      </w:tblGrid>
      <w:tr w:rsidR="00000000">
        <w:trPr>
          <w:divId w:val="1791515517"/>
          <w:trHeight w:val="20"/>
        </w:trPr>
        <w:tc>
          <w:tcPr>
            <w:tcW w:w="2187" w:type="pct"/>
            <w:tcMar>
              <w:top w:w="0" w:type="dxa"/>
              <w:left w:w="0" w:type="dxa"/>
              <w:bottom w:w="0" w:type="dxa"/>
              <w:right w:w="0" w:type="dxa"/>
            </w:tcMar>
            <w:vAlign w:val="center"/>
            <w:hideMark/>
          </w:tcPr>
          <w:p w:rsidR="00000000" w:rsidRDefault="008B747E">
            <w:pPr>
              <w:pStyle w:val="a3"/>
              <w:spacing w:before="0" w:beforeAutospacing="0" w:after="0" w:afterAutospacing="0"/>
              <w:divId w:val="1438208881"/>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410077669"/>
              <w:rPr>
                <w:sz w:val="20"/>
                <w:szCs w:val="20"/>
              </w:rPr>
            </w:pPr>
            <w:r>
              <w:rPr>
                <w:sz w:val="2"/>
                <w:szCs w:val="2"/>
              </w:rPr>
              <w:t>​</w:t>
            </w:r>
          </w:p>
        </w:tc>
        <w:tc>
          <w:tcPr>
            <w:tcW w:w="374" w:type="pct"/>
            <w:tcMar>
              <w:top w:w="0" w:type="dxa"/>
              <w:left w:w="0" w:type="dxa"/>
              <w:bottom w:w="0" w:type="dxa"/>
              <w:right w:w="0" w:type="dxa"/>
            </w:tcMar>
            <w:vAlign w:val="center"/>
            <w:hideMark/>
          </w:tcPr>
          <w:p w:rsidR="00000000" w:rsidRDefault="008B747E">
            <w:pPr>
              <w:pStyle w:val="a3"/>
              <w:spacing w:before="0" w:beforeAutospacing="0" w:after="0" w:afterAutospacing="0"/>
              <w:divId w:val="5794095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452893938"/>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53763840"/>
              <w:rPr>
                <w:sz w:val="20"/>
                <w:szCs w:val="20"/>
              </w:rPr>
            </w:pPr>
            <w:r>
              <w:rPr>
                <w:sz w:val="2"/>
                <w:szCs w:val="2"/>
              </w:rPr>
              <w:t>​</w:t>
            </w:r>
          </w:p>
        </w:tc>
        <w:tc>
          <w:tcPr>
            <w:tcW w:w="385" w:type="pct"/>
            <w:tcMar>
              <w:top w:w="0" w:type="dxa"/>
              <w:left w:w="0" w:type="dxa"/>
              <w:bottom w:w="0" w:type="dxa"/>
              <w:right w:w="0" w:type="dxa"/>
            </w:tcMar>
            <w:vAlign w:val="center"/>
            <w:hideMark/>
          </w:tcPr>
          <w:p w:rsidR="00000000" w:rsidRDefault="008B747E">
            <w:pPr>
              <w:pStyle w:val="a3"/>
              <w:spacing w:before="0" w:beforeAutospacing="0" w:after="0" w:afterAutospacing="0"/>
              <w:divId w:val="9313990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09580571"/>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137870373"/>
              <w:rPr>
                <w:sz w:val="20"/>
                <w:szCs w:val="20"/>
              </w:rPr>
            </w:pPr>
            <w:r>
              <w:rPr>
                <w:sz w:val="2"/>
                <w:szCs w:val="2"/>
              </w:rPr>
              <w:t>​</w:t>
            </w:r>
          </w:p>
        </w:tc>
        <w:tc>
          <w:tcPr>
            <w:tcW w:w="385" w:type="pct"/>
            <w:tcMar>
              <w:top w:w="0" w:type="dxa"/>
              <w:left w:w="0" w:type="dxa"/>
              <w:bottom w:w="0" w:type="dxa"/>
              <w:right w:w="0" w:type="dxa"/>
            </w:tcMar>
            <w:vAlign w:val="center"/>
            <w:hideMark/>
          </w:tcPr>
          <w:p w:rsidR="00000000" w:rsidRDefault="008B747E">
            <w:pPr>
              <w:pStyle w:val="a3"/>
              <w:spacing w:before="0" w:beforeAutospacing="0" w:after="0" w:afterAutospacing="0"/>
              <w:divId w:val="1234967503"/>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62562374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569807440"/>
              <w:rPr>
                <w:sz w:val="20"/>
                <w:szCs w:val="20"/>
              </w:rPr>
            </w:pPr>
            <w:r>
              <w:rPr>
                <w:sz w:val="2"/>
                <w:szCs w:val="2"/>
              </w:rPr>
              <w:t>​</w:t>
            </w:r>
          </w:p>
        </w:tc>
        <w:tc>
          <w:tcPr>
            <w:tcW w:w="385" w:type="pct"/>
            <w:tcMar>
              <w:top w:w="0" w:type="dxa"/>
              <w:left w:w="0" w:type="dxa"/>
              <w:bottom w:w="0" w:type="dxa"/>
              <w:right w:w="0" w:type="dxa"/>
            </w:tcMar>
            <w:vAlign w:val="center"/>
            <w:hideMark/>
          </w:tcPr>
          <w:p w:rsidR="00000000" w:rsidRDefault="008B747E">
            <w:pPr>
              <w:pStyle w:val="a3"/>
              <w:spacing w:before="0" w:beforeAutospacing="0" w:after="0" w:afterAutospacing="0"/>
              <w:divId w:val="1780028522"/>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66009871"/>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136219912"/>
              <w:rPr>
                <w:sz w:val="20"/>
                <w:szCs w:val="20"/>
              </w:rPr>
            </w:pPr>
            <w:r>
              <w:rPr>
                <w:sz w:val="2"/>
                <w:szCs w:val="2"/>
              </w:rPr>
              <w:t>​</w:t>
            </w:r>
          </w:p>
        </w:tc>
        <w:tc>
          <w:tcPr>
            <w:tcW w:w="396" w:type="pct"/>
            <w:tcMar>
              <w:top w:w="0" w:type="dxa"/>
              <w:left w:w="0" w:type="dxa"/>
              <w:bottom w:w="0" w:type="dxa"/>
              <w:right w:w="0" w:type="dxa"/>
            </w:tcMar>
            <w:vAlign w:val="center"/>
            <w:hideMark/>
          </w:tcPr>
          <w:p w:rsidR="00000000" w:rsidRDefault="008B747E">
            <w:pPr>
              <w:pStyle w:val="a3"/>
              <w:spacing w:before="0" w:beforeAutospacing="0" w:after="0" w:afterAutospacing="0"/>
              <w:divId w:val="871499465"/>
              <w:rPr>
                <w:sz w:val="20"/>
                <w:szCs w:val="20"/>
              </w:rPr>
            </w:pPr>
            <w:r>
              <w:rPr>
                <w:sz w:val="2"/>
                <w:szCs w:val="2"/>
              </w:rPr>
              <w:t>​</w:t>
            </w:r>
          </w:p>
        </w:tc>
      </w:tr>
      <w:tr w:rsidR="00000000">
        <w:trPr>
          <w:divId w:val="1791515517"/>
        </w:trPr>
        <w:tc>
          <w:tcPr>
            <w:tcW w:w="218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374"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2242" w:type="pct"/>
            <w:gridSpan w:val="11"/>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2019</w:t>
            </w:r>
          </w:p>
        </w:tc>
      </w:tr>
      <w:tr w:rsidR="00000000">
        <w:trPr>
          <w:divId w:val="1791515517"/>
        </w:trPr>
        <w:tc>
          <w:tcPr>
            <w:tcW w:w="218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374"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385"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84"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Gross</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84"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Gross</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396"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r>
      <w:tr w:rsidR="00000000">
        <w:trPr>
          <w:divId w:val="1791515517"/>
        </w:trPr>
        <w:tc>
          <w:tcPr>
            <w:tcW w:w="218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374"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84"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Amortized</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84"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Unrealized</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84"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Unrealized</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95"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Estimated</w:t>
            </w:r>
          </w:p>
        </w:tc>
      </w:tr>
      <w:tr w:rsidR="00000000">
        <w:trPr>
          <w:divId w:val="1791515517"/>
        </w:trPr>
        <w:tc>
          <w:tcPr>
            <w:tcW w:w="2187" w:type="pct"/>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(In thousands)</w:t>
            </w:r>
          </w:p>
        </w:tc>
        <w:tc>
          <w:tcPr>
            <w:tcW w:w="9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374"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Cost</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Gains</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Losses</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9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Fair Value</w:t>
            </w:r>
          </w:p>
        </w:tc>
      </w:tr>
      <w:tr w:rsidR="00000000">
        <w:trPr>
          <w:divId w:val="1791515517"/>
        </w:trPr>
        <w:tc>
          <w:tcPr>
            <w:tcW w:w="2187"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sz w:val="20"/>
                <w:szCs w:val="20"/>
              </w:rPr>
              <w:t>US government securities</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74"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jc w:val="center"/>
              <w:rPr>
                <w:sz w:val="20"/>
                <w:szCs w:val="20"/>
              </w:rPr>
            </w:pPr>
            <w:r>
              <w:rPr>
                <w:sz w:val="20"/>
                <w:szCs w:val="20"/>
              </w:rPr>
              <w:t>Level 1</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78,583</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79</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jc w:val="right"/>
              <w:rPr>
                <w:sz w:val="20"/>
                <w:szCs w:val="20"/>
              </w:rPr>
            </w:pPr>
            <w:r>
              <w:rPr>
                <w:sz w:val="20"/>
                <w:szCs w:val="20"/>
              </w:rPr>
              <w:t>(12)</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96"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78,650</w:t>
            </w:r>
          </w:p>
        </w:tc>
      </w:tr>
      <w:tr w:rsidR="00000000">
        <w:trPr>
          <w:divId w:val="1791515517"/>
        </w:trPr>
        <w:tc>
          <w:tcPr>
            <w:tcW w:w="2187" w:type="pct"/>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sz w:val="20"/>
                <w:szCs w:val="20"/>
              </w:rPr>
              <w:t>US government agency securities</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74" w:type="pct"/>
            <w:tcMar>
              <w:top w:w="0" w:type="dxa"/>
              <w:left w:w="0" w:type="dxa"/>
              <w:bottom w:w="0" w:type="dxa"/>
              <w:right w:w="0" w:type="dxa"/>
            </w:tcMar>
            <w:vAlign w:val="center"/>
            <w:hideMark/>
          </w:tcPr>
          <w:p w:rsidR="00000000" w:rsidRDefault="008B747E">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85" w:type="pct"/>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9,978</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3</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96" w:type="pct"/>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9,981</w:t>
            </w:r>
          </w:p>
        </w:tc>
      </w:tr>
      <w:tr w:rsidR="00000000">
        <w:trPr>
          <w:divId w:val="1791515517"/>
        </w:trPr>
        <w:tc>
          <w:tcPr>
            <w:tcW w:w="2187"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sz w:val="20"/>
                <w:szCs w:val="20"/>
              </w:rPr>
              <w:t>Corporate notes</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74"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jc w:val="center"/>
              <w:rPr>
                <w:sz w:val="20"/>
                <w:szCs w:val="20"/>
              </w:rPr>
            </w:pPr>
            <w:r>
              <w:rPr>
                <w:sz w:val="20"/>
                <w:szCs w:val="20"/>
              </w:rPr>
              <w:t>Level 2</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85"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41,633</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58</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jc w:val="right"/>
              <w:rPr>
                <w:sz w:val="20"/>
                <w:szCs w:val="20"/>
              </w:rPr>
            </w:pPr>
            <w:r>
              <w:rPr>
                <w:sz w:val="20"/>
                <w:szCs w:val="20"/>
              </w:rPr>
              <w:t>(2)</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96"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41,689</w:t>
            </w:r>
          </w:p>
        </w:tc>
      </w:tr>
      <w:tr w:rsidR="00000000">
        <w:trPr>
          <w:divId w:val="1791515517"/>
        </w:trPr>
        <w:tc>
          <w:tcPr>
            <w:tcW w:w="2187"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Commercial paper</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74" w:type="pct"/>
            <w:tcMar>
              <w:top w:w="0" w:type="dxa"/>
              <w:left w:w="0" w:type="dxa"/>
              <w:bottom w:w="0" w:type="dxa"/>
              <w:right w:w="0" w:type="dxa"/>
            </w:tcMar>
            <w:vAlign w:val="center"/>
            <w:hideMark/>
          </w:tcPr>
          <w:p w:rsidR="00000000" w:rsidRDefault="008B747E">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170,049</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22</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tcMar>
              <w:top w:w="0" w:type="dxa"/>
              <w:left w:w="0" w:type="dxa"/>
              <w:bottom w:w="0" w:type="dxa"/>
              <w:right w:w="0" w:type="dxa"/>
            </w:tcMar>
            <w:vAlign w:val="center"/>
            <w:hideMark/>
          </w:tcPr>
          <w:p w:rsidR="00000000" w:rsidRDefault="008B747E">
            <w:pPr>
              <w:pStyle w:val="a3"/>
              <w:spacing w:before="0" w:beforeAutospacing="0" w:after="0" w:afterAutospacing="0"/>
              <w:jc w:val="right"/>
              <w:rPr>
                <w:sz w:val="20"/>
                <w:szCs w:val="20"/>
              </w:rPr>
            </w:pPr>
            <w:r>
              <w:rPr>
                <w:sz w:val="20"/>
                <w:szCs w:val="20"/>
              </w:rPr>
              <w:t>(19)</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96" w:type="pct"/>
            <w:tcBorders>
              <w:bottom w:val="single" w:sz="6" w:space="0" w:color="000000"/>
            </w:tcBorders>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170,052</w:t>
            </w:r>
          </w:p>
        </w:tc>
      </w:tr>
      <w:tr w:rsidR="00000000">
        <w:trPr>
          <w:divId w:val="1791515517"/>
        </w:trPr>
        <w:tc>
          <w:tcPr>
            <w:tcW w:w="21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left="120"/>
              <w:rPr>
                <w:sz w:val="20"/>
                <w:szCs w:val="20"/>
              </w:rPr>
            </w:pPr>
            <w:r>
              <w:rPr>
                <w:sz w:val="20"/>
                <w:szCs w:val="20"/>
              </w:rPr>
              <w:t>Marketable securities</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74"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jc w:val="center"/>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300,243</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162</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jc w:val="right"/>
              <w:rPr>
                <w:sz w:val="20"/>
                <w:szCs w:val="20"/>
              </w:rPr>
            </w:pPr>
            <w:r>
              <w:rPr>
                <w:sz w:val="20"/>
                <w:szCs w:val="20"/>
              </w:rPr>
              <w:t>(33)</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96"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300,372</w:t>
            </w:r>
          </w:p>
        </w:tc>
      </w:tr>
      <w:tr w:rsidR="00000000">
        <w:trPr>
          <w:divId w:val="1791515517"/>
        </w:trPr>
        <w:tc>
          <w:tcPr>
            <w:tcW w:w="218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 xml:space="preserve">Money market funds </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74" w:type="pct"/>
            <w:tcMar>
              <w:top w:w="0" w:type="dxa"/>
              <w:left w:w="0" w:type="dxa"/>
              <w:bottom w:w="0" w:type="dxa"/>
              <w:right w:w="0" w:type="dxa"/>
            </w:tcMar>
            <w:vAlign w:val="center"/>
            <w:hideMark/>
          </w:tcPr>
          <w:p w:rsidR="00000000" w:rsidRDefault="008B747E">
            <w:pPr>
              <w:pStyle w:val="a3"/>
              <w:spacing w:before="0" w:beforeAutospacing="0" w:after="0" w:afterAutospacing="0"/>
              <w:jc w:val="center"/>
              <w:rPr>
                <w:sz w:val="20"/>
                <w:szCs w:val="20"/>
              </w:rPr>
            </w:pPr>
            <w:r>
              <w:rPr>
                <w:sz w:val="20"/>
                <w:szCs w:val="20"/>
              </w:rPr>
              <w:t>Level 1</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66,935</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96" w:type="pct"/>
            <w:tcBorders>
              <w:bottom w:val="single" w:sz="6" w:space="0" w:color="000000"/>
            </w:tcBorders>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66,935</w:t>
            </w:r>
          </w:p>
        </w:tc>
      </w:tr>
      <w:tr w:rsidR="00000000">
        <w:trPr>
          <w:divId w:val="1791515517"/>
        </w:trPr>
        <w:tc>
          <w:tcPr>
            <w:tcW w:w="2187"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left="240"/>
              <w:rPr>
                <w:sz w:val="20"/>
                <w:szCs w:val="20"/>
              </w:rPr>
            </w:pPr>
            <w:r>
              <w:rPr>
                <w:sz w:val="20"/>
                <w:szCs w:val="20"/>
              </w:rPr>
              <w:t xml:space="preserve">Total </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74"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367,178</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162</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jc w:val="right"/>
              <w:rPr>
                <w:sz w:val="20"/>
                <w:szCs w:val="20"/>
              </w:rPr>
            </w:pPr>
            <w:r>
              <w:rPr>
                <w:sz w:val="20"/>
                <w:szCs w:val="20"/>
              </w:rPr>
              <w:t>(33)</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96" w:type="pct"/>
            <w:tcBorders>
              <w:bottom w:val="double" w:sz="6" w:space="0" w:color="000000"/>
            </w:tcBorders>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367,307</w:t>
            </w:r>
          </w:p>
        </w:tc>
      </w:tr>
    </w:tbl>
    <w:p w:rsidR="00000000" w:rsidRDefault="008B747E">
      <w:pPr>
        <w:pStyle w:val="a3"/>
        <w:spacing w:before="360" w:beforeAutospacing="0" w:after="0" w:afterAutospacing="0"/>
        <w:jc w:val="center"/>
        <w:divId w:val="1643580007"/>
        <w:rPr>
          <w:sz w:val="20"/>
          <w:szCs w:val="20"/>
        </w:rPr>
      </w:pPr>
      <w:r>
        <w:rPr>
          <w:sz w:val="20"/>
          <w:szCs w:val="20"/>
        </w:rPr>
        <w:t>13</w:t>
      </w:r>
    </w:p>
    <w:p w:rsidR="00000000" w:rsidRDefault="008B747E">
      <w:pPr>
        <w:pStyle w:val="a3"/>
        <w:spacing w:before="0" w:beforeAutospacing="0" w:after="600" w:afterAutospacing="0"/>
        <w:divId w:val="493909439"/>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442264756"/>
        <w:rPr>
          <w:sz w:val="20"/>
          <w:szCs w:val="20"/>
        </w:rPr>
      </w:pPr>
      <w:r>
        <w:rPr>
          <w:sz w:val="10"/>
          <w:szCs w:val="10"/>
        </w:rPr>
        <w:t>​</w:t>
      </w:r>
    </w:p>
    <w:p w:rsidR="00000000" w:rsidRDefault="008B747E">
      <w:pPr>
        <w:pStyle w:val="a3"/>
        <w:spacing w:before="0" w:beforeAutospacing="0" w:after="0" w:afterAutospacing="0"/>
        <w:divId w:val="442264756"/>
        <w:rPr>
          <w:sz w:val="20"/>
          <w:szCs w:val="20"/>
        </w:rPr>
      </w:pPr>
      <w:r>
        <w:rPr>
          <w:sz w:val="10"/>
          <w:szCs w:val="10"/>
        </w:rPr>
        <w:t>​</w:t>
      </w:r>
    </w:p>
    <w:tbl>
      <w:tblPr>
        <w:tblW w:w="5000" w:type="pct"/>
        <w:tblCellMar>
          <w:top w:w="15" w:type="dxa"/>
          <w:left w:w="0" w:type="dxa"/>
          <w:bottom w:w="15" w:type="dxa"/>
          <w:right w:w="0" w:type="dxa"/>
        </w:tblCellMar>
        <w:tblLook w:val="04A0" w:firstRow="1" w:lastRow="0" w:firstColumn="1" w:lastColumn="0" w:noHBand="0" w:noVBand="1"/>
      </w:tblPr>
      <w:tblGrid>
        <w:gridCol w:w="3626"/>
        <w:gridCol w:w="160"/>
        <w:gridCol w:w="604"/>
        <w:gridCol w:w="160"/>
        <w:gridCol w:w="148"/>
        <w:gridCol w:w="710"/>
        <w:gridCol w:w="160"/>
        <w:gridCol w:w="152"/>
        <w:gridCol w:w="628"/>
        <w:gridCol w:w="160"/>
        <w:gridCol w:w="152"/>
        <w:gridCol w:w="628"/>
        <w:gridCol w:w="160"/>
        <w:gridCol w:w="148"/>
        <w:gridCol w:w="710"/>
      </w:tblGrid>
      <w:tr w:rsidR="00000000">
        <w:trPr>
          <w:divId w:val="442264756"/>
          <w:trHeight w:val="20"/>
        </w:trPr>
        <w:tc>
          <w:tcPr>
            <w:tcW w:w="2187" w:type="pct"/>
            <w:tcMar>
              <w:top w:w="0" w:type="dxa"/>
              <w:left w:w="0" w:type="dxa"/>
              <w:bottom w:w="0" w:type="dxa"/>
              <w:right w:w="0" w:type="dxa"/>
            </w:tcMar>
            <w:vAlign w:val="center"/>
            <w:hideMark/>
          </w:tcPr>
          <w:p w:rsidR="00000000" w:rsidRDefault="008B747E">
            <w:pPr>
              <w:pStyle w:val="a3"/>
              <w:spacing w:before="0" w:beforeAutospacing="0" w:after="0" w:afterAutospacing="0"/>
              <w:divId w:val="1459295993"/>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597012550"/>
              <w:rPr>
                <w:sz w:val="20"/>
                <w:szCs w:val="20"/>
              </w:rPr>
            </w:pPr>
            <w:r>
              <w:rPr>
                <w:sz w:val="2"/>
                <w:szCs w:val="2"/>
              </w:rPr>
              <w:t>​</w:t>
            </w:r>
          </w:p>
        </w:tc>
        <w:tc>
          <w:tcPr>
            <w:tcW w:w="374" w:type="pct"/>
            <w:tcMar>
              <w:top w:w="0" w:type="dxa"/>
              <w:left w:w="0" w:type="dxa"/>
              <w:bottom w:w="0" w:type="dxa"/>
              <w:right w:w="0" w:type="dxa"/>
            </w:tcMar>
            <w:vAlign w:val="center"/>
            <w:hideMark/>
          </w:tcPr>
          <w:p w:rsidR="00000000" w:rsidRDefault="008B747E">
            <w:pPr>
              <w:pStyle w:val="a3"/>
              <w:spacing w:before="0" w:beforeAutospacing="0" w:after="0" w:afterAutospacing="0"/>
              <w:divId w:val="580530748"/>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793285876"/>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12844811"/>
              <w:rPr>
                <w:sz w:val="20"/>
                <w:szCs w:val="20"/>
              </w:rPr>
            </w:pPr>
            <w:r>
              <w:rPr>
                <w:sz w:val="2"/>
                <w:szCs w:val="2"/>
              </w:rPr>
              <w:t>​</w:t>
            </w:r>
          </w:p>
        </w:tc>
        <w:tc>
          <w:tcPr>
            <w:tcW w:w="385" w:type="pct"/>
            <w:tcMar>
              <w:top w:w="0" w:type="dxa"/>
              <w:left w:w="0" w:type="dxa"/>
              <w:bottom w:w="0" w:type="dxa"/>
              <w:right w:w="0" w:type="dxa"/>
            </w:tcMar>
            <w:vAlign w:val="center"/>
            <w:hideMark/>
          </w:tcPr>
          <w:p w:rsidR="00000000" w:rsidRDefault="008B747E">
            <w:pPr>
              <w:pStyle w:val="a3"/>
              <w:spacing w:before="0" w:beforeAutospacing="0" w:after="0" w:afterAutospacing="0"/>
              <w:divId w:val="996037731"/>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969385586"/>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760635937"/>
              <w:rPr>
                <w:sz w:val="20"/>
                <w:szCs w:val="20"/>
              </w:rPr>
            </w:pPr>
            <w:r>
              <w:rPr>
                <w:sz w:val="2"/>
                <w:szCs w:val="2"/>
              </w:rPr>
              <w:t>​</w:t>
            </w:r>
          </w:p>
        </w:tc>
        <w:tc>
          <w:tcPr>
            <w:tcW w:w="385" w:type="pct"/>
            <w:tcMar>
              <w:top w:w="0" w:type="dxa"/>
              <w:left w:w="0" w:type="dxa"/>
              <w:bottom w:w="0" w:type="dxa"/>
              <w:right w:w="0" w:type="dxa"/>
            </w:tcMar>
            <w:vAlign w:val="center"/>
            <w:hideMark/>
          </w:tcPr>
          <w:p w:rsidR="00000000" w:rsidRDefault="008B747E">
            <w:pPr>
              <w:pStyle w:val="a3"/>
              <w:spacing w:before="0" w:beforeAutospacing="0" w:after="0" w:afterAutospacing="0"/>
              <w:divId w:val="889613467"/>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090079919"/>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79268123"/>
              <w:rPr>
                <w:sz w:val="20"/>
                <w:szCs w:val="20"/>
              </w:rPr>
            </w:pPr>
            <w:r>
              <w:rPr>
                <w:sz w:val="2"/>
                <w:szCs w:val="2"/>
              </w:rPr>
              <w:t>​</w:t>
            </w:r>
          </w:p>
        </w:tc>
        <w:tc>
          <w:tcPr>
            <w:tcW w:w="385" w:type="pct"/>
            <w:tcMar>
              <w:top w:w="0" w:type="dxa"/>
              <w:left w:w="0" w:type="dxa"/>
              <w:bottom w:w="0" w:type="dxa"/>
              <w:right w:w="0" w:type="dxa"/>
            </w:tcMar>
            <w:vAlign w:val="center"/>
            <w:hideMark/>
          </w:tcPr>
          <w:p w:rsidR="00000000" w:rsidRDefault="008B747E">
            <w:pPr>
              <w:pStyle w:val="a3"/>
              <w:spacing w:before="0" w:beforeAutospacing="0" w:after="0" w:afterAutospacing="0"/>
              <w:divId w:val="1631132220"/>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341586043"/>
              <w:rPr>
                <w:sz w:val="20"/>
                <w:szCs w:val="20"/>
              </w:rPr>
            </w:pPr>
            <w:r>
              <w:rPr>
                <w:sz w:val="2"/>
                <w:szCs w:val="2"/>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82393976"/>
              <w:rPr>
                <w:sz w:val="20"/>
                <w:szCs w:val="20"/>
              </w:rPr>
            </w:pPr>
            <w:r>
              <w:rPr>
                <w:sz w:val="2"/>
                <w:szCs w:val="2"/>
              </w:rPr>
              <w:t>​</w:t>
            </w:r>
          </w:p>
        </w:tc>
        <w:tc>
          <w:tcPr>
            <w:tcW w:w="396" w:type="pct"/>
            <w:tcMar>
              <w:top w:w="0" w:type="dxa"/>
              <w:left w:w="0" w:type="dxa"/>
              <w:bottom w:w="0" w:type="dxa"/>
              <w:right w:w="0" w:type="dxa"/>
            </w:tcMar>
            <w:vAlign w:val="center"/>
            <w:hideMark/>
          </w:tcPr>
          <w:p w:rsidR="00000000" w:rsidRDefault="008B747E">
            <w:pPr>
              <w:pStyle w:val="a3"/>
              <w:spacing w:before="0" w:beforeAutospacing="0" w:after="0" w:afterAutospacing="0"/>
              <w:divId w:val="165245546"/>
              <w:rPr>
                <w:sz w:val="20"/>
                <w:szCs w:val="20"/>
              </w:rPr>
            </w:pPr>
            <w:r>
              <w:rPr>
                <w:sz w:val="2"/>
                <w:szCs w:val="2"/>
              </w:rPr>
              <w:t>​</w:t>
            </w:r>
          </w:p>
        </w:tc>
      </w:tr>
      <w:tr w:rsidR="00000000">
        <w:trPr>
          <w:divId w:val="442264756"/>
        </w:trPr>
        <w:tc>
          <w:tcPr>
            <w:tcW w:w="218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374"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2242" w:type="pct"/>
            <w:gridSpan w:val="11"/>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December 31, 2018</w:t>
            </w:r>
          </w:p>
        </w:tc>
      </w:tr>
      <w:tr w:rsidR="00000000">
        <w:trPr>
          <w:divId w:val="442264756"/>
        </w:trPr>
        <w:tc>
          <w:tcPr>
            <w:tcW w:w="218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374"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385"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84"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Gross</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84"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Gross</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396"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r>
      <w:tr w:rsidR="00000000">
        <w:trPr>
          <w:divId w:val="442264756"/>
        </w:trPr>
        <w:tc>
          <w:tcPr>
            <w:tcW w:w="218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374"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84"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Amortized</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84"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Unrealized</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84"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Unrealized</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95" w:type="pct"/>
            <w:gridSpan w:val="2"/>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Estimated</w:t>
            </w:r>
          </w:p>
        </w:tc>
      </w:tr>
      <w:tr w:rsidR="00000000">
        <w:trPr>
          <w:divId w:val="442264756"/>
        </w:trPr>
        <w:tc>
          <w:tcPr>
            <w:tcW w:w="2187" w:type="pct"/>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(In thousands)</w:t>
            </w:r>
          </w:p>
        </w:tc>
        <w:tc>
          <w:tcPr>
            <w:tcW w:w="9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374"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Cost</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Gains</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8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Losses</w:t>
            </w:r>
          </w:p>
        </w:tc>
        <w:tc>
          <w:tcPr>
            <w:tcW w:w="9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9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Fair Value</w:t>
            </w:r>
          </w:p>
        </w:tc>
      </w:tr>
      <w:tr w:rsidR="00000000">
        <w:trPr>
          <w:divId w:val="442264756"/>
        </w:trPr>
        <w:tc>
          <w:tcPr>
            <w:tcW w:w="2187"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sz w:val="20"/>
                <w:szCs w:val="20"/>
              </w:rPr>
              <w:t>US government securities</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74"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jc w:val="center"/>
              <w:rPr>
                <w:sz w:val="20"/>
                <w:szCs w:val="20"/>
              </w:rPr>
            </w:pPr>
            <w:r>
              <w:rPr>
                <w:sz w:val="20"/>
                <w:szCs w:val="20"/>
              </w:rPr>
              <w:t>Level 1</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48,807</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jc w:val="right"/>
              <w:rPr>
                <w:sz w:val="20"/>
                <w:szCs w:val="20"/>
              </w:rPr>
            </w:pPr>
            <w:r>
              <w:rPr>
                <w:sz w:val="20"/>
                <w:szCs w:val="20"/>
              </w:rPr>
              <w:t>(86)</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96"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48,721</w:t>
            </w:r>
          </w:p>
        </w:tc>
      </w:tr>
      <w:tr w:rsidR="00000000">
        <w:trPr>
          <w:divId w:val="442264756"/>
        </w:trPr>
        <w:tc>
          <w:tcPr>
            <w:tcW w:w="2187" w:type="pct"/>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sz w:val="20"/>
                <w:szCs w:val="20"/>
              </w:rPr>
              <w:t>US government agency securities</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74" w:type="pct"/>
            <w:tcMar>
              <w:top w:w="0" w:type="dxa"/>
              <w:left w:w="0" w:type="dxa"/>
              <w:bottom w:w="0" w:type="dxa"/>
              <w:right w:w="0" w:type="dxa"/>
            </w:tcMar>
            <w:vAlign w:val="center"/>
            <w:hideMark/>
          </w:tcPr>
          <w:p w:rsidR="00000000" w:rsidRDefault="008B747E">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85" w:type="pct"/>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9,852</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85" w:type="pct"/>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2</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85" w:type="pct"/>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96" w:type="pct"/>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9,854</w:t>
            </w:r>
          </w:p>
        </w:tc>
      </w:tr>
      <w:tr w:rsidR="00000000">
        <w:trPr>
          <w:divId w:val="442264756"/>
        </w:trPr>
        <w:tc>
          <w:tcPr>
            <w:tcW w:w="2187"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sz w:val="20"/>
                <w:szCs w:val="20"/>
              </w:rPr>
              <w:t>Corporate notes</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74"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jc w:val="center"/>
              <w:rPr>
                <w:sz w:val="20"/>
                <w:szCs w:val="20"/>
              </w:rPr>
            </w:pPr>
            <w:r>
              <w:rPr>
                <w:sz w:val="20"/>
                <w:szCs w:val="20"/>
              </w:rPr>
              <w:t>Level 2</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85"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57,508</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85"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6</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85"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jc w:val="right"/>
              <w:rPr>
                <w:sz w:val="20"/>
                <w:szCs w:val="20"/>
              </w:rPr>
            </w:pPr>
            <w:r>
              <w:rPr>
                <w:sz w:val="20"/>
                <w:szCs w:val="20"/>
              </w:rPr>
              <w:t>(88)</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96"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57,426</w:t>
            </w:r>
          </w:p>
        </w:tc>
      </w:tr>
      <w:tr w:rsidR="00000000">
        <w:trPr>
          <w:divId w:val="442264756"/>
        </w:trPr>
        <w:tc>
          <w:tcPr>
            <w:tcW w:w="2187"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Commercial paper</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74" w:type="pct"/>
            <w:tcMar>
              <w:top w:w="0" w:type="dxa"/>
              <w:left w:w="0" w:type="dxa"/>
              <w:bottom w:w="0" w:type="dxa"/>
              <w:right w:w="0" w:type="dxa"/>
            </w:tcMar>
            <w:vAlign w:val="center"/>
            <w:hideMark/>
          </w:tcPr>
          <w:p w:rsidR="00000000" w:rsidRDefault="008B747E">
            <w:pPr>
              <w:pStyle w:val="a3"/>
              <w:spacing w:before="0" w:beforeAutospacing="0" w:after="0" w:afterAutospacing="0"/>
              <w:jc w:val="center"/>
              <w:rPr>
                <w:sz w:val="20"/>
                <w:szCs w:val="20"/>
              </w:rPr>
            </w:pPr>
            <w:r>
              <w:rPr>
                <w:sz w:val="20"/>
                <w:szCs w:val="20"/>
              </w:rPr>
              <w:t>Level 2</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90,919</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96" w:type="pct"/>
            <w:tcBorders>
              <w:bottom w:val="single" w:sz="6" w:space="0" w:color="000000"/>
            </w:tcBorders>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90,919</w:t>
            </w:r>
          </w:p>
        </w:tc>
      </w:tr>
      <w:tr w:rsidR="00000000">
        <w:trPr>
          <w:divId w:val="442264756"/>
        </w:trPr>
        <w:tc>
          <w:tcPr>
            <w:tcW w:w="21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left="120"/>
              <w:rPr>
                <w:sz w:val="20"/>
                <w:szCs w:val="20"/>
              </w:rPr>
            </w:pPr>
            <w:r>
              <w:rPr>
                <w:sz w:val="20"/>
                <w:szCs w:val="20"/>
              </w:rPr>
              <w:t>Marketable securities</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74"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jc w:val="center"/>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207,086</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8</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jc w:val="right"/>
              <w:rPr>
                <w:sz w:val="20"/>
                <w:szCs w:val="20"/>
              </w:rPr>
            </w:pPr>
            <w:r>
              <w:rPr>
                <w:sz w:val="20"/>
                <w:szCs w:val="20"/>
              </w:rPr>
              <w:t>(174)</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96"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206,920</w:t>
            </w:r>
          </w:p>
        </w:tc>
      </w:tr>
      <w:tr w:rsidR="00000000">
        <w:trPr>
          <w:divId w:val="442264756"/>
        </w:trPr>
        <w:tc>
          <w:tcPr>
            <w:tcW w:w="218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 xml:space="preserve">Money market funds </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74" w:type="pct"/>
            <w:tcMar>
              <w:top w:w="0" w:type="dxa"/>
              <w:left w:w="0" w:type="dxa"/>
              <w:bottom w:w="0" w:type="dxa"/>
              <w:right w:w="0" w:type="dxa"/>
            </w:tcMar>
            <w:vAlign w:val="center"/>
            <w:hideMark/>
          </w:tcPr>
          <w:p w:rsidR="00000000" w:rsidRDefault="008B747E">
            <w:pPr>
              <w:pStyle w:val="a3"/>
              <w:spacing w:before="0" w:beforeAutospacing="0" w:after="0" w:afterAutospacing="0"/>
              <w:jc w:val="center"/>
              <w:rPr>
                <w:sz w:val="20"/>
                <w:szCs w:val="20"/>
              </w:rPr>
            </w:pPr>
            <w:r>
              <w:rPr>
                <w:sz w:val="20"/>
                <w:szCs w:val="20"/>
              </w:rPr>
              <w:t>Level 1</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294,751</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tcBorders>
              <w:bottom w:val="single" w:sz="6" w:space="0" w:color="000000"/>
            </w:tcBorders>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w:t>
            </w:r>
          </w:p>
        </w:tc>
        <w:tc>
          <w:tcPr>
            <w:tcW w:w="9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96" w:type="pct"/>
            <w:tcBorders>
              <w:bottom w:val="single" w:sz="6" w:space="0" w:color="000000"/>
            </w:tcBorders>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294,751</w:t>
            </w:r>
          </w:p>
        </w:tc>
      </w:tr>
      <w:tr w:rsidR="00000000">
        <w:trPr>
          <w:divId w:val="442264756"/>
        </w:trPr>
        <w:tc>
          <w:tcPr>
            <w:tcW w:w="2187" w:type="pct"/>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left="240"/>
              <w:rPr>
                <w:sz w:val="20"/>
                <w:szCs w:val="20"/>
              </w:rPr>
            </w:pPr>
            <w:r>
              <w:rPr>
                <w:sz w:val="20"/>
                <w:szCs w:val="20"/>
              </w:rPr>
              <w:t xml:space="preserve">Total </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374"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501,837</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8</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5" w:type="pct"/>
            <w:tcBorders>
              <w:bottom w:val="double" w:sz="6" w:space="0" w:color="000000"/>
            </w:tcBorders>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jc w:val="right"/>
              <w:rPr>
                <w:sz w:val="20"/>
                <w:szCs w:val="20"/>
              </w:rPr>
            </w:pPr>
            <w:r>
              <w:rPr>
                <w:sz w:val="20"/>
                <w:szCs w:val="20"/>
              </w:rPr>
              <w:t>(174)</w:t>
            </w:r>
          </w:p>
        </w:tc>
        <w:tc>
          <w:tcPr>
            <w:tcW w:w="9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9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96" w:type="pct"/>
            <w:tcBorders>
              <w:bottom w:val="double" w:sz="6" w:space="0" w:color="000000"/>
            </w:tcBorders>
            <w:shd w:val="clear" w:color="auto" w:fill="CCEEFF"/>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501,671</w:t>
            </w:r>
          </w:p>
        </w:tc>
      </w:tr>
    </w:tbl>
    <w:p w:rsidR="00000000" w:rsidRDefault="008B747E">
      <w:pPr>
        <w:pStyle w:val="a3"/>
        <w:spacing w:before="0" w:beforeAutospacing="0" w:after="0" w:afterAutospacing="0"/>
        <w:divId w:val="442264756"/>
        <w:rPr>
          <w:sz w:val="20"/>
          <w:szCs w:val="20"/>
        </w:rPr>
      </w:pPr>
      <w:r>
        <w:rPr>
          <w:sz w:val="20"/>
          <w:szCs w:val="20"/>
        </w:rPr>
        <w:t>​</w:t>
      </w:r>
    </w:p>
    <w:p w:rsidR="00000000" w:rsidRDefault="008B747E">
      <w:pPr>
        <w:pStyle w:val="a3"/>
        <w:spacing w:before="0" w:beforeAutospacing="0" w:after="0" w:afterAutospacing="0"/>
        <w:ind w:firstLine="720"/>
        <w:divId w:val="442264756"/>
        <w:rPr>
          <w:sz w:val="20"/>
          <w:szCs w:val="20"/>
        </w:rPr>
      </w:pPr>
      <w:r>
        <w:rPr>
          <w:sz w:val="20"/>
          <w:szCs w:val="20"/>
        </w:rPr>
        <w:t>As of June 30, 2019, all of the available-for-sale securities had contractual maturities within one year and the weighted-average maturity of marketable securities was approximately</w:t>
      </w:r>
      <w:r>
        <w:rPr>
          <w:color w:val="FF0000"/>
          <w:sz w:val="20"/>
          <w:szCs w:val="20"/>
        </w:rPr>
        <w:t xml:space="preserve"> </w:t>
      </w:r>
      <w:r>
        <w:rPr>
          <w:sz w:val="20"/>
          <w:szCs w:val="20"/>
        </w:rPr>
        <w:t>three months. There were no transfers between Level 1 and Level 2 during t</w:t>
      </w:r>
      <w:r>
        <w:rPr>
          <w:sz w:val="20"/>
          <w:szCs w:val="20"/>
        </w:rPr>
        <w:t xml:space="preserve">he periods presented, and there have been no changes to the Company’s valuation techniques during the three and six months ended June 30, 2019. </w:t>
      </w:r>
    </w:p>
    <w:p w:rsidR="00000000" w:rsidRDefault="008B747E">
      <w:pPr>
        <w:pStyle w:val="a3"/>
        <w:spacing w:before="0" w:beforeAutospacing="0" w:after="0" w:afterAutospacing="0"/>
        <w:ind w:firstLine="720"/>
        <w:divId w:val="442264756"/>
        <w:rPr>
          <w:sz w:val="20"/>
          <w:szCs w:val="20"/>
        </w:rPr>
      </w:pPr>
      <w:r>
        <w:rPr>
          <w:sz w:val="20"/>
          <w:szCs w:val="20"/>
        </w:rPr>
        <w:t>​</w:t>
      </w:r>
    </w:p>
    <w:p w:rsidR="00000000" w:rsidRDefault="008B747E">
      <w:pPr>
        <w:pStyle w:val="a3"/>
        <w:spacing w:before="0" w:beforeAutospacing="0" w:after="0" w:afterAutospacing="0"/>
        <w:ind w:firstLine="720"/>
        <w:divId w:val="442264756"/>
        <w:rPr>
          <w:sz w:val="20"/>
          <w:szCs w:val="20"/>
        </w:rPr>
      </w:pPr>
      <w:r>
        <w:rPr>
          <w:sz w:val="20"/>
          <w:szCs w:val="20"/>
        </w:rPr>
        <w:t>In general, the Company invests in debt securities with the intent to hold such securities until maturity at par value. The Company does not intend to sell the investments that are currently in an unrealized loss position, and it is unlikely that it will b</w:t>
      </w:r>
      <w:r>
        <w:rPr>
          <w:sz w:val="20"/>
          <w:szCs w:val="20"/>
        </w:rPr>
        <w:t>e required to sell the investments before recovery of their amortized cost basis, which may be maturity. The Company has determined that the gross unrealized losses on its marketable securities, as of June 30, 2019, were temporary in nature, and there were</w:t>
      </w:r>
      <w:r>
        <w:rPr>
          <w:sz w:val="20"/>
          <w:szCs w:val="20"/>
        </w:rPr>
        <w:t xml:space="preserve"> no material unrealized losses on investments which have been in a loss position for more than twelve months as of June 30, 2019. </w:t>
      </w:r>
    </w:p>
    <w:p w:rsidR="00000000" w:rsidRDefault="008B747E">
      <w:pPr>
        <w:pStyle w:val="a3"/>
        <w:spacing w:before="0" w:beforeAutospacing="0" w:after="0" w:afterAutospacing="0"/>
        <w:ind w:firstLine="720"/>
        <w:divId w:val="442264756"/>
        <w:rPr>
          <w:sz w:val="20"/>
          <w:szCs w:val="20"/>
        </w:rPr>
      </w:pPr>
      <w:r>
        <w:rPr>
          <w:sz w:val="20"/>
          <w:szCs w:val="20"/>
        </w:rPr>
        <w:t>​</w:t>
      </w:r>
    </w:p>
    <w:p w:rsidR="00000000" w:rsidRDefault="008B747E">
      <w:pPr>
        <w:pStyle w:val="a3"/>
        <w:spacing w:before="0" w:beforeAutospacing="0" w:after="0" w:afterAutospacing="0"/>
        <w:ind w:firstLine="720"/>
        <w:divId w:val="442264756"/>
        <w:rPr>
          <w:sz w:val="20"/>
          <w:szCs w:val="20"/>
        </w:rPr>
      </w:pPr>
      <w:r>
        <w:rPr>
          <w:sz w:val="20"/>
          <w:szCs w:val="20"/>
        </w:rPr>
        <w:t>As of June 30, 2019, the Company’s accumulated other comprehensive income on its condensed consolidated balance sheets cons</w:t>
      </w:r>
      <w:r>
        <w:rPr>
          <w:sz w:val="20"/>
          <w:szCs w:val="20"/>
        </w:rPr>
        <w:t xml:space="preserve">isted of net unrealized gains on available-for-sale investments. During the three and six months ended June 30, 2019 and 2018, the Company did not sell any of its marketable securities. </w:t>
      </w:r>
    </w:p>
    <w:p w:rsidR="00000000" w:rsidRDefault="008B747E">
      <w:pPr>
        <w:pStyle w:val="a3"/>
        <w:spacing w:before="0" w:beforeAutospacing="0" w:after="0" w:afterAutospacing="0"/>
        <w:ind w:firstLine="720"/>
        <w:divId w:val="442264756"/>
        <w:rPr>
          <w:sz w:val="20"/>
          <w:szCs w:val="20"/>
        </w:rPr>
      </w:pPr>
      <w:r>
        <w:rPr>
          <w:sz w:val="20"/>
          <w:szCs w:val="20"/>
        </w:rPr>
        <w:t>​</w:t>
      </w:r>
    </w:p>
    <w:p w:rsidR="00000000" w:rsidRDefault="008B747E">
      <w:pPr>
        <w:pStyle w:val="a3"/>
        <w:spacing w:before="0" w:beforeAutospacing="0" w:after="0" w:afterAutospacing="0"/>
        <w:divId w:val="442264756"/>
        <w:rPr>
          <w:sz w:val="20"/>
          <w:szCs w:val="20"/>
        </w:rPr>
      </w:pPr>
      <w:r>
        <w:rPr>
          <w:b/>
          <w:bCs/>
          <w:sz w:val="20"/>
          <w:szCs w:val="20"/>
        </w:rPr>
        <w:t>6. Long-Term Debt</w:t>
      </w:r>
    </w:p>
    <w:p w:rsidR="00000000" w:rsidRDefault="008B747E">
      <w:pPr>
        <w:pStyle w:val="a3"/>
        <w:spacing w:before="0" w:beforeAutospacing="0" w:after="0" w:afterAutospacing="0"/>
        <w:divId w:val="442264756"/>
        <w:rPr>
          <w:sz w:val="20"/>
          <w:szCs w:val="20"/>
        </w:rPr>
      </w:pPr>
      <w:r>
        <w:rPr>
          <w:b/>
          <w:bCs/>
          <w:sz w:val="10"/>
          <w:szCs w:val="10"/>
        </w:rPr>
        <w:t>​</w:t>
      </w:r>
    </w:p>
    <w:p w:rsidR="00000000" w:rsidRDefault="008B747E">
      <w:pPr>
        <w:pStyle w:val="a3"/>
        <w:spacing w:before="0" w:beforeAutospacing="0" w:after="120" w:afterAutospacing="0"/>
        <w:divId w:val="442264756"/>
        <w:rPr>
          <w:sz w:val="20"/>
          <w:szCs w:val="20"/>
        </w:rPr>
      </w:pPr>
      <w:r>
        <w:rPr>
          <w:i/>
          <w:iCs/>
          <w:sz w:val="20"/>
          <w:szCs w:val="20"/>
        </w:rPr>
        <w:t>9.0% Non-Recourse Notes Due 2033</w:t>
      </w:r>
    </w:p>
    <w:p w:rsidR="00000000" w:rsidRDefault="008B747E">
      <w:pPr>
        <w:pStyle w:val="a3"/>
        <w:spacing w:before="0" w:beforeAutospacing="0" w:after="0" w:afterAutospacing="0"/>
        <w:ind w:firstLine="720"/>
        <w:divId w:val="442264756"/>
        <w:rPr>
          <w:sz w:val="20"/>
          <w:szCs w:val="20"/>
        </w:rPr>
      </w:pPr>
      <w:r>
        <w:rPr>
          <w:sz w:val="20"/>
          <w:szCs w:val="20"/>
        </w:rPr>
        <w:t>In November 20</w:t>
      </w:r>
      <w:r>
        <w:rPr>
          <w:sz w:val="20"/>
          <w:szCs w:val="20"/>
        </w:rPr>
        <w:t>18, the Company entered into note purchase agreements relating to the private placement of $250.0 million aggregate principal amount of 9.0% non-recourse notes, due on or before 2033 (the "Non-Recourse 2033 Notes") issued by the Company’s wholly-owned subs</w:t>
      </w:r>
      <w:r>
        <w:rPr>
          <w:sz w:val="20"/>
          <w:szCs w:val="20"/>
        </w:rPr>
        <w:t xml:space="preserve">idiary, Triple Royalty Sub LLC (the “Issuer”). </w:t>
      </w:r>
    </w:p>
    <w:p w:rsidR="00000000" w:rsidRDefault="008B747E">
      <w:pPr>
        <w:pStyle w:val="a3"/>
        <w:spacing w:before="0" w:beforeAutospacing="0" w:after="0" w:afterAutospacing="0"/>
        <w:divId w:val="442264756"/>
        <w:rPr>
          <w:sz w:val="20"/>
          <w:szCs w:val="20"/>
        </w:rPr>
      </w:pPr>
      <w:r>
        <w:rPr>
          <w:sz w:val="20"/>
          <w:szCs w:val="20"/>
        </w:rPr>
        <w:t>​</w:t>
      </w:r>
    </w:p>
    <w:p w:rsidR="00000000" w:rsidRDefault="008B747E">
      <w:pPr>
        <w:pStyle w:val="a3"/>
        <w:spacing w:before="0" w:beforeAutospacing="0" w:after="0" w:afterAutospacing="0"/>
        <w:ind w:firstLine="720"/>
        <w:divId w:val="442264756"/>
        <w:rPr>
          <w:sz w:val="20"/>
          <w:szCs w:val="20"/>
        </w:rPr>
      </w:pPr>
      <w:r>
        <w:rPr>
          <w:sz w:val="20"/>
          <w:szCs w:val="20"/>
        </w:rPr>
        <w:t>The Non-Recourse 2033 Notes are secured by all of the Issuer’s rights, title and interest as a holder of certain membership interests (the “Issuer Class C Units”) in Theravance Respiratory Company, LLC (“TR</w:t>
      </w:r>
      <w:r>
        <w:rPr>
          <w:sz w:val="20"/>
          <w:szCs w:val="20"/>
        </w:rPr>
        <w:t>C”). The primary source of funds to make payments on the Non-Recourse 2033 Notes will be the 63.75% economic interest of the Issuer (evidenced by the Issuer Class C Units) in any future payments made by the Glaxo Group or one of its affiliates (“GSK”) unde</w:t>
      </w:r>
      <w:r>
        <w:rPr>
          <w:sz w:val="20"/>
          <w:szCs w:val="20"/>
        </w:rPr>
        <w:t>r the collaboration agreement, dated as of November 14, 2002, by and between Innoviva, Inc. (“Innoviva”) and GSK, as amended from time to time (net of the amount of cash, if any, expected to be used in TRC pursuant to the TRC LLC Agreement over the next fo</w:t>
      </w:r>
      <w:r>
        <w:rPr>
          <w:sz w:val="20"/>
          <w:szCs w:val="20"/>
        </w:rPr>
        <w:t>ur fiscal quarters) relating to the </w:t>
      </w:r>
      <w:r>
        <w:rPr>
          <w:caps/>
          <w:sz w:val="20"/>
          <w:szCs w:val="20"/>
        </w:rPr>
        <w:t xml:space="preserve">TRELEGY ELLIPTA </w:t>
      </w:r>
      <w:r>
        <w:rPr>
          <w:sz w:val="20"/>
          <w:szCs w:val="20"/>
        </w:rPr>
        <w:t xml:space="preserve">program. The sole source of principal and interest payments for the Non-Recourse 2033 Notes are the future royalty payments generated from the TRELEGY ELLIPTA program, and as a result, the holders of the </w:t>
      </w:r>
      <w:r>
        <w:rPr>
          <w:sz w:val="20"/>
          <w:szCs w:val="20"/>
        </w:rPr>
        <w:t>Non-Recourse 2033 Notes have no recourse against the Company even if the TRELEGY ELLIPTA payments are insufficient to cover the principal and interest payments for the Non-Recourse 2033 Notes.</w:t>
      </w:r>
    </w:p>
    <w:p w:rsidR="00000000" w:rsidRDefault="008B747E">
      <w:pPr>
        <w:pStyle w:val="a3"/>
        <w:spacing w:before="0" w:beforeAutospacing="0" w:after="0" w:afterAutospacing="0"/>
        <w:ind w:firstLine="720"/>
        <w:divId w:val="442264756"/>
        <w:rPr>
          <w:sz w:val="20"/>
          <w:szCs w:val="20"/>
        </w:rPr>
      </w:pPr>
      <w:r>
        <w:rPr>
          <w:sz w:val="20"/>
          <w:szCs w:val="20"/>
        </w:rPr>
        <w:t> </w:t>
      </w:r>
    </w:p>
    <w:p w:rsidR="00000000" w:rsidRDefault="008B747E">
      <w:pPr>
        <w:pStyle w:val="a3"/>
        <w:spacing w:before="0" w:beforeAutospacing="0" w:after="0" w:afterAutospacing="0"/>
        <w:ind w:firstLine="720"/>
        <w:divId w:val="442264756"/>
        <w:rPr>
          <w:sz w:val="20"/>
          <w:szCs w:val="20"/>
        </w:rPr>
      </w:pPr>
      <w:r>
        <w:rPr>
          <w:sz w:val="20"/>
          <w:szCs w:val="20"/>
        </w:rPr>
        <w:t xml:space="preserve">The Non-Recourse 2033 Notes are not convertible into Company </w:t>
      </w:r>
      <w:r>
        <w:rPr>
          <w:sz w:val="20"/>
          <w:szCs w:val="20"/>
        </w:rPr>
        <w:t>equity and have no security interest in nor rights under any agreement with GSK. The Non-Recourse 2033 Notes may be redeemed at any time prior to maturity, in whole or in part, at specified redemption premiums. The Non-Recourse 2033 Notes bear an annual in</w:t>
      </w:r>
      <w:r>
        <w:rPr>
          <w:sz w:val="20"/>
          <w:szCs w:val="20"/>
        </w:rPr>
        <w:t>terest rate of 9.0%, with interest and principal paid quarterly beginning April 15, 2019. Prior to October 15, 2020, in the event that the distributions received by the Issuer from TRC in a quarter are less than the interest accrued for the quarter, the pr</w:t>
      </w:r>
      <w:r>
        <w:rPr>
          <w:sz w:val="20"/>
          <w:szCs w:val="20"/>
        </w:rPr>
        <w:t>incipal amount of the Non-Recourse 2033 Notes will increase by the interest shortfall amount for that period without a default or event of default occurring. The terms of the Notes also provide that the Company, at its option, may satisfy the quarterly int</w:t>
      </w:r>
      <w:r>
        <w:rPr>
          <w:sz w:val="20"/>
          <w:szCs w:val="20"/>
        </w:rPr>
        <w:t xml:space="preserve">erest payment </w:t>
      </w:r>
    </w:p>
    <w:p w:rsidR="00000000" w:rsidRDefault="008B747E">
      <w:pPr>
        <w:pStyle w:val="a3"/>
        <w:spacing w:before="360" w:beforeAutospacing="0" w:after="0" w:afterAutospacing="0"/>
        <w:jc w:val="center"/>
        <w:divId w:val="1489322692"/>
        <w:rPr>
          <w:sz w:val="20"/>
          <w:szCs w:val="20"/>
        </w:rPr>
      </w:pPr>
      <w:r>
        <w:rPr>
          <w:sz w:val="20"/>
          <w:szCs w:val="20"/>
        </w:rPr>
        <w:t>14</w:t>
      </w:r>
    </w:p>
    <w:p w:rsidR="00000000" w:rsidRDefault="008B747E">
      <w:pPr>
        <w:pStyle w:val="a3"/>
        <w:spacing w:before="0" w:beforeAutospacing="0" w:after="600" w:afterAutospacing="0"/>
        <w:divId w:val="1464347870"/>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1362851990"/>
        <w:rPr>
          <w:sz w:val="20"/>
          <w:szCs w:val="20"/>
        </w:rPr>
      </w:pPr>
      <w:r>
        <w:rPr>
          <w:sz w:val="20"/>
          <w:szCs w:val="20"/>
        </w:rPr>
        <w:t xml:space="preserve">obligations by making a capital contribution to the Issuer, but not for more than four (4) consecutive quarterly interest payment dates or for more than six (6) quarterly interest payment dates </w:t>
      </w:r>
      <w:r>
        <w:rPr>
          <w:sz w:val="20"/>
          <w:szCs w:val="20"/>
        </w:rPr>
        <w:t>during the term of the Notes. Since the principal and interest payments on the Non-Recourse 2033 Notes are ultimately based on royalties from </w:t>
      </w:r>
      <w:r>
        <w:rPr>
          <w:caps/>
          <w:sz w:val="20"/>
          <w:szCs w:val="20"/>
        </w:rPr>
        <w:t>TRELEGY</w:t>
      </w:r>
      <w:r>
        <w:rPr>
          <w:sz w:val="20"/>
          <w:szCs w:val="20"/>
        </w:rPr>
        <w:t xml:space="preserve"> ELLIPTA product sales, which will vary from quarter to quarter, the Non-Recourse 2033 Notes may be repaid </w:t>
      </w:r>
      <w:r>
        <w:rPr>
          <w:sz w:val="20"/>
          <w:szCs w:val="20"/>
        </w:rPr>
        <w:t>prior to the final maturity date in 2033. The portion of the Non-Recourse 2033 Notes classified as a current liability is based on the amount of royalties received, or receivable, as of June 30, 2019, that are expected to be used to make a principal repaym</w:t>
      </w:r>
      <w:r>
        <w:rPr>
          <w:sz w:val="20"/>
          <w:szCs w:val="20"/>
        </w:rPr>
        <w:t xml:space="preserve">ent on the Non-Recourse 2033 Notes. </w:t>
      </w:r>
    </w:p>
    <w:p w:rsidR="00000000" w:rsidRDefault="008B747E">
      <w:pPr>
        <w:pStyle w:val="a3"/>
        <w:spacing w:before="0" w:beforeAutospacing="0" w:after="0" w:afterAutospacing="0"/>
        <w:ind w:firstLine="720"/>
        <w:divId w:val="1362851990"/>
        <w:rPr>
          <w:sz w:val="20"/>
          <w:szCs w:val="20"/>
        </w:rPr>
      </w:pPr>
      <w:r>
        <w:rPr>
          <w:sz w:val="20"/>
          <w:szCs w:val="20"/>
        </w:rPr>
        <w:t>​</w:t>
      </w:r>
    </w:p>
    <w:p w:rsidR="00000000" w:rsidRDefault="008B747E">
      <w:pPr>
        <w:pStyle w:val="a3"/>
        <w:spacing w:before="0" w:beforeAutospacing="0" w:after="0" w:afterAutospacing="0"/>
        <w:ind w:firstLine="720"/>
        <w:divId w:val="1362851990"/>
        <w:rPr>
          <w:sz w:val="20"/>
          <w:szCs w:val="20"/>
        </w:rPr>
      </w:pPr>
      <w:r>
        <w:rPr>
          <w:sz w:val="20"/>
          <w:szCs w:val="20"/>
        </w:rPr>
        <w:t>In order to comply with Regulation RR – Credit Risk Retention (17 C.F.R. Part 246), 5.0% of the principal amount of the Non-Recourse 2033 Notes were retained by Theravance Biopharma R&amp;D, Inc. and eliminated in the Com</w:t>
      </w:r>
      <w:r>
        <w:rPr>
          <w:sz w:val="20"/>
          <w:szCs w:val="20"/>
        </w:rPr>
        <w:t>pany’s condensed consolidated financial statements.</w:t>
      </w:r>
    </w:p>
    <w:p w:rsidR="00000000" w:rsidRDefault="008B747E">
      <w:pPr>
        <w:pStyle w:val="a3"/>
        <w:spacing w:before="0" w:beforeAutospacing="0" w:after="0" w:afterAutospacing="0"/>
        <w:ind w:firstLine="720"/>
        <w:divId w:val="1362851990"/>
        <w:rPr>
          <w:sz w:val="20"/>
          <w:szCs w:val="20"/>
        </w:rPr>
      </w:pPr>
      <w:r>
        <w:rPr>
          <w:sz w:val="20"/>
          <w:szCs w:val="20"/>
        </w:rPr>
        <w:t>​</w:t>
      </w:r>
    </w:p>
    <w:p w:rsidR="00000000" w:rsidRDefault="008B747E">
      <w:pPr>
        <w:pStyle w:val="a3"/>
        <w:spacing w:before="0" w:beforeAutospacing="0" w:after="0" w:afterAutospacing="0"/>
        <w:ind w:firstLine="720"/>
        <w:divId w:val="1362851990"/>
        <w:rPr>
          <w:sz w:val="20"/>
          <w:szCs w:val="20"/>
        </w:rPr>
      </w:pPr>
      <w:r>
        <w:rPr>
          <w:sz w:val="20"/>
          <w:szCs w:val="20"/>
        </w:rPr>
        <w:t>In May 2019, the Company announced that it had initiated an arbitration against Innoviva and TRC because Innoviva has caused TRC to not make certain distributions owed to us with respect to our 85% econ</w:t>
      </w:r>
      <w:r>
        <w:rPr>
          <w:sz w:val="20"/>
          <w:szCs w:val="20"/>
        </w:rPr>
        <w:t>omic interest in TRC since the quarter ended December 31, 2018, and Innoviva’s previous statement to us that it intends to cause TRC to withhold making further cash distributions through calendar year 2019. The arbitration hearing commenced on July 23, 201</w:t>
      </w:r>
      <w:r>
        <w:rPr>
          <w:sz w:val="20"/>
          <w:szCs w:val="20"/>
        </w:rPr>
        <w:t>9. Resolution of the arbitration should occur in the third quarter of 2019.</w:t>
      </w:r>
    </w:p>
    <w:p w:rsidR="00000000" w:rsidRDefault="008B747E">
      <w:pPr>
        <w:pStyle w:val="a3"/>
        <w:spacing w:before="0" w:beforeAutospacing="0" w:after="0" w:afterAutospacing="0"/>
        <w:divId w:val="1362851990"/>
        <w:rPr>
          <w:sz w:val="20"/>
          <w:szCs w:val="20"/>
        </w:rPr>
      </w:pPr>
      <w:r>
        <w:rPr>
          <w:sz w:val="20"/>
          <w:szCs w:val="20"/>
        </w:rPr>
        <w:t>​</w:t>
      </w:r>
    </w:p>
    <w:p w:rsidR="00000000" w:rsidRDefault="008B747E">
      <w:pPr>
        <w:pStyle w:val="a3"/>
        <w:spacing w:before="0" w:beforeAutospacing="0" w:after="0" w:afterAutospacing="0"/>
        <w:ind w:firstLine="720"/>
        <w:divId w:val="1362851990"/>
        <w:rPr>
          <w:sz w:val="20"/>
          <w:szCs w:val="20"/>
        </w:rPr>
      </w:pPr>
      <w:r>
        <w:rPr>
          <w:sz w:val="20"/>
          <w:szCs w:val="20"/>
        </w:rPr>
        <w:t>As of June 30, 2019, the net principal and estimated fair market value of the Non-Recourse 2033 Notes were $237.5 million and $220.9 million, respectively. The inputs to determin</w:t>
      </w:r>
      <w:r>
        <w:rPr>
          <w:sz w:val="20"/>
          <w:szCs w:val="20"/>
        </w:rPr>
        <w:t>e fair value of the Non-Recourse 2033 Notes are categorized as Level 2 inputs. Level 2 inputs include quoted prices for similar instruments in active markets; quoted prices for identical or similar instruments in markets that are not active; and model-deri</w:t>
      </w:r>
      <w:r>
        <w:rPr>
          <w:sz w:val="20"/>
          <w:szCs w:val="20"/>
        </w:rPr>
        <w:t>ved valuations whose inputs are observable or whose significant value drivers are observable.</w:t>
      </w:r>
    </w:p>
    <w:p w:rsidR="00000000" w:rsidRDefault="008B747E">
      <w:pPr>
        <w:pStyle w:val="a3"/>
        <w:spacing w:before="0" w:beforeAutospacing="0" w:after="0" w:afterAutospacing="0"/>
        <w:ind w:firstLine="720"/>
        <w:divId w:val="1362851990"/>
        <w:rPr>
          <w:sz w:val="20"/>
          <w:szCs w:val="20"/>
        </w:rPr>
      </w:pPr>
      <w:r>
        <w:rPr>
          <w:sz w:val="20"/>
          <w:szCs w:val="20"/>
        </w:rPr>
        <w:t>​</w:t>
      </w:r>
    </w:p>
    <w:p w:rsidR="00000000" w:rsidRDefault="008B747E">
      <w:pPr>
        <w:pStyle w:val="a3"/>
        <w:spacing w:before="0" w:beforeAutospacing="0" w:after="120" w:afterAutospacing="0"/>
        <w:divId w:val="1362851990"/>
        <w:rPr>
          <w:sz w:val="20"/>
          <w:szCs w:val="20"/>
        </w:rPr>
      </w:pPr>
      <w:r>
        <w:rPr>
          <w:i/>
          <w:iCs/>
          <w:sz w:val="20"/>
          <w:szCs w:val="20"/>
        </w:rPr>
        <w:t>3.25% Convertible Senior Notes Due 2023</w:t>
      </w:r>
    </w:p>
    <w:p w:rsidR="00000000" w:rsidRDefault="008B747E">
      <w:pPr>
        <w:pStyle w:val="a3"/>
        <w:spacing w:before="0" w:beforeAutospacing="0" w:after="0" w:afterAutospacing="0"/>
        <w:ind w:firstLine="720"/>
        <w:divId w:val="1362851990"/>
        <w:rPr>
          <w:sz w:val="20"/>
          <w:szCs w:val="20"/>
        </w:rPr>
      </w:pPr>
      <w:r>
        <w:rPr>
          <w:sz w:val="20"/>
          <w:szCs w:val="20"/>
        </w:rPr>
        <w:t>The Company has $230.0 million of 3.250% convertible senior notes due in 2023 (“</w:t>
      </w:r>
      <w:r>
        <w:rPr>
          <w:sz w:val="20"/>
          <w:szCs w:val="20"/>
        </w:rPr>
        <w:t>Convertible Senior 2023 Notes”) outstanding as of June 30, 2019 with an estimated fair value of $198.5 million. The estimated fair value was primarily based upon the underlying price of Theravance Biopharma’s publicly traded shares and other observable inp</w:t>
      </w:r>
      <w:r>
        <w:rPr>
          <w:sz w:val="20"/>
          <w:szCs w:val="20"/>
        </w:rPr>
        <w:t>uts as of June 30, 2019. The inputs to determine fair value of the Convertible Senior 2023 Notes are categorized as Level 2 inputs. Level 2 inputs include quoted prices for similar instruments in active markets; quoted prices for identical or similar instr</w:t>
      </w:r>
      <w:r>
        <w:rPr>
          <w:sz w:val="20"/>
          <w:szCs w:val="20"/>
        </w:rPr>
        <w:t>uments in markets that are not active; and model-derived valuations whose inputs are observable or whose significant value drivers are observable.</w:t>
      </w:r>
    </w:p>
    <w:p w:rsidR="00000000" w:rsidRDefault="008B747E">
      <w:pPr>
        <w:pStyle w:val="a3"/>
        <w:spacing w:before="0" w:beforeAutospacing="0" w:after="0" w:afterAutospacing="0"/>
        <w:ind w:firstLine="720"/>
        <w:divId w:val="1362851990"/>
        <w:rPr>
          <w:sz w:val="20"/>
          <w:szCs w:val="20"/>
        </w:rPr>
      </w:pPr>
      <w:r>
        <w:rPr>
          <w:b/>
          <w:bCs/>
          <w:sz w:val="20"/>
          <w:szCs w:val="20"/>
        </w:rPr>
        <w:t>​</w:t>
      </w:r>
    </w:p>
    <w:p w:rsidR="00000000" w:rsidRDefault="008B747E">
      <w:pPr>
        <w:pStyle w:val="a3"/>
        <w:spacing w:before="0" w:beforeAutospacing="0" w:after="0" w:afterAutospacing="0"/>
        <w:divId w:val="1362851990"/>
        <w:rPr>
          <w:sz w:val="20"/>
          <w:szCs w:val="20"/>
        </w:rPr>
      </w:pPr>
      <w:r>
        <w:rPr>
          <w:b/>
          <w:bCs/>
          <w:sz w:val="20"/>
          <w:szCs w:val="20"/>
        </w:rPr>
        <w:t>7. Leases</w:t>
      </w:r>
    </w:p>
    <w:p w:rsidR="00000000" w:rsidRDefault="008B747E">
      <w:pPr>
        <w:pStyle w:val="a3"/>
        <w:spacing w:before="0" w:beforeAutospacing="0" w:after="0" w:afterAutospacing="0"/>
        <w:divId w:val="1362851990"/>
        <w:rPr>
          <w:sz w:val="20"/>
          <w:szCs w:val="20"/>
        </w:rPr>
      </w:pPr>
      <w:r>
        <w:rPr>
          <w:sz w:val="10"/>
          <w:szCs w:val="10"/>
        </w:rPr>
        <w:t>​</w:t>
      </w:r>
    </w:p>
    <w:p w:rsidR="00000000" w:rsidRDefault="008B747E">
      <w:pPr>
        <w:pStyle w:val="a3"/>
        <w:spacing w:before="0" w:beforeAutospacing="0" w:after="0" w:afterAutospacing="0"/>
        <w:ind w:firstLine="720"/>
        <w:divId w:val="1362851990"/>
        <w:rPr>
          <w:sz w:val="20"/>
          <w:szCs w:val="20"/>
        </w:rPr>
      </w:pPr>
      <w:r>
        <w:rPr>
          <w:sz w:val="20"/>
          <w:szCs w:val="20"/>
        </w:rPr>
        <w:t>The Company leases approximately 170,000 square feet of office and laboratory space in two buil</w:t>
      </w:r>
      <w:r>
        <w:rPr>
          <w:sz w:val="20"/>
          <w:szCs w:val="20"/>
        </w:rPr>
        <w:t>dings in South San Francisco, California, under a non-cancelable operating lease that ends in May 2030 (“SSF Lease”) and includes a tenant improvement allowance with a remaining balance of $15.8 million, as of June 30, 2019, that expires in May 2022. The C</w:t>
      </w:r>
      <w:r>
        <w:rPr>
          <w:sz w:val="20"/>
          <w:szCs w:val="20"/>
        </w:rPr>
        <w:t>ompany’s Irish subsidiary leases approximately 6,100 square feet of office space in Dublin, Ireland under a lease that expires in April 2027 (“Dublin Lease”). In addition, the Company leases equipment for clinical research studies with an estimated duratio</w:t>
      </w:r>
      <w:r>
        <w:rPr>
          <w:sz w:val="20"/>
          <w:szCs w:val="20"/>
        </w:rPr>
        <w:t>n of approximately</w:t>
      </w:r>
      <w:r>
        <w:rPr>
          <w:sz w:val="20"/>
          <w:szCs w:val="20"/>
        </w:rPr>
        <w:t xml:space="preserve"> </w:t>
      </w:r>
      <w:r>
        <w:rPr>
          <w:sz w:val="20"/>
          <w:szCs w:val="20"/>
        </w:rPr>
        <w:t>21 month</w:t>
      </w:r>
      <w:r>
        <w:rPr>
          <w:sz w:val="20"/>
          <w:szCs w:val="20"/>
        </w:rPr>
        <w:t>s</w:t>
      </w:r>
      <w:r>
        <w:rPr>
          <w:sz w:val="20"/>
          <w:szCs w:val="20"/>
        </w:rPr>
        <w:t xml:space="preserve"> ending in September 2020</w:t>
      </w:r>
      <w:r>
        <w:rPr>
          <w:sz w:val="20"/>
          <w:szCs w:val="20"/>
        </w:rPr>
        <w:t>.</w:t>
      </w:r>
    </w:p>
    <w:p w:rsidR="00000000" w:rsidRDefault="008B747E">
      <w:pPr>
        <w:pStyle w:val="a3"/>
        <w:spacing w:before="0" w:beforeAutospacing="0" w:after="0" w:afterAutospacing="0"/>
        <w:ind w:firstLine="720"/>
        <w:divId w:val="1362851990"/>
        <w:rPr>
          <w:sz w:val="20"/>
          <w:szCs w:val="20"/>
        </w:rPr>
      </w:pPr>
      <w:r>
        <w:rPr>
          <w:sz w:val="16"/>
          <w:szCs w:val="16"/>
        </w:rPr>
        <w:t>​</w:t>
      </w:r>
    </w:p>
    <w:p w:rsidR="00000000" w:rsidRDefault="008B747E">
      <w:pPr>
        <w:pStyle w:val="a3"/>
        <w:spacing w:before="0" w:beforeAutospacing="0" w:after="0" w:afterAutospacing="0"/>
        <w:ind w:firstLine="720"/>
        <w:divId w:val="1362851990"/>
        <w:rPr>
          <w:sz w:val="20"/>
          <w:szCs w:val="20"/>
        </w:rPr>
      </w:pPr>
      <w:r>
        <w:rPr>
          <w:sz w:val="20"/>
          <w:szCs w:val="20"/>
        </w:rPr>
        <w:t>The SSF Lease contains two options to</w:t>
      </w:r>
      <w:r>
        <w:rPr>
          <w:sz w:val="20"/>
          <w:szCs w:val="20"/>
        </w:rPr>
        <w:t xml:space="preserve"> </w:t>
      </w:r>
      <w:r>
        <w:rPr>
          <w:sz w:val="20"/>
          <w:szCs w:val="20"/>
        </w:rPr>
        <w:t>exten</w:t>
      </w:r>
      <w:r>
        <w:rPr>
          <w:sz w:val="20"/>
          <w:szCs w:val="20"/>
        </w:rPr>
        <w:t>d</w:t>
      </w:r>
      <w:r>
        <w:rPr>
          <w:sz w:val="20"/>
          <w:szCs w:val="20"/>
        </w:rPr>
        <w:t xml:space="preserve"> the term of the lease for successive periods of</w:t>
      </w:r>
      <w:r>
        <w:rPr>
          <w:sz w:val="20"/>
          <w:szCs w:val="20"/>
        </w:rPr>
        <w:t xml:space="preserve"> </w:t>
      </w:r>
      <w:r>
        <w:rPr>
          <w:sz w:val="20"/>
          <w:szCs w:val="20"/>
        </w:rPr>
        <w:t>five year</w:t>
      </w:r>
      <w:r>
        <w:rPr>
          <w:sz w:val="20"/>
          <w:szCs w:val="20"/>
        </w:rPr>
        <w:t>s</w:t>
      </w:r>
      <w:r>
        <w:rPr>
          <w:sz w:val="20"/>
          <w:szCs w:val="20"/>
        </w:rPr>
        <w:t xml:space="preserve"> each, and the Dublin Lease contains a lease</w:t>
      </w:r>
      <w:r>
        <w:rPr>
          <w:sz w:val="20"/>
          <w:szCs w:val="20"/>
        </w:rPr>
        <w:t xml:space="preserve"> </w:t>
      </w:r>
      <w:r>
        <w:rPr>
          <w:sz w:val="20"/>
          <w:szCs w:val="20"/>
        </w:rPr>
        <w:t>terminatio</w:t>
      </w:r>
      <w:r>
        <w:rPr>
          <w:sz w:val="20"/>
          <w:szCs w:val="20"/>
        </w:rPr>
        <w:t>n</w:t>
      </w:r>
      <w:r>
        <w:rPr>
          <w:sz w:val="20"/>
          <w:szCs w:val="20"/>
        </w:rPr>
        <w:t xml:space="preserve"> option in April 2024 at the Company’s d</w:t>
      </w:r>
      <w:r>
        <w:rPr>
          <w:sz w:val="20"/>
          <w:szCs w:val="20"/>
        </w:rPr>
        <w:t>iscretion. The two options to extend the SSF Lease and the option to terminate the Dublin Lease were not recognized in the determination of the Company’s right-of-use assets and lease liabilities below</w:t>
      </w:r>
      <w:r>
        <w:rPr>
          <w:sz w:val="20"/>
          <w:szCs w:val="20"/>
        </w:rPr>
        <w:t>.</w:t>
      </w:r>
    </w:p>
    <w:p w:rsidR="00000000" w:rsidRDefault="008B747E">
      <w:pPr>
        <w:pStyle w:val="a3"/>
        <w:spacing w:before="0" w:beforeAutospacing="0" w:after="0" w:afterAutospacing="0"/>
        <w:divId w:val="1362851990"/>
        <w:rPr>
          <w:sz w:val="20"/>
          <w:szCs w:val="20"/>
        </w:rPr>
      </w:pPr>
      <w:r>
        <w:rPr>
          <w:sz w:val="16"/>
          <w:szCs w:val="16"/>
        </w:rPr>
        <w:t>​</w:t>
      </w:r>
    </w:p>
    <w:p w:rsidR="00000000" w:rsidRDefault="008B747E">
      <w:pPr>
        <w:pStyle w:val="a3"/>
        <w:spacing w:before="0" w:beforeAutospacing="0" w:after="0" w:afterAutospacing="0"/>
        <w:ind w:firstLine="720"/>
        <w:divId w:val="1362851990"/>
        <w:rPr>
          <w:sz w:val="20"/>
          <w:szCs w:val="20"/>
        </w:rPr>
      </w:pPr>
      <w:r>
        <w:rPr>
          <w:sz w:val="20"/>
          <w:szCs w:val="20"/>
        </w:rPr>
        <w:t>The Company has evaluated its leases and determined</w:t>
      </w:r>
      <w:r>
        <w:rPr>
          <w:sz w:val="20"/>
          <w:szCs w:val="20"/>
        </w:rPr>
        <w:t xml:space="preserve"> that they were all operating leases. The present values of the remaining lease payments and corresponding right-of-use assets were as follows, and the difference between the right-of-use assets and lease liabilities amounts was due to deferred rent paymen</w:t>
      </w:r>
      <w:r>
        <w:rPr>
          <w:sz w:val="20"/>
          <w:szCs w:val="20"/>
        </w:rPr>
        <w:t>ts that are payable in future periods.</w:t>
      </w:r>
    </w:p>
    <w:p w:rsidR="00000000" w:rsidRDefault="008B747E">
      <w:pPr>
        <w:pStyle w:val="a3"/>
        <w:spacing w:before="0" w:beforeAutospacing="0" w:after="0" w:afterAutospacing="0"/>
        <w:ind w:firstLine="720"/>
        <w:divId w:val="1362851990"/>
        <w:rPr>
          <w:sz w:val="20"/>
          <w:szCs w:val="20"/>
        </w:rPr>
      </w:pPr>
      <w:r>
        <w:rPr>
          <w:sz w:val="20"/>
          <w:szCs w:val="20"/>
        </w:rPr>
        <w:t>​</w:t>
      </w:r>
    </w:p>
    <w:p w:rsidR="00000000" w:rsidRDefault="008B747E">
      <w:pPr>
        <w:pStyle w:val="a3"/>
        <w:spacing w:before="0" w:beforeAutospacing="0" w:after="0" w:afterAutospacing="0"/>
        <w:divId w:val="1362851990"/>
        <w:rPr>
          <w:sz w:val="20"/>
          <w:szCs w:val="20"/>
        </w:rPr>
      </w:pPr>
      <w:r>
        <w:rPr>
          <w:sz w:val="20"/>
          <w:szCs w:val="20"/>
        </w:rPr>
        <w:t>​</w:t>
      </w:r>
    </w:p>
    <w:p w:rsidR="00000000" w:rsidRDefault="008B747E">
      <w:pPr>
        <w:pStyle w:val="a3"/>
        <w:spacing w:before="0" w:beforeAutospacing="0" w:after="0" w:afterAutospacing="0"/>
        <w:divId w:val="1362851990"/>
        <w:rPr>
          <w:sz w:val="20"/>
          <w:szCs w:val="20"/>
        </w:rPr>
      </w:pPr>
      <w:r>
        <w:rPr>
          <w:sz w:val="20"/>
          <w:szCs w:val="20"/>
        </w:rPr>
        <w:t>​</w:t>
      </w:r>
    </w:p>
    <w:p w:rsidR="00000000" w:rsidRDefault="008B747E">
      <w:pPr>
        <w:pStyle w:val="a3"/>
        <w:spacing w:before="0" w:beforeAutospacing="0" w:after="0" w:afterAutospacing="0"/>
        <w:divId w:val="1362851990"/>
        <w:rPr>
          <w:sz w:val="20"/>
          <w:szCs w:val="20"/>
        </w:rPr>
      </w:pPr>
      <w:r>
        <w:rPr>
          <w:sz w:val="20"/>
          <w:szCs w:val="20"/>
        </w:rPr>
        <w:t>​</w:t>
      </w:r>
    </w:p>
    <w:p w:rsidR="00000000" w:rsidRDefault="008B747E">
      <w:pPr>
        <w:pStyle w:val="a3"/>
        <w:spacing w:before="0" w:beforeAutospacing="0" w:after="0" w:afterAutospacing="0"/>
        <w:divId w:val="1362851990"/>
        <w:rPr>
          <w:sz w:val="20"/>
          <w:szCs w:val="20"/>
        </w:rPr>
      </w:pPr>
      <w:r>
        <w:rPr>
          <w:b/>
          <w:bCs/>
          <w:i/>
          <w:iCs/>
          <w:sz w:val="20"/>
          <w:szCs w:val="20"/>
          <w:u w:val="single"/>
        </w:rPr>
        <w:t>​</w:t>
      </w:r>
    </w:p>
    <w:p w:rsidR="00000000" w:rsidRDefault="008B747E">
      <w:pPr>
        <w:pStyle w:val="a3"/>
        <w:spacing w:before="360" w:beforeAutospacing="0" w:after="0" w:afterAutospacing="0"/>
        <w:jc w:val="center"/>
        <w:divId w:val="861240061"/>
        <w:rPr>
          <w:sz w:val="20"/>
          <w:szCs w:val="20"/>
        </w:rPr>
      </w:pPr>
      <w:r>
        <w:rPr>
          <w:sz w:val="20"/>
          <w:szCs w:val="20"/>
        </w:rPr>
        <w:t>15</w:t>
      </w:r>
    </w:p>
    <w:p w:rsidR="00000000" w:rsidRDefault="008B747E">
      <w:pPr>
        <w:pStyle w:val="a3"/>
        <w:spacing w:before="0" w:beforeAutospacing="0" w:after="600" w:afterAutospacing="0"/>
        <w:divId w:val="769198268"/>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3287"/>
        <w:gridCol w:w="3287"/>
        <w:gridCol w:w="248"/>
        <w:gridCol w:w="248"/>
        <w:gridCol w:w="988"/>
        <w:gridCol w:w="248"/>
      </w:tblGrid>
      <w:tr w:rsidR="00000000">
        <w:trPr>
          <w:divId w:val="10837737"/>
          <w:trHeight w:val="20"/>
        </w:trPr>
        <w:tc>
          <w:tcPr>
            <w:tcW w:w="197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313681743"/>
              <w:rPr>
                <w:sz w:val="20"/>
                <w:szCs w:val="20"/>
              </w:rPr>
            </w:pPr>
            <w:r>
              <w:rPr>
                <w:sz w:val="2"/>
                <w:szCs w:val="2"/>
              </w:rPr>
              <w:t>​</w:t>
            </w:r>
          </w:p>
        </w:tc>
        <w:tc>
          <w:tcPr>
            <w:tcW w:w="1978" w:type="pct"/>
            <w:tcMar>
              <w:top w:w="0" w:type="dxa"/>
              <w:left w:w="0" w:type="dxa"/>
              <w:bottom w:w="0" w:type="dxa"/>
              <w:right w:w="0" w:type="dxa"/>
            </w:tcMar>
            <w:vAlign w:val="bottom"/>
            <w:hideMark/>
          </w:tcPr>
          <w:p w:rsidR="00000000" w:rsidRDefault="008B747E">
            <w:pPr>
              <w:pStyle w:val="a3"/>
              <w:spacing w:before="0" w:beforeAutospacing="0" w:after="0" w:afterAutospacing="0"/>
              <w:divId w:val="1989238946"/>
              <w:rPr>
                <w:sz w:val="20"/>
                <w:szCs w:val="20"/>
              </w:rPr>
            </w:pPr>
            <w:r>
              <w:rPr>
                <w:sz w:val="2"/>
                <w:szCs w:val="2"/>
              </w:rPr>
              <w:t>​</w:t>
            </w:r>
          </w:p>
        </w:tc>
        <w:tc>
          <w:tcPr>
            <w:tcW w:w="1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7023836"/>
              <w:rPr>
                <w:sz w:val="20"/>
                <w:szCs w:val="20"/>
              </w:rPr>
            </w:pPr>
            <w:r>
              <w:rPr>
                <w:sz w:val="2"/>
                <w:szCs w:val="2"/>
              </w:rPr>
              <w:t>​</w:t>
            </w:r>
          </w:p>
        </w:tc>
        <w:tc>
          <w:tcPr>
            <w:tcW w:w="1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24588027"/>
              <w:rPr>
                <w:sz w:val="20"/>
                <w:szCs w:val="20"/>
              </w:rPr>
            </w:pPr>
            <w:r>
              <w:rPr>
                <w:sz w:val="2"/>
                <w:szCs w:val="2"/>
              </w:rPr>
              <w:t>​</w:t>
            </w:r>
          </w:p>
        </w:tc>
        <w:tc>
          <w:tcPr>
            <w:tcW w:w="59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236281957"/>
              <w:rPr>
                <w:sz w:val="20"/>
                <w:szCs w:val="20"/>
              </w:rPr>
            </w:pPr>
            <w:r>
              <w:rPr>
                <w:sz w:val="2"/>
                <w:szCs w:val="2"/>
              </w:rPr>
              <w:t>​</w:t>
            </w:r>
          </w:p>
        </w:tc>
        <w:tc>
          <w:tcPr>
            <w:tcW w:w="1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38687131"/>
              <w:rPr>
                <w:sz w:val="20"/>
                <w:szCs w:val="20"/>
              </w:rPr>
            </w:pPr>
            <w:r>
              <w:rPr>
                <w:sz w:val="2"/>
                <w:szCs w:val="2"/>
              </w:rPr>
              <w:t>​</w:t>
            </w:r>
          </w:p>
        </w:tc>
      </w:tr>
      <w:tr w:rsidR="00000000">
        <w:trPr>
          <w:divId w:val="10837737"/>
        </w:trPr>
        <w:tc>
          <w:tcPr>
            <w:tcW w:w="1978"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u w:val="single"/>
              </w:rPr>
              <w:t>(In thousands)</w:t>
            </w:r>
          </w:p>
        </w:tc>
        <w:tc>
          <w:tcPr>
            <w:tcW w:w="1978"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u w:val="single"/>
              </w:rPr>
              <w:t>Classification</w:t>
            </w:r>
          </w:p>
        </w:tc>
        <w:tc>
          <w:tcPr>
            <w:tcW w:w="14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74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2019</w:t>
            </w:r>
          </w:p>
        </w:tc>
        <w:tc>
          <w:tcPr>
            <w:tcW w:w="14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r>
      <w:tr w:rsidR="00000000">
        <w:trPr>
          <w:divId w:val="10837737"/>
        </w:trPr>
        <w:tc>
          <w:tcPr>
            <w:tcW w:w="197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u w:val="single"/>
              </w:rPr>
              <w:t>Asset</w:t>
            </w:r>
            <w:r>
              <w:rPr>
                <w:sz w:val="20"/>
                <w:szCs w:val="20"/>
                <w:u w:val="single"/>
              </w:rPr>
              <w:t>s</w:t>
            </w:r>
          </w:p>
        </w:tc>
        <w:tc>
          <w:tcPr>
            <w:tcW w:w="1978"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14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14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59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14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r>
      <w:tr w:rsidR="00000000">
        <w:trPr>
          <w:divId w:val="10837737"/>
        </w:trPr>
        <w:tc>
          <w:tcPr>
            <w:tcW w:w="1978"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Operating lease asset</w:t>
            </w:r>
            <w:r>
              <w:rPr>
                <w:sz w:val="20"/>
                <w:szCs w:val="20"/>
              </w:rPr>
              <w:t>s</w:t>
            </w:r>
          </w:p>
        </w:tc>
        <w:tc>
          <w:tcPr>
            <w:tcW w:w="1978"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Operating lease assets</w:t>
            </w:r>
          </w:p>
        </w:tc>
        <w:tc>
          <w:tcPr>
            <w:tcW w:w="1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594"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47,831</w:t>
            </w:r>
          </w:p>
        </w:tc>
        <w:tc>
          <w:tcPr>
            <w:tcW w:w="1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837737"/>
        </w:trPr>
        <w:tc>
          <w:tcPr>
            <w:tcW w:w="19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9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4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4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2"/>
                <w:szCs w:val="22"/>
              </w:rPr>
              <w:t>​</w:t>
            </w:r>
          </w:p>
        </w:tc>
        <w:tc>
          <w:tcPr>
            <w:tcW w:w="59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4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r>
      <w:tr w:rsidR="00000000">
        <w:trPr>
          <w:divId w:val="10837737"/>
        </w:trPr>
        <w:tc>
          <w:tcPr>
            <w:tcW w:w="197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u w:val="single"/>
              </w:rPr>
              <w:t>Liabilitie</w:t>
            </w:r>
            <w:r>
              <w:rPr>
                <w:sz w:val="20"/>
                <w:szCs w:val="20"/>
                <w:u w:val="single"/>
              </w:rPr>
              <w:t>s</w:t>
            </w:r>
          </w:p>
        </w:tc>
        <w:tc>
          <w:tcPr>
            <w:tcW w:w="19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14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14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59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14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r>
      <w:tr w:rsidR="00000000">
        <w:trPr>
          <w:divId w:val="10837737"/>
        </w:trPr>
        <w:tc>
          <w:tcPr>
            <w:tcW w:w="19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i/>
                <w:iCs/>
                <w:sz w:val="20"/>
                <w:szCs w:val="20"/>
              </w:rPr>
              <w:t>Current:</w:t>
            </w:r>
          </w:p>
        </w:tc>
        <w:tc>
          <w:tcPr>
            <w:tcW w:w="1978"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59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837737"/>
        </w:trPr>
        <w:tc>
          <w:tcPr>
            <w:tcW w:w="19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Operating lease liabilitie</w:t>
            </w:r>
            <w:r>
              <w:rPr>
                <w:sz w:val="20"/>
                <w:szCs w:val="20"/>
              </w:rPr>
              <w:t>s</w:t>
            </w:r>
          </w:p>
        </w:tc>
        <w:tc>
          <w:tcPr>
            <w:tcW w:w="19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Operating lease liabilities</w:t>
            </w:r>
          </w:p>
        </w:tc>
        <w:tc>
          <w:tcPr>
            <w:tcW w:w="14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4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594" w:type="pct"/>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7,887</w:t>
            </w:r>
          </w:p>
        </w:tc>
        <w:tc>
          <w:tcPr>
            <w:tcW w:w="14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837737"/>
        </w:trPr>
        <w:tc>
          <w:tcPr>
            <w:tcW w:w="19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i/>
                <w:iCs/>
                <w:sz w:val="20"/>
                <w:szCs w:val="20"/>
              </w:rPr>
              <w:t>Non-current:</w:t>
            </w:r>
          </w:p>
        </w:tc>
        <w:tc>
          <w:tcPr>
            <w:tcW w:w="1978"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594" w:type="pct"/>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837737"/>
        </w:trPr>
        <w:tc>
          <w:tcPr>
            <w:tcW w:w="19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Operating lease liabilitie</w:t>
            </w:r>
            <w:r>
              <w:rPr>
                <w:sz w:val="20"/>
                <w:szCs w:val="20"/>
              </w:rPr>
              <w:t>s</w:t>
            </w:r>
          </w:p>
        </w:tc>
        <w:tc>
          <w:tcPr>
            <w:tcW w:w="1978"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Long-term operating lease liabilities</w:t>
            </w:r>
          </w:p>
        </w:tc>
        <w:tc>
          <w:tcPr>
            <w:tcW w:w="14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49"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594" w:type="pct"/>
            <w:tcBorders>
              <w:bottom w:val="single" w:sz="6" w:space="0" w:color="000000"/>
            </w:tcBorders>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48,565</w:t>
            </w:r>
          </w:p>
        </w:tc>
        <w:tc>
          <w:tcPr>
            <w:tcW w:w="14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0837737"/>
        </w:trPr>
        <w:tc>
          <w:tcPr>
            <w:tcW w:w="197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Total operating lease liabilities</w:t>
            </w:r>
          </w:p>
        </w:tc>
        <w:tc>
          <w:tcPr>
            <w:tcW w:w="1978"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w:t>
            </w:r>
          </w:p>
        </w:tc>
        <w:tc>
          <w:tcPr>
            <w:tcW w:w="1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594"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56,452</w:t>
            </w:r>
          </w:p>
        </w:tc>
        <w:tc>
          <w:tcPr>
            <w:tcW w:w="1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bl>
    <w:p w:rsidR="00000000" w:rsidRDefault="008B747E">
      <w:pPr>
        <w:pStyle w:val="a3"/>
        <w:spacing w:before="0" w:beforeAutospacing="0" w:after="0" w:afterAutospacing="0"/>
        <w:divId w:val="10837737"/>
        <w:rPr>
          <w:sz w:val="20"/>
          <w:szCs w:val="20"/>
        </w:rPr>
      </w:pPr>
      <w:r>
        <w:rPr>
          <w:sz w:val="20"/>
          <w:szCs w:val="20"/>
        </w:rPr>
        <w:t>​</w:t>
      </w:r>
    </w:p>
    <w:p w:rsidR="00000000" w:rsidRDefault="008B747E">
      <w:pPr>
        <w:pStyle w:val="a3"/>
        <w:spacing w:before="0" w:beforeAutospacing="0" w:after="0" w:afterAutospacing="0"/>
        <w:ind w:firstLine="720"/>
        <w:divId w:val="10837737"/>
        <w:rPr>
          <w:sz w:val="20"/>
          <w:szCs w:val="20"/>
        </w:rPr>
      </w:pPr>
      <w:r>
        <w:rPr>
          <w:sz w:val="20"/>
          <w:szCs w:val="20"/>
        </w:rPr>
        <w:t>Lease expense was included within operating expenses in the condensed consolidated statements of operations as follows:</w:t>
      </w:r>
    </w:p>
    <w:p w:rsidR="00000000" w:rsidRDefault="008B747E">
      <w:pPr>
        <w:pStyle w:val="a3"/>
        <w:spacing w:before="0" w:beforeAutospacing="0" w:after="0" w:afterAutospacing="0"/>
        <w:divId w:val="10837737"/>
        <w:rPr>
          <w:sz w:val="20"/>
          <w:szCs w:val="20"/>
        </w:rPr>
      </w:pPr>
      <w:r>
        <w:rPr>
          <w:sz w:val="2"/>
          <w:szCs w:val="2"/>
        </w:rPr>
        <w:t>​</w:t>
      </w:r>
    </w:p>
    <w:tbl>
      <w:tblPr>
        <w:tblW w:w="5000" w:type="pct"/>
        <w:tblCellMar>
          <w:top w:w="15" w:type="dxa"/>
          <w:left w:w="0" w:type="dxa"/>
          <w:bottom w:w="15" w:type="dxa"/>
          <w:right w:w="0" w:type="dxa"/>
        </w:tblCellMar>
        <w:tblLook w:val="04A0" w:firstRow="1" w:lastRow="0" w:firstColumn="1" w:lastColumn="0" w:noHBand="0" w:noVBand="1"/>
      </w:tblPr>
      <w:tblGrid>
        <w:gridCol w:w="2790"/>
        <w:gridCol w:w="3561"/>
        <w:gridCol w:w="160"/>
        <w:gridCol w:w="183"/>
        <w:gridCol w:w="746"/>
        <w:gridCol w:w="160"/>
        <w:gridCol w:w="184"/>
        <w:gridCol w:w="745"/>
      </w:tblGrid>
      <w:tr w:rsidR="00000000">
        <w:trPr>
          <w:divId w:val="10837737"/>
          <w:trHeight w:val="20"/>
        </w:trPr>
        <w:tc>
          <w:tcPr>
            <w:tcW w:w="1715"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11023565"/>
              <w:rPr>
                <w:sz w:val="20"/>
                <w:szCs w:val="20"/>
              </w:rPr>
            </w:pPr>
            <w:r>
              <w:rPr>
                <w:sz w:val="2"/>
                <w:szCs w:val="2"/>
              </w:rPr>
              <w:t>​</w:t>
            </w:r>
          </w:p>
        </w:tc>
        <w:tc>
          <w:tcPr>
            <w:tcW w:w="1766"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936551373"/>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440221920"/>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062558498"/>
              <w:rPr>
                <w:sz w:val="20"/>
                <w:szCs w:val="20"/>
              </w:rPr>
            </w:pPr>
            <w:r>
              <w:rPr>
                <w:sz w:val="2"/>
                <w:szCs w:val="2"/>
              </w:rPr>
              <w:t>​</w:t>
            </w:r>
          </w:p>
        </w:tc>
        <w:tc>
          <w:tcPr>
            <w:tcW w:w="509" w:type="pct"/>
            <w:noWrap/>
            <w:tcMar>
              <w:top w:w="0" w:type="dxa"/>
              <w:left w:w="0" w:type="dxa"/>
              <w:bottom w:w="0" w:type="dxa"/>
              <w:right w:w="0" w:type="dxa"/>
            </w:tcMar>
            <w:vAlign w:val="center"/>
            <w:hideMark/>
          </w:tcPr>
          <w:p w:rsidR="00000000" w:rsidRDefault="008B747E">
            <w:pPr>
              <w:pStyle w:val="a3"/>
              <w:spacing w:before="0" w:beforeAutospacing="0" w:after="0" w:afterAutospacing="0"/>
              <w:divId w:val="2020697087"/>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73681814"/>
              <w:rPr>
                <w:sz w:val="20"/>
                <w:szCs w:val="20"/>
              </w:rPr>
            </w:pPr>
            <w:r>
              <w:rPr>
                <w:sz w:val="2"/>
                <w:szCs w:val="2"/>
              </w:rPr>
              <w:t>​</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259169382"/>
              <w:rPr>
                <w:sz w:val="20"/>
                <w:szCs w:val="20"/>
              </w:rPr>
            </w:pPr>
            <w:r>
              <w:rPr>
                <w:sz w:val="2"/>
                <w:szCs w:val="2"/>
              </w:rPr>
              <w:t>​</w:t>
            </w:r>
          </w:p>
        </w:tc>
        <w:tc>
          <w:tcPr>
            <w:tcW w:w="507" w:type="pct"/>
            <w:noWrap/>
            <w:tcMar>
              <w:top w:w="0" w:type="dxa"/>
              <w:left w:w="0" w:type="dxa"/>
              <w:bottom w:w="0" w:type="dxa"/>
              <w:right w:w="0" w:type="dxa"/>
            </w:tcMar>
            <w:vAlign w:val="center"/>
            <w:hideMark/>
          </w:tcPr>
          <w:p w:rsidR="00000000" w:rsidRDefault="008B747E">
            <w:pPr>
              <w:pStyle w:val="a3"/>
              <w:spacing w:before="0" w:beforeAutospacing="0" w:after="0" w:afterAutospacing="0"/>
              <w:divId w:val="2141995135"/>
              <w:rPr>
                <w:sz w:val="20"/>
                <w:szCs w:val="20"/>
              </w:rPr>
            </w:pPr>
            <w:r>
              <w:rPr>
                <w:sz w:val="2"/>
                <w:szCs w:val="2"/>
              </w:rPr>
              <w:t>​</w:t>
            </w:r>
          </w:p>
        </w:tc>
      </w:tr>
      <w:tr w:rsidR="00000000">
        <w:trPr>
          <w:divId w:val="10837737"/>
        </w:trPr>
        <w:tc>
          <w:tcPr>
            <w:tcW w:w="1715"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766"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25"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634" w:type="pct"/>
            <w:gridSpan w:val="2"/>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Three Months</w:t>
            </w:r>
          </w:p>
        </w:tc>
        <w:tc>
          <w:tcPr>
            <w:tcW w:w="125"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632" w:type="pct"/>
            <w:gridSpan w:val="2"/>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Six Months</w:t>
            </w:r>
          </w:p>
        </w:tc>
      </w:tr>
      <w:tr w:rsidR="00000000">
        <w:trPr>
          <w:divId w:val="10837737"/>
        </w:trPr>
        <w:tc>
          <w:tcPr>
            <w:tcW w:w="1715"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1766"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125"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634" w:type="pct"/>
            <w:gridSpan w:val="2"/>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Ended</w:t>
            </w:r>
          </w:p>
        </w:tc>
        <w:tc>
          <w:tcPr>
            <w:tcW w:w="125"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632" w:type="pct"/>
            <w:gridSpan w:val="2"/>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Ended</w:t>
            </w:r>
          </w:p>
        </w:tc>
      </w:tr>
      <w:tr w:rsidR="00000000">
        <w:trPr>
          <w:divId w:val="10837737"/>
        </w:trPr>
        <w:tc>
          <w:tcPr>
            <w:tcW w:w="1715"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u w:val="single"/>
              </w:rPr>
              <w:t>(In thousands)</w:t>
            </w:r>
          </w:p>
        </w:tc>
        <w:tc>
          <w:tcPr>
            <w:tcW w:w="1766"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u w:val="single"/>
              </w:rPr>
              <w:t>Classification</w:t>
            </w:r>
          </w:p>
        </w:tc>
        <w:tc>
          <w:tcPr>
            <w:tcW w:w="125"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63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2019</w:t>
            </w:r>
          </w:p>
        </w:tc>
        <w:tc>
          <w:tcPr>
            <w:tcW w:w="125"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632"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2019</w:t>
            </w:r>
          </w:p>
        </w:tc>
      </w:tr>
      <w:tr w:rsidR="00000000">
        <w:trPr>
          <w:divId w:val="10837737"/>
        </w:trPr>
        <w:tc>
          <w:tcPr>
            <w:tcW w:w="171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Operating lease expense</w:t>
            </w:r>
          </w:p>
        </w:tc>
        <w:tc>
          <w:tcPr>
            <w:tcW w:w="176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Selling, general and administrative expenses</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509" w:type="pct"/>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2,376</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507" w:type="pct"/>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4,919</w:t>
            </w:r>
          </w:p>
        </w:tc>
      </w:tr>
      <w:tr w:rsidR="00000000">
        <w:trPr>
          <w:divId w:val="10837737"/>
        </w:trPr>
        <w:tc>
          <w:tcPr>
            <w:tcW w:w="171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Operating lease expense</w:t>
            </w:r>
          </w:p>
        </w:tc>
        <w:tc>
          <w:tcPr>
            <w:tcW w:w="1766"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Research and development expenses</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509" w:type="pct"/>
            <w:tcBorders>
              <w:bottom w:val="single" w:sz="6" w:space="0" w:color="000000"/>
            </w:tcBorders>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238</w:t>
            </w:r>
          </w:p>
        </w:tc>
        <w:tc>
          <w:tcPr>
            <w:tcW w:w="125"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25"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507" w:type="pct"/>
            <w:tcBorders>
              <w:bottom w:val="single" w:sz="6" w:space="0" w:color="000000"/>
            </w:tcBorders>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477</w:t>
            </w:r>
          </w:p>
        </w:tc>
      </w:tr>
      <w:tr w:rsidR="00000000">
        <w:trPr>
          <w:divId w:val="10837737"/>
        </w:trPr>
        <w:tc>
          <w:tcPr>
            <w:tcW w:w="171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 xml:space="preserve">Total operating lease expense </w:t>
            </w:r>
            <w:r>
              <w:rPr>
                <w:sz w:val="17"/>
                <w:szCs w:val="17"/>
                <w:vertAlign w:val="superscript"/>
              </w:rPr>
              <w:t>(1)</w:t>
            </w:r>
          </w:p>
        </w:tc>
        <w:tc>
          <w:tcPr>
            <w:tcW w:w="1766"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509"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2,614</w:t>
            </w:r>
          </w:p>
        </w:tc>
        <w:tc>
          <w:tcPr>
            <w:tcW w:w="12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25"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507"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5,396</w:t>
            </w:r>
          </w:p>
        </w:tc>
      </w:tr>
    </w:tbl>
    <w:p w:rsidR="00000000" w:rsidRDefault="008B747E">
      <w:pPr>
        <w:pStyle w:val="a3"/>
        <w:spacing w:before="0" w:beforeAutospacing="0" w:after="0" w:afterAutospacing="0"/>
        <w:divId w:val="10837737"/>
        <w:rPr>
          <w:sz w:val="20"/>
          <w:szCs w:val="20"/>
        </w:rPr>
      </w:pPr>
      <w:r>
        <w:rPr>
          <w:sz w:val="12"/>
          <w:szCs w:val="12"/>
        </w:rPr>
        <w:t>​</w:t>
      </w:r>
    </w:p>
    <w:tbl>
      <w:tblPr>
        <w:tblW w:w="5000" w:type="pct"/>
        <w:tblCellMar>
          <w:top w:w="15" w:type="dxa"/>
          <w:left w:w="15" w:type="dxa"/>
          <w:bottom w:w="15" w:type="dxa"/>
          <w:right w:w="15" w:type="dxa"/>
        </w:tblCellMar>
        <w:tblLook w:val="04A0" w:firstRow="1" w:lastRow="0" w:firstColumn="1" w:lastColumn="0" w:noHBand="0" w:noVBand="1"/>
      </w:tblPr>
      <w:tblGrid>
        <w:gridCol w:w="286"/>
        <w:gridCol w:w="8020"/>
      </w:tblGrid>
      <w:tr w:rsidR="00000000">
        <w:trPr>
          <w:divId w:val="10837737"/>
        </w:trPr>
        <w:tc>
          <w:tcPr>
            <w:tcW w:w="270" w:type="dxa"/>
            <w:noWrap/>
            <w:tcMar>
              <w:top w:w="0" w:type="dxa"/>
              <w:left w:w="0" w:type="dxa"/>
              <w:bottom w:w="0" w:type="dxa"/>
              <w:right w:w="0" w:type="dxa"/>
            </w:tcMar>
            <w:hideMark/>
          </w:tcPr>
          <w:p w:rsidR="00000000" w:rsidRDefault="008B747E">
            <w:pPr>
              <w:rPr>
                <w:rFonts w:eastAsia="Times New Roman"/>
                <w:sz w:val="17"/>
                <w:szCs w:val="17"/>
              </w:rPr>
            </w:pPr>
            <w:r>
              <w:rPr>
                <w:rFonts w:eastAsia="Times New Roman"/>
                <w:sz w:val="17"/>
                <w:szCs w:val="17"/>
              </w:rPr>
              <w:t>(1)</w:t>
            </w:r>
          </w:p>
        </w:tc>
        <w:tc>
          <w:tcPr>
            <w:tcW w:w="0" w:type="auto"/>
            <w:tcMar>
              <w:top w:w="0" w:type="dxa"/>
              <w:left w:w="0" w:type="dxa"/>
              <w:bottom w:w="0" w:type="dxa"/>
              <w:right w:w="0" w:type="dxa"/>
            </w:tcMar>
            <w:vAlign w:val="center"/>
            <w:hideMark/>
          </w:tcPr>
          <w:p w:rsidR="00000000" w:rsidRDefault="008B747E">
            <w:pPr>
              <w:rPr>
                <w:rFonts w:eastAsia="Times New Roman"/>
                <w:sz w:val="20"/>
                <w:szCs w:val="20"/>
              </w:rPr>
            </w:pPr>
            <w:r>
              <w:rPr>
                <w:rFonts w:eastAsia="Times New Roman"/>
                <w:color w:val="000000"/>
                <w:sz w:val="20"/>
                <w:szCs w:val="20"/>
              </w:rPr>
              <w:t>Includes short-term leases which were immaterial.</w:t>
            </w:r>
          </w:p>
        </w:tc>
      </w:tr>
    </w:tbl>
    <w:p w:rsidR="00000000" w:rsidRDefault="008B747E">
      <w:pPr>
        <w:pStyle w:val="a3"/>
        <w:spacing w:before="0" w:beforeAutospacing="0" w:after="0" w:afterAutospacing="0"/>
        <w:divId w:val="10837737"/>
        <w:rPr>
          <w:sz w:val="20"/>
          <w:szCs w:val="20"/>
        </w:rPr>
      </w:pPr>
      <w:r>
        <w:rPr>
          <w:sz w:val="20"/>
          <w:szCs w:val="20"/>
        </w:rPr>
        <w:t>​</w:t>
      </w:r>
    </w:p>
    <w:p w:rsidR="00000000" w:rsidRDefault="008B747E">
      <w:pPr>
        <w:pStyle w:val="a3"/>
        <w:spacing w:before="0" w:beforeAutospacing="0" w:after="0" w:afterAutospacing="0"/>
        <w:divId w:val="10837737"/>
        <w:rPr>
          <w:sz w:val="20"/>
          <w:szCs w:val="20"/>
        </w:rPr>
      </w:pPr>
      <w:r>
        <w:rPr>
          <w:sz w:val="20"/>
          <w:szCs w:val="20"/>
        </w:rPr>
        <w:t>As of June 30, 2019, the maturities of our lease liabilities were as follows:</w:t>
      </w:r>
    </w:p>
    <w:p w:rsidR="00000000" w:rsidRDefault="008B747E">
      <w:pPr>
        <w:pStyle w:val="a3"/>
        <w:spacing w:before="0" w:beforeAutospacing="0" w:after="0" w:afterAutospacing="0"/>
        <w:divId w:val="10837737"/>
        <w:rPr>
          <w:sz w:val="20"/>
          <w:szCs w:val="20"/>
        </w:rPr>
      </w:pPr>
      <w:r>
        <w:rPr>
          <w:b/>
          <w:bCs/>
          <w:i/>
          <w:iCs/>
          <w:sz w:val="4"/>
          <w:szCs w:val="4"/>
          <w:u w:val="single"/>
        </w:rPr>
        <w:t>​</w:t>
      </w:r>
    </w:p>
    <w:tbl>
      <w:tblPr>
        <w:tblW w:w="4897" w:type="pct"/>
        <w:tblCellMar>
          <w:top w:w="15" w:type="dxa"/>
          <w:left w:w="0" w:type="dxa"/>
          <w:bottom w:w="15" w:type="dxa"/>
          <w:right w:w="0" w:type="dxa"/>
        </w:tblCellMar>
        <w:tblLook w:val="04A0" w:firstRow="1" w:lastRow="0" w:firstColumn="1" w:lastColumn="0" w:noHBand="0" w:noVBand="1"/>
      </w:tblPr>
      <w:tblGrid>
        <w:gridCol w:w="4028"/>
        <w:gridCol w:w="3142"/>
        <w:gridCol w:w="72"/>
        <w:gridCol w:w="100"/>
        <w:gridCol w:w="793"/>
      </w:tblGrid>
      <w:tr w:rsidR="00000000">
        <w:trPr>
          <w:divId w:val="10837737"/>
          <w:trHeight w:val="20"/>
        </w:trPr>
        <w:tc>
          <w:tcPr>
            <w:tcW w:w="203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490516698"/>
              <w:rPr>
                <w:sz w:val="20"/>
                <w:szCs w:val="20"/>
              </w:rPr>
            </w:pPr>
            <w:r>
              <w:rPr>
                <w:sz w:val="2"/>
                <w:szCs w:val="2"/>
              </w:rPr>
              <w:t>​</w:t>
            </w:r>
          </w:p>
        </w:tc>
        <w:tc>
          <w:tcPr>
            <w:tcW w:w="203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67696034"/>
              <w:rPr>
                <w:sz w:val="20"/>
                <w:szCs w:val="20"/>
              </w:rPr>
            </w:pPr>
            <w:r>
              <w:rPr>
                <w:sz w:val="2"/>
                <w:szCs w:val="2"/>
              </w:rPr>
              <w:t>​</w:t>
            </w:r>
          </w:p>
        </w:tc>
        <w:tc>
          <w:tcPr>
            <w:tcW w:w="153"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128744972"/>
              <w:rPr>
                <w:sz w:val="20"/>
                <w:szCs w:val="20"/>
              </w:rPr>
            </w:pPr>
            <w:r>
              <w:rPr>
                <w:sz w:val="2"/>
                <w:szCs w:val="2"/>
              </w:rPr>
              <w:t>​</w:t>
            </w:r>
          </w:p>
        </w:tc>
        <w:tc>
          <w:tcPr>
            <w:tcW w:w="15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52438747"/>
              <w:rPr>
                <w:sz w:val="20"/>
                <w:szCs w:val="20"/>
              </w:rPr>
            </w:pPr>
            <w:r>
              <w:rPr>
                <w:sz w:val="2"/>
                <w:szCs w:val="2"/>
              </w:rPr>
              <w:t>​</w:t>
            </w:r>
          </w:p>
        </w:tc>
        <w:tc>
          <w:tcPr>
            <w:tcW w:w="612"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900356309"/>
              <w:rPr>
                <w:sz w:val="20"/>
                <w:szCs w:val="20"/>
              </w:rPr>
            </w:pPr>
            <w:r>
              <w:rPr>
                <w:sz w:val="2"/>
                <w:szCs w:val="2"/>
              </w:rPr>
              <w:t>​</w:t>
            </w:r>
          </w:p>
        </w:tc>
      </w:tr>
      <w:tr w:rsidR="00000000">
        <w:trPr>
          <w:divId w:val="10837737"/>
        </w:trPr>
        <w:tc>
          <w:tcPr>
            <w:tcW w:w="203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u w:val="single"/>
              </w:rPr>
              <w:t>(In thousands)</w:t>
            </w:r>
          </w:p>
        </w:tc>
        <w:tc>
          <w:tcPr>
            <w:tcW w:w="203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3"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2"/>
                <w:szCs w:val="22"/>
              </w:rPr>
              <w:t>​</w:t>
            </w:r>
          </w:p>
        </w:tc>
        <w:tc>
          <w:tcPr>
            <w:tcW w:w="61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r>
      <w:tr w:rsidR="00000000">
        <w:trPr>
          <w:divId w:val="10837737"/>
        </w:trPr>
        <w:tc>
          <w:tcPr>
            <w:tcW w:w="203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Six months ending December 31, 2019</w:t>
            </w:r>
          </w:p>
        </w:tc>
        <w:tc>
          <w:tcPr>
            <w:tcW w:w="203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3"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612" w:type="pct"/>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4,408</w:t>
            </w:r>
          </w:p>
        </w:tc>
      </w:tr>
      <w:tr w:rsidR="00000000">
        <w:trPr>
          <w:divId w:val="10837737"/>
        </w:trPr>
        <w:tc>
          <w:tcPr>
            <w:tcW w:w="203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u w:val="single"/>
              </w:rPr>
              <w:t>Years ending December 31</w:t>
            </w:r>
            <w:r>
              <w:rPr>
                <w:sz w:val="20"/>
                <w:szCs w:val="20"/>
                <w:u w:val="single"/>
              </w:rPr>
              <w:t>:</w:t>
            </w:r>
          </w:p>
        </w:tc>
        <w:tc>
          <w:tcPr>
            <w:tcW w:w="203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3"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2"/>
                <w:szCs w:val="22"/>
              </w:rPr>
              <w:t>​</w:t>
            </w:r>
          </w:p>
        </w:tc>
        <w:tc>
          <w:tcPr>
            <w:tcW w:w="612"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r>
      <w:tr w:rsidR="00000000">
        <w:trPr>
          <w:divId w:val="10837737"/>
        </w:trPr>
        <w:tc>
          <w:tcPr>
            <w:tcW w:w="203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202</w:t>
            </w:r>
            <w:r>
              <w:rPr>
                <w:sz w:val="20"/>
                <w:szCs w:val="20"/>
              </w:rPr>
              <w:t>0</w:t>
            </w:r>
          </w:p>
        </w:tc>
        <w:tc>
          <w:tcPr>
            <w:tcW w:w="203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3"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612" w:type="pct"/>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7,253</w:t>
            </w:r>
          </w:p>
        </w:tc>
      </w:tr>
      <w:tr w:rsidR="00000000">
        <w:trPr>
          <w:divId w:val="10837737"/>
        </w:trPr>
        <w:tc>
          <w:tcPr>
            <w:tcW w:w="203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202</w:t>
            </w:r>
            <w:r>
              <w:rPr>
                <w:sz w:val="20"/>
                <w:szCs w:val="20"/>
              </w:rPr>
              <w:t>1</w:t>
            </w:r>
          </w:p>
        </w:tc>
        <w:tc>
          <w:tcPr>
            <w:tcW w:w="203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3"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2"/>
                <w:szCs w:val="22"/>
              </w:rPr>
              <w:t>​</w:t>
            </w:r>
          </w:p>
        </w:tc>
        <w:tc>
          <w:tcPr>
            <w:tcW w:w="612" w:type="pct"/>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9,492</w:t>
            </w:r>
          </w:p>
        </w:tc>
      </w:tr>
      <w:tr w:rsidR="00000000">
        <w:trPr>
          <w:divId w:val="10837737"/>
        </w:trPr>
        <w:tc>
          <w:tcPr>
            <w:tcW w:w="203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202</w:t>
            </w:r>
            <w:r>
              <w:rPr>
                <w:sz w:val="20"/>
                <w:szCs w:val="20"/>
              </w:rPr>
              <w:t>2</w:t>
            </w:r>
          </w:p>
        </w:tc>
        <w:tc>
          <w:tcPr>
            <w:tcW w:w="203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3"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2"/>
                <w:szCs w:val="22"/>
              </w:rPr>
              <w:t>​</w:t>
            </w:r>
          </w:p>
        </w:tc>
        <w:tc>
          <w:tcPr>
            <w:tcW w:w="612" w:type="pct"/>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9,757</w:t>
            </w:r>
          </w:p>
        </w:tc>
      </w:tr>
      <w:tr w:rsidR="00000000">
        <w:trPr>
          <w:divId w:val="10837737"/>
        </w:trPr>
        <w:tc>
          <w:tcPr>
            <w:tcW w:w="203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202</w:t>
            </w:r>
            <w:r>
              <w:rPr>
                <w:sz w:val="20"/>
                <w:szCs w:val="20"/>
              </w:rPr>
              <w:t>3</w:t>
            </w:r>
          </w:p>
        </w:tc>
        <w:tc>
          <w:tcPr>
            <w:tcW w:w="203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3"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2"/>
                <w:szCs w:val="22"/>
              </w:rPr>
              <w:t>​</w:t>
            </w:r>
          </w:p>
        </w:tc>
        <w:tc>
          <w:tcPr>
            <w:tcW w:w="612" w:type="pct"/>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10,035</w:t>
            </w:r>
          </w:p>
        </w:tc>
      </w:tr>
      <w:tr w:rsidR="00000000">
        <w:trPr>
          <w:divId w:val="10837737"/>
        </w:trPr>
        <w:tc>
          <w:tcPr>
            <w:tcW w:w="203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Thereafte</w:t>
            </w:r>
            <w:r>
              <w:rPr>
                <w:sz w:val="20"/>
                <w:szCs w:val="20"/>
              </w:rPr>
              <w:t>r</w:t>
            </w:r>
          </w:p>
        </w:tc>
        <w:tc>
          <w:tcPr>
            <w:tcW w:w="203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3"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2"/>
                <w:szCs w:val="22"/>
              </w:rPr>
              <w:t>​</w:t>
            </w:r>
          </w:p>
        </w:tc>
        <w:tc>
          <w:tcPr>
            <w:tcW w:w="612" w:type="pct"/>
            <w:tcBorders>
              <w:bottom w:val="single" w:sz="6" w:space="0" w:color="000000"/>
            </w:tcBorders>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70,208</w:t>
            </w:r>
          </w:p>
        </w:tc>
      </w:tr>
      <w:tr w:rsidR="00000000">
        <w:trPr>
          <w:divId w:val="10837737"/>
        </w:trPr>
        <w:tc>
          <w:tcPr>
            <w:tcW w:w="2039" w:type="pct"/>
            <w:noWrap/>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Total operating lease payments</w:t>
            </w:r>
          </w:p>
        </w:tc>
        <w:tc>
          <w:tcPr>
            <w:tcW w:w="203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3"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612"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111,153</w:t>
            </w:r>
          </w:p>
        </w:tc>
      </w:tr>
      <w:tr w:rsidR="00000000">
        <w:trPr>
          <w:divId w:val="10837737"/>
        </w:trPr>
        <w:tc>
          <w:tcPr>
            <w:tcW w:w="203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Less: Estimated tenant improvement allowance</w:t>
            </w:r>
          </w:p>
        </w:tc>
        <w:tc>
          <w:tcPr>
            <w:tcW w:w="203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3"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612" w:type="pct"/>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jc w:val="right"/>
              <w:rPr>
                <w:sz w:val="20"/>
                <w:szCs w:val="20"/>
              </w:rPr>
            </w:pPr>
            <w:r>
              <w:rPr>
                <w:sz w:val="20"/>
                <w:szCs w:val="20"/>
              </w:rPr>
              <w:t>(15,774)</w:t>
            </w:r>
          </w:p>
        </w:tc>
      </w:tr>
      <w:tr w:rsidR="00000000">
        <w:trPr>
          <w:divId w:val="10837737"/>
        </w:trPr>
        <w:tc>
          <w:tcPr>
            <w:tcW w:w="2039" w:type="pct"/>
            <w:noWrap/>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Less: Imputed interest</w:t>
            </w:r>
          </w:p>
        </w:tc>
        <w:tc>
          <w:tcPr>
            <w:tcW w:w="203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3"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4"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2"/>
                <w:szCs w:val="22"/>
              </w:rPr>
              <w:t>​</w:t>
            </w:r>
          </w:p>
        </w:tc>
        <w:tc>
          <w:tcPr>
            <w:tcW w:w="612" w:type="pct"/>
            <w:tcBorders>
              <w:bottom w:val="single" w:sz="6" w:space="0" w:color="000000"/>
            </w:tcBorders>
            <w:noWrap/>
            <w:tcMar>
              <w:top w:w="0" w:type="dxa"/>
              <w:left w:w="0" w:type="dxa"/>
              <w:bottom w:w="0" w:type="dxa"/>
              <w:right w:w="0" w:type="dxa"/>
            </w:tcMar>
            <w:vAlign w:val="center"/>
            <w:hideMark/>
          </w:tcPr>
          <w:p w:rsidR="00000000" w:rsidRDefault="008B747E">
            <w:pPr>
              <w:pStyle w:val="a3"/>
              <w:spacing w:before="0" w:beforeAutospacing="0" w:after="0" w:afterAutospacing="0"/>
              <w:jc w:val="right"/>
              <w:rPr>
                <w:sz w:val="20"/>
                <w:szCs w:val="20"/>
              </w:rPr>
            </w:pPr>
            <w:r>
              <w:rPr>
                <w:sz w:val="20"/>
                <w:szCs w:val="20"/>
              </w:rPr>
              <w:t>(38,927)</w:t>
            </w:r>
          </w:p>
        </w:tc>
      </w:tr>
      <w:tr w:rsidR="00000000">
        <w:trPr>
          <w:divId w:val="10837737"/>
        </w:trPr>
        <w:tc>
          <w:tcPr>
            <w:tcW w:w="203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Present value of operating lease liabilities</w:t>
            </w:r>
          </w:p>
        </w:tc>
        <w:tc>
          <w:tcPr>
            <w:tcW w:w="203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3"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2"/>
                <w:szCs w:val="22"/>
              </w:rPr>
              <w:t>​</w:t>
            </w:r>
          </w:p>
        </w:tc>
        <w:tc>
          <w:tcPr>
            <w:tcW w:w="15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612"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56,452</w:t>
            </w:r>
          </w:p>
        </w:tc>
      </w:tr>
    </w:tbl>
    <w:p w:rsidR="00000000" w:rsidRDefault="008B747E">
      <w:pPr>
        <w:pStyle w:val="a3"/>
        <w:spacing w:before="0" w:beforeAutospacing="0" w:after="0" w:afterAutospacing="0"/>
        <w:ind w:firstLine="720"/>
        <w:divId w:val="10837737"/>
        <w:rPr>
          <w:sz w:val="20"/>
          <w:szCs w:val="20"/>
        </w:rPr>
      </w:pPr>
      <w:r>
        <w:rPr>
          <w:sz w:val="20"/>
          <w:szCs w:val="20"/>
        </w:rPr>
        <w:t>​</w:t>
      </w:r>
    </w:p>
    <w:p w:rsidR="00000000" w:rsidRDefault="008B747E">
      <w:pPr>
        <w:pStyle w:val="a3"/>
        <w:spacing w:before="0" w:beforeAutospacing="0" w:after="0" w:afterAutospacing="0"/>
        <w:ind w:firstLine="720"/>
        <w:divId w:val="10837737"/>
        <w:rPr>
          <w:sz w:val="20"/>
          <w:szCs w:val="20"/>
        </w:rPr>
      </w:pPr>
      <w:r>
        <w:rPr>
          <w:sz w:val="20"/>
          <w:szCs w:val="20"/>
        </w:rPr>
        <w:t xml:space="preserve">Cash paid for amounts included in the measurement of lease liabilities for the three and six months ended June 30, 2019 was $1.7 million and $3.8 million, respectively, and is included in net cash used in operating activities in the condensed consolidated </w:t>
      </w:r>
      <w:r>
        <w:rPr>
          <w:sz w:val="20"/>
          <w:szCs w:val="20"/>
        </w:rPr>
        <w:t>statements of cash flows. As of June 30, 2019, the weighted-average remaining lease term was</w:t>
      </w:r>
      <w:r>
        <w:rPr>
          <w:sz w:val="20"/>
          <w:szCs w:val="20"/>
        </w:rPr>
        <w:t xml:space="preserve"> </w:t>
      </w:r>
      <w:r>
        <w:rPr>
          <w:sz w:val="20"/>
          <w:szCs w:val="20"/>
        </w:rPr>
        <w:t>10.</w:t>
      </w:r>
      <w:r>
        <w:rPr>
          <w:sz w:val="20"/>
          <w:szCs w:val="20"/>
        </w:rPr>
        <w:t>7</w:t>
      </w:r>
      <w:r>
        <w:rPr>
          <w:sz w:val="20"/>
          <w:szCs w:val="20"/>
        </w:rPr>
        <w:t xml:space="preserve"> years, and the weighted-average discount rate used to determine the lease liabilities was 8.65%. The Company’s discount rate was primarily derived from the 9.</w:t>
      </w:r>
      <w:r>
        <w:rPr>
          <w:sz w:val="20"/>
          <w:szCs w:val="20"/>
        </w:rPr>
        <w:t>0% interest rate on its Non-Recourse 2033 Notes issued in November 2018 and did not involve any significant assumptions</w:t>
      </w:r>
      <w:r>
        <w:rPr>
          <w:sz w:val="20"/>
          <w:szCs w:val="20"/>
        </w:rPr>
        <w:t>.</w:t>
      </w:r>
    </w:p>
    <w:p w:rsidR="00000000" w:rsidRDefault="008B747E">
      <w:pPr>
        <w:pStyle w:val="a3"/>
        <w:spacing w:before="0" w:beforeAutospacing="0" w:after="0" w:afterAutospacing="0"/>
        <w:ind w:firstLine="720"/>
        <w:divId w:val="10837737"/>
        <w:rPr>
          <w:sz w:val="20"/>
          <w:szCs w:val="20"/>
        </w:rPr>
      </w:pPr>
      <w:r>
        <w:rPr>
          <w:sz w:val="20"/>
          <w:szCs w:val="20"/>
        </w:rPr>
        <w:t>​</w:t>
      </w:r>
    </w:p>
    <w:p w:rsidR="00000000" w:rsidRDefault="008B747E">
      <w:pPr>
        <w:pStyle w:val="a3"/>
        <w:spacing w:before="0" w:beforeAutospacing="0" w:after="0" w:afterAutospacing="0"/>
        <w:divId w:val="10837737"/>
        <w:rPr>
          <w:sz w:val="20"/>
          <w:szCs w:val="20"/>
        </w:rPr>
      </w:pPr>
      <w:r>
        <w:rPr>
          <w:b/>
          <w:bCs/>
          <w:sz w:val="20"/>
          <w:szCs w:val="20"/>
        </w:rPr>
        <w:t>8. Theravance Respiratory Company, LLC (“TRC”)</w:t>
      </w:r>
    </w:p>
    <w:p w:rsidR="00000000" w:rsidRDefault="008B747E">
      <w:pPr>
        <w:pStyle w:val="a3"/>
        <w:spacing w:before="0" w:beforeAutospacing="0" w:after="0" w:afterAutospacing="0"/>
        <w:divId w:val="10837737"/>
        <w:rPr>
          <w:sz w:val="20"/>
          <w:szCs w:val="20"/>
        </w:rPr>
      </w:pPr>
      <w:r>
        <w:rPr>
          <w:sz w:val="10"/>
          <w:szCs w:val="10"/>
        </w:rPr>
        <w:t>​</w:t>
      </w:r>
    </w:p>
    <w:p w:rsidR="00000000" w:rsidRDefault="008B747E">
      <w:pPr>
        <w:pStyle w:val="a3"/>
        <w:spacing w:before="0" w:beforeAutospacing="0" w:after="0" w:afterAutospacing="0"/>
        <w:ind w:firstLine="720"/>
        <w:divId w:val="10837737"/>
        <w:rPr>
          <w:sz w:val="20"/>
          <w:szCs w:val="20"/>
        </w:rPr>
      </w:pPr>
      <w:r>
        <w:rPr>
          <w:sz w:val="20"/>
          <w:szCs w:val="20"/>
        </w:rPr>
        <w:t xml:space="preserve">Prior to the June 2014 spin-off from Innoviva, the Company’s former parent company, </w:t>
      </w:r>
      <w:r>
        <w:rPr>
          <w:sz w:val="20"/>
          <w:szCs w:val="20"/>
        </w:rPr>
        <w:t>Innoviva assigned to TRC, a Delaware limited liability company formed by Innoviva, its strategic alliance agreement with GSK and all of its rights and obligations under its collaboration agreement with GSK other than with respect to RELVAR</w:t>
      </w:r>
      <w:r>
        <w:rPr>
          <w:sz w:val="15"/>
          <w:szCs w:val="15"/>
          <w:vertAlign w:val="superscript"/>
        </w:rPr>
        <w:t>®</w:t>
      </w:r>
      <w:r>
        <w:rPr>
          <w:sz w:val="20"/>
          <w:szCs w:val="20"/>
        </w:rPr>
        <w:t xml:space="preserve"> ELLIPTA</w:t>
      </w:r>
      <w:r>
        <w:rPr>
          <w:sz w:val="15"/>
          <w:szCs w:val="15"/>
          <w:vertAlign w:val="superscript"/>
        </w:rPr>
        <w:t>®</w:t>
      </w:r>
      <w:r>
        <w:rPr>
          <w:sz w:val="20"/>
          <w:szCs w:val="20"/>
        </w:rPr>
        <w:t>/BREO</w:t>
      </w:r>
      <w:r>
        <w:rPr>
          <w:sz w:val="15"/>
          <w:szCs w:val="15"/>
          <w:vertAlign w:val="superscript"/>
        </w:rPr>
        <w:t>®</w:t>
      </w:r>
      <w:r>
        <w:rPr>
          <w:sz w:val="20"/>
          <w:szCs w:val="20"/>
        </w:rPr>
        <w:t xml:space="preserve"> </w:t>
      </w:r>
      <w:r>
        <w:rPr>
          <w:sz w:val="20"/>
          <w:szCs w:val="20"/>
        </w:rPr>
        <w:t>ELLIPTA</w:t>
      </w:r>
      <w:r>
        <w:rPr>
          <w:sz w:val="15"/>
          <w:szCs w:val="15"/>
          <w:vertAlign w:val="superscript"/>
        </w:rPr>
        <w:t>®</w:t>
      </w:r>
      <w:r>
        <w:rPr>
          <w:sz w:val="20"/>
          <w:szCs w:val="20"/>
        </w:rPr>
        <w:t>, ANORO</w:t>
      </w:r>
      <w:r>
        <w:rPr>
          <w:sz w:val="15"/>
          <w:szCs w:val="15"/>
          <w:vertAlign w:val="superscript"/>
        </w:rPr>
        <w:t>®</w:t>
      </w:r>
      <w:r>
        <w:rPr>
          <w:sz w:val="20"/>
          <w:szCs w:val="20"/>
        </w:rPr>
        <w:t xml:space="preserve"> ELLIPTA</w:t>
      </w:r>
      <w:r>
        <w:rPr>
          <w:sz w:val="15"/>
          <w:szCs w:val="15"/>
          <w:vertAlign w:val="superscript"/>
        </w:rPr>
        <w:t>®</w:t>
      </w:r>
      <w:r>
        <w:rPr>
          <w:sz w:val="20"/>
          <w:szCs w:val="20"/>
        </w:rPr>
        <w:t xml:space="preserve"> and vilanterol monotherapy. Through the Company’s 85% equity interests in TRC, the Company is entitled to receive an 85% economic interest in any future payments made by GSK under the strategic alliance agreement and under the por</w:t>
      </w:r>
      <w:r>
        <w:rPr>
          <w:sz w:val="20"/>
          <w:szCs w:val="20"/>
        </w:rPr>
        <w:t xml:space="preserve">tion of the collaboration agreement assigned to TRC (net of TRC expenses paid and the amount of cash, if any, expected to be used by TRC pursuant to the TRC LLC Agreement over the next four fiscal quarters). The drug programs assigned to TRC include </w:t>
      </w:r>
      <w:r>
        <w:rPr>
          <w:caps/>
          <w:sz w:val="20"/>
          <w:szCs w:val="20"/>
        </w:rPr>
        <w:t>Treleg</w:t>
      </w:r>
      <w:r>
        <w:rPr>
          <w:caps/>
          <w:sz w:val="20"/>
          <w:szCs w:val="20"/>
        </w:rPr>
        <w:t>y Ellipta</w:t>
      </w:r>
      <w:r>
        <w:rPr>
          <w:sz w:val="20"/>
          <w:szCs w:val="20"/>
        </w:rPr>
        <w:t xml:space="preserve"> and the MABA program, as monotherapy and in combination </w:t>
      </w:r>
    </w:p>
    <w:p w:rsidR="00000000" w:rsidRDefault="008B747E">
      <w:pPr>
        <w:pStyle w:val="a3"/>
        <w:spacing w:before="360" w:beforeAutospacing="0" w:after="0" w:afterAutospacing="0"/>
        <w:jc w:val="center"/>
        <w:divId w:val="589774870"/>
        <w:rPr>
          <w:sz w:val="20"/>
          <w:szCs w:val="20"/>
        </w:rPr>
      </w:pPr>
      <w:r>
        <w:rPr>
          <w:sz w:val="20"/>
          <w:szCs w:val="20"/>
        </w:rPr>
        <w:t>16</w:t>
      </w:r>
    </w:p>
    <w:p w:rsidR="00000000" w:rsidRDefault="008B747E">
      <w:pPr>
        <w:pStyle w:val="a3"/>
        <w:spacing w:before="0" w:beforeAutospacing="0" w:after="600" w:afterAutospacing="0"/>
        <w:divId w:val="1826555015"/>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741029026"/>
        <w:rPr>
          <w:sz w:val="20"/>
          <w:szCs w:val="20"/>
        </w:rPr>
      </w:pPr>
      <w:r>
        <w:rPr>
          <w:sz w:val="20"/>
          <w:szCs w:val="20"/>
        </w:rPr>
        <w:t>with other therapeutically active components, such as an inhaled corticosteroid (“ICS”), and any other product or combination of products that</w:t>
      </w:r>
      <w:r>
        <w:rPr>
          <w:sz w:val="20"/>
          <w:szCs w:val="20"/>
        </w:rPr>
        <w:t xml:space="preserve"> may be discovered and developed in the future under the GSK agreements. </w:t>
      </w:r>
    </w:p>
    <w:p w:rsidR="00000000" w:rsidRDefault="008B747E">
      <w:pPr>
        <w:pStyle w:val="a3"/>
        <w:spacing w:before="0" w:beforeAutospacing="0" w:after="0" w:afterAutospacing="0"/>
        <w:ind w:firstLine="720"/>
        <w:divId w:val="741029026"/>
        <w:rPr>
          <w:sz w:val="20"/>
          <w:szCs w:val="20"/>
        </w:rPr>
      </w:pPr>
      <w:r>
        <w:rPr>
          <w:sz w:val="20"/>
          <w:szCs w:val="20"/>
        </w:rPr>
        <w:t>​</w:t>
      </w:r>
    </w:p>
    <w:p w:rsidR="00000000" w:rsidRDefault="008B747E">
      <w:pPr>
        <w:pStyle w:val="a3"/>
        <w:spacing w:before="0" w:beforeAutospacing="0" w:after="0" w:afterAutospacing="0"/>
        <w:ind w:firstLine="720"/>
        <w:divId w:val="741029026"/>
        <w:rPr>
          <w:sz w:val="20"/>
          <w:szCs w:val="20"/>
        </w:rPr>
      </w:pPr>
      <w:r>
        <w:rPr>
          <w:sz w:val="20"/>
          <w:szCs w:val="20"/>
        </w:rPr>
        <w:t>In May 2014, the Company entered into the TRC LLC Agreement with Innoviva that governs the operation of TRC. Under the TRC LLC Agreement, Innoviva is the manager of TRC, and the bu</w:t>
      </w:r>
      <w:r>
        <w:rPr>
          <w:sz w:val="20"/>
          <w:szCs w:val="20"/>
        </w:rPr>
        <w:t>siness and affairs of TRC are managed exclusively by the manager, including (i) day to day management of the drug programs in accordance with the existing GSK agreements; (ii) preparing an annual operating plan for TRC; and (iii) taking all actions necessa</w:t>
      </w:r>
      <w:r>
        <w:rPr>
          <w:sz w:val="20"/>
          <w:szCs w:val="20"/>
        </w:rPr>
        <w:t>ry to ensure that the formation, structure and operation of TRC complies with applicable law and partner agreements. The Company is responsible for its proportionate share of TRC’s administrative expenses incurred, and communicated to the Company, by Innov</w:t>
      </w:r>
      <w:r>
        <w:rPr>
          <w:sz w:val="20"/>
          <w:szCs w:val="20"/>
        </w:rPr>
        <w:t>iva.</w:t>
      </w:r>
    </w:p>
    <w:p w:rsidR="00000000" w:rsidRDefault="008B747E">
      <w:pPr>
        <w:pStyle w:val="a3"/>
        <w:spacing w:before="0" w:beforeAutospacing="0" w:after="0" w:afterAutospacing="0"/>
        <w:divId w:val="741029026"/>
        <w:rPr>
          <w:sz w:val="20"/>
          <w:szCs w:val="20"/>
        </w:rPr>
      </w:pPr>
      <w:r>
        <w:rPr>
          <w:sz w:val="20"/>
          <w:szCs w:val="20"/>
        </w:rPr>
        <w:t>​</w:t>
      </w:r>
    </w:p>
    <w:p w:rsidR="00000000" w:rsidRDefault="008B747E">
      <w:pPr>
        <w:pStyle w:val="a3"/>
        <w:spacing w:before="0" w:beforeAutospacing="0" w:after="0" w:afterAutospacing="0"/>
        <w:ind w:firstLine="720"/>
        <w:divId w:val="741029026"/>
        <w:rPr>
          <w:sz w:val="20"/>
          <w:szCs w:val="20"/>
        </w:rPr>
      </w:pPr>
      <w:r>
        <w:rPr>
          <w:sz w:val="20"/>
          <w:szCs w:val="20"/>
        </w:rPr>
        <w:t>The Company analyzed its ownership, contractual and other interests in TRC to determine if it is a variable-interest entity (“VIE”), whether the Company has a variable interest in TRC and the nature and extent of that interest. The Company determine</w:t>
      </w:r>
      <w:r>
        <w:rPr>
          <w:sz w:val="20"/>
          <w:szCs w:val="20"/>
        </w:rPr>
        <w:t>d that TRC is a VIE. The party with the controlling financial interest, the primary beneficiary, is required to consolidate the entity determined to be a VIE. Therefore, the Company also assessed whether it is the primary beneficiary of TRC based on the po</w:t>
      </w:r>
      <w:r>
        <w:rPr>
          <w:sz w:val="20"/>
          <w:szCs w:val="20"/>
        </w:rPr>
        <w:t>wer to direct TRC’s activities that most significantly impact TRC’s economic performance and its obligation to absorb TRC’s losses or the right to receive benefits from TRC that could potentially be significant to TRC. Based on the Company’s assessment, th</w:t>
      </w:r>
      <w:r>
        <w:rPr>
          <w:sz w:val="20"/>
          <w:szCs w:val="20"/>
        </w:rPr>
        <w:t>e Company determined that it is not the primary beneficiary of TRC, and, as a result, the Company does not consolidate TRC in its condensed consolidated financial statements. TRC is recognized in the Company’s condensed consolidated financial statements un</w:t>
      </w:r>
      <w:r>
        <w:rPr>
          <w:sz w:val="20"/>
          <w:szCs w:val="20"/>
        </w:rPr>
        <w:t>der the equity method of accounting, and the value of the Company’s equity investment in TRC was $20.0 million and $5.4 million as of June 30, 2019 and December 31, 2018, respectively. This amount includes undistributed earnings from the Company’s investme</w:t>
      </w:r>
      <w:r>
        <w:rPr>
          <w:sz w:val="20"/>
          <w:szCs w:val="20"/>
        </w:rPr>
        <w:t>nt in TRC which are recorded on the condensed consolidated balance sheets, net of the Company’s proportionate share of TRC’s administrative expenses incurred, and communicated to the Company, by Innoviva. Pursuant to the TRC operating agreement, the cash f</w:t>
      </w:r>
      <w:r>
        <w:rPr>
          <w:sz w:val="20"/>
          <w:szCs w:val="20"/>
        </w:rPr>
        <w:t>rom the TRELEGY ELLIPTA royalties, net of any expenses, is distributed to the equity holders quarterly.</w:t>
      </w:r>
    </w:p>
    <w:p w:rsidR="00000000" w:rsidRDefault="008B747E">
      <w:pPr>
        <w:pStyle w:val="a3"/>
        <w:spacing w:before="0" w:beforeAutospacing="0" w:after="0" w:afterAutospacing="0"/>
        <w:ind w:firstLine="720"/>
        <w:divId w:val="741029026"/>
        <w:rPr>
          <w:sz w:val="20"/>
          <w:szCs w:val="20"/>
        </w:rPr>
      </w:pPr>
      <w:r>
        <w:rPr>
          <w:sz w:val="20"/>
          <w:szCs w:val="20"/>
        </w:rPr>
        <w:t>​</w:t>
      </w:r>
    </w:p>
    <w:p w:rsidR="00000000" w:rsidRDefault="008B747E">
      <w:pPr>
        <w:pStyle w:val="a3"/>
        <w:spacing w:before="0" w:beforeAutospacing="0" w:after="0" w:afterAutospacing="0"/>
        <w:ind w:firstLine="720"/>
        <w:divId w:val="741029026"/>
        <w:rPr>
          <w:sz w:val="20"/>
          <w:szCs w:val="20"/>
        </w:rPr>
      </w:pPr>
      <w:r>
        <w:rPr>
          <w:sz w:val="20"/>
          <w:szCs w:val="20"/>
        </w:rPr>
        <w:t>For the three and six months ended June 30, 2019, the Company recognized $8.4 million and $14.6 million, respectively, and for the three and six month</w:t>
      </w:r>
      <w:r>
        <w:rPr>
          <w:sz w:val="20"/>
          <w:szCs w:val="20"/>
        </w:rPr>
        <w:t xml:space="preserve">s ended June 30, 2018, the Company recognized $1.9 million and $2.6 million, respectively, in income from its investment in TRC which was generated by royalty payments from GSK to TRC arising from the net sales of </w:t>
      </w:r>
      <w:r>
        <w:rPr>
          <w:caps/>
          <w:sz w:val="20"/>
          <w:szCs w:val="20"/>
        </w:rPr>
        <w:t>Trelegy Ellipta</w:t>
      </w:r>
      <w:r>
        <w:rPr>
          <w:sz w:val="20"/>
          <w:szCs w:val="20"/>
        </w:rPr>
        <w:t>.</w:t>
      </w:r>
    </w:p>
    <w:p w:rsidR="00000000" w:rsidRDefault="008B747E">
      <w:pPr>
        <w:pStyle w:val="a3"/>
        <w:spacing w:before="0" w:beforeAutospacing="0" w:after="0" w:afterAutospacing="0"/>
        <w:ind w:firstLine="720"/>
        <w:divId w:val="741029026"/>
        <w:rPr>
          <w:sz w:val="20"/>
          <w:szCs w:val="20"/>
        </w:rPr>
      </w:pPr>
      <w:r>
        <w:rPr>
          <w:sz w:val="20"/>
          <w:szCs w:val="20"/>
        </w:rPr>
        <w:t>​</w:t>
      </w:r>
    </w:p>
    <w:p w:rsidR="00000000" w:rsidRDefault="008B747E">
      <w:pPr>
        <w:pStyle w:val="a3"/>
        <w:spacing w:before="0" w:beforeAutospacing="0" w:after="0" w:afterAutospacing="0"/>
        <w:ind w:firstLine="720"/>
        <w:divId w:val="741029026"/>
        <w:rPr>
          <w:sz w:val="20"/>
          <w:szCs w:val="20"/>
        </w:rPr>
      </w:pPr>
      <w:r>
        <w:rPr>
          <w:sz w:val="20"/>
          <w:szCs w:val="20"/>
        </w:rPr>
        <w:t>In May 2019, the Company announced that it had initiated an arbitration against Innoviva and TRC because Innoviva has caused TRC to not make certain distributions owed to us with respect to our 8</w:t>
      </w:r>
      <w:r>
        <w:rPr>
          <w:sz w:val="20"/>
          <w:szCs w:val="20"/>
        </w:rPr>
        <w:t>5</w:t>
      </w:r>
      <w:r>
        <w:rPr>
          <w:sz w:val="20"/>
          <w:szCs w:val="20"/>
        </w:rPr>
        <w:t xml:space="preserve">% economic interest in TRC since the quarter ended December </w:t>
      </w:r>
      <w:r>
        <w:rPr>
          <w:sz w:val="20"/>
          <w:szCs w:val="20"/>
        </w:rPr>
        <w:t>31, 2018, and Innoviva’s previous statement to us that it intends to cause TRC to withhold making further cash distributions through calendar year 2019. The arbitration hearing commenced on July 23, 2019. Resolution of the arbitration should occur in the t</w:t>
      </w:r>
      <w:r>
        <w:rPr>
          <w:sz w:val="20"/>
          <w:szCs w:val="20"/>
        </w:rPr>
        <w:t>hird quarter of 2019</w:t>
      </w:r>
      <w:r>
        <w:rPr>
          <w:sz w:val="20"/>
          <w:szCs w:val="20"/>
        </w:rPr>
        <w:t>.</w:t>
      </w:r>
    </w:p>
    <w:p w:rsidR="00000000" w:rsidRDefault="008B747E">
      <w:pPr>
        <w:pStyle w:val="a3"/>
        <w:spacing w:before="0" w:beforeAutospacing="0" w:after="0" w:afterAutospacing="0"/>
        <w:ind w:firstLine="720"/>
        <w:divId w:val="741029026"/>
        <w:rPr>
          <w:sz w:val="20"/>
          <w:szCs w:val="20"/>
        </w:rPr>
      </w:pPr>
      <w:r>
        <w:rPr>
          <w:sz w:val="20"/>
          <w:szCs w:val="20"/>
        </w:rPr>
        <w:t>​</w:t>
      </w:r>
    </w:p>
    <w:p w:rsidR="00000000" w:rsidRDefault="008B747E">
      <w:pPr>
        <w:pStyle w:val="a3"/>
        <w:spacing w:before="0" w:beforeAutospacing="0" w:after="0" w:afterAutospacing="0"/>
        <w:divId w:val="741029026"/>
        <w:rPr>
          <w:sz w:val="20"/>
          <w:szCs w:val="20"/>
        </w:rPr>
      </w:pPr>
      <w:r>
        <w:rPr>
          <w:b/>
          <w:bCs/>
          <w:sz w:val="20"/>
          <w:szCs w:val="20"/>
        </w:rPr>
        <w:t>9</w:t>
      </w:r>
      <w:r>
        <w:rPr>
          <w:b/>
          <w:bCs/>
          <w:i/>
          <w:iCs/>
          <w:sz w:val="20"/>
          <w:szCs w:val="20"/>
        </w:rPr>
        <w:t xml:space="preserve">. </w:t>
      </w:r>
      <w:r>
        <w:rPr>
          <w:b/>
          <w:bCs/>
          <w:sz w:val="20"/>
          <w:szCs w:val="20"/>
        </w:rPr>
        <w:t>Share-Based Compensation</w:t>
      </w:r>
    </w:p>
    <w:p w:rsidR="00000000" w:rsidRDefault="008B747E">
      <w:pPr>
        <w:pStyle w:val="a3"/>
        <w:spacing w:before="0" w:beforeAutospacing="0" w:after="0" w:afterAutospacing="0"/>
        <w:divId w:val="741029026"/>
        <w:rPr>
          <w:sz w:val="20"/>
          <w:szCs w:val="20"/>
        </w:rPr>
      </w:pPr>
      <w:r>
        <w:rPr>
          <w:sz w:val="10"/>
          <w:szCs w:val="10"/>
        </w:rPr>
        <w:t>​</w:t>
      </w:r>
    </w:p>
    <w:p w:rsidR="00000000" w:rsidRDefault="008B747E">
      <w:pPr>
        <w:pStyle w:val="a3"/>
        <w:spacing w:before="0" w:beforeAutospacing="0" w:after="0" w:afterAutospacing="0"/>
        <w:divId w:val="741029026"/>
        <w:rPr>
          <w:sz w:val="20"/>
          <w:szCs w:val="20"/>
        </w:rPr>
      </w:pPr>
      <w:r>
        <w:rPr>
          <w:b/>
          <w:bCs/>
          <w:i/>
          <w:iCs/>
          <w:sz w:val="20"/>
          <w:szCs w:val="20"/>
        </w:rPr>
        <w:t>Share-Based Compensation Expense Allocation</w:t>
      </w:r>
    </w:p>
    <w:p w:rsidR="00000000" w:rsidRDefault="008B747E">
      <w:pPr>
        <w:pStyle w:val="a3"/>
        <w:spacing w:before="0" w:beforeAutospacing="0" w:after="0" w:afterAutospacing="0"/>
        <w:ind w:firstLine="720"/>
        <w:divId w:val="741029026"/>
        <w:rPr>
          <w:sz w:val="20"/>
          <w:szCs w:val="20"/>
        </w:rPr>
      </w:pPr>
      <w:r>
        <w:rPr>
          <w:sz w:val="10"/>
          <w:szCs w:val="10"/>
        </w:rPr>
        <w:t>​</w:t>
      </w:r>
    </w:p>
    <w:p w:rsidR="00000000" w:rsidRDefault="008B747E">
      <w:pPr>
        <w:pStyle w:val="a3"/>
        <w:spacing w:before="0" w:beforeAutospacing="0" w:after="0" w:afterAutospacing="0"/>
        <w:ind w:firstLine="720"/>
        <w:divId w:val="741029026"/>
        <w:rPr>
          <w:sz w:val="20"/>
          <w:szCs w:val="20"/>
        </w:rPr>
      </w:pPr>
      <w:r>
        <w:rPr>
          <w:sz w:val="20"/>
          <w:szCs w:val="20"/>
        </w:rPr>
        <w:t>The allocation of share-based compensation expense included in the condensed consolidated statements of operations was as follows:</w:t>
      </w:r>
    </w:p>
    <w:p w:rsidR="00000000" w:rsidRDefault="008B747E">
      <w:pPr>
        <w:pStyle w:val="a3"/>
        <w:spacing w:before="0" w:beforeAutospacing="0" w:after="0" w:afterAutospacing="0"/>
        <w:ind w:firstLine="720"/>
        <w:divId w:val="74102902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637"/>
        <w:gridCol w:w="160"/>
        <w:gridCol w:w="106"/>
        <w:gridCol w:w="610"/>
        <w:gridCol w:w="160"/>
        <w:gridCol w:w="107"/>
        <w:gridCol w:w="610"/>
        <w:gridCol w:w="160"/>
        <w:gridCol w:w="108"/>
        <w:gridCol w:w="610"/>
        <w:gridCol w:w="160"/>
        <w:gridCol w:w="108"/>
        <w:gridCol w:w="610"/>
        <w:gridCol w:w="160"/>
      </w:tblGrid>
      <w:tr w:rsidR="00000000">
        <w:trPr>
          <w:divId w:val="741029026"/>
          <w:trHeight w:val="20"/>
        </w:trPr>
        <w:tc>
          <w:tcPr>
            <w:tcW w:w="2813" w:type="pct"/>
            <w:tcMar>
              <w:top w:w="0" w:type="dxa"/>
              <w:left w:w="0" w:type="dxa"/>
              <w:bottom w:w="0" w:type="dxa"/>
              <w:right w:w="0" w:type="dxa"/>
            </w:tcMar>
            <w:vAlign w:val="bottom"/>
            <w:hideMark/>
          </w:tcPr>
          <w:p w:rsidR="00000000" w:rsidRDefault="008B747E">
            <w:pPr>
              <w:pStyle w:val="a3"/>
              <w:spacing w:before="0" w:beforeAutospacing="0" w:after="0" w:afterAutospacing="0"/>
              <w:divId w:val="728310678"/>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767387985"/>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379327064"/>
              <w:rPr>
                <w:sz w:val="20"/>
                <w:szCs w:val="20"/>
              </w:rPr>
            </w:pPr>
            <w:r>
              <w:rPr>
                <w:sz w:val="2"/>
                <w:szCs w:val="2"/>
              </w:rPr>
              <w:t>​</w:t>
            </w:r>
          </w:p>
        </w:tc>
        <w:tc>
          <w:tcPr>
            <w:tcW w:w="350" w:type="pct"/>
            <w:noWrap/>
            <w:tcMar>
              <w:top w:w="0" w:type="dxa"/>
              <w:left w:w="0" w:type="dxa"/>
              <w:bottom w:w="0" w:type="dxa"/>
              <w:right w:w="0" w:type="dxa"/>
            </w:tcMar>
            <w:vAlign w:val="center"/>
            <w:hideMark/>
          </w:tcPr>
          <w:p w:rsidR="00000000" w:rsidRDefault="008B747E">
            <w:pPr>
              <w:pStyle w:val="a3"/>
              <w:spacing w:before="0" w:beforeAutospacing="0" w:after="0" w:afterAutospacing="0"/>
              <w:divId w:val="2100442710"/>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388501271"/>
              <w:rPr>
                <w:sz w:val="20"/>
                <w:szCs w:val="20"/>
              </w:rPr>
            </w:pPr>
            <w:r>
              <w:rPr>
                <w:sz w:val="2"/>
                <w:szCs w:val="2"/>
              </w:rPr>
              <w:t>​</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490101461"/>
              <w:rPr>
                <w:sz w:val="20"/>
                <w:szCs w:val="20"/>
              </w:rPr>
            </w:pPr>
            <w:r>
              <w:rPr>
                <w:sz w:val="2"/>
                <w:szCs w:val="2"/>
              </w:rPr>
              <w:t>​</w:t>
            </w:r>
          </w:p>
        </w:tc>
        <w:tc>
          <w:tcPr>
            <w:tcW w:w="350" w:type="pct"/>
            <w:noWrap/>
            <w:tcMar>
              <w:top w:w="0" w:type="dxa"/>
              <w:left w:w="0" w:type="dxa"/>
              <w:bottom w:w="0" w:type="dxa"/>
              <w:right w:w="0" w:type="dxa"/>
            </w:tcMar>
            <w:vAlign w:val="center"/>
            <w:hideMark/>
          </w:tcPr>
          <w:p w:rsidR="00000000" w:rsidRDefault="008B747E">
            <w:pPr>
              <w:pStyle w:val="a3"/>
              <w:spacing w:before="0" w:beforeAutospacing="0" w:after="0" w:afterAutospacing="0"/>
              <w:divId w:val="1277524153"/>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641085882"/>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029721360"/>
              <w:rPr>
                <w:sz w:val="20"/>
                <w:szCs w:val="20"/>
              </w:rPr>
            </w:pPr>
            <w:r>
              <w:rPr>
                <w:sz w:val="2"/>
                <w:szCs w:val="2"/>
              </w:rPr>
              <w:t>​</w:t>
            </w:r>
          </w:p>
        </w:tc>
        <w:tc>
          <w:tcPr>
            <w:tcW w:w="350" w:type="pct"/>
            <w:noWrap/>
            <w:tcMar>
              <w:top w:w="0" w:type="dxa"/>
              <w:left w:w="0" w:type="dxa"/>
              <w:bottom w:w="0" w:type="dxa"/>
              <w:right w:w="0" w:type="dxa"/>
            </w:tcMar>
            <w:vAlign w:val="center"/>
            <w:hideMark/>
          </w:tcPr>
          <w:p w:rsidR="00000000" w:rsidRDefault="008B747E">
            <w:pPr>
              <w:pStyle w:val="a3"/>
              <w:spacing w:before="0" w:beforeAutospacing="0" w:after="0" w:afterAutospacing="0"/>
              <w:divId w:val="1334802810"/>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86078143"/>
              <w:rPr>
                <w:sz w:val="20"/>
                <w:szCs w:val="20"/>
              </w:rPr>
            </w:pPr>
            <w:r>
              <w:rPr>
                <w:sz w:val="2"/>
                <w:szCs w:val="2"/>
              </w:rPr>
              <w:t>​</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57680102"/>
              <w:rPr>
                <w:sz w:val="20"/>
                <w:szCs w:val="20"/>
              </w:rPr>
            </w:pPr>
            <w:r>
              <w:rPr>
                <w:sz w:val="2"/>
                <w:szCs w:val="2"/>
              </w:rPr>
              <w:t>​</w:t>
            </w:r>
          </w:p>
        </w:tc>
        <w:tc>
          <w:tcPr>
            <w:tcW w:w="350" w:type="pct"/>
            <w:noWrap/>
            <w:tcMar>
              <w:top w:w="0" w:type="dxa"/>
              <w:left w:w="0" w:type="dxa"/>
              <w:bottom w:w="0" w:type="dxa"/>
              <w:right w:w="0" w:type="dxa"/>
            </w:tcMar>
            <w:vAlign w:val="center"/>
            <w:hideMark/>
          </w:tcPr>
          <w:p w:rsidR="00000000" w:rsidRDefault="008B747E">
            <w:pPr>
              <w:pStyle w:val="a3"/>
              <w:spacing w:before="0" w:beforeAutospacing="0" w:after="0" w:afterAutospacing="0"/>
              <w:divId w:val="1165633154"/>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11922900"/>
              <w:rPr>
                <w:sz w:val="20"/>
                <w:szCs w:val="20"/>
              </w:rPr>
            </w:pPr>
            <w:r>
              <w:rPr>
                <w:sz w:val="2"/>
                <w:szCs w:val="2"/>
              </w:rPr>
              <w:t>​</w:t>
            </w:r>
          </w:p>
        </w:tc>
      </w:tr>
      <w:tr w:rsidR="00000000">
        <w:trPr>
          <w:divId w:val="741029026"/>
        </w:trPr>
        <w:tc>
          <w:tcPr>
            <w:tcW w:w="2813"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8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63" w:type="pct"/>
            <w:gridSpan w:val="5"/>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Three Months Ended </w:t>
            </w:r>
          </w:p>
        </w:tc>
        <w:tc>
          <w:tcPr>
            <w:tcW w:w="8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66" w:type="pct"/>
            <w:gridSpan w:val="5"/>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Six Months Ended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r>
      <w:tr w:rsidR="00000000">
        <w:trPr>
          <w:divId w:val="741029026"/>
        </w:trPr>
        <w:tc>
          <w:tcPr>
            <w:tcW w:w="2813"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8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63" w:type="pct"/>
            <w:gridSpan w:val="5"/>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8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66" w:type="pct"/>
            <w:gridSpan w:val="5"/>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r>
      <w:tr w:rsidR="00000000">
        <w:trPr>
          <w:divId w:val="741029026"/>
        </w:trPr>
        <w:tc>
          <w:tcPr>
            <w:tcW w:w="2813" w:type="pct"/>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(In thousands)</w:t>
            </w:r>
          </w:p>
        </w:tc>
        <w:tc>
          <w:tcPr>
            <w:tcW w:w="8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3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8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3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8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8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43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r>
      <w:tr w:rsidR="00000000">
        <w:trPr>
          <w:divId w:val="741029026"/>
        </w:trPr>
        <w:tc>
          <w:tcPr>
            <w:tcW w:w="2813"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 xml:space="preserve">Research and development </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5,720</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6,904</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11,880</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13,463</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741029026"/>
        </w:trPr>
        <w:tc>
          <w:tcPr>
            <w:tcW w:w="2813"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 xml:space="preserve">Selling, general and administrative </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50" w:type="pct"/>
            <w:tcBorders>
              <w:bottom w:val="single" w:sz="6" w:space="0" w:color="000000"/>
            </w:tcBorders>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5,578</w:t>
            </w:r>
          </w:p>
        </w:tc>
        <w:tc>
          <w:tcPr>
            <w:tcW w:w="8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50" w:type="pct"/>
            <w:tcBorders>
              <w:bottom w:val="single" w:sz="6" w:space="0" w:color="000000"/>
            </w:tcBorders>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6,951</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50" w:type="pct"/>
            <w:tcBorders>
              <w:bottom w:val="single" w:sz="6" w:space="0" w:color="000000"/>
            </w:tcBorders>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11,639</w:t>
            </w:r>
          </w:p>
        </w:tc>
        <w:tc>
          <w:tcPr>
            <w:tcW w:w="88"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50" w:type="pct"/>
            <w:tcBorders>
              <w:bottom w:val="single" w:sz="6" w:space="0" w:color="000000"/>
            </w:tcBorders>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14,390</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741029026"/>
        </w:trPr>
        <w:tc>
          <w:tcPr>
            <w:tcW w:w="2813"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240"/>
              <w:rPr>
                <w:sz w:val="20"/>
                <w:szCs w:val="20"/>
              </w:rPr>
            </w:pPr>
            <w:r>
              <w:rPr>
                <w:sz w:val="20"/>
                <w:szCs w:val="20"/>
              </w:rPr>
              <w:t xml:space="preserve">Total share-based compensation expense </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11,298</w:t>
            </w:r>
          </w:p>
        </w:tc>
        <w:tc>
          <w:tcPr>
            <w:tcW w:w="8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13,855</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23,519</w:t>
            </w:r>
          </w:p>
        </w:tc>
        <w:tc>
          <w:tcPr>
            <w:tcW w:w="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88"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0" w:type="pct"/>
            <w:tcBorders>
              <w:bottom w:val="double" w:sz="6" w:space="0" w:color="000000"/>
            </w:tcBorders>
            <w:shd w:val="clear" w:color="auto" w:fill="CCEEFF"/>
            <w:noWrap/>
            <w:tcMar>
              <w:top w:w="0" w:type="dxa"/>
              <w:left w:w="0" w:type="dxa"/>
              <w:bottom w:w="0" w:type="dxa"/>
              <w:right w:w="0" w:type="dxa"/>
            </w:tcMar>
            <w:vAlign w:val="center"/>
            <w:hideMark/>
          </w:tcPr>
          <w:p w:rsidR="00000000" w:rsidRDefault="008B747E">
            <w:pPr>
              <w:pStyle w:val="a3"/>
              <w:spacing w:before="0" w:beforeAutospacing="0" w:after="0" w:afterAutospacing="0"/>
              <w:ind w:right="60"/>
              <w:jc w:val="right"/>
              <w:rPr>
                <w:sz w:val="20"/>
                <w:szCs w:val="20"/>
              </w:rPr>
            </w:pPr>
            <w:r>
              <w:rPr>
                <w:sz w:val="20"/>
                <w:szCs w:val="20"/>
              </w:rPr>
              <w:t>27,853</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bl>
    <w:p w:rsidR="00000000" w:rsidRDefault="008B747E">
      <w:pPr>
        <w:pStyle w:val="a3"/>
        <w:spacing w:before="0" w:beforeAutospacing="0" w:after="0" w:afterAutospacing="0"/>
        <w:divId w:val="741029026"/>
        <w:rPr>
          <w:sz w:val="20"/>
          <w:szCs w:val="20"/>
        </w:rPr>
      </w:pPr>
      <w:r>
        <w:rPr>
          <w:sz w:val="2"/>
          <w:szCs w:val="2"/>
        </w:rPr>
        <w:t>​</w:t>
      </w:r>
    </w:p>
    <w:p w:rsidR="00000000" w:rsidRDefault="008B747E">
      <w:pPr>
        <w:pStyle w:val="a3"/>
        <w:spacing w:before="240" w:beforeAutospacing="0" w:after="120" w:afterAutospacing="0"/>
        <w:divId w:val="741029026"/>
        <w:rPr>
          <w:sz w:val="20"/>
          <w:szCs w:val="20"/>
        </w:rPr>
      </w:pPr>
      <w:r>
        <w:rPr>
          <w:b/>
          <w:bCs/>
          <w:i/>
          <w:iCs/>
          <w:sz w:val="20"/>
          <w:szCs w:val="20"/>
        </w:rPr>
        <w:t>Performance-Contingent Awards</w:t>
      </w:r>
    </w:p>
    <w:p w:rsidR="00000000" w:rsidRDefault="008B747E">
      <w:pPr>
        <w:pStyle w:val="a3"/>
        <w:spacing w:before="0" w:beforeAutospacing="0" w:after="0" w:afterAutospacing="0"/>
        <w:ind w:firstLine="720"/>
        <w:divId w:val="741029026"/>
        <w:rPr>
          <w:sz w:val="20"/>
          <w:szCs w:val="20"/>
        </w:rPr>
      </w:pPr>
      <w:r>
        <w:rPr>
          <w:sz w:val="20"/>
          <w:szCs w:val="20"/>
        </w:rPr>
        <w:t>In the first quarter of 2016, the Compensation Committee of the Company’s board of directors (“Compensation Committee”) approved the grant of 1,575,000 performance-contingent restricted share awards (“RSAs”) and 135,000 performance-contingent restricted sh</w:t>
      </w:r>
      <w:r>
        <w:rPr>
          <w:sz w:val="20"/>
          <w:szCs w:val="20"/>
        </w:rPr>
        <w:t>are units (“RSUs”) to senior management. The vesting of such awards is dependent on the Company meeting its critical operating goals and objectives during the</w:t>
      </w:r>
      <w:r>
        <w:rPr>
          <w:sz w:val="20"/>
          <w:szCs w:val="20"/>
        </w:rPr>
        <w:t xml:space="preserve"> </w:t>
      </w:r>
      <w:r>
        <w:rPr>
          <w:sz w:val="20"/>
          <w:szCs w:val="20"/>
        </w:rPr>
        <w:t>five-yea</w:t>
      </w:r>
      <w:r>
        <w:rPr>
          <w:sz w:val="20"/>
          <w:szCs w:val="20"/>
        </w:rPr>
        <w:t>r</w:t>
      </w:r>
      <w:r>
        <w:rPr>
          <w:sz w:val="20"/>
          <w:szCs w:val="20"/>
        </w:rPr>
        <w:t xml:space="preserve"> period from 2016 to December 31, 2020,</w:t>
      </w:r>
      <w:r>
        <w:rPr>
          <w:sz w:val="20"/>
          <w:szCs w:val="20"/>
        </w:rPr>
        <w:t xml:space="preserve"> </w:t>
      </w:r>
    </w:p>
    <w:p w:rsidR="00000000" w:rsidRDefault="008B747E">
      <w:pPr>
        <w:pStyle w:val="a3"/>
        <w:spacing w:before="360" w:beforeAutospacing="0" w:after="0" w:afterAutospacing="0"/>
        <w:jc w:val="center"/>
        <w:divId w:val="1339693176"/>
        <w:rPr>
          <w:sz w:val="20"/>
          <w:szCs w:val="20"/>
        </w:rPr>
      </w:pPr>
      <w:r>
        <w:rPr>
          <w:sz w:val="20"/>
          <w:szCs w:val="20"/>
        </w:rPr>
        <w:t>17</w:t>
      </w:r>
    </w:p>
    <w:p w:rsidR="00000000" w:rsidRDefault="008B747E">
      <w:pPr>
        <w:pStyle w:val="a3"/>
        <w:spacing w:before="0" w:beforeAutospacing="0" w:after="600" w:afterAutospacing="0"/>
        <w:divId w:val="484709595"/>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699666662"/>
        <w:rPr>
          <w:sz w:val="20"/>
          <w:szCs w:val="20"/>
        </w:rPr>
      </w:pPr>
      <w:r>
        <w:rPr>
          <w:sz w:val="20"/>
          <w:szCs w:val="20"/>
        </w:rPr>
        <w:t>as well as, continued employment. The goals that must be met in order for the performance-contingent RSAs and RSUs to vest are strategically important for the Company, and the Compensation Committee believes the goals, if achieved, will i</w:t>
      </w:r>
      <w:r>
        <w:rPr>
          <w:sz w:val="20"/>
          <w:szCs w:val="20"/>
        </w:rPr>
        <w:t>ncrease shareholder value. The awards have dual triggers of vesting based upon the achievement of these goals and continued employment. As of June 30, 2019, there were 877,500 of these performance-contingent RSAs and 101,250 of these performance-contingent</w:t>
      </w:r>
      <w:r>
        <w:rPr>
          <w:sz w:val="20"/>
          <w:szCs w:val="20"/>
        </w:rPr>
        <w:t xml:space="preserve"> RSUs outstanding, and as of June 30, 2018, there were 978,750 of these performance-contingent RSAs and 101,25</w:t>
      </w:r>
      <w:r>
        <w:rPr>
          <w:sz w:val="20"/>
          <w:szCs w:val="20"/>
        </w:rPr>
        <w:t>0</w:t>
      </w:r>
      <w:r>
        <w:rPr>
          <w:sz w:val="20"/>
          <w:szCs w:val="20"/>
        </w:rPr>
        <w:t xml:space="preserve"> of these performance-contingent RSUs outstanding.</w:t>
      </w:r>
      <w:r>
        <w:rPr>
          <w:sz w:val="20"/>
          <w:szCs w:val="20"/>
        </w:rPr>
        <w:t xml:space="preserve"> </w:t>
      </w:r>
    </w:p>
    <w:p w:rsidR="00000000" w:rsidRDefault="008B747E">
      <w:pPr>
        <w:pStyle w:val="a3"/>
        <w:spacing w:before="0" w:beforeAutospacing="0" w:after="0" w:afterAutospacing="0"/>
        <w:ind w:firstLine="720"/>
        <w:divId w:val="699666662"/>
        <w:rPr>
          <w:sz w:val="20"/>
          <w:szCs w:val="20"/>
        </w:rPr>
      </w:pPr>
      <w:r>
        <w:rPr>
          <w:sz w:val="20"/>
          <w:szCs w:val="20"/>
        </w:rPr>
        <w:t>​</w:t>
      </w:r>
    </w:p>
    <w:p w:rsidR="00000000" w:rsidRDefault="008B747E">
      <w:pPr>
        <w:pStyle w:val="a3"/>
        <w:spacing w:before="0" w:beforeAutospacing="0" w:after="0" w:afterAutospacing="0"/>
        <w:ind w:firstLine="720"/>
        <w:divId w:val="699666662"/>
        <w:rPr>
          <w:sz w:val="20"/>
          <w:szCs w:val="20"/>
        </w:rPr>
      </w:pPr>
      <w:r>
        <w:rPr>
          <w:sz w:val="20"/>
          <w:szCs w:val="20"/>
        </w:rPr>
        <w:t>Expense associated with these awards is broken into three separate tranches and may be reco</w:t>
      </w:r>
      <w:r>
        <w:rPr>
          <w:sz w:val="20"/>
          <w:szCs w:val="20"/>
        </w:rPr>
        <w:t>gnized during the years 2016 to 2020 depending on the probability of meeting the performance conditions. Compensation expense relating to awards subject to performance conditions is recognized if it is considered probable that the performance goals will be</w:t>
      </w:r>
      <w:r>
        <w:rPr>
          <w:sz w:val="20"/>
          <w:szCs w:val="20"/>
        </w:rPr>
        <w:t xml:space="preserve"> achieved. The probability of achievement is reassessed at each quarter-end reporting period. Previously recognized expense is reversed in the period in which it becomes probable that the requisite service period will not be rendered.</w:t>
      </w:r>
    </w:p>
    <w:p w:rsidR="00000000" w:rsidRDefault="008B747E">
      <w:pPr>
        <w:pStyle w:val="a3"/>
        <w:spacing w:before="0" w:beforeAutospacing="0" w:after="0" w:afterAutospacing="0"/>
        <w:ind w:firstLine="720"/>
        <w:divId w:val="699666662"/>
        <w:rPr>
          <w:sz w:val="20"/>
          <w:szCs w:val="20"/>
        </w:rPr>
      </w:pPr>
      <w:r>
        <w:rPr>
          <w:color w:val="FF0000"/>
          <w:sz w:val="20"/>
          <w:szCs w:val="20"/>
        </w:rPr>
        <w:t>​</w:t>
      </w:r>
    </w:p>
    <w:p w:rsidR="00000000" w:rsidRDefault="008B747E">
      <w:pPr>
        <w:pStyle w:val="a3"/>
        <w:spacing w:before="0" w:beforeAutospacing="0" w:after="0" w:afterAutospacing="0"/>
        <w:ind w:firstLine="720"/>
        <w:divId w:val="699666662"/>
        <w:rPr>
          <w:sz w:val="20"/>
          <w:szCs w:val="20"/>
        </w:rPr>
      </w:pPr>
      <w:r>
        <w:rPr>
          <w:sz w:val="20"/>
          <w:szCs w:val="20"/>
        </w:rPr>
        <w:t>The performance con</w:t>
      </w:r>
      <w:r>
        <w:rPr>
          <w:sz w:val="20"/>
          <w:szCs w:val="20"/>
        </w:rPr>
        <w:t>ditions associated with the first tranche of these awards were completed in the second quarter of 2018, and the Company recognized $0.6 million and $1.8 million of share-based compensation expense for the three and six months ended June 30, 2018 associated</w:t>
      </w:r>
      <w:r>
        <w:rPr>
          <w:sz w:val="20"/>
          <w:szCs w:val="20"/>
        </w:rPr>
        <w:t xml:space="preserve"> with the first tranche of these awards. </w:t>
      </w:r>
    </w:p>
    <w:p w:rsidR="00000000" w:rsidRDefault="008B747E">
      <w:pPr>
        <w:pStyle w:val="a3"/>
        <w:spacing w:before="0" w:beforeAutospacing="0" w:after="0" w:afterAutospacing="0"/>
        <w:ind w:firstLine="720"/>
        <w:divId w:val="699666662"/>
        <w:rPr>
          <w:sz w:val="20"/>
          <w:szCs w:val="20"/>
        </w:rPr>
      </w:pPr>
      <w:r>
        <w:rPr>
          <w:sz w:val="20"/>
          <w:szCs w:val="20"/>
        </w:rPr>
        <w:t>​</w:t>
      </w:r>
    </w:p>
    <w:p w:rsidR="00000000" w:rsidRDefault="008B747E">
      <w:pPr>
        <w:pStyle w:val="a3"/>
        <w:spacing w:before="0" w:beforeAutospacing="0" w:after="0" w:afterAutospacing="0"/>
        <w:ind w:firstLine="720"/>
        <w:divId w:val="699666662"/>
        <w:rPr>
          <w:sz w:val="20"/>
          <w:szCs w:val="20"/>
        </w:rPr>
      </w:pPr>
      <w:r>
        <w:rPr>
          <w:sz w:val="20"/>
          <w:szCs w:val="20"/>
        </w:rPr>
        <w:t>The performance conditions associated with the second tranche of these awards were completed in the first quarter of 2019. For the three and six months ended June 30, 2019, the Company recognized ($0.3) million a</w:t>
      </w:r>
      <w:r>
        <w:rPr>
          <w:sz w:val="20"/>
          <w:szCs w:val="20"/>
        </w:rPr>
        <w:t>nd $0.5 million, respectively, of share-based compensation (credit) expense related to the second tranche of these awards. The maximum remaining expense associated with the second tranche is $1.8 million (allocated as $0.6 million for research and developm</w:t>
      </w:r>
      <w:r>
        <w:rPr>
          <w:sz w:val="20"/>
          <w:szCs w:val="20"/>
        </w:rPr>
        <w:t>ent expense and $1.2 million for selling, general and administrative expense). For the three and six months ended June 30, 2018, the Company recognized $0.9 million and $1.7 million, respectively, of share-based compensation expense related to the second t</w:t>
      </w:r>
      <w:r>
        <w:rPr>
          <w:sz w:val="20"/>
          <w:szCs w:val="20"/>
        </w:rPr>
        <w:t>ranche of these awards.</w:t>
      </w:r>
    </w:p>
    <w:p w:rsidR="00000000" w:rsidRDefault="008B747E">
      <w:pPr>
        <w:pStyle w:val="a3"/>
        <w:spacing w:before="0" w:beforeAutospacing="0" w:after="0" w:afterAutospacing="0"/>
        <w:ind w:firstLine="720"/>
        <w:divId w:val="699666662"/>
        <w:rPr>
          <w:sz w:val="20"/>
          <w:szCs w:val="20"/>
        </w:rPr>
      </w:pPr>
      <w:r>
        <w:rPr>
          <w:sz w:val="20"/>
          <w:szCs w:val="20"/>
        </w:rPr>
        <w:t>​</w:t>
      </w:r>
    </w:p>
    <w:p w:rsidR="00000000" w:rsidRDefault="008B747E">
      <w:pPr>
        <w:pStyle w:val="a3"/>
        <w:spacing w:before="0" w:beforeAutospacing="0" w:after="0" w:afterAutospacing="0"/>
        <w:ind w:firstLine="720"/>
        <w:divId w:val="699666662"/>
        <w:rPr>
          <w:sz w:val="20"/>
          <w:szCs w:val="20"/>
        </w:rPr>
      </w:pPr>
      <w:r>
        <w:rPr>
          <w:sz w:val="20"/>
          <w:szCs w:val="20"/>
        </w:rPr>
        <w:t>As of June 30, 2019, the Company determined that the remaining third tranche was not probable of vesting and, as a result, no compensation expense related to the third tranche has been recognized to date. The maximum potential exp</w:t>
      </w:r>
      <w:r>
        <w:rPr>
          <w:sz w:val="20"/>
          <w:szCs w:val="20"/>
        </w:rPr>
        <w:t>ense associated with the remaining third tranche could be up to $12.8 million (allocated as $4.4 million for research and development expense and $8.3 million for selling, general and administrative expense) if the performance conditions are achieved.</w:t>
      </w:r>
    </w:p>
    <w:p w:rsidR="00000000" w:rsidRDefault="008B747E">
      <w:pPr>
        <w:pStyle w:val="a3"/>
        <w:spacing w:before="0" w:beforeAutospacing="0" w:after="0" w:afterAutospacing="0"/>
        <w:ind w:firstLine="720"/>
        <w:divId w:val="699666662"/>
        <w:rPr>
          <w:sz w:val="20"/>
          <w:szCs w:val="20"/>
        </w:rPr>
      </w:pPr>
      <w:r>
        <w:rPr>
          <w:sz w:val="20"/>
          <w:szCs w:val="20"/>
        </w:rPr>
        <w:t>​</w:t>
      </w:r>
    </w:p>
    <w:p w:rsidR="00000000" w:rsidRDefault="008B747E">
      <w:pPr>
        <w:pStyle w:val="a3"/>
        <w:spacing w:before="0" w:beforeAutospacing="0" w:after="0" w:afterAutospacing="0"/>
        <w:ind w:firstLine="720"/>
        <w:divId w:val="699666662"/>
        <w:rPr>
          <w:sz w:val="20"/>
          <w:szCs w:val="20"/>
        </w:rPr>
      </w:pPr>
      <w:r>
        <w:rPr>
          <w:sz w:val="20"/>
          <w:szCs w:val="20"/>
        </w:rPr>
        <w:t>In</w:t>
      </w:r>
      <w:r>
        <w:rPr>
          <w:sz w:val="20"/>
          <w:szCs w:val="20"/>
        </w:rPr>
        <w:t xml:space="preserve"> the fourth quarter of 2018, the Compensation Committee approved a grant of 3,000 performance-contingent RSUs to an employee. These RSUs have a maximum compensation expense of $75,000 which will be recognized when its single performance milestone is deemed</w:t>
      </w:r>
      <w:r>
        <w:rPr>
          <w:sz w:val="20"/>
          <w:szCs w:val="20"/>
        </w:rPr>
        <w:t xml:space="preserve"> to be probable of achievement. These 3,000 performance-contingent RSUs expire by December 31, 2020.</w:t>
      </w:r>
    </w:p>
    <w:p w:rsidR="00000000" w:rsidRDefault="008B747E">
      <w:pPr>
        <w:pStyle w:val="a3"/>
        <w:spacing w:before="0" w:beforeAutospacing="0" w:after="0" w:afterAutospacing="0"/>
        <w:divId w:val="699666662"/>
        <w:rPr>
          <w:sz w:val="20"/>
          <w:szCs w:val="20"/>
        </w:rPr>
      </w:pPr>
      <w:r>
        <w:rPr>
          <w:sz w:val="20"/>
          <w:szCs w:val="20"/>
        </w:rPr>
        <w:t>​</w:t>
      </w:r>
    </w:p>
    <w:p w:rsidR="00000000" w:rsidRDefault="008B747E">
      <w:pPr>
        <w:pStyle w:val="a3"/>
        <w:spacing w:before="0" w:beforeAutospacing="0" w:after="0" w:afterAutospacing="0"/>
        <w:ind w:firstLine="720"/>
        <w:divId w:val="699666662"/>
        <w:rPr>
          <w:sz w:val="20"/>
          <w:szCs w:val="20"/>
        </w:rPr>
      </w:pPr>
      <w:r>
        <w:rPr>
          <w:sz w:val="20"/>
          <w:szCs w:val="20"/>
        </w:rPr>
        <w:t>In the first quarter of 2019, the Compensation Committee approved a grant of 60,000 performance-contingent RSUs and incentive cash bonus awards to certai</w:t>
      </w:r>
      <w:r>
        <w:rPr>
          <w:sz w:val="20"/>
          <w:szCs w:val="20"/>
        </w:rPr>
        <w:t>n employees. These awards have dual triggers of vesting based upon the achievement of certain performance milestones in specified timeframes, as well as a requirement for continued employment. The compensation expense related to these awards is broken into</w:t>
      </w:r>
      <w:r>
        <w:rPr>
          <w:sz w:val="20"/>
          <w:szCs w:val="20"/>
        </w:rPr>
        <w:t xml:space="preserve"> two separate performance milestones and recognized when the associated performance milestones are deemed to be probable of achievement. The maximum share-based compensation expense associated with 60,000 performance-contingent RSUs’ first and second perfo</w:t>
      </w:r>
      <w:r>
        <w:rPr>
          <w:sz w:val="20"/>
          <w:szCs w:val="20"/>
        </w:rPr>
        <w:t>rmance milestones are $0.8 million each for a total of $1.6 million. The maximum compensation expense associated with the cash bonus’ first and second performance milestones are $75,000 and $225,000, respectively, for a total of $300,000. The 60,000 perfor</w:t>
      </w:r>
      <w:r>
        <w:rPr>
          <w:sz w:val="20"/>
          <w:szCs w:val="20"/>
        </w:rPr>
        <w:t xml:space="preserve">mance-contingent RSUs and cash bonus milestones expire by December 31, 2021, and December 31, 2020, respectively. </w:t>
      </w:r>
    </w:p>
    <w:p w:rsidR="00000000" w:rsidRDefault="008B747E">
      <w:pPr>
        <w:pStyle w:val="a3"/>
        <w:spacing w:before="0" w:beforeAutospacing="0" w:after="0" w:afterAutospacing="0"/>
        <w:divId w:val="699666662"/>
        <w:rPr>
          <w:sz w:val="20"/>
          <w:szCs w:val="20"/>
        </w:rPr>
      </w:pPr>
      <w:r>
        <w:rPr>
          <w:sz w:val="20"/>
          <w:szCs w:val="20"/>
        </w:rPr>
        <w:t>​</w:t>
      </w:r>
    </w:p>
    <w:p w:rsidR="00000000" w:rsidRDefault="008B747E">
      <w:pPr>
        <w:pStyle w:val="a3"/>
        <w:spacing w:before="0" w:beforeAutospacing="0" w:after="0" w:afterAutospacing="0"/>
        <w:ind w:firstLine="720"/>
        <w:divId w:val="699666662"/>
        <w:rPr>
          <w:sz w:val="20"/>
          <w:szCs w:val="20"/>
        </w:rPr>
      </w:pPr>
      <w:r>
        <w:rPr>
          <w:sz w:val="20"/>
          <w:szCs w:val="20"/>
        </w:rPr>
        <w:t>As of June 30, 2019, the Company has determined that the performance milestones for the awards granted in the fourth quarter of 2018 and th</w:t>
      </w:r>
      <w:r>
        <w:rPr>
          <w:sz w:val="20"/>
          <w:szCs w:val="20"/>
        </w:rPr>
        <w:t>e first quarter of 2019 were not probable of achievement and, as a result, no compensation expense related to these awards has been recognized to date.</w:t>
      </w:r>
    </w:p>
    <w:p w:rsidR="00000000" w:rsidRDefault="008B747E">
      <w:pPr>
        <w:pStyle w:val="a3"/>
        <w:spacing w:before="0" w:beforeAutospacing="0" w:after="0" w:afterAutospacing="0"/>
        <w:divId w:val="699666662"/>
        <w:rPr>
          <w:sz w:val="20"/>
          <w:szCs w:val="20"/>
        </w:rPr>
      </w:pPr>
      <w:r>
        <w:rPr>
          <w:sz w:val="20"/>
          <w:szCs w:val="20"/>
        </w:rPr>
        <w:t>​</w:t>
      </w:r>
    </w:p>
    <w:p w:rsidR="00000000" w:rsidRDefault="008B747E">
      <w:pPr>
        <w:pStyle w:val="a3"/>
        <w:spacing w:before="0" w:beforeAutospacing="0" w:after="0" w:afterAutospacing="0"/>
        <w:divId w:val="699666662"/>
        <w:rPr>
          <w:sz w:val="20"/>
          <w:szCs w:val="20"/>
        </w:rPr>
      </w:pPr>
      <w:r>
        <w:rPr>
          <w:b/>
          <w:bCs/>
          <w:sz w:val="20"/>
          <w:szCs w:val="20"/>
        </w:rPr>
        <w:t>10. Income Taxes</w:t>
      </w:r>
    </w:p>
    <w:p w:rsidR="00000000" w:rsidRDefault="008B747E">
      <w:pPr>
        <w:pStyle w:val="a3"/>
        <w:spacing w:before="0" w:beforeAutospacing="0" w:after="0" w:afterAutospacing="0"/>
        <w:divId w:val="699666662"/>
        <w:rPr>
          <w:sz w:val="20"/>
          <w:szCs w:val="20"/>
        </w:rPr>
      </w:pPr>
      <w:r>
        <w:rPr>
          <w:sz w:val="10"/>
          <w:szCs w:val="10"/>
        </w:rPr>
        <w:t>​</w:t>
      </w:r>
    </w:p>
    <w:p w:rsidR="00000000" w:rsidRDefault="008B747E">
      <w:pPr>
        <w:pStyle w:val="a3"/>
        <w:spacing w:before="0" w:beforeAutospacing="0" w:after="0" w:afterAutospacing="0"/>
        <w:ind w:firstLine="720"/>
        <w:divId w:val="699666662"/>
        <w:rPr>
          <w:sz w:val="20"/>
          <w:szCs w:val="20"/>
        </w:rPr>
      </w:pPr>
      <w:r>
        <w:rPr>
          <w:sz w:val="20"/>
          <w:szCs w:val="20"/>
        </w:rPr>
        <w:t>The income tax provision was a $0.2 million expense and $0.3 million expense for th</w:t>
      </w:r>
      <w:r>
        <w:rPr>
          <w:sz w:val="20"/>
          <w:szCs w:val="20"/>
        </w:rPr>
        <w:t>e three and six months ended June 30, 2019, respectively. The income tax expense was primarily attributed to recording contingent tax liabilities for uncertain tax positions taken with respect to transfer pricing and tax credits. No provision for income ta</w:t>
      </w:r>
      <w:r>
        <w:rPr>
          <w:sz w:val="20"/>
          <w:szCs w:val="20"/>
        </w:rPr>
        <w:t xml:space="preserve">xes has been </w:t>
      </w:r>
    </w:p>
    <w:p w:rsidR="00000000" w:rsidRDefault="008B747E">
      <w:pPr>
        <w:pStyle w:val="a3"/>
        <w:spacing w:before="360" w:beforeAutospacing="0" w:after="0" w:afterAutospacing="0"/>
        <w:jc w:val="center"/>
        <w:divId w:val="1649282224"/>
        <w:rPr>
          <w:sz w:val="20"/>
          <w:szCs w:val="20"/>
        </w:rPr>
      </w:pPr>
      <w:r>
        <w:rPr>
          <w:sz w:val="20"/>
          <w:szCs w:val="20"/>
        </w:rPr>
        <w:t>18</w:t>
      </w:r>
    </w:p>
    <w:p w:rsidR="00000000" w:rsidRDefault="008B747E">
      <w:pPr>
        <w:pStyle w:val="a3"/>
        <w:spacing w:before="0" w:beforeAutospacing="0" w:after="600" w:afterAutospacing="0"/>
        <w:divId w:val="2101681801"/>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138771961"/>
        <w:rPr>
          <w:sz w:val="20"/>
          <w:szCs w:val="20"/>
        </w:rPr>
      </w:pPr>
      <w:r>
        <w:rPr>
          <w:sz w:val="20"/>
          <w:szCs w:val="20"/>
        </w:rPr>
        <w:t xml:space="preserve">recognized on undistributed earnings of the Company’s foreign subsidiaries because it considers such earnings to be indefinitely reinvested. </w:t>
      </w:r>
    </w:p>
    <w:p w:rsidR="00000000" w:rsidRDefault="008B747E">
      <w:pPr>
        <w:pStyle w:val="a3"/>
        <w:spacing w:before="0" w:beforeAutospacing="0" w:after="0" w:afterAutospacing="0"/>
        <w:ind w:firstLine="720"/>
        <w:divId w:val="138771961"/>
        <w:rPr>
          <w:sz w:val="20"/>
          <w:szCs w:val="20"/>
        </w:rPr>
      </w:pPr>
      <w:r>
        <w:rPr>
          <w:sz w:val="20"/>
          <w:szCs w:val="20"/>
        </w:rPr>
        <w:t>​</w:t>
      </w:r>
    </w:p>
    <w:p w:rsidR="00000000" w:rsidRDefault="008B747E">
      <w:pPr>
        <w:pStyle w:val="a3"/>
        <w:spacing w:before="0" w:beforeAutospacing="0" w:after="0" w:afterAutospacing="0"/>
        <w:ind w:firstLine="720"/>
        <w:divId w:val="138771961"/>
        <w:rPr>
          <w:sz w:val="20"/>
          <w:szCs w:val="20"/>
        </w:rPr>
      </w:pPr>
      <w:r>
        <w:rPr>
          <w:sz w:val="20"/>
          <w:szCs w:val="20"/>
        </w:rPr>
        <w:t>The Company follows the accounting guidance related to accounting for income taxes which requires that a company reduce its deferred tax assets by a valuation allowance if, based on the weight of available evidence, it is more likely than not that some por</w:t>
      </w:r>
      <w:r>
        <w:rPr>
          <w:sz w:val="20"/>
          <w:szCs w:val="20"/>
        </w:rPr>
        <w:t>tion or all of its deferred tax assets will not be realized. As of June 30, 2019, the Company’s deferred tax assets were offset in full by a valuation allowance.</w:t>
      </w:r>
    </w:p>
    <w:p w:rsidR="00000000" w:rsidRDefault="008B747E">
      <w:pPr>
        <w:pStyle w:val="a3"/>
        <w:spacing w:before="0" w:beforeAutospacing="0" w:after="0" w:afterAutospacing="0"/>
        <w:ind w:firstLine="720"/>
        <w:divId w:val="138771961"/>
        <w:rPr>
          <w:sz w:val="20"/>
          <w:szCs w:val="20"/>
        </w:rPr>
      </w:pPr>
      <w:r>
        <w:rPr>
          <w:sz w:val="20"/>
          <w:szCs w:val="20"/>
        </w:rPr>
        <w:t>​</w:t>
      </w:r>
    </w:p>
    <w:p w:rsidR="00000000" w:rsidRDefault="008B747E">
      <w:pPr>
        <w:pStyle w:val="a3"/>
        <w:spacing w:before="0" w:beforeAutospacing="0" w:after="0" w:afterAutospacing="0"/>
        <w:ind w:firstLine="720"/>
        <w:divId w:val="138771961"/>
        <w:rPr>
          <w:sz w:val="20"/>
          <w:szCs w:val="20"/>
        </w:rPr>
      </w:pPr>
      <w:r>
        <w:rPr>
          <w:sz w:val="20"/>
          <w:szCs w:val="20"/>
        </w:rPr>
        <w:t>The Company records liabilities related to uncertain tax positions in accordance with the in</w:t>
      </w:r>
      <w:r>
        <w:rPr>
          <w:sz w:val="20"/>
          <w:szCs w:val="20"/>
        </w:rPr>
        <w:t>come tax guidance which clarifies the accounting for uncertainty in income taxes recognized in an enterprise’s financial statements by prescribing a minimum recognition threshold and measurement attribute for the financial statement recognition and measure</w:t>
      </w:r>
      <w:r>
        <w:rPr>
          <w:sz w:val="20"/>
          <w:szCs w:val="20"/>
        </w:rPr>
        <w:t>ment of a tax position taken or expected to be taken in a tax return. Resolution of one or more of these uncertain tax positions in any period may have a material impact on the results of operations for that period. The Company includes any applicable inte</w:t>
      </w:r>
      <w:r>
        <w:rPr>
          <w:sz w:val="20"/>
          <w:szCs w:val="20"/>
        </w:rPr>
        <w:t>rest and penalties within the provision for income taxes in the condensed consolidated statements of operations</w:t>
      </w:r>
      <w:r>
        <w:rPr>
          <w:sz w:val="20"/>
          <w:szCs w:val="20"/>
        </w:rPr>
        <w:t>.</w:t>
      </w:r>
    </w:p>
    <w:p w:rsidR="00000000" w:rsidRDefault="008B747E">
      <w:pPr>
        <w:pStyle w:val="a3"/>
        <w:spacing w:before="0" w:beforeAutospacing="0" w:after="0" w:afterAutospacing="0"/>
        <w:divId w:val="138771961"/>
        <w:rPr>
          <w:sz w:val="20"/>
          <w:szCs w:val="20"/>
        </w:rPr>
      </w:pPr>
      <w:r>
        <w:rPr>
          <w:sz w:val="20"/>
          <w:szCs w:val="20"/>
        </w:rPr>
        <w:t>​</w:t>
      </w:r>
    </w:p>
    <w:p w:rsidR="00000000" w:rsidRDefault="008B747E">
      <w:pPr>
        <w:pStyle w:val="a3"/>
        <w:spacing w:before="0" w:beforeAutospacing="0" w:after="0" w:afterAutospacing="0"/>
        <w:ind w:firstLine="720"/>
        <w:divId w:val="138771961"/>
        <w:rPr>
          <w:sz w:val="20"/>
          <w:szCs w:val="20"/>
        </w:rPr>
      </w:pPr>
      <w:r>
        <w:rPr>
          <w:sz w:val="20"/>
          <w:szCs w:val="20"/>
        </w:rPr>
        <w:t>The Company’s future income tax expense may be affected by such factors as changes in tax laws, its business, regulations, tax rates, interpr</w:t>
      </w:r>
      <w:r>
        <w:rPr>
          <w:sz w:val="20"/>
          <w:szCs w:val="20"/>
        </w:rPr>
        <w:t xml:space="preserve">etation of existing laws or regulations, the impact of accounting for share-based compensation, the impact of accounting for business combinations, its international organization, shifts in the amount of income before tax earned in the US as compared with </w:t>
      </w:r>
      <w:r>
        <w:rPr>
          <w:sz w:val="20"/>
          <w:szCs w:val="20"/>
        </w:rPr>
        <w:t>other regions in the world, and changes in overall levels of income before tax.</w:t>
      </w:r>
    </w:p>
    <w:p w:rsidR="00000000" w:rsidRDefault="008B747E">
      <w:pPr>
        <w:pStyle w:val="a3"/>
        <w:spacing w:before="0" w:beforeAutospacing="0" w:after="0" w:afterAutospacing="0"/>
        <w:ind w:firstLine="720"/>
        <w:divId w:val="138771961"/>
        <w:rPr>
          <w:sz w:val="20"/>
          <w:szCs w:val="20"/>
        </w:rPr>
      </w:pPr>
      <w:r>
        <w:rPr>
          <w:sz w:val="20"/>
          <w:szCs w:val="20"/>
        </w:rPr>
        <w:t>​</w:t>
      </w:r>
    </w:p>
    <w:p w:rsidR="00000000" w:rsidRDefault="008B747E">
      <w:pPr>
        <w:pStyle w:val="a3"/>
        <w:spacing w:before="0" w:beforeAutospacing="0" w:after="0" w:afterAutospacing="0"/>
        <w:ind w:firstLine="720"/>
        <w:divId w:val="138771961"/>
        <w:rPr>
          <w:sz w:val="20"/>
          <w:szCs w:val="20"/>
        </w:rPr>
      </w:pPr>
      <w:r>
        <w:rPr>
          <w:sz w:val="20"/>
          <w:szCs w:val="20"/>
        </w:rPr>
        <w:t xml:space="preserve">New UK tax legislation was introduced by the </w:t>
      </w:r>
      <w:r>
        <w:rPr>
          <w:i/>
          <w:iCs/>
          <w:sz w:val="20"/>
          <w:szCs w:val="20"/>
        </w:rPr>
        <w:t>Finance Act 2019</w:t>
      </w:r>
      <w:r>
        <w:rPr>
          <w:sz w:val="20"/>
          <w:szCs w:val="20"/>
        </w:rPr>
        <w:t xml:space="preserve"> (“FA 2019”) and came into effect on April 6, 2019 that subjects UK-derived income earned by offshore recipients </w:t>
      </w:r>
      <w:r>
        <w:rPr>
          <w:sz w:val="20"/>
          <w:szCs w:val="20"/>
        </w:rPr>
        <w:t>with respect to intangible property (“ORIP”) to UK income tax at 20% on the gross receipts, where the intangible property is held offshore in a jurisdiction with which the UK does not have a double taxation treaty. FA 2019 also included a power for amendme</w:t>
      </w:r>
      <w:r>
        <w:rPr>
          <w:sz w:val="20"/>
          <w:szCs w:val="20"/>
        </w:rPr>
        <w:t>nts to the ORIP legislation to be made by regulation by</w:t>
      </w:r>
      <w:r>
        <w:rPr>
          <w:sz w:val="20"/>
          <w:szCs w:val="20"/>
        </w:rPr>
        <w:t> </w:t>
      </w:r>
      <w:r>
        <w:rPr>
          <w:sz w:val="20"/>
          <w:szCs w:val="20"/>
        </w:rPr>
        <w:t>December 31, 2019.</w:t>
      </w:r>
      <w:r>
        <w:rPr>
          <w:sz w:val="20"/>
          <w:szCs w:val="20"/>
        </w:rPr>
        <w:t xml:space="preserve"> </w:t>
      </w:r>
    </w:p>
    <w:p w:rsidR="00000000" w:rsidRDefault="008B747E">
      <w:pPr>
        <w:pStyle w:val="a3"/>
        <w:spacing w:before="0" w:beforeAutospacing="0" w:after="0" w:afterAutospacing="0"/>
        <w:ind w:firstLine="720"/>
        <w:divId w:val="138771961"/>
        <w:rPr>
          <w:sz w:val="20"/>
          <w:szCs w:val="20"/>
        </w:rPr>
      </w:pPr>
      <w:r>
        <w:rPr>
          <w:sz w:val="20"/>
          <w:szCs w:val="20"/>
        </w:rPr>
        <w:t>​</w:t>
      </w:r>
    </w:p>
    <w:p w:rsidR="00000000" w:rsidRDefault="008B747E">
      <w:pPr>
        <w:pStyle w:val="a3"/>
        <w:spacing w:before="0" w:beforeAutospacing="0" w:after="0" w:afterAutospacing="0"/>
        <w:ind w:firstLine="720"/>
        <w:divId w:val="138771961"/>
        <w:rPr>
          <w:sz w:val="20"/>
          <w:szCs w:val="20"/>
        </w:rPr>
      </w:pPr>
      <w:r>
        <w:rPr>
          <w:sz w:val="20"/>
          <w:szCs w:val="20"/>
        </w:rPr>
        <w:t>On May 24, 2019, the UK published further draft guidance and regulations intended to facilitate the administration of the ORIP regime, however a number of issues and areas of unc</w:t>
      </w:r>
      <w:r>
        <w:rPr>
          <w:sz w:val="20"/>
          <w:szCs w:val="20"/>
        </w:rPr>
        <w:t>ertainty remain</w:t>
      </w:r>
      <w:r>
        <w:rPr>
          <w:rFonts w:ascii="Helvetica" w:hAnsi="Helvetica"/>
          <w:color w:val="333333"/>
          <w:sz w:val="21"/>
          <w:szCs w:val="21"/>
          <w:shd w:val="clear" w:color="auto" w:fill="FFFFFF"/>
        </w:rPr>
        <w:t>.</w:t>
      </w:r>
      <w:r>
        <w:rPr>
          <w:sz w:val="20"/>
          <w:szCs w:val="20"/>
        </w:rPr>
        <w:t xml:space="preserve"> The Company has reviewed the original legislation in conjunction with the draft guidance and believes that the ORIP regime may apply to certain cash receipts. Based on this analysis, the Company believes that the ORIP charge on UK-derived </w:t>
      </w:r>
      <w:r>
        <w:rPr>
          <w:sz w:val="20"/>
          <w:szCs w:val="20"/>
        </w:rPr>
        <w:t>cash receipts through the second quarter of 2019 is not material, but the Company will continue to refine its ORIP conclusions as final guidance and regulations are issued later in 2019</w:t>
      </w:r>
      <w:r>
        <w:rPr>
          <w:sz w:val="20"/>
          <w:szCs w:val="20"/>
        </w:rPr>
        <w:t>.</w:t>
      </w:r>
    </w:p>
    <w:p w:rsidR="00000000" w:rsidRDefault="008B747E">
      <w:pPr>
        <w:pStyle w:val="a3"/>
        <w:spacing w:before="0" w:beforeAutospacing="0" w:after="0" w:afterAutospacing="0"/>
        <w:ind w:firstLine="720"/>
        <w:divId w:val="138771961"/>
        <w:rPr>
          <w:sz w:val="20"/>
          <w:szCs w:val="20"/>
        </w:rPr>
      </w:pPr>
      <w:r>
        <w:rPr>
          <w:sz w:val="20"/>
          <w:szCs w:val="20"/>
        </w:rPr>
        <w:t>​</w:t>
      </w:r>
    </w:p>
    <w:p w:rsidR="00000000" w:rsidRDefault="008B747E">
      <w:pPr>
        <w:pStyle w:val="a3"/>
        <w:spacing w:before="0" w:beforeAutospacing="0" w:after="0" w:afterAutospacing="0"/>
        <w:divId w:val="138771961"/>
        <w:rPr>
          <w:sz w:val="20"/>
          <w:szCs w:val="20"/>
        </w:rPr>
      </w:pPr>
      <w:r>
        <w:rPr>
          <w:b/>
          <w:bCs/>
          <w:sz w:val="20"/>
          <w:szCs w:val="20"/>
        </w:rPr>
        <w:t>11. Cost of Goods Sold</w:t>
      </w:r>
    </w:p>
    <w:p w:rsidR="00000000" w:rsidRDefault="008B747E">
      <w:pPr>
        <w:pStyle w:val="a3"/>
        <w:spacing w:before="0" w:beforeAutospacing="0" w:after="0" w:afterAutospacing="0"/>
        <w:divId w:val="138771961"/>
        <w:rPr>
          <w:sz w:val="20"/>
          <w:szCs w:val="20"/>
        </w:rPr>
      </w:pPr>
      <w:r>
        <w:rPr>
          <w:b/>
          <w:bCs/>
          <w:sz w:val="10"/>
          <w:szCs w:val="10"/>
        </w:rPr>
        <w:t>​</w:t>
      </w:r>
    </w:p>
    <w:p w:rsidR="00000000" w:rsidRDefault="008B747E">
      <w:pPr>
        <w:pStyle w:val="a3"/>
        <w:spacing w:before="0" w:beforeAutospacing="0" w:after="0" w:afterAutospacing="0"/>
        <w:ind w:firstLine="720"/>
        <w:divId w:val="138771961"/>
        <w:rPr>
          <w:sz w:val="20"/>
          <w:szCs w:val="20"/>
        </w:rPr>
      </w:pPr>
      <w:r>
        <w:rPr>
          <w:sz w:val="20"/>
          <w:szCs w:val="20"/>
        </w:rPr>
        <w:t>In November 2018, the Company completed th</w:t>
      </w:r>
      <w:r>
        <w:rPr>
          <w:sz w:val="20"/>
          <w:szCs w:val="20"/>
        </w:rPr>
        <w:t>e sale of its assets related to the manufacture, marketing and sale of VIBATIV</w:t>
      </w:r>
      <w:r>
        <w:rPr>
          <w:sz w:val="15"/>
          <w:szCs w:val="15"/>
          <w:vertAlign w:val="superscript"/>
        </w:rPr>
        <w:t>®</w:t>
      </w:r>
      <w:r>
        <w:rPr>
          <w:sz w:val="20"/>
          <w:szCs w:val="20"/>
        </w:rPr>
        <w:t xml:space="preserve"> to Cumberland Pharmaceutical Inc. As a result of the sale, the Company did not recognize any product sales revenue or cost of goods sold for the three and six months ended June</w:t>
      </w:r>
      <w:r>
        <w:rPr>
          <w:sz w:val="20"/>
          <w:szCs w:val="20"/>
        </w:rPr>
        <w:t xml:space="preserve"> 30, 2019. The negative cost of goods sold recognized on the Company’s condensed consolidated statements of operations for the three and six months ended June 30, 2018 was primarily due to a reversal of a $2.3 million charge originally taken in the fourth </w:t>
      </w:r>
      <w:r>
        <w:rPr>
          <w:sz w:val="20"/>
          <w:szCs w:val="20"/>
        </w:rPr>
        <w:t>quarter of 2017 related to VIBATIV inventory purchase commitments that was subsequently waived by our third-party manufacturer.</w:t>
      </w:r>
    </w:p>
    <w:p w:rsidR="00000000" w:rsidRDefault="008B747E">
      <w:pPr>
        <w:pStyle w:val="a3"/>
        <w:spacing w:before="0" w:beforeAutospacing="0" w:after="0" w:afterAutospacing="0"/>
        <w:divId w:val="138771961"/>
        <w:rPr>
          <w:sz w:val="20"/>
          <w:szCs w:val="20"/>
        </w:rPr>
      </w:pPr>
      <w:r>
        <w:rPr>
          <w:sz w:val="20"/>
          <w:szCs w:val="20"/>
        </w:rPr>
        <w:t>​</w:t>
      </w:r>
    </w:p>
    <w:p w:rsidR="00000000" w:rsidRDefault="008B747E">
      <w:pPr>
        <w:pStyle w:val="a3"/>
        <w:spacing w:before="0" w:beforeAutospacing="0" w:after="0" w:afterAutospacing="0"/>
        <w:divId w:val="138771961"/>
        <w:rPr>
          <w:sz w:val="20"/>
          <w:szCs w:val="20"/>
        </w:rPr>
      </w:pPr>
      <w:r>
        <w:rPr>
          <w:b/>
          <w:bCs/>
          <w:sz w:val="20"/>
          <w:szCs w:val="20"/>
        </w:rPr>
        <w:t>12. Reduction in Workforce</w:t>
      </w:r>
    </w:p>
    <w:p w:rsidR="00000000" w:rsidRDefault="008B747E">
      <w:pPr>
        <w:pStyle w:val="a3"/>
        <w:spacing w:before="0" w:beforeAutospacing="0" w:after="0" w:afterAutospacing="0"/>
        <w:divId w:val="138771961"/>
        <w:rPr>
          <w:sz w:val="20"/>
          <w:szCs w:val="20"/>
        </w:rPr>
      </w:pPr>
      <w:r>
        <w:rPr>
          <w:b/>
          <w:bCs/>
          <w:sz w:val="10"/>
          <w:szCs w:val="10"/>
        </w:rPr>
        <w:t>​</w:t>
      </w:r>
    </w:p>
    <w:p w:rsidR="00000000" w:rsidRDefault="008B747E">
      <w:pPr>
        <w:pStyle w:val="a3"/>
        <w:spacing w:before="0" w:beforeAutospacing="0" w:after="0" w:afterAutospacing="0"/>
        <w:ind w:firstLine="720"/>
        <w:divId w:val="138771961"/>
        <w:rPr>
          <w:sz w:val="20"/>
          <w:szCs w:val="20"/>
        </w:rPr>
      </w:pPr>
      <w:r>
        <w:rPr>
          <w:sz w:val="20"/>
          <w:szCs w:val="20"/>
        </w:rPr>
        <w:t>In January 2019, the Company announced a reduction in workforce to align with its focus on contin</w:t>
      </w:r>
      <w:r>
        <w:rPr>
          <w:sz w:val="20"/>
          <w:szCs w:val="20"/>
        </w:rPr>
        <w:t>ued execution of key strategic programs and advancement of selected late-stage research programs toward clinical development. The Company reduced its overall headcount by 51 individuals, with the affected employees primarily focused on early research or th</w:t>
      </w:r>
      <w:r>
        <w:rPr>
          <w:sz w:val="20"/>
          <w:szCs w:val="20"/>
        </w:rPr>
        <w:t xml:space="preserve">e infrastructure in support of VIBATIV which was sold by the Company to Cumberland Pharmaceuticals Inc. in November 2018. </w:t>
      </w:r>
    </w:p>
    <w:p w:rsidR="00000000" w:rsidRDefault="008B747E">
      <w:pPr>
        <w:pStyle w:val="a3"/>
        <w:spacing w:before="0" w:beforeAutospacing="0" w:after="0" w:afterAutospacing="0"/>
        <w:ind w:firstLine="720"/>
        <w:divId w:val="138771961"/>
        <w:rPr>
          <w:sz w:val="20"/>
          <w:szCs w:val="20"/>
        </w:rPr>
      </w:pPr>
      <w:r>
        <w:rPr>
          <w:sz w:val="20"/>
          <w:szCs w:val="20"/>
        </w:rPr>
        <w:t>​</w:t>
      </w:r>
    </w:p>
    <w:p w:rsidR="00000000" w:rsidRDefault="008B747E">
      <w:pPr>
        <w:pStyle w:val="a3"/>
        <w:spacing w:before="0" w:beforeAutospacing="0" w:after="0" w:afterAutospacing="0"/>
        <w:ind w:firstLine="720"/>
        <w:divId w:val="138771961"/>
        <w:rPr>
          <w:sz w:val="20"/>
          <w:szCs w:val="20"/>
        </w:rPr>
      </w:pPr>
      <w:r>
        <w:rPr>
          <w:sz w:val="20"/>
          <w:szCs w:val="20"/>
        </w:rPr>
        <w:t>The workforce reduction was substantially completed in the first quarter of 2019, and the Company recorded severance related charge</w:t>
      </w:r>
      <w:r>
        <w:rPr>
          <w:sz w:val="20"/>
          <w:szCs w:val="20"/>
        </w:rPr>
        <w:t>s totaling approximately</w:t>
      </w:r>
      <w:r>
        <w:rPr>
          <w:color w:val="FF0000"/>
          <w:sz w:val="20"/>
          <w:szCs w:val="20"/>
        </w:rPr>
        <w:t xml:space="preserve"> </w:t>
      </w:r>
      <w:r>
        <w:rPr>
          <w:sz w:val="20"/>
          <w:szCs w:val="20"/>
        </w:rPr>
        <w:t>$3.6 million for the six months ended June 30, 2019, including compensation expense made to affected employees through any minimum statutory notice periods. As of June 30, 2019, the Company had paid total severance of $3.4 million.</w:t>
      </w:r>
      <w:r>
        <w:rPr>
          <w:sz w:val="20"/>
          <w:szCs w:val="20"/>
        </w:rPr>
        <w:t xml:space="preserve"> The severance related charges are presented on the condensed </w:t>
      </w:r>
    </w:p>
    <w:p w:rsidR="00000000" w:rsidRDefault="008B747E">
      <w:pPr>
        <w:pStyle w:val="a3"/>
        <w:spacing w:before="360" w:beforeAutospacing="0" w:after="0" w:afterAutospacing="0"/>
        <w:jc w:val="center"/>
        <w:divId w:val="1491823646"/>
        <w:rPr>
          <w:sz w:val="20"/>
          <w:szCs w:val="20"/>
        </w:rPr>
      </w:pPr>
      <w:r>
        <w:rPr>
          <w:sz w:val="20"/>
          <w:szCs w:val="20"/>
        </w:rPr>
        <w:t>19</w:t>
      </w:r>
    </w:p>
    <w:p w:rsidR="00000000" w:rsidRDefault="008B747E">
      <w:pPr>
        <w:pStyle w:val="a3"/>
        <w:spacing w:before="0" w:beforeAutospacing="0" w:after="600" w:afterAutospacing="0"/>
        <w:divId w:val="1593510315"/>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1852912303"/>
        <w:rPr>
          <w:sz w:val="20"/>
          <w:szCs w:val="20"/>
        </w:rPr>
      </w:pPr>
      <w:r>
        <w:rPr>
          <w:sz w:val="20"/>
          <w:szCs w:val="20"/>
        </w:rPr>
        <w:t>consolidated statements of operations within research and development expenses and selling, general and administrative expenses.</w:t>
      </w:r>
    </w:p>
    <w:p w:rsidR="00000000" w:rsidRDefault="008B747E">
      <w:pPr>
        <w:pStyle w:val="a3"/>
        <w:spacing w:before="0" w:beforeAutospacing="0" w:after="0" w:afterAutospacing="0"/>
        <w:divId w:val="1852912303"/>
        <w:rPr>
          <w:sz w:val="20"/>
          <w:szCs w:val="20"/>
        </w:rPr>
      </w:pPr>
      <w:r>
        <w:rPr>
          <w:color w:val="FF0000"/>
          <w:sz w:val="20"/>
          <w:szCs w:val="20"/>
        </w:rPr>
        <w:t>​</w:t>
      </w:r>
    </w:p>
    <w:p w:rsidR="00000000" w:rsidRDefault="008B747E">
      <w:pPr>
        <w:pStyle w:val="a3"/>
        <w:spacing w:before="0" w:beforeAutospacing="0" w:after="0" w:afterAutospacing="0"/>
        <w:ind w:firstLine="720"/>
        <w:divId w:val="1852912303"/>
        <w:rPr>
          <w:sz w:val="20"/>
          <w:szCs w:val="20"/>
        </w:rPr>
      </w:pPr>
      <w:r>
        <w:rPr>
          <w:sz w:val="20"/>
          <w:szCs w:val="20"/>
        </w:rPr>
        <w:t>​</w:t>
      </w:r>
    </w:p>
    <w:p w:rsidR="00000000" w:rsidRDefault="008B747E">
      <w:pPr>
        <w:pStyle w:val="a3"/>
        <w:spacing w:before="0" w:beforeAutospacing="0" w:after="0" w:afterAutospacing="0"/>
        <w:ind w:hanging="900"/>
        <w:divId w:val="1852912303"/>
        <w:rPr>
          <w:sz w:val="20"/>
          <w:szCs w:val="20"/>
        </w:rPr>
      </w:pPr>
      <w:r>
        <w:rPr>
          <w:b/>
          <w:bCs/>
          <w:sz w:val="20"/>
          <w:szCs w:val="20"/>
        </w:rPr>
        <w:t>ITEM 2.   MANAGEMENT’S DISCUSSION AND ANALYSIS OF FINANCIAL CONDITION AND RESULTS OF OPERATIONS</w:t>
      </w:r>
    </w:p>
    <w:p w:rsidR="00000000" w:rsidRDefault="008B747E">
      <w:pPr>
        <w:pStyle w:val="a3"/>
        <w:spacing w:before="0" w:beforeAutospacing="0" w:after="0" w:afterAutospacing="0"/>
        <w:divId w:val="1852912303"/>
        <w:rPr>
          <w:sz w:val="20"/>
          <w:szCs w:val="20"/>
        </w:rPr>
      </w:pPr>
      <w:r>
        <w:rPr>
          <w:b/>
          <w:bCs/>
          <w:sz w:val="20"/>
          <w:szCs w:val="20"/>
        </w:rPr>
        <w:t>​</w:t>
      </w:r>
    </w:p>
    <w:p w:rsidR="00000000" w:rsidRDefault="008B747E">
      <w:pPr>
        <w:pStyle w:val="a3"/>
        <w:spacing w:before="0" w:beforeAutospacing="0" w:after="0" w:afterAutospacing="0"/>
        <w:divId w:val="1852912303"/>
        <w:rPr>
          <w:sz w:val="20"/>
          <w:szCs w:val="20"/>
        </w:rPr>
      </w:pPr>
      <w:r>
        <w:rPr>
          <w:b/>
          <w:bCs/>
          <w:sz w:val="20"/>
          <w:szCs w:val="20"/>
        </w:rPr>
        <w:t>Forward-Looking Statements</w:t>
      </w:r>
    </w:p>
    <w:p w:rsidR="00000000" w:rsidRDefault="008B747E">
      <w:pPr>
        <w:pStyle w:val="a3"/>
        <w:spacing w:before="0" w:beforeAutospacing="0" w:after="0" w:afterAutospacing="0"/>
        <w:divId w:val="1852912303"/>
        <w:rPr>
          <w:sz w:val="20"/>
          <w:szCs w:val="20"/>
        </w:rPr>
      </w:pPr>
      <w:r>
        <w:rPr>
          <w:sz w:val="10"/>
          <w:szCs w:val="10"/>
        </w:rPr>
        <w:t>​</w:t>
      </w:r>
    </w:p>
    <w:p w:rsidR="00000000" w:rsidRDefault="008B747E">
      <w:pPr>
        <w:pStyle w:val="a3"/>
        <w:spacing w:before="0" w:beforeAutospacing="0" w:after="0" w:afterAutospacing="0"/>
        <w:ind w:firstLine="720"/>
        <w:divId w:val="1852912303"/>
        <w:rPr>
          <w:sz w:val="20"/>
          <w:szCs w:val="20"/>
        </w:rPr>
      </w:pPr>
      <w:r>
        <w:rPr>
          <w:sz w:val="20"/>
          <w:szCs w:val="20"/>
        </w:rPr>
        <w:t>You should read the following discussion in conjunction with our condensed financial statements (unaudited) and related notes inc</w:t>
      </w:r>
      <w:r>
        <w:rPr>
          <w:sz w:val="20"/>
          <w:szCs w:val="20"/>
        </w:rPr>
        <w:t>luded elsewhere in this report. This report includes “forward-looking statements” within the meaning of Section 27A of the Securities Act of 1933 (the “Securities Act”), as amended, and Section 21E of the Securities Exchange Act of 1934 (the “Exchange Act”</w:t>
      </w:r>
      <w:r>
        <w:rPr>
          <w:sz w:val="20"/>
          <w:szCs w:val="20"/>
        </w:rPr>
        <w:t>), as amended, that involve risks and uncertainties. All statements in this report, other than statements of historical facts, including statements regarding our strategy, future operations, future financial position, future revenues, projected costs, pros</w:t>
      </w:r>
      <w:r>
        <w:rPr>
          <w:sz w:val="20"/>
          <w:szCs w:val="20"/>
        </w:rPr>
        <w:t>pects, plans, intentions, expectations and objectives are forward-looking statements. The words “anticipate,” “assume,” “believe,” “contemplate,” “continue,” “could,” “designed,” “developed,” “drive,” “estimate,” “expect,” “forecast,” “goal,” “intend,” “ma</w:t>
      </w:r>
      <w:r>
        <w:rPr>
          <w:sz w:val="20"/>
          <w:szCs w:val="20"/>
        </w:rPr>
        <w:t>y,” “mission,” “opportunities,” “plan,” “potential,” “predict,” “project,” “pursue,” “seek,” “should,” “target,” “will,” “would,” and similar expressions (including the negatives thereof) are intended to identify forward-looking statements, although not al</w:t>
      </w:r>
      <w:r>
        <w:rPr>
          <w:sz w:val="20"/>
          <w:szCs w:val="20"/>
        </w:rPr>
        <w:t>l forward-looking statements contain these identifying words. These statements reflect our current views with respect to future events or our future financial performance, are based on assumptions, and involve known and unknown risks, uncertainties and oth</w:t>
      </w:r>
      <w:r>
        <w:rPr>
          <w:sz w:val="20"/>
          <w:szCs w:val="20"/>
        </w:rPr>
        <w:t>er factors which may cause our actual results, performance or achievements to be materially different from any future results, performance or achievements expressed or implied by the forward-looking statements. We may not actually achieve the plans, intent</w:t>
      </w:r>
      <w:r>
        <w:rPr>
          <w:sz w:val="20"/>
          <w:szCs w:val="20"/>
        </w:rPr>
        <w:t>ions, expectations or objectives disclosed in our forward-looking statements and the assumptions underlying our forward-looking statements may prove incorrect. Therefore, you should not place undue reliance on our forward-looking statements. Actual results</w:t>
      </w:r>
      <w:r>
        <w:rPr>
          <w:sz w:val="20"/>
          <w:szCs w:val="20"/>
        </w:rPr>
        <w:t xml:space="preserve"> or events could differ materially from the plans, intentions, expectations and objectives disclosed in the forward-looking statements that we make. Factors that we believe could cause actual results or events to differ materially from our forward-looking </w:t>
      </w:r>
      <w:r>
        <w:rPr>
          <w:sz w:val="20"/>
          <w:szCs w:val="20"/>
        </w:rPr>
        <w:t>statements include, but are not limited to, those discussed in “Risk Factors,” “Management’s Discussion and Analysis of Financial Condition and Results of Operations” and elsewhere in this report and in our Annual Report on Form 10-K for the year ended Dec</w:t>
      </w:r>
      <w:r>
        <w:rPr>
          <w:sz w:val="20"/>
          <w:szCs w:val="20"/>
        </w:rPr>
        <w:t>ember 31, 2018. Our forward-looking statements in this report are based on current expectations and we do not assume any obligation to update any forward-looking statements for any reason, even if new information becomes available in the future.</w:t>
      </w:r>
    </w:p>
    <w:p w:rsidR="00000000" w:rsidRDefault="008B747E">
      <w:pPr>
        <w:pStyle w:val="a3"/>
        <w:spacing w:before="0" w:beforeAutospacing="0" w:after="0" w:afterAutospacing="0"/>
        <w:divId w:val="1852912303"/>
        <w:rPr>
          <w:sz w:val="20"/>
          <w:szCs w:val="20"/>
        </w:rPr>
      </w:pPr>
      <w:r>
        <w:rPr>
          <w:sz w:val="20"/>
          <w:szCs w:val="20"/>
        </w:rPr>
        <w:t>​</w:t>
      </w:r>
    </w:p>
    <w:p w:rsidR="00000000" w:rsidRDefault="008B747E">
      <w:pPr>
        <w:pStyle w:val="a3"/>
        <w:spacing w:before="0" w:beforeAutospacing="0" w:after="0" w:afterAutospacing="0"/>
        <w:divId w:val="1852912303"/>
        <w:rPr>
          <w:sz w:val="20"/>
          <w:szCs w:val="20"/>
        </w:rPr>
      </w:pPr>
      <w:r>
        <w:rPr>
          <w:b/>
          <w:bCs/>
          <w:sz w:val="20"/>
          <w:szCs w:val="20"/>
        </w:rPr>
        <w:t>Manageme</w:t>
      </w:r>
      <w:r>
        <w:rPr>
          <w:b/>
          <w:bCs/>
          <w:sz w:val="20"/>
          <w:szCs w:val="20"/>
        </w:rPr>
        <w:t>nt Overview</w:t>
      </w:r>
    </w:p>
    <w:p w:rsidR="00000000" w:rsidRDefault="008B747E">
      <w:pPr>
        <w:pStyle w:val="a3"/>
        <w:spacing w:before="0" w:beforeAutospacing="0" w:after="0" w:afterAutospacing="0"/>
        <w:divId w:val="1852912303"/>
        <w:rPr>
          <w:sz w:val="20"/>
          <w:szCs w:val="20"/>
        </w:rPr>
      </w:pPr>
      <w:r>
        <w:rPr>
          <w:sz w:val="10"/>
          <w:szCs w:val="10"/>
        </w:rPr>
        <w:t>​</w:t>
      </w:r>
    </w:p>
    <w:p w:rsidR="00000000" w:rsidRDefault="008B747E">
      <w:pPr>
        <w:pStyle w:val="a3"/>
        <w:spacing w:before="0" w:beforeAutospacing="0" w:after="0" w:afterAutospacing="0"/>
        <w:ind w:firstLine="720"/>
        <w:divId w:val="1852912303"/>
        <w:rPr>
          <w:sz w:val="20"/>
          <w:szCs w:val="20"/>
        </w:rPr>
      </w:pPr>
      <w:r>
        <w:rPr>
          <w:sz w:val="20"/>
          <w:szCs w:val="20"/>
        </w:rPr>
        <w:t>Theravance Biopharma, Inc. ("Theravance Biopharma") is a diversified biopharmaceutical company primarily focused on the discovery, development and commercialization of organ-selective medicines. Our purpose is to create transformational medic</w:t>
      </w:r>
      <w:r>
        <w:rPr>
          <w:sz w:val="20"/>
          <w:szCs w:val="20"/>
        </w:rPr>
        <w:t>ines to improve the lives of patients suffering from serious illnesses. Our research is focused in the areas of inflammation and immunology.</w:t>
      </w:r>
    </w:p>
    <w:p w:rsidR="00000000" w:rsidRDefault="008B747E">
      <w:pPr>
        <w:pStyle w:val="a3"/>
        <w:spacing w:before="0" w:beforeAutospacing="0" w:after="0" w:afterAutospacing="0"/>
        <w:ind w:firstLine="720"/>
        <w:divId w:val="1852912303"/>
        <w:rPr>
          <w:sz w:val="20"/>
          <w:szCs w:val="20"/>
        </w:rPr>
      </w:pPr>
      <w:r>
        <w:rPr>
          <w:sz w:val="20"/>
          <w:szCs w:val="20"/>
        </w:rPr>
        <w:t>​</w:t>
      </w:r>
    </w:p>
    <w:p w:rsidR="00000000" w:rsidRDefault="008B747E">
      <w:pPr>
        <w:pStyle w:val="a3"/>
        <w:spacing w:before="0" w:beforeAutospacing="0" w:after="0" w:afterAutospacing="0"/>
        <w:ind w:firstLine="720"/>
        <w:divId w:val="1852912303"/>
        <w:rPr>
          <w:sz w:val="20"/>
          <w:szCs w:val="20"/>
        </w:rPr>
      </w:pPr>
      <w:r>
        <w:rPr>
          <w:sz w:val="20"/>
          <w:szCs w:val="20"/>
        </w:rPr>
        <w:t>In pursuit of our purpose, we apply insights and innovation at each stage of our business and utilize our interna</w:t>
      </w:r>
      <w:r>
        <w:rPr>
          <w:sz w:val="20"/>
          <w:szCs w:val="20"/>
        </w:rPr>
        <w:t>l capabilities and those of partners around the world. We apply organ-selective expertise to biologically compelling targets to discover and develop medicines designed to treat underserved localized diseases and to limit systemic exposure, in order to maxi</w:t>
      </w:r>
      <w:r>
        <w:rPr>
          <w:sz w:val="20"/>
          <w:szCs w:val="20"/>
        </w:rPr>
        <w:t>mize patient benefit and minimize risk. These efforts leverage years of experience in developing lung-selective medicines to treat respiratory disease, including US Food and Drug Administration (“FDA”) approved YUPELRI</w:t>
      </w:r>
      <w:r>
        <w:rPr>
          <w:sz w:val="15"/>
          <w:szCs w:val="15"/>
          <w:vertAlign w:val="superscript"/>
        </w:rPr>
        <w:t>®</w:t>
      </w:r>
      <w:r>
        <w:rPr>
          <w:sz w:val="20"/>
          <w:szCs w:val="20"/>
        </w:rPr>
        <w:t xml:space="preserve"> (revefenacin) inhalation solution in</w:t>
      </w:r>
      <w:r>
        <w:rPr>
          <w:sz w:val="20"/>
          <w:szCs w:val="20"/>
        </w:rPr>
        <w:t>dicated for the maintenance treatment of patients with chronic obstructive pulmonary disease (“COPD”). Our pipeline of internally discovered programs is targeted to address significant patient needs.</w:t>
      </w:r>
    </w:p>
    <w:p w:rsidR="00000000" w:rsidRDefault="008B747E">
      <w:pPr>
        <w:pStyle w:val="a3"/>
        <w:spacing w:before="0" w:beforeAutospacing="0" w:after="0" w:afterAutospacing="0"/>
        <w:ind w:firstLine="720"/>
        <w:divId w:val="1852912303"/>
        <w:rPr>
          <w:sz w:val="20"/>
          <w:szCs w:val="20"/>
        </w:rPr>
      </w:pPr>
      <w:r>
        <w:rPr>
          <w:sz w:val="20"/>
          <w:szCs w:val="20"/>
        </w:rPr>
        <w:t>​</w:t>
      </w:r>
    </w:p>
    <w:p w:rsidR="00000000" w:rsidRDefault="008B747E">
      <w:pPr>
        <w:pStyle w:val="a3"/>
        <w:spacing w:before="0" w:beforeAutospacing="0" w:after="0" w:afterAutospacing="0"/>
        <w:divId w:val="1852912303"/>
        <w:rPr>
          <w:sz w:val="20"/>
          <w:szCs w:val="20"/>
        </w:rPr>
      </w:pPr>
      <w:r>
        <w:rPr>
          <w:sz w:val="20"/>
          <w:szCs w:val="20"/>
        </w:rPr>
        <w:t>We have an economic interest in potential future payme</w:t>
      </w:r>
      <w:r>
        <w:rPr>
          <w:sz w:val="20"/>
          <w:szCs w:val="20"/>
        </w:rPr>
        <w:t>nts from Glaxo Group or one of its affiliates (“GSK”) pursuant to its agreements with Innoviva, Inc. (“Innoviva”) relating to certain programs, including TRELEGY ELLIPTA.</w:t>
      </w:r>
    </w:p>
    <w:p w:rsidR="00000000" w:rsidRDefault="008B747E">
      <w:pPr>
        <w:pStyle w:val="a3"/>
        <w:spacing w:before="0" w:beforeAutospacing="0" w:after="0" w:afterAutospacing="0"/>
        <w:divId w:val="1852912303"/>
        <w:rPr>
          <w:sz w:val="20"/>
          <w:szCs w:val="20"/>
        </w:rPr>
      </w:pPr>
      <w:r>
        <w:rPr>
          <w:sz w:val="20"/>
          <w:szCs w:val="20"/>
        </w:rPr>
        <w:t>​</w:t>
      </w:r>
    </w:p>
    <w:p w:rsidR="00000000" w:rsidRDefault="008B747E">
      <w:pPr>
        <w:pStyle w:val="a3"/>
        <w:spacing w:before="0" w:beforeAutospacing="0" w:after="0" w:afterAutospacing="0"/>
        <w:divId w:val="1852912303"/>
        <w:rPr>
          <w:sz w:val="20"/>
          <w:szCs w:val="20"/>
        </w:rPr>
      </w:pPr>
      <w:r>
        <w:rPr>
          <w:b/>
          <w:bCs/>
          <w:sz w:val="20"/>
          <w:szCs w:val="20"/>
        </w:rPr>
        <w:t>Program Highlights</w:t>
      </w:r>
    </w:p>
    <w:p w:rsidR="00000000" w:rsidRDefault="008B747E">
      <w:pPr>
        <w:pStyle w:val="a3"/>
        <w:spacing w:before="0" w:beforeAutospacing="0" w:after="0" w:afterAutospacing="0"/>
        <w:divId w:val="1852912303"/>
        <w:rPr>
          <w:sz w:val="20"/>
          <w:szCs w:val="20"/>
        </w:rPr>
      </w:pPr>
      <w:r>
        <w:rPr>
          <w:b/>
          <w:bCs/>
          <w:sz w:val="10"/>
          <w:szCs w:val="10"/>
        </w:rPr>
        <w:t>​</w:t>
      </w:r>
    </w:p>
    <w:p w:rsidR="00000000" w:rsidRDefault="008B747E">
      <w:pPr>
        <w:pStyle w:val="a3"/>
        <w:spacing w:before="0" w:beforeAutospacing="0" w:after="0" w:afterAutospacing="0"/>
        <w:divId w:val="1852912303"/>
        <w:rPr>
          <w:sz w:val="20"/>
          <w:szCs w:val="20"/>
        </w:rPr>
      </w:pPr>
      <w:r>
        <w:rPr>
          <w:b/>
          <w:bCs/>
          <w:i/>
          <w:iCs/>
          <w:sz w:val="20"/>
          <w:szCs w:val="20"/>
        </w:rPr>
        <w:t>Gut-selective Pan-Janus Kinase (JAK) Inhibitor Program (TD-147</w:t>
      </w:r>
      <w:r>
        <w:rPr>
          <w:b/>
          <w:bCs/>
          <w:i/>
          <w:iCs/>
          <w:sz w:val="20"/>
          <w:szCs w:val="20"/>
        </w:rPr>
        <w:t xml:space="preserve">3) </w:t>
      </w:r>
    </w:p>
    <w:p w:rsidR="00000000" w:rsidRDefault="008B747E">
      <w:pPr>
        <w:pStyle w:val="a3"/>
        <w:spacing w:before="0" w:beforeAutospacing="0" w:after="0" w:afterAutospacing="0"/>
        <w:divId w:val="1852912303"/>
        <w:rPr>
          <w:sz w:val="20"/>
          <w:szCs w:val="20"/>
        </w:rPr>
      </w:pPr>
      <w:r>
        <w:rPr>
          <w:b/>
          <w:bCs/>
          <w:sz w:val="10"/>
          <w:szCs w:val="10"/>
        </w:rPr>
        <w:t>​</w:t>
      </w:r>
    </w:p>
    <w:p w:rsidR="00000000" w:rsidRDefault="008B747E">
      <w:pPr>
        <w:pStyle w:val="a3"/>
        <w:spacing w:before="0" w:beforeAutospacing="0" w:after="0" w:afterAutospacing="0"/>
        <w:ind w:firstLine="720"/>
        <w:divId w:val="1852912303"/>
        <w:rPr>
          <w:sz w:val="20"/>
          <w:szCs w:val="20"/>
        </w:rPr>
      </w:pPr>
      <w:r>
        <w:rPr>
          <w:sz w:val="20"/>
          <w:szCs w:val="20"/>
        </w:rPr>
        <w:t xml:space="preserve">JAK inhibitors function by inhibiting the activity of one or more of the Janus kinase family of enzymes (JAK1, JAK2, JAK3, TYK2) that play a key role in cytokine signaling. Inhibiting these JAK enzymes interferes with the JAK/STAT </w:t>
      </w:r>
    </w:p>
    <w:p w:rsidR="00000000" w:rsidRDefault="008B747E">
      <w:pPr>
        <w:pStyle w:val="a3"/>
        <w:spacing w:before="360" w:beforeAutospacing="0" w:after="0" w:afterAutospacing="0"/>
        <w:jc w:val="center"/>
        <w:divId w:val="1805735466"/>
        <w:rPr>
          <w:sz w:val="20"/>
          <w:szCs w:val="20"/>
        </w:rPr>
      </w:pPr>
      <w:r>
        <w:rPr>
          <w:sz w:val="20"/>
          <w:szCs w:val="20"/>
        </w:rPr>
        <w:t>20</w:t>
      </w:r>
    </w:p>
    <w:p w:rsidR="00000000" w:rsidRDefault="008B747E">
      <w:pPr>
        <w:pStyle w:val="a3"/>
        <w:spacing w:before="0" w:beforeAutospacing="0" w:after="600" w:afterAutospacing="0"/>
        <w:divId w:val="971206952"/>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791554536"/>
        <w:rPr>
          <w:sz w:val="20"/>
          <w:szCs w:val="20"/>
        </w:rPr>
      </w:pPr>
      <w:r>
        <w:rPr>
          <w:sz w:val="20"/>
          <w:szCs w:val="20"/>
        </w:rPr>
        <w:t>signaling pathway and, in turn, modulates the activity of a wide range of pro-inflammatory cytokines. JAK inhibitors are currently approved for the treatment of rheumatoid arthritis, myelofibrosis, and ulcerative colitis and have demonstrated therapeutic b</w:t>
      </w:r>
      <w:r>
        <w:rPr>
          <w:sz w:val="20"/>
          <w:szCs w:val="20"/>
        </w:rPr>
        <w:t>enefit for patients with Crohn’s disease. However, these products are known to have side effects based on their systemic exposure. In TD-1473, our program goal is to develop an orally administered, gut-selective pan-JAK inhibitor specifically designed to d</w:t>
      </w:r>
      <w:r>
        <w:rPr>
          <w:sz w:val="20"/>
          <w:szCs w:val="20"/>
        </w:rPr>
        <w:t>istribute adequately and predominantly to the tissues of the intestinal tract, treating inflammation in those tissues while minimizing systemic exposure. TD-1473 is in development as a potential treatment for a range of inflammatory intestinal diseases, in</w:t>
      </w:r>
      <w:r>
        <w:rPr>
          <w:sz w:val="20"/>
          <w:szCs w:val="20"/>
        </w:rPr>
        <w:t xml:space="preserve">cluding ulcerative colitis and Crohn’s disease. </w:t>
      </w:r>
    </w:p>
    <w:p w:rsidR="00000000" w:rsidRDefault="008B747E">
      <w:pPr>
        <w:pStyle w:val="a3"/>
        <w:spacing w:before="0" w:beforeAutospacing="0" w:after="0" w:afterAutospacing="0"/>
        <w:ind w:firstLine="720"/>
        <w:divId w:val="791554536"/>
        <w:rPr>
          <w:sz w:val="20"/>
          <w:szCs w:val="20"/>
        </w:rPr>
      </w:pPr>
      <w:r>
        <w:rPr>
          <w:sz w:val="20"/>
          <w:szCs w:val="20"/>
        </w:rPr>
        <w:t>​</w:t>
      </w:r>
    </w:p>
    <w:p w:rsidR="00000000" w:rsidRDefault="008B747E">
      <w:pPr>
        <w:pStyle w:val="a3"/>
        <w:spacing w:before="0" w:beforeAutospacing="0" w:after="0" w:afterAutospacing="0"/>
        <w:ind w:firstLine="720"/>
        <w:divId w:val="791554536"/>
        <w:rPr>
          <w:sz w:val="20"/>
          <w:szCs w:val="20"/>
        </w:rPr>
      </w:pPr>
      <w:r>
        <w:rPr>
          <w:sz w:val="20"/>
          <w:szCs w:val="20"/>
        </w:rPr>
        <w:t>Based on positive results from a Phase 1b exploratory study in ulcerative colitis and following dialogues with the FDA and European Medicines Agency (“EMA”) regarding study design, we advanced TD-1473 into two clinical studies in inflammatory intestinal di</w:t>
      </w:r>
      <w:r>
        <w:rPr>
          <w:sz w:val="20"/>
          <w:szCs w:val="20"/>
        </w:rPr>
        <w:t xml:space="preserve">seases. The Phase 2 (DIONE) study is a twelve-week randomized, double-blind, placebo-controlled study designed to evaluate the efficacy and safety of patients with Crohn’s disease, which began dosing patients in late 2018. The Phase 2b/3 (RHEA) study is a </w:t>
      </w:r>
      <w:r>
        <w:rPr>
          <w:sz w:val="20"/>
          <w:szCs w:val="20"/>
        </w:rPr>
        <w:t xml:space="preserve">randomized, double-blind, placebo-controlled study to evaluate the efficacy and safety of eight weeks induction and 44 weeks maintenance therapy in patients with ulcerative colitis, which began dosing patients in early 2019. We anticipate results from the </w:t>
      </w:r>
      <w:r>
        <w:rPr>
          <w:sz w:val="20"/>
          <w:szCs w:val="20"/>
        </w:rPr>
        <w:t>Phase 2b portion of the ulcerative colitis study and Phase 2 Crohn’s disease study in late-2020.</w:t>
      </w:r>
    </w:p>
    <w:p w:rsidR="00000000" w:rsidRDefault="008B747E">
      <w:pPr>
        <w:pStyle w:val="a3"/>
        <w:spacing w:before="0" w:beforeAutospacing="0" w:after="0" w:afterAutospacing="0"/>
        <w:ind w:firstLine="720"/>
        <w:divId w:val="791554536"/>
        <w:rPr>
          <w:sz w:val="20"/>
          <w:szCs w:val="20"/>
        </w:rPr>
      </w:pPr>
      <w:r>
        <w:rPr>
          <w:sz w:val="20"/>
          <w:szCs w:val="20"/>
        </w:rPr>
        <w:t>​</w:t>
      </w:r>
    </w:p>
    <w:p w:rsidR="00000000" w:rsidRDefault="008B747E">
      <w:pPr>
        <w:pStyle w:val="a3"/>
        <w:spacing w:before="0" w:beforeAutospacing="0" w:after="0" w:afterAutospacing="0"/>
        <w:ind w:firstLine="720"/>
        <w:divId w:val="791554536"/>
        <w:rPr>
          <w:sz w:val="20"/>
          <w:szCs w:val="20"/>
        </w:rPr>
      </w:pPr>
      <w:r>
        <w:rPr>
          <w:sz w:val="20"/>
          <w:szCs w:val="20"/>
        </w:rPr>
        <w:t>In May 2019, we presented supplemental data from the Phase 1b exploratory study of TD-1473 in patients with ulcerative colitis in an oral presentation at Dig</w:t>
      </w:r>
      <w:r>
        <w:rPr>
          <w:sz w:val="20"/>
          <w:szCs w:val="20"/>
        </w:rPr>
        <w:t>estive Disease Week (“DDW”). The study was designed to measure signals of localized biologic activity, and with little to no systemic exposure or immunosuppression. Data from the study were positive across a variety of measures, including disease activity,</w:t>
      </w:r>
      <w:r>
        <w:rPr>
          <w:sz w:val="20"/>
          <w:szCs w:val="20"/>
        </w:rPr>
        <w:t xml:space="preserve"> include rectal bleeding and endoscopic improvement, as well as biomarker changes confirming target engagement. Additionally, the data demonstrated minimal systemic exposures and suggested no evidence of systemic immunosuppression or systemic opportunistic</w:t>
      </w:r>
      <w:r>
        <w:rPr>
          <w:sz w:val="20"/>
          <w:szCs w:val="20"/>
        </w:rPr>
        <w:t xml:space="preserve"> infections associated with the gut-selective compound.</w:t>
      </w:r>
      <w:r>
        <w:rPr>
          <w:sz w:val="20"/>
          <w:szCs w:val="20"/>
        </w:rPr>
        <w:t xml:space="preserve"> </w:t>
      </w:r>
    </w:p>
    <w:p w:rsidR="00000000" w:rsidRDefault="008B747E">
      <w:pPr>
        <w:pStyle w:val="a3"/>
        <w:spacing w:before="0" w:beforeAutospacing="0" w:after="0" w:afterAutospacing="0"/>
        <w:ind w:firstLine="720"/>
        <w:divId w:val="791554536"/>
        <w:rPr>
          <w:sz w:val="20"/>
          <w:szCs w:val="20"/>
        </w:rPr>
      </w:pPr>
      <w:r>
        <w:rPr>
          <w:sz w:val="20"/>
          <w:szCs w:val="20"/>
        </w:rPr>
        <w:t>​</w:t>
      </w:r>
    </w:p>
    <w:p w:rsidR="00000000" w:rsidRDefault="008B747E">
      <w:pPr>
        <w:pStyle w:val="a3"/>
        <w:spacing w:before="0" w:beforeAutospacing="0" w:after="0" w:afterAutospacing="0"/>
        <w:divId w:val="791554536"/>
        <w:rPr>
          <w:sz w:val="20"/>
          <w:szCs w:val="20"/>
        </w:rPr>
      </w:pPr>
      <w:r>
        <w:rPr>
          <w:i/>
          <w:iCs/>
          <w:sz w:val="20"/>
          <w:szCs w:val="20"/>
        </w:rPr>
        <w:t>Janssen Biotech Collaboration</w:t>
      </w:r>
    </w:p>
    <w:p w:rsidR="00000000" w:rsidRDefault="008B747E">
      <w:pPr>
        <w:pStyle w:val="a3"/>
        <w:spacing w:before="0" w:beforeAutospacing="0" w:after="0" w:afterAutospacing="0"/>
        <w:divId w:val="791554536"/>
        <w:rPr>
          <w:sz w:val="20"/>
          <w:szCs w:val="20"/>
        </w:rPr>
      </w:pPr>
      <w:r>
        <w:rPr>
          <w:i/>
          <w:iCs/>
          <w:sz w:val="10"/>
          <w:szCs w:val="10"/>
        </w:rPr>
        <w:t>​</w:t>
      </w:r>
    </w:p>
    <w:p w:rsidR="00000000" w:rsidRDefault="008B747E">
      <w:pPr>
        <w:pStyle w:val="a3"/>
        <w:spacing w:before="0" w:beforeAutospacing="0" w:after="0" w:afterAutospacing="0"/>
        <w:ind w:firstLine="720"/>
        <w:divId w:val="791554536"/>
        <w:rPr>
          <w:sz w:val="20"/>
          <w:szCs w:val="20"/>
        </w:rPr>
      </w:pPr>
      <w:r>
        <w:rPr>
          <w:sz w:val="20"/>
          <w:szCs w:val="20"/>
        </w:rPr>
        <w:t>In February 2018, we announced a global co-development and commercialization agreement with Janssen Biotech, Inc. (“Janssen”) for TD-1473 and related back-up compoun</w:t>
      </w:r>
      <w:r>
        <w:rPr>
          <w:sz w:val="20"/>
          <w:szCs w:val="20"/>
        </w:rPr>
        <w:t>ds for inflammatory intestinal diseases, including ulcerative colitis and Crohn's disease. Under the terms of the agreement, we received an upfront payment of $100.0 million and will be eligible to receive up to an additional $900.0 million in potential pa</w:t>
      </w:r>
      <w:r>
        <w:rPr>
          <w:sz w:val="20"/>
          <w:szCs w:val="20"/>
        </w:rPr>
        <w:t>yments, inclusive of a potential opt-in payment following completion of the Phase 2 Crohn’s study and the Phase 2b induction portion of the ulcerative colitis study. At that time, Janssen can elect to obtain an exclusive license to develop and commercializ</w:t>
      </w:r>
      <w:r>
        <w:rPr>
          <w:sz w:val="20"/>
          <w:szCs w:val="20"/>
        </w:rPr>
        <w:t xml:space="preserve">e TD-1473 and certain related compounds by paying us a fee of $200.0 million. Upon such election, we and Janssen will jointly develop and commercialize TD-1473 in inflammatory intestinal diseases, and we and Janssen will share profits and losses in the US </w:t>
      </w:r>
      <w:r>
        <w:rPr>
          <w:sz w:val="20"/>
          <w:szCs w:val="20"/>
        </w:rPr>
        <w:t>and expenses related to a potential Phase 3 program (67% to Janssen; 33% to Theravance Biopharma). In addition, we would receive royalties on ex-US sales at double-digit tiered percentage royalty rates.</w:t>
      </w:r>
    </w:p>
    <w:p w:rsidR="00000000" w:rsidRDefault="008B747E">
      <w:pPr>
        <w:pStyle w:val="a3"/>
        <w:spacing w:before="0" w:beforeAutospacing="0" w:after="0" w:afterAutospacing="0"/>
        <w:ind w:firstLine="720"/>
        <w:divId w:val="791554536"/>
        <w:rPr>
          <w:sz w:val="20"/>
          <w:szCs w:val="20"/>
        </w:rPr>
      </w:pPr>
      <w:r>
        <w:rPr>
          <w:sz w:val="20"/>
          <w:szCs w:val="20"/>
        </w:rPr>
        <w:t>​</w:t>
      </w:r>
    </w:p>
    <w:p w:rsidR="00000000" w:rsidRDefault="008B747E">
      <w:pPr>
        <w:pStyle w:val="a3"/>
        <w:spacing w:before="0" w:beforeAutospacing="0" w:after="0" w:afterAutospacing="0"/>
        <w:ind w:firstLine="720"/>
        <w:divId w:val="791554536"/>
        <w:rPr>
          <w:sz w:val="20"/>
          <w:szCs w:val="20"/>
        </w:rPr>
      </w:pPr>
      <w:r>
        <w:rPr>
          <w:sz w:val="20"/>
          <w:szCs w:val="20"/>
        </w:rPr>
        <w:t>The closing of the opt-in portion of the transactio</w:t>
      </w:r>
      <w:r>
        <w:rPr>
          <w:sz w:val="20"/>
          <w:szCs w:val="20"/>
        </w:rPr>
        <w:t>n is subject to clearance under the Hart-Scott-Rodino Antitrust Improvements Act (“HSR Act”). After Phase 2, Janssen would lead subsequent development of TD-1473 in Crohn’s disease if it makes such an election. We will lead development of TD-1473 in ulcera</w:t>
      </w:r>
      <w:r>
        <w:rPr>
          <w:sz w:val="20"/>
          <w:szCs w:val="20"/>
        </w:rPr>
        <w:t>tive colitis through completion of the Phase 2b/3 study. If TD-1473 is commercialized, we have the option to co-commercialize in the US, and Janssen would have sole commercialization responsibilities outside the US. </w:t>
      </w:r>
    </w:p>
    <w:p w:rsidR="00000000" w:rsidRDefault="008B747E">
      <w:pPr>
        <w:pStyle w:val="a3"/>
        <w:spacing w:before="0" w:beforeAutospacing="0" w:after="0" w:afterAutospacing="0"/>
        <w:divId w:val="791554536"/>
        <w:rPr>
          <w:sz w:val="20"/>
          <w:szCs w:val="20"/>
        </w:rPr>
      </w:pPr>
      <w:r>
        <w:rPr>
          <w:sz w:val="20"/>
          <w:szCs w:val="20"/>
        </w:rPr>
        <w:t>​</w:t>
      </w:r>
    </w:p>
    <w:p w:rsidR="00000000" w:rsidRDefault="008B747E">
      <w:pPr>
        <w:pStyle w:val="a3"/>
        <w:spacing w:before="0" w:beforeAutospacing="0" w:after="0" w:afterAutospacing="0"/>
        <w:divId w:val="791554536"/>
        <w:rPr>
          <w:sz w:val="20"/>
          <w:szCs w:val="20"/>
        </w:rPr>
      </w:pPr>
      <w:r>
        <w:rPr>
          <w:b/>
          <w:bCs/>
          <w:i/>
          <w:iCs/>
          <w:sz w:val="20"/>
          <w:szCs w:val="20"/>
        </w:rPr>
        <w:t>Ampreloxetine (TD-9855)</w:t>
      </w:r>
    </w:p>
    <w:p w:rsidR="00000000" w:rsidRDefault="008B747E">
      <w:pPr>
        <w:pStyle w:val="a3"/>
        <w:spacing w:before="0" w:beforeAutospacing="0" w:after="0" w:afterAutospacing="0"/>
        <w:divId w:val="791554536"/>
        <w:rPr>
          <w:sz w:val="20"/>
          <w:szCs w:val="20"/>
        </w:rPr>
      </w:pPr>
      <w:r>
        <w:rPr>
          <w:b/>
          <w:bCs/>
          <w:i/>
          <w:iCs/>
          <w:sz w:val="10"/>
          <w:szCs w:val="10"/>
        </w:rPr>
        <w:t>​</w:t>
      </w:r>
    </w:p>
    <w:p w:rsidR="00000000" w:rsidRDefault="008B747E">
      <w:pPr>
        <w:pStyle w:val="a3"/>
        <w:spacing w:before="0" w:beforeAutospacing="0" w:after="0" w:afterAutospacing="0"/>
        <w:ind w:firstLine="720"/>
        <w:divId w:val="791554536"/>
        <w:rPr>
          <w:sz w:val="20"/>
          <w:szCs w:val="20"/>
        </w:rPr>
      </w:pPr>
      <w:r>
        <w:rPr>
          <w:sz w:val="20"/>
          <w:szCs w:val="20"/>
        </w:rPr>
        <w:t>Ampreloxeti</w:t>
      </w:r>
      <w:r>
        <w:rPr>
          <w:sz w:val="20"/>
          <w:szCs w:val="20"/>
        </w:rPr>
        <w:t>ne is an investigational, once-daily norepinephrine reuptake inhibitor (“NRI”) being developed for the treatment of patients with symptomatic neurogenic orthostatic hypotension (“nOH”). nOH is caused by primary autonomic failure conditions, including multi</w:t>
      </w:r>
      <w:r>
        <w:rPr>
          <w:sz w:val="20"/>
          <w:szCs w:val="20"/>
        </w:rPr>
        <w:t>ple system atrophy, Parkinson’s disease and pure autonomic failure. The compound has high affinity for binding to norepinephrine transporters. By blocking the action of these transporters, ampreloxetine causes an increase in extracellular concentrations of</w:t>
      </w:r>
      <w:r>
        <w:rPr>
          <w:sz w:val="20"/>
          <w:szCs w:val="20"/>
        </w:rPr>
        <w:t xml:space="preserve"> norepinephrine.</w:t>
      </w:r>
    </w:p>
    <w:p w:rsidR="00000000" w:rsidRDefault="008B747E">
      <w:pPr>
        <w:pStyle w:val="a3"/>
        <w:spacing w:before="0" w:beforeAutospacing="0" w:after="0" w:afterAutospacing="0"/>
        <w:divId w:val="791554536"/>
        <w:rPr>
          <w:sz w:val="20"/>
          <w:szCs w:val="20"/>
        </w:rPr>
      </w:pPr>
      <w:r>
        <w:rPr>
          <w:sz w:val="20"/>
          <w:szCs w:val="20"/>
        </w:rPr>
        <w:t>​</w:t>
      </w:r>
    </w:p>
    <w:p w:rsidR="00000000" w:rsidRDefault="008B747E">
      <w:pPr>
        <w:pStyle w:val="a3"/>
        <w:spacing w:before="0" w:beforeAutospacing="0" w:after="0" w:afterAutospacing="0"/>
        <w:ind w:firstLine="720"/>
        <w:divId w:val="791554536"/>
        <w:rPr>
          <w:sz w:val="20"/>
          <w:szCs w:val="20"/>
        </w:rPr>
      </w:pPr>
      <w:r>
        <w:rPr>
          <w:sz w:val="20"/>
          <w:szCs w:val="20"/>
        </w:rPr>
        <w:t xml:space="preserve">Based on positive top-line four-week results from a Phase 2 study in nOH and discussions with the FDA, we advanced ampreloxetine into a Phase 3 program. The Phase 3 program includes two studies. The first study (SEQUOIA) is a four-week, </w:t>
      </w:r>
      <w:r>
        <w:rPr>
          <w:sz w:val="20"/>
          <w:szCs w:val="20"/>
        </w:rPr>
        <w:t xml:space="preserve">randomized double-blind, placebo-controlled study designed to evaluate the efficacy and safety of ampreloxetine </w:t>
      </w:r>
    </w:p>
    <w:p w:rsidR="00000000" w:rsidRDefault="008B747E">
      <w:pPr>
        <w:pStyle w:val="a3"/>
        <w:spacing w:before="360" w:beforeAutospacing="0" w:after="0" w:afterAutospacing="0"/>
        <w:jc w:val="center"/>
        <w:divId w:val="1246914135"/>
        <w:rPr>
          <w:sz w:val="20"/>
          <w:szCs w:val="20"/>
        </w:rPr>
      </w:pPr>
      <w:r>
        <w:rPr>
          <w:sz w:val="20"/>
          <w:szCs w:val="20"/>
        </w:rPr>
        <w:t>21</w:t>
      </w:r>
    </w:p>
    <w:p w:rsidR="00000000" w:rsidRDefault="008B747E">
      <w:pPr>
        <w:pStyle w:val="a3"/>
        <w:spacing w:before="0" w:beforeAutospacing="0" w:after="600" w:afterAutospacing="0"/>
        <w:divId w:val="112679366"/>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734744739"/>
        <w:rPr>
          <w:sz w:val="20"/>
          <w:szCs w:val="20"/>
        </w:rPr>
      </w:pPr>
      <w:r>
        <w:rPr>
          <w:sz w:val="20"/>
          <w:szCs w:val="20"/>
        </w:rPr>
        <w:t>in patients with symptomatic nOH. The second study (REDWOOD) is a four-month open label study fo</w:t>
      </w:r>
      <w:r>
        <w:rPr>
          <w:sz w:val="20"/>
          <w:szCs w:val="20"/>
        </w:rPr>
        <w:t>llowed by a six-week randomized withdrawal phase to evaluate the durability of patient response of ampreloxetine. We announced the initiation of patient dosing in each Phase 3 study in January and February 2019, respectively. We anticipate results from the</w:t>
      </w:r>
      <w:r>
        <w:rPr>
          <w:sz w:val="20"/>
          <w:szCs w:val="20"/>
        </w:rPr>
        <w:t xml:space="preserve"> Phase 3 four-week study in the second half of 2020.</w:t>
      </w:r>
    </w:p>
    <w:p w:rsidR="00000000" w:rsidRDefault="008B747E">
      <w:pPr>
        <w:pStyle w:val="a3"/>
        <w:spacing w:before="0" w:beforeAutospacing="0" w:after="0" w:afterAutospacing="0"/>
        <w:ind w:firstLine="720"/>
        <w:divId w:val="734744739"/>
        <w:rPr>
          <w:sz w:val="20"/>
          <w:szCs w:val="20"/>
        </w:rPr>
      </w:pPr>
      <w:r>
        <w:rPr>
          <w:b/>
          <w:bCs/>
          <w:sz w:val="20"/>
          <w:szCs w:val="20"/>
        </w:rPr>
        <w:t>​</w:t>
      </w:r>
    </w:p>
    <w:p w:rsidR="00000000" w:rsidRDefault="008B747E">
      <w:pPr>
        <w:pStyle w:val="a3"/>
        <w:spacing w:before="0" w:beforeAutospacing="0" w:after="0" w:afterAutospacing="0"/>
        <w:ind w:firstLine="720"/>
        <w:divId w:val="734744739"/>
        <w:rPr>
          <w:sz w:val="20"/>
          <w:szCs w:val="20"/>
        </w:rPr>
      </w:pPr>
      <w:r>
        <w:rPr>
          <w:sz w:val="20"/>
          <w:szCs w:val="20"/>
        </w:rPr>
        <w:t>We recently announced new data from the Phase 2 study of ampreloxetine in nOH at two medical congresses. One, in June 2019, in a poster presentation at the International Association of Parkinsonism and</w:t>
      </w:r>
      <w:r>
        <w:rPr>
          <w:sz w:val="20"/>
          <w:szCs w:val="20"/>
        </w:rPr>
        <w:t xml:space="preserve"> Related Disorders (“IAPRD”) World Congress, and the other, in July 2019, in an oral presentation at the 32</w:t>
      </w:r>
      <w:r>
        <w:rPr>
          <w:sz w:val="15"/>
          <w:szCs w:val="15"/>
          <w:vertAlign w:val="superscript"/>
        </w:rPr>
        <w:t>nd</w:t>
      </w:r>
      <w:r>
        <w:rPr>
          <w:sz w:val="20"/>
          <w:szCs w:val="20"/>
        </w:rPr>
        <w:t xml:space="preserve"> European Neurology Congress (“ENC”). The new data demonstrated that the study's previously reported improvements in nOH symptom severity following</w:t>
      </w:r>
      <w:r>
        <w:rPr>
          <w:sz w:val="20"/>
          <w:szCs w:val="20"/>
        </w:rPr>
        <w:t xml:space="preserve"> four weeks of treatment were sustained until the completion of 20 weeks of ampreloxetine therapy. Following discontinuation of treatment at the end of 20 weeks, these improvements in patients' nOH symptoms deteriorated, with severity returning to baseline</w:t>
      </w:r>
      <w:r>
        <w:rPr>
          <w:sz w:val="20"/>
          <w:szCs w:val="20"/>
        </w:rPr>
        <w:t xml:space="preserve"> pre-treatment levels.</w:t>
      </w:r>
      <w:r>
        <w:rPr>
          <w:color w:val="FF0000"/>
          <w:sz w:val="20"/>
          <w:szCs w:val="20"/>
        </w:rPr>
        <w:t xml:space="preserve"> </w:t>
      </w:r>
    </w:p>
    <w:p w:rsidR="00000000" w:rsidRDefault="008B747E">
      <w:pPr>
        <w:pStyle w:val="a3"/>
        <w:spacing w:before="0" w:beforeAutospacing="0" w:after="0" w:afterAutospacing="0"/>
        <w:divId w:val="734744739"/>
        <w:rPr>
          <w:sz w:val="20"/>
          <w:szCs w:val="20"/>
        </w:rPr>
      </w:pPr>
      <w:r>
        <w:rPr>
          <w:sz w:val="20"/>
          <w:szCs w:val="20"/>
        </w:rPr>
        <w:t>​</w:t>
      </w:r>
    </w:p>
    <w:p w:rsidR="00000000" w:rsidRDefault="008B747E">
      <w:pPr>
        <w:pStyle w:val="a3"/>
        <w:spacing w:before="0" w:beforeAutospacing="0" w:after="0" w:afterAutospacing="0"/>
        <w:ind w:hanging="200"/>
        <w:divId w:val="734744739"/>
        <w:rPr>
          <w:sz w:val="20"/>
          <w:szCs w:val="20"/>
        </w:rPr>
      </w:pPr>
      <w:r>
        <w:rPr>
          <w:b/>
          <w:bCs/>
          <w:i/>
          <w:iCs/>
          <w:sz w:val="20"/>
          <w:szCs w:val="20"/>
        </w:rPr>
        <w:t>YUPELRI</w:t>
      </w:r>
      <w:r>
        <w:rPr>
          <w:rFonts w:ascii="Times New Roman Bold" w:hAnsi="Times New Roman Bold"/>
          <w:b/>
          <w:bCs/>
          <w:i/>
          <w:iCs/>
          <w:sz w:val="15"/>
          <w:szCs w:val="15"/>
          <w:vertAlign w:val="superscript"/>
        </w:rPr>
        <w:t>®</w:t>
      </w:r>
      <w:r>
        <w:rPr>
          <w:rFonts w:ascii="Times New Roman Bold" w:hAnsi="Times New Roman Bold"/>
          <w:b/>
          <w:bCs/>
          <w:i/>
          <w:iCs/>
          <w:sz w:val="15"/>
          <w:szCs w:val="15"/>
          <w:vertAlign w:val="superscript"/>
        </w:rPr>
        <w:t xml:space="preserve"> </w:t>
      </w:r>
      <w:r>
        <w:rPr>
          <w:b/>
          <w:bCs/>
          <w:i/>
          <w:iCs/>
          <w:sz w:val="20"/>
          <w:szCs w:val="20"/>
        </w:rPr>
        <w:t>(revefenacin) Inhalation Solution</w:t>
      </w:r>
    </w:p>
    <w:p w:rsidR="00000000" w:rsidRDefault="008B747E">
      <w:pPr>
        <w:pStyle w:val="a3"/>
        <w:spacing w:before="0" w:beforeAutospacing="0" w:after="0" w:afterAutospacing="0"/>
        <w:divId w:val="734744739"/>
        <w:rPr>
          <w:sz w:val="20"/>
          <w:szCs w:val="20"/>
        </w:rPr>
      </w:pPr>
      <w:r>
        <w:rPr>
          <w:sz w:val="10"/>
          <w:szCs w:val="10"/>
        </w:rPr>
        <w:t>​</w:t>
      </w:r>
    </w:p>
    <w:p w:rsidR="00000000" w:rsidRDefault="008B747E">
      <w:pPr>
        <w:pStyle w:val="a3"/>
        <w:spacing w:before="0" w:beforeAutospacing="0" w:after="0" w:afterAutospacing="0"/>
        <w:ind w:firstLine="720"/>
        <w:divId w:val="734744739"/>
        <w:rPr>
          <w:sz w:val="20"/>
          <w:szCs w:val="20"/>
        </w:rPr>
      </w:pPr>
      <w:r>
        <w:rPr>
          <w:sz w:val="20"/>
          <w:szCs w:val="20"/>
        </w:rPr>
        <w:t>YUPELRI (revefenacin) inhalation solution is a once-daily, nebulized long-acting muscarinic antagonist (“LAMA”) approved for the maintenance treatment of COPD in the US. LAMAs are recognized by international COPD treatment guidelines as a cornerstone of ma</w:t>
      </w:r>
      <w:r>
        <w:rPr>
          <w:sz w:val="20"/>
          <w:szCs w:val="20"/>
        </w:rPr>
        <w:t xml:space="preserve">intenance therapy for COPD, regardless of severity of disease. Our market research indicates there is an enduring population of COPD patients in the US that either need or prefer nebulized delivery for maintenance therapy. The stability of YUPELRI in both </w:t>
      </w:r>
      <w:r>
        <w:rPr>
          <w:sz w:val="20"/>
          <w:szCs w:val="20"/>
        </w:rPr>
        <w:t xml:space="preserve">metered dose inhaler and dry powder inhaler (“MDI/DPI”) formulations suggest that this LAMA could also serve as a foundation for novel handheld combination products. </w:t>
      </w:r>
    </w:p>
    <w:p w:rsidR="00000000" w:rsidRDefault="008B747E">
      <w:pPr>
        <w:pStyle w:val="a3"/>
        <w:spacing w:before="0" w:beforeAutospacing="0" w:after="0" w:afterAutospacing="0"/>
        <w:ind w:firstLine="720"/>
        <w:divId w:val="734744739"/>
        <w:rPr>
          <w:sz w:val="20"/>
          <w:szCs w:val="20"/>
        </w:rPr>
      </w:pPr>
      <w:r>
        <w:rPr>
          <w:sz w:val="20"/>
          <w:szCs w:val="20"/>
        </w:rPr>
        <w:t>​</w:t>
      </w:r>
    </w:p>
    <w:p w:rsidR="00000000" w:rsidRDefault="008B747E">
      <w:pPr>
        <w:pStyle w:val="a3"/>
        <w:spacing w:before="0" w:beforeAutospacing="0" w:after="0" w:afterAutospacing="0"/>
        <w:ind w:firstLine="720"/>
        <w:divId w:val="734744739"/>
        <w:rPr>
          <w:sz w:val="20"/>
          <w:szCs w:val="20"/>
        </w:rPr>
      </w:pPr>
      <w:r>
        <w:rPr>
          <w:sz w:val="20"/>
          <w:szCs w:val="20"/>
        </w:rPr>
        <w:t>In November 2018, YUPELRI was approved by the FDA for the maintenance treatment of pati</w:t>
      </w:r>
      <w:r>
        <w:rPr>
          <w:sz w:val="20"/>
          <w:szCs w:val="20"/>
        </w:rPr>
        <w:t>ents with COPD. Following shipments into commercial channel in late 2018, we and Mylan formally launched our sales and marketing efforts in early 2019. The launch is progressing well in partnership with Mylan. We are tracking several key performance metric</w:t>
      </w:r>
      <w:r>
        <w:rPr>
          <w:sz w:val="20"/>
          <w:szCs w:val="20"/>
        </w:rPr>
        <w:t>s to gauge success in building early market acceptance, including formulary reviews, formulary wins and market access. Since launch, YUPELRI has been accepted on 42 formularies that account for a total of 136 institutional accounts with additional formular</w:t>
      </w:r>
      <w:r>
        <w:rPr>
          <w:sz w:val="20"/>
          <w:szCs w:val="20"/>
        </w:rPr>
        <w:t>y reviews expected through the remainder of 2019. Thus far, our approval success rate once YUPELRI has been scheduled for formulary review is about 90%. With respect to market access, we have made important gains with confirmed commercial coverage of appro</w:t>
      </w:r>
      <w:r>
        <w:rPr>
          <w:sz w:val="20"/>
          <w:szCs w:val="20"/>
        </w:rPr>
        <w:t xml:space="preserve">ximately 46% and Medicare Part B coverage for patients with supplement insurance of 100%. In May 2019, we announced that YUPELRI had been assigned a permanent unique Healthcare Common Procedure Coding System (“J-CODE”) nearly six months ahead of schedule. </w:t>
      </w:r>
      <w:r>
        <w:rPr>
          <w:sz w:val="20"/>
          <w:szCs w:val="20"/>
        </w:rPr>
        <w:t xml:space="preserve">The permanent J-CODE allows for full automation of prescription adjudication, simplifying the process for pharmacists and patients. </w:t>
      </w:r>
    </w:p>
    <w:p w:rsidR="00000000" w:rsidRDefault="008B747E">
      <w:pPr>
        <w:pStyle w:val="a3"/>
        <w:spacing w:before="0" w:beforeAutospacing="0" w:after="0" w:afterAutospacing="0"/>
        <w:divId w:val="734744739"/>
        <w:rPr>
          <w:sz w:val="20"/>
          <w:szCs w:val="20"/>
        </w:rPr>
      </w:pPr>
      <w:r>
        <w:rPr>
          <w:sz w:val="20"/>
          <w:szCs w:val="20"/>
        </w:rPr>
        <w:t>​</w:t>
      </w:r>
    </w:p>
    <w:p w:rsidR="00000000" w:rsidRDefault="008B747E">
      <w:pPr>
        <w:pStyle w:val="a3"/>
        <w:spacing w:before="0" w:beforeAutospacing="0" w:after="0" w:afterAutospacing="0"/>
        <w:divId w:val="734744739"/>
        <w:rPr>
          <w:sz w:val="20"/>
          <w:szCs w:val="20"/>
        </w:rPr>
      </w:pPr>
      <w:r>
        <w:rPr>
          <w:i/>
          <w:iCs/>
          <w:sz w:val="20"/>
          <w:szCs w:val="20"/>
        </w:rPr>
        <w:t>Mylan Collaboration</w:t>
      </w:r>
    </w:p>
    <w:p w:rsidR="00000000" w:rsidRDefault="008B747E">
      <w:pPr>
        <w:pStyle w:val="a3"/>
        <w:spacing w:before="0" w:beforeAutospacing="0" w:after="0" w:afterAutospacing="0"/>
        <w:divId w:val="734744739"/>
        <w:rPr>
          <w:sz w:val="20"/>
          <w:szCs w:val="20"/>
        </w:rPr>
      </w:pPr>
      <w:r>
        <w:rPr>
          <w:sz w:val="10"/>
          <w:szCs w:val="10"/>
        </w:rPr>
        <w:t>​</w:t>
      </w:r>
    </w:p>
    <w:p w:rsidR="00000000" w:rsidRDefault="008B747E">
      <w:pPr>
        <w:pStyle w:val="a3"/>
        <w:spacing w:before="0" w:beforeAutospacing="0" w:after="0" w:afterAutospacing="0"/>
        <w:ind w:firstLine="720"/>
        <w:divId w:val="734744739"/>
        <w:rPr>
          <w:sz w:val="20"/>
          <w:szCs w:val="20"/>
        </w:rPr>
      </w:pPr>
      <w:r>
        <w:rPr>
          <w:sz w:val="20"/>
          <w:szCs w:val="20"/>
        </w:rPr>
        <w:t>In January 2015, Mylan Ireland Limited (“Mylan”) and we established a strategic collaboration for t</w:t>
      </w:r>
      <w:r>
        <w:rPr>
          <w:sz w:val="20"/>
          <w:szCs w:val="20"/>
        </w:rPr>
        <w:t>he development and commercialization of revefenacin. Partnering with a world leader in nebulized respiratory therapies enables us to expand the breadth of our revefenacin development program and extend our commercial reach beyond the acute care setting. My</w:t>
      </w:r>
      <w:r>
        <w:rPr>
          <w:sz w:val="20"/>
          <w:szCs w:val="20"/>
        </w:rPr>
        <w:t>lan funded the Phase 3 development program of YUPELRI, enabling us to advance other high value pipeline assets alongside YUPELRI.</w:t>
      </w:r>
    </w:p>
    <w:p w:rsidR="00000000" w:rsidRDefault="008B747E">
      <w:pPr>
        <w:pStyle w:val="a3"/>
        <w:spacing w:before="0" w:beforeAutospacing="0" w:after="0" w:afterAutospacing="0"/>
        <w:divId w:val="734744739"/>
        <w:rPr>
          <w:sz w:val="20"/>
          <w:szCs w:val="20"/>
        </w:rPr>
      </w:pPr>
      <w:r>
        <w:rPr>
          <w:sz w:val="20"/>
          <w:szCs w:val="20"/>
        </w:rPr>
        <w:t>​</w:t>
      </w:r>
    </w:p>
    <w:p w:rsidR="00000000" w:rsidRDefault="008B747E">
      <w:pPr>
        <w:pStyle w:val="a3"/>
        <w:spacing w:before="0" w:beforeAutospacing="0" w:after="0" w:afterAutospacing="0"/>
        <w:ind w:firstLine="720"/>
        <w:divId w:val="734744739"/>
        <w:rPr>
          <w:sz w:val="20"/>
          <w:szCs w:val="20"/>
        </w:rPr>
      </w:pPr>
      <w:r>
        <w:rPr>
          <w:sz w:val="20"/>
          <w:szCs w:val="20"/>
        </w:rPr>
        <w:t>Under the terms of the Mylan Development and Commercialization Agreement (the “Mylan Agreement”), Mylan and we co-develop re</w:t>
      </w:r>
      <w:r>
        <w:rPr>
          <w:sz w:val="20"/>
          <w:szCs w:val="20"/>
        </w:rPr>
        <w:t>vefenacin for COPD and other respiratory diseases. We led the US Phase 3 development program for YUPELRI in COPD, and Mylan was responsible for reimbursement of our costs related to the registrational program up until the approval of the first new drug app</w:t>
      </w:r>
      <w:r>
        <w:rPr>
          <w:sz w:val="20"/>
          <w:szCs w:val="20"/>
        </w:rPr>
        <w:t>lication (“NDA”), after which costs are shared. With YUPELRI approved in the US, Mylan is leading commercialization, and we co-promote the product in the US under a profit and loss sharing arrangement (65% to Mylan; 35% to Theravance Biopharma). Outside th</w:t>
      </w:r>
      <w:r>
        <w:rPr>
          <w:sz w:val="20"/>
          <w:szCs w:val="20"/>
        </w:rPr>
        <w:t xml:space="preserve">e US, Mylan will be responsible for development and commercialization and will pay us a tiered royalty on net sales at percentage royalty rates ranging from low double-digits to mid-teens. </w:t>
      </w:r>
    </w:p>
    <w:p w:rsidR="00000000" w:rsidRDefault="008B747E">
      <w:pPr>
        <w:pStyle w:val="a3"/>
        <w:spacing w:before="0" w:beforeAutospacing="0" w:after="0" w:afterAutospacing="0"/>
        <w:divId w:val="734744739"/>
        <w:rPr>
          <w:sz w:val="20"/>
          <w:szCs w:val="20"/>
        </w:rPr>
      </w:pPr>
      <w:r>
        <w:rPr>
          <w:sz w:val="20"/>
          <w:szCs w:val="20"/>
        </w:rPr>
        <w:t>​</w:t>
      </w:r>
    </w:p>
    <w:p w:rsidR="00000000" w:rsidRDefault="008B747E">
      <w:pPr>
        <w:pStyle w:val="a3"/>
        <w:spacing w:before="0" w:beforeAutospacing="0" w:after="0" w:afterAutospacing="0"/>
        <w:ind w:firstLine="720"/>
        <w:divId w:val="734744739"/>
        <w:rPr>
          <w:sz w:val="20"/>
          <w:szCs w:val="20"/>
        </w:rPr>
      </w:pPr>
      <w:r>
        <w:rPr>
          <w:sz w:val="20"/>
          <w:szCs w:val="20"/>
        </w:rPr>
        <w:t>Under the Mylan Agreement, Mylan paid us an initial payment of $</w:t>
      </w:r>
      <w:r>
        <w:rPr>
          <w:sz w:val="20"/>
          <w:szCs w:val="20"/>
        </w:rPr>
        <w:t>15.0 million in cash in the second quarter of 2015. Also, pursuant to an agreement to purchase ordinary shares entered into on January 30, 2015, Mylan Inc., the indirect parent corporation of Mylan, made a $30.0 million equity investment in us, buying 1,58</w:t>
      </w:r>
      <w:r>
        <w:rPr>
          <w:sz w:val="20"/>
          <w:szCs w:val="20"/>
        </w:rPr>
        <w:t xml:space="preserve">5,790 ordinary shares from us in February 2015 in a private placement transaction at a price of approximately $18.918 per share, which represented a 10% </w:t>
      </w:r>
    </w:p>
    <w:p w:rsidR="00000000" w:rsidRDefault="008B747E">
      <w:pPr>
        <w:pStyle w:val="a3"/>
        <w:spacing w:before="360" w:beforeAutospacing="0" w:after="0" w:afterAutospacing="0"/>
        <w:jc w:val="center"/>
        <w:divId w:val="716928961"/>
        <w:rPr>
          <w:sz w:val="20"/>
          <w:szCs w:val="20"/>
        </w:rPr>
      </w:pPr>
      <w:r>
        <w:rPr>
          <w:sz w:val="20"/>
          <w:szCs w:val="20"/>
        </w:rPr>
        <w:t>22</w:t>
      </w:r>
    </w:p>
    <w:p w:rsidR="00000000" w:rsidRDefault="008B747E">
      <w:pPr>
        <w:pStyle w:val="a3"/>
        <w:spacing w:before="0" w:beforeAutospacing="0" w:after="600" w:afterAutospacing="0"/>
        <w:divId w:val="1137337178"/>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236984940"/>
        <w:rPr>
          <w:sz w:val="20"/>
          <w:szCs w:val="20"/>
        </w:rPr>
      </w:pPr>
      <w:r>
        <w:rPr>
          <w:sz w:val="20"/>
          <w:szCs w:val="20"/>
        </w:rPr>
        <w:t>premium over the volume weighted-average price per shar</w:t>
      </w:r>
      <w:r>
        <w:rPr>
          <w:sz w:val="20"/>
          <w:szCs w:val="20"/>
        </w:rPr>
        <w:t xml:space="preserve">e of our ordinary shares for the five trading days ending on January 30, 2015. In February 2016, we earned a $15.0 million development milestone payment for achieving 50% enrollment in the Phase 3 twelve-month safety study. </w:t>
      </w:r>
    </w:p>
    <w:p w:rsidR="00000000" w:rsidRDefault="008B747E">
      <w:pPr>
        <w:pStyle w:val="a3"/>
        <w:spacing w:before="0" w:beforeAutospacing="0" w:after="0" w:afterAutospacing="0"/>
        <w:ind w:firstLine="720"/>
        <w:divId w:val="236984940"/>
        <w:rPr>
          <w:sz w:val="20"/>
          <w:szCs w:val="20"/>
        </w:rPr>
      </w:pPr>
      <w:r>
        <w:rPr>
          <w:sz w:val="20"/>
          <w:szCs w:val="20"/>
        </w:rPr>
        <w:t>​</w:t>
      </w:r>
    </w:p>
    <w:p w:rsidR="00000000" w:rsidRDefault="008B747E">
      <w:pPr>
        <w:pStyle w:val="a3"/>
        <w:spacing w:before="0" w:beforeAutospacing="0" w:after="0" w:afterAutospacing="0"/>
        <w:divId w:val="236984940"/>
        <w:rPr>
          <w:sz w:val="20"/>
          <w:szCs w:val="20"/>
        </w:rPr>
      </w:pPr>
      <w:r>
        <w:rPr>
          <w:sz w:val="20"/>
          <w:szCs w:val="20"/>
          <w:shd w:val="clear" w:color="auto" w:fill="FFFFFF"/>
        </w:rPr>
        <w:t>In June 2019, we announced th</w:t>
      </w:r>
      <w:r>
        <w:rPr>
          <w:sz w:val="20"/>
          <w:szCs w:val="20"/>
          <w:shd w:val="clear" w:color="auto" w:fill="FFFFFF"/>
        </w:rPr>
        <w:t>e expansion of the Mylan Agreement to grant Mylan exclusive development and commercialization rights to nebulized revefenacin in China and adjacent territories, which include Hong Kong SAR, the Macau SAR, and Taiwan. In exchange, we received an upfront pay</w:t>
      </w:r>
      <w:r>
        <w:rPr>
          <w:sz w:val="20"/>
          <w:szCs w:val="20"/>
          <w:shd w:val="clear" w:color="auto" w:fill="FFFFFF"/>
        </w:rPr>
        <w:t>ment of $18.5 million (before a required tax withholding) and will be eligible to receive additional potential development and sales milestones totaling $54.0 million together with low double-digit tiered royalties on net sales of nebulized revefenacin, if</w:t>
      </w:r>
      <w:r>
        <w:rPr>
          <w:sz w:val="20"/>
          <w:szCs w:val="20"/>
          <w:shd w:val="clear" w:color="auto" w:fill="FFFFFF"/>
        </w:rPr>
        <w:t xml:space="preserve"> approved. Mylan will be responsible for all aspects of development and commercialization in the partnered regions, including pre- and post-launch activities and product registration and all associated costs.</w:t>
      </w:r>
    </w:p>
    <w:p w:rsidR="00000000" w:rsidRDefault="008B747E">
      <w:pPr>
        <w:pStyle w:val="a3"/>
        <w:spacing w:before="0" w:beforeAutospacing="0" w:after="0" w:afterAutospacing="0"/>
        <w:divId w:val="236984940"/>
        <w:rPr>
          <w:sz w:val="20"/>
          <w:szCs w:val="20"/>
        </w:rPr>
      </w:pPr>
      <w:r>
        <w:rPr>
          <w:sz w:val="20"/>
          <w:szCs w:val="20"/>
        </w:rPr>
        <w:t>​</w:t>
      </w:r>
    </w:p>
    <w:p w:rsidR="00000000" w:rsidRDefault="008B747E">
      <w:pPr>
        <w:pStyle w:val="a3"/>
        <w:spacing w:before="0" w:beforeAutospacing="0" w:after="0" w:afterAutospacing="0"/>
        <w:ind w:firstLine="720"/>
        <w:divId w:val="236984940"/>
        <w:rPr>
          <w:sz w:val="20"/>
          <w:szCs w:val="20"/>
        </w:rPr>
      </w:pPr>
      <w:r>
        <w:rPr>
          <w:sz w:val="20"/>
          <w:szCs w:val="20"/>
        </w:rPr>
        <w:t>Under the Mylan Agreement, as of June 30, 201</w:t>
      </w:r>
      <w:r>
        <w:rPr>
          <w:sz w:val="20"/>
          <w:szCs w:val="20"/>
        </w:rPr>
        <w:t>9, we are eligible to receive from Mylan potential global development, regulatory and sales milestone payments totaling up to $259.0 million in the aggregate, with $206.5 million associated with YUPELRI monotherapy, and $52.5 million associated with future</w:t>
      </w:r>
      <w:r>
        <w:rPr>
          <w:sz w:val="20"/>
          <w:szCs w:val="20"/>
        </w:rPr>
        <w:t xml:space="preserve"> potential combination products. Of the $206.5 million associated with monotherapy, $187.5 million relates to sales milestones based on achieving certain levels of net sales and $19.0 million relates to global development and regulatory actions. The $52.5 </w:t>
      </w:r>
      <w:r>
        <w:rPr>
          <w:sz w:val="20"/>
          <w:szCs w:val="20"/>
        </w:rPr>
        <w:t>million associated with future potential combination products relates solely to global development and regulatory actions. We do not expect to earn any significant milestone payments from Mylan for the remainder of 2019.</w:t>
      </w:r>
    </w:p>
    <w:p w:rsidR="00000000" w:rsidRDefault="008B747E">
      <w:pPr>
        <w:pStyle w:val="a3"/>
        <w:spacing w:before="0" w:beforeAutospacing="0" w:after="0" w:afterAutospacing="0"/>
        <w:divId w:val="236984940"/>
        <w:rPr>
          <w:sz w:val="20"/>
          <w:szCs w:val="20"/>
        </w:rPr>
      </w:pPr>
      <w:r>
        <w:rPr>
          <w:color w:val="FF0000"/>
          <w:sz w:val="20"/>
          <w:szCs w:val="20"/>
        </w:rPr>
        <w:t>​</w:t>
      </w:r>
    </w:p>
    <w:p w:rsidR="00000000" w:rsidRDefault="008B747E">
      <w:pPr>
        <w:pStyle w:val="a3"/>
        <w:spacing w:before="0" w:beforeAutospacing="0" w:after="0" w:afterAutospacing="0"/>
        <w:ind w:firstLine="720"/>
        <w:divId w:val="236984940"/>
        <w:rPr>
          <w:sz w:val="20"/>
          <w:szCs w:val="20"/>
        </w:rPr>
      </w:pPr>
      <w:r>
        <w:rPr>
          <w:sz w:val="20"/>
          <w:szCs w:val="20"/>
        </w:rPr>
        <w:t>We retain worldwide rights to rev</w:t>
      </w:r>
      <w:r>
        <w:rPr>
          <w:sz w:val="20"/>
          <w:szCs w:val="20"/>
        </w:rPr>
        <w:t>efenacin delivered through other dosage forms, such as a MDI/DPI, while Mylan has certain rights of first negotiation with respect to our development and commercialization of revefenacin delivered other than via a nebulized inhalation product.</w:t>
      </w:r>
    </w:p>
    <w:p w:rsidR="00000000" w:rsidRDefault="008B747E">
      <w:pPr>
        <w:pStyle w:val="a3"/>
        <w:spacing w:before="0" w:beforeAutospacing="0" w:after="0" w:afterAutospacing="0"/>
        <w:divId w:val="236984940"/>
        <w:rPr>
          <w:sz w:val="20"/>
          <w:szCs w:val="20"/>
        </w:rPr>
      </w:pPr>
      <w:r>
        <w:rPr>
          <w:b/>
          <w:bCs/>
          <w:color w:val="FF0000"/>
          <w:sz w:val="20"/>
          <w:szCs w:val="20"/>
        </w:rPr>
        <w:t>​</w:t>
      </w:r>
    </w:p>
    <w:p w:rsidR="00000000" w:rsidRDefault="008B747E">
      <w:pPr>
        <w:pStyle w:val="a3"/>
        <w:spacing w:before="0" w:beforeAutospacing="0" w:after="0" w:afterAutospacing="0"/>
        <w:divId w:val="236984940"/>
        <w:rPr>
          <w:sz w:val="20"/>
          <w:szCs w:val="20"/>
        </w:rPr>
      </w:pPr>
      <w:r>
        <w:rPr>
          <w:b/>
          <w:bCs/>
          <w:i/>
          <w:iCs/>
          <w:sz w:val="20"/>
          <w:szCs w:val="20"/>
        </w:rPr>
        <w:t>TD-8236</w:t>
      </w:r>
    </w:p>
    <w:p w:rsidR="00000000" w:rsidRDefault="008B747E">
      <w:pPr>
        <w:pStyle w:val="a3"/>
        <w:spacing w:before="0" w:beforeAutospacing="0" w:after="0" w:afterAutospacing="0"/>
        <w:divId w:val="236984940"/>
        <w:rPr>
          <w:sz w:val="20"/>
          <w:szCs w:val="20"/>
        </w:rPr>
      </w:pPr>
      <w:r>
        <w:rPr>
          <w:b/>
          <w:bCs/>
          <w:i/>
          <w:iCs/>
          <w:sz w:val="10"/>
          <w:szCs w:val="10"/>
        </w:rPr>
        <w:t>​</w:t>
      </w:r>
    </w:p>
    <w:p w:rsidR="00000000" w:rsidRDefault="008B747E">
      <w:pPr>
        <w:pStyle w:val="a3"/>
        <w:spacing w:before="0" w:beforeAutospacing="0" w:after="0" w:afterAutospacing="0"/>
        <w:ind w:firstLine="720"/>
        <w:divId w:val="236984940"/>
        <w:rPr>
          <w:sz w:val="20"/>
          <w:szCs w:val="20"/>
        </w:rPr>
      </w:pPr>
      <w:r>
        <w:rPr>
          <w:sz w:val="20"/>
          <w:szCs w:val="20"/>
        </w:rPr>
        <w:t xml:space="preserve">TD-8236 is an investigational, lung-selective inhaled JAK inhibitor that has demonstrated a high affinity and selectivity for each of the JAK family enzymes (JAK1, JAK2, JAK3 and TYK2). Through the inhibition of these kinases, TD-8236 interferes with the </w:t>
      </w:r>
      <w:r>
        <w:rPr>
          <w:sz w:val="20"/>
          <w:szCs w:val="20"/>
        </w:rPr>
        <w:t>JAK/STAT signaling pathway and, in turn, modulates the activity of a wide range of pro-inflammatory cytokines. TD-8236 is specifically designed to be an inhaled treatment delivered exclusively to the lungs with a dry-powder inhaler with minimal systemic ex</w:t>
      </w:r>
      <w:r>
        <w:rPr>
          <w:sz w:val="20"/>
          <w:szCs w:val="20"/>
        </w:rPr>
        <w:t>posure. With multiple JAK-dependent pathways clinically validated in asthma and COPD, we believe it offers potentially broad activity across a range of serious respiratory diseases. In severe asthma, patient heterogeneity includes both Th2-high (eosinophil</w:t>
      </w:r>
      <w:r>
        <w:rPr>
          <w:sz w:val="20"/>
          <w:szCs w:val="20"/>
        </w:rPr>
        <w:t>ic) and Th2-low (neutrophilic, paucigranulocytic, and mixed granulocytic) phenotypes, but current approved novel biologics address only Th2-high asthma. We recognize a treatment need for the prevention of exacerbations and improvement of symptoms in patien</w:t>
      </w:r>
      <w:r>
        <w:rPr>
          <w:sz w:val="20"/>
          <w:szCs w:val="20"/>
        </w:rPr>
        <w:t xml:space="preserve">ts uncontrolled by steroids despite compliance, and regardless of Th2 phenotype. In pre-clinical assessments, TD-8236 has shown to potently inhibit targeted mediators of Th2-high and Th2-low asthma in human cells. </w:t>
      </w:r>
    </w:p>
    <w:p w:rsidR="00000000" w:rsidRDefault="008B747E">
      <w:pPr>
        <w:pStyle w:val="a3"/>
        <w:spacing w:before="0" w:beforeAutospacing="0" w:after="0" w:afterAutospacing="0"/>
        <w:divId w:val="236984940"/>
        <w:rPr>
          <w:sz w:val="20"/>
          <w:szCs w:val="20"/>
        </w:rPr>
      </w:pPr>
      <w:r>
        <w:rPr>
          <w:sz w:val="20"/>
          <w:szCs w:val="20"/>
        </w:rPr>
        <w:t>​</w:t>
      </w:r>
    </w:p>
    <w:p w:rsidR="00000000" w:rsidRDefault="008B747E">
      <w:pPr>
        <w:pStyle w:val="a3"/>
        <w:spacing w:before="0" w:beforeAutospacing="0" w:after="0" w:afterAutospacing="0"/>
        <w:ind w:firstLine="720"/>
        <w:divId w:val="236984940"/>
        <w:rPr>
          <w:sz w:val="20"/>
          <w:szCs w:val="20"/>
        </w:rPr>
      </w:pPr>
      <w:r>
        <w:rPr>
          <w:sz w:val="20"/>
          <w:szCs w:val="20"/>
        </w:rPr>
        <w:t>In November 2018, we announced the firs</w:t>
      </w:r>
      <w:r>
        <w:rPr>
          <w:sz w:val="20"/>
          <w:szCs w:val="20"/>
        </w:rPr>
        <w:t>t subject dosed in a Phase 1 study of TD-8236, designed to evaluate safety and provide biomarker data in both healthy volunteers and asthmatic patients. Data from the study are expected in September 2019.</w:t>
      </w:r>
    </w:p>
    <w:p w:rsidR="00000000" w:rsidRDefault="008B747E">
      <w:pPr>
        <w:pStyle w:val="a3"/>
        <w:spacing w:before="0" w:beforeAutospacing="0" w:after="0" w:afterAutospacing="0"/>
        <w:divId w:val="236984940"/>
        <w:rPr>
          <w:sz w:val="20"/>
          <w:szCs w:val="20"/>
        </w:rPr>
      </w:pPr>
      <w:r>
        <w:rPr>
          <w:sz w:val="20"/>
          <w:szCs w:val="20"/>
        </w:rPr>
        <w:t>​</w:t>
      </w:r>
    </w:p>
    <w:p w:rsidR="00000000" w:rsidRDefault="008B747E">
      <w:pPr>
        <w:pStyle w:val="a3"/>
        <w:spacing w:before="0" w:beforeAutospacing="0" w:after="0" w:afterAutospacing="0"/>
        <w:divId w:val="236984940"/>
        <w:rPr>
          <w:sz w:val="20"/>
          <w:szCs w:val="20"/>
        </w:rPr>
      </w:pPr>
      <w:r>
        <w:rPr>
          <w:b/>
          <w:bCs/>
          <w:i/>
          <w:iCs/>
          <w:sz w:val="20"/>
          <w:szCs w:val="20"/>
        </w:rPr>
        <w:t>Velusetrag (TD-5108)</w:t>
      </w:r>
    </w:p>
    <w:p w:rsidR="00000000" w:rsidRDefault="008B747E">
      <w:pPr>
        <w:pStyle w:val="a3"/>
        <w:spacing w:before="0" w:beforeAutospacing="0" w:after="0" w:afterAutospacing="0"/>
        <w:ind w:firstLine="720"/>
        <w:divId w:val="236984940"/>
        <w:rPr>
          <w:sz w:val="20"/>
          <w:szCs w:val="20"/>
        </w:rPr>
      </w:pPr>
      <w:r>
        <w:rPr>
          <w:sz w:val="10"/>
          <w:szCs w:val="10"/>
        </w:rPr>
        <w:t>​</w:t>
      </w:r>
    </w:p>
    <w:p w:rsidR="00000000" w:rsidRDefault="008B747E">
      <w:pPr>
        <w:pStyle w:val="a3"/>
        <w:spacing w:before="0" w:beforeAutospacing="0" w:after="0" w:afterAutospacing="0"/>
        <w:ind w:firstLine="720"/>
        <w:divId w:val="236984940"/>
        <w:rPr>
          <w:sz w:val="20"/>
          <w:szCs w:val="20"/>
        </w:rPr>
      </w:pPr>
      <w:r>
        <w:rPr>
          <w:sz w:val="20"/>
          <w:szCs w:val="20"/>
        </w:rPr>
        <w:t xml:space="preserve">Velusetrag is an oral, investigational medicine developed for gastrointestinal motility disorders. It is a highly selective agonist with high intrinsic activity at the human 5-HT4 receptor. </w:t>
      </w:r>
    </w:p>
    <w:p w:rsidR="00000000" w:rsidRDefault="008B747E">
      <w:pPr>
        <w:pStyle w:val="a3"/>
        <w:spacing w:before="0" w:beforeAutospacing="0" w:after="0" w:afterAutospacing="0"/>
        <w:divId w:val="236984940"/>
        <w:rPr>
          <w:sz w:val="20"/>
          <w:szCs w:val="20"/>
        </w:rPr>
      </w:pPr>
      <w:r>
        <w:rPr>
          <w:sz w:val="20"/>
          <w:szCs w:val="20"/>
        </w:rPr>
        <w:t>​</w:t>
      </w:r>
    </w:p>
    <w:p w:rsidR="00000000" w:rsidRDefault="008B747E">
      <w:pPr>
        <w:pStyle w:val="a3"/>
        <w:spacing w:before="0" w:beforeAutospacing="0" w:after="0" w:afterAutospacing="0"/>
        <w:divId w:val="236984940"/>
        <w:rPr>
          <w:sz w:val="20"/>
          <w:szCs w:val="20"/>
        </w:rPr>
      </w:pPr>
      <w:r>
        <w:rPr>
          <w:i/>
          <w:iCs/>
          <w:sz w:val="20"/>
          <w:szCs w:val="20"/>
        </w:rPr>
        <w:t>Alfasigma S.p.A. Collaboration</w:t>
      </w:r>
    </w:p>
    <w:p w:rsidR="00000000" w:rsidRDefault="008B747E">
      <w:pPr>
        <w:pStyle w:val="a3"/>
        <w:spacing w:before="0" w:beforeAutospacing="0" w:after="0" w:afterAutospacing="0"/>
        <w:divId w:val="236984940"/>
        <w:rPr>
          <w:sz w:val="20"/>
          <w:szCs w:val="20"/>
        </w:rPr>
      </w:pPr>
      <w:r>
        <w:rPr>
          <w:i/>
          <w:iCs/>
          <w:sz w:val="10"/>
          <w:szCs w:val="10"/>
        </w:rPr>
        <w:t>​</w:t>
      </w:r>
    </w:p>
    <w:p w:rsidR="00000000" w:rsidRDefault="008B747E">
      <w:pPr>
        <w:pStyle w:val="a3"/>
        <w:spacing w:before="0" w:beforeAutospacing="0" w:after="0" w:afterAutospacing="0"/>
        <w:ind w:firstLine="720"/>
        <w:divId w:val="236984940"/>
        <w:rPr>
          <w:sz w:val="20"/>
          <w:szCs w:val="20"/>
        </w:rPr>
      </w:pPr>
      <w:r>
        <w:rPr>
          <w:sz w:val="20"/>
          <w:szCs w:val="20"/>
        </w:rPr>
        <w:t>In 2012, we partnered with Alf</w:t>
      </w:r>
      <w:r>
        <w:rPr>
          <w:sz w:val="20"/>
          <w:szCs w:val="20"/>
        </w:rPr>
        <w:t>asigma S.p.A. (“Alfasigma”) (formerly Alfa Wassermann S.p.A.) in the development of velusetrag and its commercialization in certain countries. In April 2018, Alfasigma exercised its option to develop and commercialize velusetrag and we elected not to pursu</w:t>
      </w:r>
      <w:r>
        <w:rPr>
          <w:sz w:val="20"/>
          <w:szCs w:val="20"/>
        </w:rPr>
        <w:t>e further development due to our planned pipeline investments and in light of an FDA requirement that a chronically administered gastroparesis product in this class complete a large Phase 3 safety study. Global rights to develop, manufacture and commercial</w:t>
      </w:r>
      <w:r>
        <w:rPr>
          <w:sz w:val="20"/>
          <w:szCs w:val="20"/>
        </w:rPr>
        <w:t xml:space="preserve">ize velusetrag transferred to Alfasigma under the terms of the collaboration agreement. Also under the terms of the collaboration with Alfasigma, we are entitled to receive future </w:t>
      </w:r>
    </w:p>
    <w:p w:rsidR="00000000" w:rsidRDefault="008B747E">
      <w:pPr>
        <w:pStyle w:val="a3"/>
        <w:spacing w:before="360" w:beforeAutospacing="0" w:after="0" w:afterAutospacing="0"/>
        <w:jc w:val="center"/>
        <w:divId w:val="903832013"/>
        <w:rPr>
          <w:sz w:val="20"/>
          <w:szCs w:val="20"/>
        </w:rPr>
      </w:pPr>
      <w:r>
        <w:rPr>
          <w:sz w:val="20"/>
          <w:szCs w:val="20"/>
        </w:rPr>
        <w:t>23</w:t>
      </w:r>
    </w:p>
    <w:p w:rsidR="00000000" w:rsidRDefault="008B747E">
      <w:pPr>
        <w:pStyle w:val="a3"/>
        <w:spacing w:before="0" w:beforeAutospacing="0" w:after="600" w:afterAutospacing="0"/>
        <w:divId w:val="566838756"/>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1463697572"/>
        <w:rPr>
          <w:sz w:val="20"/>
          <w:szCs w:val="20"/>
        </w:rPr>
      </w:pPr>
      <w:r>
        <w:rPr>
          <w:sz w:val="20"/>
          <w:szCs w:val="20"/>
        </w:rPr>
        <w:t>potential development, regul</w:t>
      </w:r>
      <w:r>
        <w:rPr>
          <w:sz w:val="20"/>
          <w:szCs w:val="20"/>
        </w:rPr>
        <w:t>atory and commercial milestone payments of up to $26.8 million, and tiered royalties on global net sales ranging from high single digits to the mid-teens.</w:t>
      </w:r>
    </w:p>
    <w:p w:rsidR="00000000" w:rsidRDefault="008B747E">
      <w:pPr>
        <w:pStyle w:val="a3"/>
        <w:spacing w:before="0" w:beforeAutospacing="0" w:after="0" w:afterAutospacing="0"/>
        <w:divId w:val="1463697572"/>
        <w:rPr>
          <w:sz w:val="20"/>
          <w:szCs w:val="20"/>
        </w:rPr>
      </w:pPr>
      <w:r>
        <w:rPr>
          <w:sz w:val="20"/>
          <w:szCs w:val="20"/>
        </w:rPr>
        <w:t>​</w:t>
      </w:r>
    </w:p>
    <w:p w:rsidR="00000000" w:rsidRDefault="008B747E">
      <w:pPr>
        <w:pStyle w:val="a3"/>
        <w:spacing w:before="0" w:beforeAutospacing="0" w:after="0" w:afterAutospacing="0"/>
        <w:divId w:val="1463697572"/>
        <w:rPr>
          <w:sz w:val="20"/>
          <w:szCs w:val="20"/>
        </w:rPr>
      </w:pPr>
      <w:r>
        <w:rPr>
          <w:b/>
          <w:bCs/>
          <w:i/>
          <w:iCs/>
          <w:sz w:val="20"/>
          <w:szCs w:val="20"/>
        </w:rPr>
        <w:t>VIBATIV</w:t>
      </w:r>
      <w:r>
        <w:rPr>
          <w:b/>
          <w:bCs/>
          <w:i/>
          <w:iCs/>
          <w:sz w:val="15"/>
          <w:szCs w:val="15"/>
          <w:vertAlign w:val="superscript"/>
        </w:rPr>
        <w:t>®</w:t>
      </w:r>
      <w:r>
        <w:rPr>
          <w:b/>
          <w:bCs/>
          <w:i/>
          <w:iCs/>
          <w:sz w:val="20"/>
          <w:szCs w:val="20"/>
        </w:rPr>
        <w:t xml:space="preserve"> (telavancin)</w:t>
      </w:r>
    </w:p>
    <w:p w:rsidR="00000000" w:rsidRDefault="008B747E">
      <w:pPr>
        <w:pStyle w:val="a3"/>
        <w:spacing w:before="0" w:beforeAutospacing="0" w:after="0" w:afterAutospacing="0"/>
        <w:ind w:firstLine="720"/>
        <w:divId w:val="1463697572"/>
        <w:rPr>
          <w:sz w:val="20"/>
          <w:szCs w:val="20"/>
        </w:rPr>
      </w:pPr>
      <w:r>
        <w:rPr>
          <w:sz w:val="10"/>
          <w:szCs w:val="10"/>
        </w:rPr>
        <w:t>​</w:t>
      </w:r>
    </w:p>
    <w:p w:rsidR="00000000" w:rsidRDefault="008B747E">
      <w:pPr>
        <w:pStyle w:val="a3"/>
        <w:spacing w:before="0" w:beforeAutospacing="0" w:after="0" w:afterAutospacing="0"/>
        <w:ind w:firstLine="720"/>
        <w:divId w:val="1463697572"/>
        <w:rPr>
          <w:sz w:val="20"/>
          <w:szCs w:val="20"/>
        </w:rPr>
      </w:pPr>
      <w:r>
        <w:rPr>
          <w:sz w:val="20"/>
          <w:szCs w:val="20"/>
        </w:rPr>
        <w:t>VIBATIV is a bactericidal, once-daily injectable antibiotic to treat patien</w:t>
      </w:r>
      <w:r>
        <w:rPr>
          <w:sz w:val="20"/>
          <w:szCs w:val="20"/>
        </w:rPr>
        <w:t xml:space="preserve">ts with serious, life-threatening infections due to </w:t>
      </w:r>
      <w:r>
        <w:rPr>
          <w:i/>
          <w:iCs/>
          <w:sz w:val="20"/>
          <w:szCs w:val="20"/>
        </w:rPr>
        <w:t>Staphylococcus aureus</w:t>
      </w:r>
      <w:r>
        <w:rPr>
          <w:sz w:val="20"/>
          <w:szCs w:val="20"/>
        </w:rPr>
        <w:t xml:space="preserve"> and other Gram-positive bacteria, including methicillin-resistant (“MRSA”) strains, discovered and developed by Theravance Biopharma. VIBATIV is approved in the US for the treatment </w:t>
      </w:r>
      <w:r>
        <w:rPr>
          <w:sz w:val="20"/>
          <w:szCs w:val="20"/>
        </w:rPr>
        <w:t>of adult patients with complicated skin and skin structure infections (“cSSSI”) caused by susceptible Gram-positive bacteria and for the treatment of adult patients with hospital-acquired and ventilator-associated bacterial pneumonia (“HABP”/“VABP”) caused</w:t>
      </w:r>
      <w:r>
        <w:rPr>
          <w:sz w:val="20"/>
          <w:szCs w:val="20"/>
        </w:rPr>
        <w:t xml:space="preserve"> by susceptible isolates of </w:t>
      </w:r>
      <w:r>
        <w:rPr>
          <w:i/>
          <w:iCs/>
          <w:sz w:val="20"/>
          <w:szCs w:val="20"/>
        </w:rPr>
        <w:t>Staphylococcus aureus</w:t>
      </w:r>
      <w:r>
        <w:rPr>
          <w:sz w:val="20"/>
          <w:szCs w:val="20"/>
        </w:rPr>
        <w:t xml:space="preserve"> when alternative treatments are not suitable. In addition, in 2016, the FDA authorized new clinical data into the VIBATIV label concerning concurrent bacteremia in cases of HABP/VABP and cSSSI. VIBATIV is a</w:t>
      </w:r>
      <w:r>
        <w:rPr>
          <w:sz w:val="20"/>
          <w:szCs w:val="20"/>
        </w:rPr>
        <w:t>lso indicated in Canada and Russia for cSSSI and HABP and VABP caused by Gram-positive bacteria, including MRSA.</w:t>
      </w:r>
      <w:r>
        <w:rPr>
          <w:i/>
          <w:iCs/>
          <w:sz w:val="20"/>
          <w:szCs w:val="20"/>
        </w:rPr>
        <w:t xml:space="preserve"> </w:t>
      </w:r>
    </w:p>
    <w:p w:rsidR="00000000" w:rsidRDefault="008B747E">
      <w:pPr>
        <w:pStyle w:val="a3"/>
        <w:spacing w:before="0" w:beforeAutospacing="0" w:after="0" w:afterAutospacing="0"/>
        <w:divId w:val="1463697572"/>
        <w:rPr>
          <w:sz w:val="20"/>
          <w:szCs w:val="20"/>
        </w:rPr>
      </w:pPr>
      <w:r>
        <w:rPr>
          <w:sz w:val="20"/>
          <w:szCs w:val="20"/>
        </w:rPr>
        <w:t>​</w:t>
      </w:r>
    </w:p>
    <w:p w:rsidR="00000000" w:rsidRDefault="008B747E">
      <w:pPr>
        <w:pStyle w:val="a3"/>
        <w:spacing w:before="0" w:beforeAutospacing="0" w:after="0" w:afterAutospacing="0"/>
        <w:ind w:firstLine="720"/>
        <w:divId w:val="1463697572"/>
        <w:rPr>
          <w:sz w:val="20"/>
          <w:szCs w:val="20"/>
        </w:rPr>
      </w:pPr>
      <w:r>
        <w:rPr>
          <w:sz w:val="20"/>
          <w:szCs w:val="20"/>
        </w:rPr>
        <w:t>In November 2018, we sold VIBATIV to Cumberland Pharmaceuticals Inc. (“Cumberland”) pursuant to an Asset Purchase Agreement (the “Agreement”</w:t>
      </w:r>
      <w:r>
        <w:rPr>
          <w:sz w:val="20"/>
          <w:szCs w:val="20"/>
        </w:rPr>
        <w:t>). Under the Agreement, Cumberland paid us $20.0 million at the closing of the transaction and $5.0 million in April 2019. In addition, Cumberland will pay us tiered royalties of up to 20% of US net sales of VIBATIV until such time as royalties cumulativel</w:t>
      </w:r>
      <w:r>
        <w:rPr>
          <w:sz w:val="20"/>
          <w:szCs w:val="20"/>
        </w:rPr>
        <w:t>y total $100.0 million.</w:t>
      </w:r>
    </w:p>
    <w:p w:rsidR="00000000" w:rsidRDefault="008B747E">
      <w:pPr>
        <w:pStyle w:val="a3"/>
        <w:spacing w:before="0" w:beforeAutospacing="0" w:after="0" w:afterAutospacing="0"/>
        <w:divId w:val="1463697572"/>
        <w:rPr>
          <w:sz w:val="20"/>
          <w:szCs w:val="20"/>
        </w:rPr>
      </w:pPr>
      <w:r>
        <w:rPr>
          <w:sz w:val="20"/>
          <w:szCs w:val="20"/>
        </w:rPr>
        <w:t>​</w:t>
      </w:r>
    </w:p>
    <w:p w:rsidR="00000000" w:rsidRDefault="008B747E">
      <w:pPr>
        <w:pStyle w:val="a3"/>
        <w:spacing w:before="0" w:beforeAutospacing="0" w:after="0" w:afterAutospacing="0"/>
        <w:divId w:val="1463697572"/>
        <w:rPr>
          <w:sz w:val="20"/>
          <w:szCs w:val="20"/>
        </w:rPr>
      </w:pPr>
      <w:r>
        <w:rPr>
          <w:b/>
          <w:bCs/>
          <w:i/>
          <w:iCs/>
          <w:sz w:val="20"/>
          <w:szCs w:val="20"/>
        </w:rPr>
        <w:t>Selective 5-HT4 Agonist (TD-8954)</w:t>
      </w:r>
    </w:p>
    <w:p w:rsidR="00000000" w:rsidRDefault="008B747E">
      <w:pPr>
        <w:pStyle w:val="a3"/>
        <w:spacing w:before="0" w:beforeAutospacing="0" w:after="0" w:afterAutospacing="0"/>
        <w:divId w:val="1463697572"/>
        <w:rPr>
          <w:sz w:val="20"/>
          <w:szCs w:val="20"/>
        </w:rPr>
      </w:pPr>
      <w:r>
        <w:rPr>
          <w:sz w:val="10"/>
          <w:szCs w:val="10"/>
        </w:rPr>
        <w:t>​</w:t>
      </w:r>
    </w:p>
    <w:p w:rsidR="00000000" w:rsidRDefault="008B747E">
      <w:pPr>
        <w:pStyle w:val="a3"/>
        <w:spacing w:before="0" w:beforeAutospacing="0" w:after="0" w:afterAutospacing="0"/>
        <w:ind w:firstLine="720"/>
        <w:divId w:val="1463697572"/>
        <w:rPr>
          <w:sz w:val="20"/>
          <w:szCs w:val="20"/>
        </w:rPr>
      </w:pPr>
      <w:r>
        <w:rPr>
          <w:sz w:val="20"/>
          <w:szCs w:val="20"/>
        </w:rPr>
        <w:t xml:space="preserve">TD-8954 is a selective 5-HT4 receptor agonist being developed for potential use in the treatment of gastrointestinal motility disorders. </w:t>
      </w:r>
    </w:p>
    <w:p w:rsidR="00000000" w:rsidRDefault="008B747E">
      <w:pPr>
        <w:pStyle w:val="a3"/>
        <w:spacing w:before="0" w:beforeAutospacing="0" w:after="0" w:afterAutospacing="0"/>
        <w:divId w:val="1463697572"/>
        <w:rPr>
          <w:sz w:val="20"/>
          <w:szCs w:val="20"/>
        </w:rPr>
      </w:pPr>
      <w:r>
        <w:rPr>
          <w:sz w:val="20"/>
          <w:szCs w:val="20"/>
        </w:rPr>
        <w:t>​</w:t>
      </w:r>
    </w:p>
    <w:p w:rsidR="00000000" w:rsidRDefault="008B747E">
      <w:pPr>
        <w:pStyle w:val="a3"/>
        <w:spacing w:before="0" w:beforeAutospacing="0" w:after="0" w:afterAutospacing="0"/>
        <w:divId w:val="1463697572"/>
        <w:rPr>
          <w:sz w:val="20"/>
          <w:szCs w:val="20"/>
        </w:rPr>
      </w:pPr>
      <w:r>
        <w:rPr>
          <w:i/>
          <w:iCs/>
          <w:sz w:val="20"/>
          <w:szCs w:val="20"/>
        </w:rPr>
        <w:t>Takeda Collaborative Arrangement</w:t>
      </w:r>
    </w:p>
    <w:p w:rsidR="00000000" w:rsidRDefault="008B747E">
      <w:pPr>
        <w:pStyle w:val="a3"/>
        <w:spacing w:before="0" w:beforeAutospacing="0" w:after="0" w:afterAutospacing="0"/>
        <w:divId w:val="1463697572"/>
        <w:rPr>
          <w:sz w:val="20"/>
          <w:szCs w:val="20"/>
        </w:rPr>
      </w:pPr>
      <w:r>
        <w:rPr>
          <w:sz w:val="10"/>
          <w:szCs w:val="10"/>
        </w:rPr>
        <w:t>​</w:t>
      </w:r>
    </w:p>
    <w:p w:rsidR="00000000" w:rsidRDefault="008B747E">
      <w:pPr>
        <w:pStyle w:val="a3"/>
        <w:spacing w:before="0" w:beforeAutospacing="0" w:after="0" w:afterAutospacing="0"/>
        <w:ind w:firstLine="720"/>
        <w:divId w:val="1463697572"/>
        <w:rPr>
          <w:sz w:val="20"/>
          <w:szCs w:val="20"/>
        </w:rPr>
      </w:pPr>
      <w:r>
        <w:rPr>
          <w:sz w:val="20"/>
          <w:szCs w:val="20"/>
        </w:rPr>
        <w:t>In June 2016, we entered into a License and Collaboration Agreement with Millenni</w:t>
      </w:r>
      <w:r>
        <w:rPr>
          <w:sz w:val="20"/>
          <w:szCs w:val="20"/>
        </w:rPr>
        <w:t>um Pharmaceuticals, Inc., a Delaware corporation (“Millennium”) (the “Takeda Agreement”), in order to establish a collaboration for the development and commercialization of TD-8954 (TAK-954). Millennium is an indirect wholly-owned subsidiary of Takeda Phar</w:t>
      </w:r>
      <w:r>
        <w:rPr>
          <w:sz w:val="20"/>
          <w:szCs w:val="20"/>
        </w:rPr>
        <w:t>maceutical Company Limited (“Takeda”). TD-8954 is currently in a Phase 2 study as a potential treatment for post-operative gastrointestinal dysfunction. Under the terms of the Takeda Agreement, Takeda is responsible for worldwide development and commercial</w:t>
      </w:r>
      <w:r>
        <w:rPr>
          <w:sz w:val="20"/>
          <w:szCs w:val="20"/>
        </w:rPr>
        <w:t>ization of TD-8954. We received an upfront cash payment of $15.0 million and will be eligible to receive success-based development, regulatory and sales milestone payments from Takeda. We will also be eligible to receive a tiered royalty on worldwide net s</w:t>
      </w:r>
      <w:r>
        <w:rPr>
          <w:sz w:val="20"/>
          <w:szCs w:val="20"/>
        </w:rPr>
        <w:t>ales by Takeda at percentage royalty rates ranging from low double-digits to mid-teens.</w:t>
      </w:r>
    </w:p>
    <w:p w:rsidR="00000000" w:rsidRDefault="008B747E">
      <w:pPr>
        <w:pStyle w:val="a3"/>
        <w:spacing w:before="0" w:beforeAutospacing="0" w:after="0" w:afterAutospacing="0"/>
        <w:divId w:val="1463697572"/>
        <w:rPr>
          <w:sz w:val="20"/>
          <w:szCs w:val="20"/>
        </w:rPr>
      </w:pPr>
      <w:r>
        <w:rPr>
          <w:sz w:val="20"/>
          <w:szCs w:val="20"/>
        </w:rPr>
        <w:t>​</w:t>
      </w:r>
    </w:p>
    <w:p w:rsidR="00000000" w:rsidRDefault="008B747E">
      <w:pPr>
        <w:pStyle w:val="a3"/>
        <w:spacing w:before="0" w:beforeAutospacing="0" w:after="120" w:afterAutospacing="0"/>
        <w:divId w:val="1463697572"/>
        <w:rPr>
          <w:sz w:val="20"/>
          <w:szCs w:val="20"/>
        </w:rPr>
      </w:pPr>
      <w:r>
        <w:rPr>
          <w:b/>
          <w:bCs/>
          <w:sz w:val="20"/>
          <w:szCs w:val="20"/>
        </w:rPr>
        <w:t>Research Projects</w:t>
      </w:r>
    </w:p>
    <w:p w:rsidR="00000000" w:rsidRDefault="008B747E">
      <w:pPr>
        <w:pStyle w:val="a3"/>
        <w:spacing w:before="0" w:beforeAutospacing="0" w:after="0" w:afterAutospacing="0"/>
        <w:ind w:firstLine="720"/>
        <w:divId w:val="1463697572"/>
        <w:rPr>
          <w:sz w:val="20"/>
          <w:szCs w:val="20"/>
        </w:rPr>
      </w:pPr>
      <w:r>
        <w:rPr>
          <w:sz w:val="20"/>
          <w:szCs w:val="20"/>
        </w:rPr>
        <w:t>Our research goal is to design organ-selective medicines that target diseased tissues, without systemic exposure, in order to maximize patient benef</w:t>
      </w:r>
      <w:r>
        <w:rPr>
          <w:sz w:val="20"/>
          <w:szCs w:val="20"/>
        </w:rPr>
        <w:t>it and minimize risk. The intention is to expand the therapeutic index of our potential medicines compared to conventional systemic therapies. Our efforts leverage years of experience in developing lung-selective medicines, such as YUPELRI, to treat respir</w:t>
      </w:r>
      <w:r>
        <w:rPr>
          <w:sz w:val="20"/>
          <w:szCs w:val="20"/>
        </w:rPr>
        <w:t>atory diseases, and have led to the discovery of the gut-selective pan-JAK inhibitor TD-1473 in inflammatory intestinal diseases and the lung-selective inhaled JAK inhibitor TD-8236 in serious respiratory disease. We plan to advance towards the clinic othe</w:t>
      </w:r>
      <w:r>
        <w:rPr>
          <w:sz w:val="20"/>
          <w:szCs w:val="20"/>
        </w:rPr>
        <w:t>r research projects with various mechanisms of action, each specifically tailored for the organ of interest, as we identify and validate potentially appropriate compounds. Our research is focused in the areas of inflammation and immunology, and our pipelin</w:t>
      </w:r>
      <w:r>
        <w:rPr>
          <w:sz w:val="20"/>
          <w:szCs w:val="20"/>
        </w:rPr>
        <w:t xml:space="preserve">e of internally discovered programs is targeted to address significant patient needs. </w:t>
      </w:r>
    </w:p>
    <w:p w:rsidR="00000000" w:rsidRDefault="008B747E">
      <w:pPr>
        <w:pStyle w:val="a3"/>
        <w:spacing w:before="0" w:beforeAutospacing="0" w:after="0" w:afterAutospacing="0"/>
        <w:divId w:val="1463697572"/>
        <w:rPr>
          <w:sz w:val="20"/>
          <w:szCs w:val="20"/>
        </w:rPr>
      </w:pPr>
      <w:r>
        <w:rPr>
          <w:sz w:val="20"/>
          <w:szCs w:val="20"/>
        </w:rPr>
        <w:t>​</w:t>
      </w:r>
    </w:p>
    <w:p w:rsidR="00000000" w:rsidRDefault="008B747E">
      <w:pPr>
        <w:pStyle w:val="a3"/>
        <w:spacing w:before="0" w:beforeAutospacing="0" w:after="120" w:afterAutospacing="0"/>
        <w:divId w:val="1463697572"/>
        <w:rPr>
          <w:sz w:val="20"/>
          <w:szCs w:val="20"/>
        </w:rPr>
      </w:pPr>
      <w:r>
        <w:rPr>
          <w:b/>
          <w:bCs/>
          <w:sz w:val="20"/>
          <w:szCs w:val="20"/>
        </w:rPr>
        <w:t>Economic Interest in GSK-Partnered Respiratory Programs</w:t>
      </w:r>
    </w:p>
    <w:p w:rsidR="00000000" w:rsidRDefault="008B747E">
      <w:pPr>
        <w:pStyle w:val="a3"/>
        <w:spacing w:before="0" w:beforeAutospacing="0" w:after="0" w:afterAutospacing="0"/>
        <w:ind w:firstLine="720"/>
        <w:divId w:val="1463697572"/>
        <w:rPr>
          <w:sz w:val="20"/>
          <w:szCs w:val="20"/>
        </w:rPr>
      </w:pPr>
      <w:r>
        <w:rPr>
          <w:sz w:val="20"/>
          <w:szCs w:val="20"/>
        </w:rPr>
        <w:t>We are entitled to receive an 85% economic interest in any future payments that may be made by GSK to Theravanc</w:t>
      </w:r>
      <w:r>
        <w:rPr>
          <w:sz w:val="20"/>
          <w:szCs w:val="20"/>
        </w:rPr>
        <w:t>e Respiratory Company, LLC (“TRC”) pursuant to its agreements with Innoviva (net of TRC expenses paid and the amount of cash, if any, expected to be used in TRC over the next four fiscal quarters) relating to the GSK-Partnered Respiratory Programs, which I</w:t>
      </w:r>
      <w:r>
        <w:rPr>
          <w:sz w:val="20"/>
          <w:szCs w:val="20"/>
        </w:rPr>
        <w:t>nnoviva partnered with GSK and assigned to TRC in connection with Innoviva’s separation of its biopharmaceutical operations into its then wholly-owned subsidiary Theravance Biopharma in June 2014. The GSK-Partnered Respiratory Programs consist primarily of</w:t>
      </w:r>
      <w:r>
        <w:rPr>
          <w:sz w:val="20"/>
          <w:szCs w:val="20"/>
        </w:rPr>
        <w:t xml:space="preserve"> the TRELEGY ELLIPTA program and the inhaled Bifunctional </w:t>
      </w:r>
    </w:p>
    <w:p w:rsidR="00000000" w:rsidRDefault="008B747E">
      <w:pPr>
        <w:pStyle w:val="a3"/>
        <w:spacing w:before="360" w:beforeAutospacing="0" w:after="0" w:afterAutospacing="0"/>
        <w:jc w:val="center"/>
        <w:divId w:val="2073457600"/>
        <w:rPr>
          <w:sz w:val="20"/>
          <w:szCs w:val="20"/>
        </w:rPr>
      </w:pPr>
      <w:r>
        <w:rPr>
          <w:sz w:val="20"/>
          <w:szCs w:val="20"/>
        </w:rPr>
        <w:t>24</w:t>
      </w:r>
    </w:p>
    <w:p w:rsidR="00000000" w:rsidRDefault="008B747E">
      <w:pPr>
        <w:pStyle w:val="a3"/>
        <w:spacing w:before="0" w:beforeAutospacing="0" w:after="600" w:afterAutospacing="0"/>
        <w:divId w:val="132842356"/>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1990283094"/>
        <w:rPr>
          <w:sz w:val="12"/>
          <w:szCs w:val="12"/>
        </w:rPr>
      </w:pPr>
      <w:r>
        <w:rPr>
          <w:sz w:val="20"/>
          <w:szCs w:val="20"/>
        </w:rPr>
        <w:t>Muscarinic Antagonist-Beta2 Agonist (“MABA”) program, each of which are described in more detail below. We are entitled to this economic interest thro</w:t>
      </w:r>
      <w:r>
        <w:rPr>
          <w:sz w:val="20"/>
          <w:szCs w:val="20"/>
        </w:rPr>
        <w:t>ugh our equity ownership in TRC. Our economic interest does not include any payments associated with RELVAR</w:t>
      </w:r>
      <w:r>
        <w:rPr>
          <w:sz w:val="13"/>
          <w:szCs w:val="13"/>
          <w:vertAlign w:val="superscript"/>
        </w:rPr>
        <w:t>®</w:t>
      </w:r>
      <w:r>
        <w:rPr>
          <w:sz w:val="20"/>
          <w:szCs w:val="20"/>
        </w:rPr>
        <w:t xml:space="preserve"> ELLIPTA</w:t>
      </w:r>
      <w:r>
        <w:rPr>
          <w:sz w:val="13"/>
          <w:szCs w:val="13"/>
          <w:vertAlign w:val="superscript"/>
        </w:rPr>
        <w:t>®</w:t>
      </w:r>
      <w:r>
        <w:rPr>
          <w:sz w:val="20"/>
          <w:szCs w:val="20"/>
        </w:rPr>
        <w:t>/BREO</w:t>
      </w:r>
      <w:r>
        <w:rPr>
          <w:sz w:val="13"/>
          <w:szCs w:val="13"/>
          <w:vertAlign w:val="superscript"/>
        </w:rPr>
        <w:t>®</w:t>
      </w:r>
      <w:r>
        <w:rPr>
          <w:sz w:val="20"/>
          <w:szCs w:val="20"/>
        </w:rPr>
        <w:t xml:space="preserve"> ELLIPTA</w:t>
      </w:r>
      <w:r>
        <w:rPr>
          <w:sz w:val="13"/>
          <w:szCs w:val="13"/>
          <w:vertAlign w:val="superscript"/>
        </w:rPr>
        <w:t>®</w:t>
      </w:r>
      <w:r>
        <w:rPr>
          <w:sz w:val="20"/>
          <w:szCs w:val="20"/>
        </w:rPr>
        <w:t>, ANORO</w:t>
      </w:r>
      <w:r>
        <w:rPr>
          <w:sz w:val="13"/>
          <w:szCs w:val="13"/>
          <w:vertAlign w:val="superscript"/>
        </w:rPr>
        <w:t>®</w:t>
      </w:r>
      <w:r>
        <w:rPr>
          <w:sz w:val="20"/>
          <w:szCs w:val="20"/>
        </w:rPr>
        <w:t xml:space="preserve"> ELLIPTA</w:t>
      </w:r>
      <w:r>
        <w:rPr>
          <w:sz w:val="13"/>
          <w:szCs w:val="13"/>
          <w:vertAlign w:val="superscript"/>
        </w:rPr>
        <w:t>®</w:t>
      </w:r>
      <w:r>
        <w:rPr>
          <w:sz w:val="20"/>
          <w:szCs w:val="20"/>
        </w:rPr>
        <w:t xml:space="preserve"> or vilanterol monotherapy. </w:t>
      </w:r>
    </w:p>
    <w:p w:rsidR="00000000" w:rsidRDefault="008B747E">
      <w:pPr>
        <w:pStyle w:val="a3"/>
        <w:spacing w:before="0" w:beforeAutospacing="0" w:after="0" w:afterAutospacing="0"/>
        <w:ind w:firstLine="720"/>
        <w:divId w:val="1990283094"/>
        <w:rPr>
          <w:sz w:val="20"/>
          <w:szCs w:val="20"/>
        </w:rPr>
      </w:pPr>
      <w:r>
        <w:rPr>
          <w:sz w:val="20"/>
          <w:szCs w:val="20"/>
        </w:rPr>
        <w:t>​</w:t>
      </w:r>
    </w:p>
    <w:p w:rsidR="00000000" w:rsidRDefault="008B747E">
      <w:pPr>
        <w:pStyle w:val="a3"/>
        <w:spacing w:before="0" w:beforeAutospacing="0" w:after="0" w:afterAutospacing="0"/>
        <w:ind w:firstLine="720"/>
        <w:divId w:val="1990283094"/>
        <w:rPr>
          <w:sz w:val="20"/>
          <w:szCs w:val="20"/>
        </w:rPr>
      </w:pPr>
      <w:r>
        <w:rPr>
          <w:sz w:val="20"/>
          <w:szCs w:val="20"/>
        </w:rPr>
        <w:t>In May 2019, we announced that we had initiated an arbitration against Innov</w:t>
      </w:r>
      <w:r>
        <w:rPr>
          <w:sz w:val="20"/>
          <w:szCs w:val="20"/>
        </w:rPr>
        <w:t>iva and TRC because Innoviva has caused TRC to not make certain distributions owed to us with respect to our 85% economic interest in TRC since the quarter ended December 31, 2018, and Innoviva’s previous statement to us that it intends to cause TRC to wit</w:t>
      </w:r>
      <w:r>
        <w:rPr>
          <w:sz w:val="20"/>
          <w:szCs w:val="20"/>
        </w:rPr>
        <w:t>hhold making further cash distributions through calendar year 2019. The arbitration hearing commenced on July 23, 2019. Resolution of the arbitration should occur in the third quarter of 2019. See Part II, Item 1 “Legal Proceedings” for further information</w:t>
      </w:r>
      <w:r>
        <w:rPr>
          <w:sz w:val="20"/>
          <w:szCs w:val="20"/>
        </w:rPr>
        <w:t xml:space="preserve"> concerning the withholding of royalty payments due to us under the TRC LLC Agreement</w:t>
      </w:r>
      <w:r>
        <w:rPr>
          <w:sz w:val="20"/>
          <w:szCs w:val="20"/>
        </w:rPr>
        <w:t>.</w:t>
      </w:r>
    </w:p>
    <w:p w:rsidR="00000000" w:rsidRDefault="008B747E">
      <w:pPr>
        <w:pStyle w:val="a3"/>
        <w:spacing w:before="0" w:beforeAutospacing="0" w:after="0" w:afterAutospacing="0"/>
        <w:divId w:val="1990283094"/>
        <w:rPr>
          <w:sz w:val="20"/>
          <w:szCs w:val="20"/>
        </w:rPr>
      </w:pPr>
      <w:r>
        <w:rPr>
          <w:sz w:val="20"/>
          <w:szCs w:val="20"/>
        </w:rPr>
        <w:t>​</w:t>
      </w:r>
    </w:p>
    <w:p w:rsidR="00000000" w:rsidRDefault="008B747E">
      <w:pPr>
        <w:pStyle w:val="a3"/>
        <w:spacing w:before="0" w:beforeAutospacing="0" w:after="0" w:afterAutospacing="0"/>
        <w:ind w:firstLine="720"/>
        <w:divId w:val="1990283094"/>
        <w:rPr>
          <w:sz w:val="20"/>
          <w:szCs w:val="20"/>
        </w:rPr>
      </w:pPr>
      <w:r>
        <w:rPr>
          <w:sz w:val="20"/>
          <w:szCs w:val="20"/>
        </w:rPr>
        <w:t>The following information regarding the TRELEGY ELLIPTA and MABA programs is based solely upon publicly available information and may not reflect the most recent devel</w:t>
      </w:r>
      <w:r>
        <w:rPr>
          <w:sz w:val="20"/>
          <w:szCs w:val="20"/>
        </w:rPr>
        <w:t>opments under the programs.</w:t>
      </w:r>
    </w:p>
    <w:p w:rsidR="00000000" w:rsidRDefault="008B747E">
      <w:pPr>
        <w:pStyle w:val="a3"/>
        <w:spacing w:before="0" w:beforeAutospacing="0" w:after="0" w:afterAutospacing="0"/>
        <w:divId w:val="1990283094"/>
        <w:rPr>
          <w:sz w:val="20"/>
          <w:szCs w:val="20"/>
        </w:rPr>
      </w:pPr>
      <w:r>
        <w:rPr>
          <w:sz w:val="20"/>
          <w:szCs w:val="20"/>
        </w:rPr>
        <w:t>​</w:t>
      </w:r>
    </w:p>
    <w:p w:rsidR="00000000" w:rsidRDefault="008B747E">
      <w:pPr>
        <w:pStyle w:val="a3"/>
        <w:spacing w:before="0" w:beforeAutospacing="0" w:after="120" w:afterAutospacing="0"/>
        <w:divId w:val="1990283094"/>
        <w:rPr>
          <w:sz w:val="20"/>
          <w:szCs w:val="20"/>
        </w:rPr>
      </w:pPr>
      <w:r>
        <w:rPr>
          <w:b/>
          <w:bCs/>
          <w:i/>
          <w:iCs/>
          <w:sz w:val="20"/>
          <w:szCs w:val="20"/>
        </w:rPr>
        <w:t>TRELEGY ELLIPTA (the combination of fluticasone furoate/umeclidinium bromide/vilanterol)</w:t>
      </w:r>
    </w:p>
    <w:p w:rsidR="00000000" w:rsidRDefault="008B747E">
      <w:pPr>
        <w:pStyle w:val="a3"/>
        <w:spacing w:before="0" w:beforeAutospacing="0" w:after="0" w:afterAutospacing="0"/>
        <w:ind w:firstLine="720"/>
        <w:divId w:val="1990283094"/>
        <w:rPr>
          <w:sz w:val="20"/>
          <w:szCs w:val="20"/>
        </w:rPr>
      </w:pPr>
      <w:r>
        <w:rPr>
          <w:sz w:val="20"/>
          <w:szCs w:val="20"/>
        </w:rPr>
        <w:t xml:space="preserve">TRELEGY ELLIPTA is the first treatment to provide the activity of an inhaled corticosteroid (FF) plus two bronchodilators (UMEC, a LAMA, </w:t>
      </w:r>
      <w:r>
        <w:rPr>
          <w:sz w:val="20"/>
          <w:szCs w:val="20"/>
        </w:rPr>
        <w:t>and VI, a long-acting beta2 agonist, or LABA) in a single delivery device administered once-daily. TRELEGY ELLIPTA is approved for use in the US and EU for the long-term, once-daily, maintenance treatment of patients with COPD. We are entitled to receive a</w:t>
      </w:r>
      <w:r>
        <w:rPr>
          <w:sz w:val="20"/>
          <w:szCs w:val="20"/>
        </w:rPr>
        <w:t>n 85% economic interest in the royalties payable by GSK to TRC on worldwide net sales (net of TRC expenses paid and the amount of cash, if any, expected to be used by TRC pursuant to the TRC LLC Agreement over the next four fiscal quarters). Those royaltie</w:t>
      </w:r>
      <w:r>
        <w:rPr>
          <w:sz w:val="20"/>
          <w:szCs w:val="20"/>
        </w:rPr>
        <w:t>s are upward-tiering from 6.5% to 10%, resulting in cash flows to Theravance Biopharma of approximately 5.5% to 8.5% of worldwide net sales of TRELEGY ELLIPTA. Theravance Biopharma is not responsible for any of GSK’s costs related to the development or com</w:t>
      </w:r>
      <w:r>
        <w:rPr>
          <w:sz w:val="20"/>
          <w:szCs w:val="20"/>
        </w:rPr>
        <w:t>mercialization of TRELEGY ELLIPTA.</w:t>
      </w:r>
    </w:p>
    <w:p w:rsidR="00000000" w:rsidRDefault="008B747E">
      <w:pPr>
        <w:pStyle w:val="a3"/>
        <w:spacing w:before="0" w:beforeAutospacing="0" w:after="0" w:afterAutospacing="0"/>
        <w:ind w:firstLine="720"/>
        <w:divId w:val="1990283094"/>
        <w:rPr>
          <w:sz w:val="20"/>
          <w:szCs w:val="20"/>
        </w:rPr>
      </w:pPr>
      <w:r>
        <w:rPr>
          <w:sz w:val="20"/>
          <w:szCs w:val="20"/>
        </w:rPr>
        <w:t>​</w:t>
      </w:r>
    </w:p>
    <w:p w:rsidR="00000000" w:rsidRDefault="008B747E">
      <w:pPr>
        <w:pStyle w:val="a3"/>
        <w:spacing w:before="0" w:beforeAutospacing="0" w:after="0" w:afterAutospacing="0"/>
        <w:ind w:firstLine="720"/>
        <w:divId w:val="1990283094"/>
        <w:rPr>
          <w:sz w:val="20"/>
          <w:szCs w:val="20"/>
        </w:rPr>
      </w:pPr>
      <w:r>
        <w:rPr>
          <w:sz w:val="20"/>
          <w:szCs w:val="20"/>
        </w:rPr>
        <w:t>GSK and Innoviva conducted two global pivotal Phase 3 studies of TRELEGY ELLIPTA in COPD, the IMPACT study and the FULFIL study. In September 2017, GSK and Innoviva announced that the FDA approved TRELEGY ELLIPTA for th</w:t>
      </w:r>
      <w:r>
        <w:rPr>
          <w:sz w:val="20"/>
          <w:szCs w:val="20"/>
        </w:rPr>
        <w:t>e long-term, once-daily, maintenance treatment of appropriate patients with COPD. TRELEGY ELLIPTA is currently approved in 36 markets with additional approvals expected in 2019, including a potential approval in China in the fourth quarter of 2019. In Augu</w:t>
      </w:r>
      <w:r>
        <w:rPr>
          <w:sz w:val="20"/>
          <w:szCs w:val="20"/>
        </w:rPr>
        <w:t>st 2019, GSK announced that it had filed a supplemental new drug application (“NDA”) to FDA supporting revised labelling for TRELEGY ELLIPTA on reduction in risk of all-cause mortality compared with ANORO ELLIPTA in patients with COPD.</w:t>
      </w:r>
      <w:r>
        <w:rPr>
          <w:sz w:val="20"/>
          <w:szCs w:val="20"/>
        </w:rPr>
        <w:t xml:space="preserve"> </w:t>
      </w:r>
    </w:p>
    <w:p w:rsidR="00000000" w:rsidRDefault="008B747E">
      <w:pPr>
        <w:pStyle w:val="a3"/>
        <w:spacing w:before="0" w:beforeAutospacing="0" w:after="0" w:afterAutospacing="0"/>
        <w:ind w:firstLine="720"/>
        <w:divId w:val="1990283094"/>
        <w:rPr>
          <w:sz w:val="20"/>
          <w:szCs w:val="20"/>
        </w:rPr>
      </w:pPr>
      <w:r>
        <w:rPr>
          <w:sz w:val="20"/>
          <w:szCs w:val="20"/>
        </w:rPr>
        <w:t>​</w:t>
      </w:r>
    </w:p>
    <w:p w:rsidR="00000000" w:rsidRDefault="008B747E">
      <w:pPr>
        <w:pStyle w:val="a3"/>
        <w:spacing w:before="0" w:beforeAutospacing="0" w:after="0" w:afterAutospacing="0"/>
        <w:ind w:firstLine="720"/>
        <w:divId w:val="1990283094"/>
        <w:rPr>
          <w:sz w:val="20"/>
          <w:szCs w:val="20"/>
        </w:rPr>
      </w:pPr>
      <w:r>
        <w:rPr>
          <w:sz w:val="20"/>
          <w:szCs w:val="20"/>
        </w:rPr>
        <w:t>Additionally, GSK and Innoviva conducted a Phase 3 (CAPTAIN) study of TRELEGY ELLIPTA in patients with asthma. In May 2019, GSK and Innoviva announced that the study had met its primary endpoint and that GSK plans to submit a sNDA in the second half of 201</w:t>
      </w:r>
      <w:r>
        <w:rPr>
          <w:sz w:val="20"/>
          <w:szCs w:val="20"/>
        </w:rPr>
        <w:t>9.</w:t>
      </w:r>
    </w:p>
    <w:p w:rsidR="00000000" w:rsidRDefault="008B747E">
      <w:pPr>
        <w:pStyle w:val="a3"/>
        <w:spacing w:before="0" w:beforeAutospacing="0" w:after="0" w:afterAutospacing="0"/>
        <w:ind w:firstLine="720"/>
        <w:divId w:val="1990283094"/>
        <w:rPr>
          <w:sz w:val="20"/>
          <w:szCs w:val="20"/>
        </w:rPr>
      </w:pPr>
      <w:r>
        <w:rPr>
          <w:sz w:val="20"/>
          <w:szCs w:val="20"/>
        </w:rPr>
        <w:t>​</w:t>
      </w:r>
    </w:p>
    <w:p w:rsidR="00000000" w:rsidRDefault="008B747E">
      <w:pPr>
        <w:pStyle w:val="a3"/>
        <w:spacing w:before="0" w:beforeAutospacing="0" w:after="120" w:afterAutospacing="0"/>
        <w:divId w:val="1990283094"/>
        <w:rPr>
          <w:sz w:val="20"/>
          <w:szCs w:val="20"/>
        </w:rPr>
      </w:pPr>
      <w:r>
        <w:rPr>
          <w:b/>
          <w:bCs/>
          <w:i/>
          <w:iCs/>
          <w:sz w:val="20"/>
          <w:szCs w:val="20"/>
        </w:rPr>
        <w:t>Theravance Respiratory Company, LLC (“TRC”)</w:t>
      </w:r>
    </w:p>
    <w:p w:rsidR="00000000" w:rsidRDefault="008B747E">
      <w:pPr>
        <w:pStyle w:val="a3"/>
        <w:spacing w:before="0" w:beforeAutospacing="0" w:after="0" w:afterAutospacing="0"/>
        <w:ind w:firstLine="720"/>
        <w:divId w:val="1990283094"/>
        <w:rPr>
          <w:sz w:val="20"/>
          <w:szCs w:val="20"/>
        </w:rPr>
      </w:pPr>
      <w:r>
        <w:rPr>
          <w:sz w:val="20"/>
          <w:szCs w:val="20"/>
        </w:rPr>
        <w:t>Our equity interest in TRC is the mechanism by which we are entitled to the 85% economic interest in any future payments made by GSK under the strategic alliance agreement and under the portion of the collab</w:t>
      </w:r>
      <w:r>
        <w:rPr>
          <w:sz w:val="20"/>
          <w:szCs w:val="20"/>
        </w:rPr>
        <w:t xml:space="preserve">oration agreement assigned to TRC by Innoviva (net of TRC expenses paid and the amount of cash, if any, expected to be used by TRC in TRC over the next four fiscal quarters). The royalty payments from GSK to TRC arising from the net sales of </w:t>
      </w:r>
      <w:r>
        <w:rPr>
          <w:caps/>
          <w:sz w:val="20"/>
          <w:szCs w:val="20"/>
        </w:rPr>
        <w:t>Trelegy Ellipt</w:t>
      </w:r>
      <w:r>
        <w:rPr>
          <w:caps/>
          <w:sz w:val="20"/>
          <w:szCs w:val="20"/>
        </w:rPr>
        <w:t>a</w:t>
      </w:r>
      <w:r>
        <w:rPr>
          <w:sz w:val="20"/>
          <w:szCs w:val="20"/>
        </w:rPr>
        <w:t xml:space="preserve"> are presented on our consolidated statements of operations under “income from investment in TRC, LLC” and is classified as non-operating income. 75% of the “income from investment in TRC, LLC,” as evidenced by the Issuer Class C Units, is available only </w:t>
      </w:r>
      <w:r>
        <w:rPr>
          <w:sz w:val="20"/>
          <w:szCs w:val="20"/>
        </w:rPr>
        <w:t>for payment of the $250.0 million aggregate amount of 9.0% fixed-rate non-recourse term notes due 2033 (the “Non-Recourse 2033 Notes”) and is not available to pay our other obligations or the claims of our other creditors. The drug programs assigned to TRC</w:t>
      </w:r>
      <w:r>
        <w:rPr>
          <w:sz w:val="20"/>
          <w:szCs w:val="20"/>
        </w:rPr>
        <w:t xml:space="preserve"> include all </w:t>
      </w:r>
      <w:r>
        <w:rPr>
          <w:caps/>
          <w:sz w:val="20"/>
          <w:szCs w:val="20"/>
        </w:rPr>
        <w:t>Trelegy Ellipta</w:t>
      </w:r>
      <w:r>
        <w:rPr>
          <w:sz w:val="20"/>
          <w:szCs w:val="20"/>
        </w:rPr>
        <w:t xml:space="preserve"> products and the MABA program, as monotherapy and in combination with other therapeutically active components, such as an inhaled corticosteroid (“ICS”), as well as any other product or combination of products that may be disco</w:t>
      </w:r>
      <w:r>
        <w:rPr>
          <w:sz w:val="20"/>
          <w:szCs w:val="20"/>
        </w:rPr>
        <w:t>vered and developed in the future under these GSK agreements.</w:t>
      </w:r>
    </w:p>
    <w:p w:rsidR="00000000" w:rsidRDefault="008B747E">
      <w:pPr>
        <w:pStyle w:val="a3"/>
        <w:spacing w:before="0" w:beforeAutospacing="0" w:after="0" w:afterAutospacing="0"/>
        <w:ind w:firstLine="720"/>
        <w:divId w:val="1990283094"/>
        <w:rPr>
          <w:sz w:val="20"/>
          <w:szCs w:val="20"/>
        </w:rPr>
      </w:pPr>
      <w:r>
        <w:rPr>
          <w:sz w:val="20"/>
          <w:szCs w:val="20"/>
        </w:rPr>
        <w:t>​</w:t>
      </w:r>
    </w:p>
    <w:p w:rsidR="00000000" w:rsidRDefault="008B747E">
      <w:pPr>
        <w:pStyle w:val="a3"/>
        <w:spacing w:before="0" w:beforeAutospacing="0" w:after="0" w:afterAutospacing="0"/>
        <w:ind w:firstLine="720"/>
        <w:divId w:val="1990283094"/>
        <w:rPr>
          <w:sz w:val="20"/>
          <w:szCs w:val="20"/>
        </w:rPr>
      </w:pPr>
      <w:r>
        <w:rPr>
          <w:sz w:val="20"/>
          <w:szCs w:val="20"/>
        </w:rPr>
        <w:t>Our special purpose subsidiary Triple Royalty Sub LLC (the “Issuer”) issued the Non-Recourse 2033 Notes in November 2018, which are secured by all of the Issuer’s rights, title and interest as</w:t>
      </w:r>
      <w:r>
        <w:rPr>
          <w:sz w:val="20"/>
          <w:szCs w:val="20"/>
        </w:rPr>
        <w:t xml:space="preserve"> a holder of certain membership interests (the “Issuer Class C Units”) in TRC. The Issuer Class C Units entitle the Issuer to receive 63.75% of the economic interest </w:t>
      </w:r>
    </w:p>
    <w:p w:rsidR="00000000" w:rsidRDefault="008B747E">
      <w:pPr>
        <w:pStyle w:val="a3"/>
        <w:spacing w:before="360" w:beforeAutospacing="0" w:after="0" w:afterAutospacing="0"/>
        <w:jc w:val="center"/>
        <w:divId w:val="762650174"/>
        <w:rPr>
          <w:sz w:val="20"/>
          <w:szCs w:val="20"/>
        </w:rPr>
      </w:pPr>
      <w:r>
        <w:rPr>
          <w:sz w:val="20"/>
          <w:szCs w:val="20"/>
        </w:rPr>
        <w:t>25</w:t>
      </w:r>
    </w:p>
    <w:p w:rsidR="00000000" w:rsidRDefault="008B747E">
      <w:pPr>
        <w:pStyle w:val="a3"/>
        <w:spacing w:before="0" w:beforeAutospacing="0" w:after="600" w:afterAutospacing="0"/>
        <w:divId w:val="993532198"/>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1629815119"/>
        <w:rPr>
          <w:sz w:val="20"/>
          <w:szCs w:val="20"/>
        </w:rPr>
      </w:pPr>
      <w:r>
        <w:rPr>
          <w:sz w:val="20"/>
          <w:szCs w:val="20"/>
        </w:rPr>
        <w:t>that TRC receives in any future payments made by GSK under the agreements described above, or 75% of the income from our ownership interest in TRC. The primary source of funds to make payments on the Non-Recourse 2033 Notes will be 75% of the income from o</w:t>
      </w:r>
      <w:r>
        <w:rPr>
          <w:sz w:val="20"/>
          <w:szCs w:val="20"/>
        </w:rPr>
        <w:t>ur ownership interest in TRC, as evidenced by the Issuer Class C Units.</w:t>
      </w:r>
      <w:r>
        <w:rPr>
          <w:sz w:val="20"/>
          <w:szCs w:val="20"/>
        </w:rPr>
        <w:t xml:space="preserve"> </w:t>
      </w:r>
      <w:r>
        <w:rPr>
          <w:sz w:val="20"/>
          <w:szCs w:val="20"/>
        </w:rPr>
        <w:t xml:space="preserve">Since the principal and interest payments on the Non-Recourse 2033 Notes are ultimately based on royalties from TRELEGY ELLIPTA product sales, which will vary from quarter to quarter, </w:t>
      </w:r>
      <w:r>
        <w:rPr>
          <w:sz w:val="20"/>
          <w:szCs w:val="20"/>
        </w:rPr>
        <w:t>the Non-Recourse 2033 Notes may be repaid prior to the final maturity date in 2033.</w:t>
      </w:r>
      <w:r>
        <w:rPr>
          <w:sz w:val="20"/>
          <w:szCs w:val="20"/>
        </w:rPr>
        <w:t xml:space="preserve"> </w:t>
      </w:r>
      <w:r>
        <w:rPr>
          <w:sz w:val="20"/>
          <w:szCs w:val="20"/>
        </w:rPr>
        <w:t xml:space="preserve">In order to comply with Regulation RR – Credit Risk Retention (17 C.F.R. Part 246), 5.0% of the original principal amount (equal to $12.5 million) of the Non-Recourse 2033 </w:t>
      </w:r>
      <w:r>
        <w:rPr>
          <w:sz w:val="20"/>
          <w:szCs w:val="20"/>
        </w:rPr>
        <w:t xml:space="preserve">Notes were retained by Theravance Biopharma R&amp;D, Inc., our wholly-owned subsidiary, and is eliminated in our condensed consolidated financial statements. </w:t>
      </w:r>
    </w:p>
    <w:p w:rsidR="00000000" w:rsidRDefault="008B747E">
      <w:pPr>
        <w:pStyle w:val="a3"/>
        <w:spacing w:before="0" w:beforeAutospacing="0" w:after="0" w:afterAutospacing="0"/>
        <w:ind w:firstLine="720"/>
        <w:divId w:val="1629815119"/>
        <w:rPr>
          <w:sz w:val="20"/>
          <w:szCs w:val="20"/>
        </w:rPr>
      </w:pPr>
      <w:r>
        <w:rPr>
          <w:sz w:val="20"/>
          <w:szCs w:val="20"/>
        </w:rPr>
        <w:t>​</w:t>
      </w:r>
    </w:p>
    <w:p w:rsidR="00000000" w:rsidRDefault="008B747E">
      <w:pPr>
        <w:pStyle w:val="a3"/>
        <w:spacing w:before="0" w:beforeAutospacing="0" w:after="0" w:afterAutospacing="0"/>
        <w:ind w:firstLine="720"/>
        <w:divId w:val="1629815119"/>
        <w:rPr>
          <w:sz w:val="20"/>
          <w:szCs w:val="20"/>
        </w:rPr>
      </w:pPr>
      <w:r>
        <w:rPr>
          <w:sz w:val="20"/>
          <w:szCs w:val="20"/>
        </w:rPr>
        <w:t>Through October 15, 2020, the terms of the Non-Recourse 2033 Notes provide that to the extent there</w:t>
      </w:r>
      <w:r>
        <w:rPr>
          <w:sz w:val="20"/>
          <w:szCs w:val="20"/>
        </w:rPr>
        <w:t xml:space="preserve"> are insufficient funds to satisfy the Issuer’s scheduled quarterly interest obligations, the shortfall shall be added to the principal amount of the Non-Recourse 2033 Notes without a default or event of default occurring. The terms of the Non-Recourse 203</w:t>
      </w:r>
      <w:r>
        <w:rPr>
          <w:sz w:val="20"/>
          <w:szCs w:val="20"/>
        </w:rPr>
        <w:t>3 Notes also provide that, at Theravance Biopharma’s option, the quarterly interest payment obligations can be satisfied by making a capital contribution to the Issuer, but not for more than four (4) consecutive quarterly interest payment dates or for more</w:t>
      </w:r>
      <w:r>
        <w:rPr>
          <w:sz w:val="20"/>
          <w:szCs w:val="20"/>
        </w:rPr>
        <w:t xml:space="preserve"> than six (6) quarterly interest payment dates during the term of the notes. For the April 15, 2019 and July 15, 2019 interest payment dates, Theravance Biopharma R&amp;D, Inc. (parent entity of Issuer) made a capital contribution to satisfy the interest payme</w:t>
      </w:r>
      <w:r>
        <w:rPr>
          <w:sz w:val="20"/>
          <w:szCs w:val="20"/>
        </w:rPr>
        <w:t>nt obligations for these two scheduled payments. If necessary, interest may be paid in-kind or we may exercise our capital contribution option in the near future while we arbitrate the dispute with Innoviva discussed below in Part II, Item 1 “Legal Proceed</w:t>
      </w:r>
      <w:r>
        <w:rPr>
          <w:sz w:val="20"/>
          <w:szCs w:val="20"/>
        </w:rPr>
        <w:t>ings.”</w:t>
      </w:r>
    </w:p>
    <w:p w:rsidR="00000000" w:rsidRDefault="008B747E">
      <w:pPr>
        <w:pStyle w:val="a3"/>
        <w:spacing w:before="0" w:beforeAutospacing="0" w:after="0" w:afterAutospacing="0"/>
        <w:ind w:firstLine="720"/>
        <w:divId w:val="1629815119"/>
        <w:rPr>
          <w:sz w:val="20"/>
          <w:szCs w:val="20"/>
        </w:rPr>
      </w:pPr>
      <w:r>
        <w:rPr>
          <w:sz w:val="20"/>
          <w:szCs w:val="20"/>
        </w:rPr>
        <w:t>​</w:t>
      </w:r>
    </w:p>
    <w:p w:rsidR="00000000" w:rsidRDefault="008B747E">
      <w:pPr>
        <w:pStyle w:val="a3"/>
        <w:spacing w:before="0" w:beforeAutospacing="0" w:after="0" w:afterAutospacing="0"/>
        <w:divId w:val="1629815119"/>
        <w:rPr>
          <w:sz w:val="20"/>
          <w:szCs w:val="20"/>
        </w:rPr>
      </w:pPr>
      <w:r>
        <w:rPr>
          <w:b/>
          <w:bCs/>
          <w:sz w:val="20"/>
          <w:szCs w:val="20"/>
        </w:rPr>
        <w:t>Critical Accounting Policies and Estimates</w:t>
      </w:r>
    </w:p>
    <w:p w:rsidR="00000000" w:rsidRDefault="008B747E">
      <w:pPr>
        <w:pStyle w:val="a3"/>
        <w:spacing w:before="0" w:beforeAutospacing="0" w:after="0" w:afterAutospacing="0"/>
        <w:divId w:val="1629815119"/>
        <w:rPr>
          <w:sz w:val="20"/>
          <w:szCs w:val="20"/>
        </w:rPr>
      </w:pPr>
      <w:r>
        <w:rPr>
          <w:sz w:val="10"/>
          <w:szCs w:val="10"/>
        </w:rPr>
        <w:t>​</w:t>
      </w:r>
    </w:p>
    <w:p w:rsidR="00000000" w:rsidRDefault="008B747E">
      <w:pPr>
        <w:pStyle w:val="a3"/>
        <w:spacing w:before="0" w:beforeAutospacing="0" w:after="0" w:afterAutospacing="0"/>
        <w:ind w:firstLine="720"/>
        <w:divId w:val="1629815119"/>
        <w:rPr>
          <w:sz w:val="20"/>
          <w:szCs w:val="20"/>
        </w:rPr>
      </w:pPr>
      <w:r>
        <w:rPr>
          <w:sz w:val="20"/>
          <w:szCs w:val="20"/>
        </w:rPr>
        <w:t>Our management’s discussion and analysis of our financial condition and results of operations is based on our financial statements, which have been prepared in accordance with US generally accepted acco</w:t>
      </w:r>
      <w:r>
        <w:rPr>
          <w:sz w:val="20"/>
          <w:szCs w:val="20"/>
        </w:rPr>
        <w:t>unting principles (“GAAP”). The preparation of these financial statements requires us to make estimates and assumptions that affect the reported amounts of assets and liabilities and the disclosure of contingent assets and liabilities at the date of the fi</w:t>
      </w:r>
      <w:r>
        <w:rPr>
          <w:sz w:val="20"/>
          <w:szCs w:val="20"/>
        </w:rPr>
        <w:t xml:space="preserve">nancial statements, as well as the reported revenue generated and expenses incurred during the reporting periods. Our estimates are based on our historical experience and on various other factors that we believe are reasonable under the circumstances, the </w:t>
      </w:r>
      <w:r>
        <w:rPr>
          <w:sz w:val="20"/>
          <w:szCs w:val="20"/>
        </w:rPr>
        <w:t>results of which form the basis for making judgments about the carrying value of assets and liabilities that are not readily apparent from other sources. Actual results may differ from these estimates under different assumptions or conditions. There have b</w:t>
      </w:r>
      <w:r>
        <w:rPr>
          <w:sz w:val="20"/>
          <w:szCs w:val="20"/>
        </w:rPr>
        <w:t>een no material changes to the critical accounting policies and estimates discussed in our Annual Report on Form 10-K for the year ended December 31, 2018.</w:t>
      </w:r>
    </w:p>
    <w:p w:rsidR="00000000" w:rsidRDefault="008B747E">
      <w:pPr>
        <w:pStyle w:val="a3"/>
        <w:spacing w:before="0" w:beforeAutospacing="0" w:after="0" w:afterAutospacing="0"/>
        <w:ind w:firstLine="720"/>
        <w:divId w:val="1629815119"/>
        <w:rPr>
          <w:sz w:val="20"/>
          <w:szCs w:val="20"/>
        </w:rPr>
      </w:pPr>
      <w:r>
        <w:rPr>
          <w:sz w:val="20"/>
          <w:szCs w:val="20"/>
        </w:rPr>
        <w:t>​</w:t>
      </w:r>
    </w:p>
    <w:p w:rsidR="00000000" w:rsidRDefault="008B747E">
      <w:pPr>
        <w:pStyle w:val="a3"/>
        <w:spacing w:before="0" w:beforeAutospacing="0" w:after="0" w:afterAutospacing="0"/>
        <w:divId w:val="1629815119"/>
        <w:rPr>
          <w:sz w:val="20"/>
          <w:szCs w:val="20"/>
        </w:rPr>
      </w:pPr>
      <w:r>
        <w:rPr>
          <w:b/>
          <w:bCs/>
          <w:sz w:val="20"/>
          <w:szCs w:val="20"/>
        </w:rPr>
        <w:t>Results of Operations</w:t>
      </w:r>
      <w:r>
        <w:rPr>
          <w:b/>
          <w:bCs/>
          <w:i/>
          <w:iCs/>
          <w:sz w:val="20"/>
          <w:szCs w:val="20"/>
        </w:rPr>
        <w:t xml:space="preserve"> </w:t>
      </w:r>
    </w:p>
    <w:p w:rsidR="00000000" w:rsidRDefault="008B747E">
      <w:pPr>
        <w:pStyle w:val="a3"/>
        <w:spacing w:before="0" w:beforeAutospacing="0" w:after="0" w:afterAutospacing="0"/>
        <w:divId w:val="1629815119"/>
        <w:rPr>
          <w:sz w:val="20"/>
          <w:szCs w:val="20"/>
        </w:rPr>
      </w:pPr>
      <w:r>
        <w:rPr>
          <w:b/>
          <w:bCs/>
          <w:sz w:val="10"/>
          <w:szCs w:val="10"/>
        </w:rPr>
        <w:t>​</w:t>
      </w:r>
    </w:p>
    <w:p w:rsidR="00000000" w:rsidRDefault="008B747E">
      <w:pPr>
        <w:pStyle w:val="a3"/>
        <w:spacing w:before="0" w:beforeAutospacing="0" w:after="0" w:afterAutospacing="0"/>
        <w:divId w:val="1629815119"/>
        <w:rPr>
          <w:sz w:val="20"/>
          <w:szCs w:val="20"/>
        </w:rPr>
      </w:pPr>
      <w:r>
        <w:rPr>
          <w:b/>
          <w:bCs/>
          <w:i/>
          <w:iCs/>
          <w:sz w:val="20"/>
          <w:szCs w:val="20"/>
        </w:rPr>
        <w:t>Revenue</w:t>
      </w:r>
    </w:p>
    <w:p w:rsidR="00000000" w:rsidRDefault="008B747E">
      <w:pPr>
        <w:pStyle w:val="a3"/>
        <w:spacing w:before="0" w:beforeAutospacing="0" w:after="0" w:afterAutospacing="0"/>
        <w:divId w:val="1629815119"/>
        <w:rPr>
          <w:sz w:val="20"/>
          <w:szCs w:val="20"/>
        </w:rPr>
      </w:pPr>
      <w:r>
        <w:rPr>
          <w:b/>
          <w:bCs/>
          <w:sz w:val="10"/>
          <w:szCs w:val="10"/>
        </w:rPr>
        <w:t>​</w:t>
      </w:r>
    </w:p>
    <w:p w:rsidR="00000000" w:rsidRDefault="008B747E">
      <w:pPr>
        <w:pStyle w:val="a3"/>
        <w:spacing w:before="0" w:beforeAutospacing="0" w:after="0" w:afterAutospacing="0"/>
        <w:ind w:firstLine="720"/>
        <w:divId w:val="1629815119"/>
        <w:rPr>
          <w:sz w:val="20"/>
          <w:szCs w:val="20"/>
        </w:rPr>
      </w:pPr>
      <w:r>
        <w:rPr>
          <w:sz w:val="20"/>
          <w:szCs w:val="20"/>
        </w:rPr>
        <w:t>Revenue, as compared to the comparable periods in the prior yea</w:t>
      </w:r>
      <w:r>
        <w:rPr>
          <w:sz w:val="20"/>
          <w:szCs w:val="20"/>
        </w:rPr>
        <w:t>r, was as follows:</w:t>
      </w:r>
    </w:p>
    <w:p w:rsidR="00000000" w:rsidRDefault="008B747E">
      <w:pPr>
        <w:pStyle w:val="a3"/>
        <w:spacing w:before="0" w:beforeAutospacing="0" w:after="0" w:afterAutospacing="0"/>
        <w:divId w:val="1629815119"/>
        <w:rPr>
          <w:sz w:val="20"/>
          <w:szCs w:val="20"/>
        </w:rPr>
      </w:pPr>
      <w:r>
        <w:rPr>
          <w:sz w:val="20"/>
          <w:szCs w:val="20"/>
        </w:rPr>
        <w:t>​</w:t>
      </w:r>
    </w:p>
    <w:tbl>
      <w:tblPr>
        <w:tblW w:w="5128" w:type="pct"/>
        <w:tblInd w:w="-1" w:type="dxa"/>
        <w:tblCellMar>
          <w:top w:w="15" w:type="dxa"/>
          <w:left w:w="0" w:type="dxa"/>
          <w:bottom w:w="15" w:type="dxa"/>
          <w:right w:w="0" w:type="dxa"/>
        </w:tblCellMar>
        <w:tblLook w:val="04A0" w:firstRow="1" w:lastRow="0" w:firstColumn="1" w:lastColumn="0" w:noHBand="0" w:noVBand="1"/>
      </w:tblPr>
      <w:tblGrid>
        <w:gridCol w:w="1605"/>
        <w:gridCol w:w="160"/>
        <w:gridCol w:w="100"/>
        <w:gridCol w:w="610"/>
        <w:gridCol w:w="160"/>
        <w:gridCol w:w="100"/>
        <w:gridCol w:w="610"/>
        <w:gridCol w:w="160"/>
        <w:gridCol w:w="100"/>
        <w:gridCol w:w="684"/>
        <w:gridCol w:w="160"/>
        <w:gridCol w:w="383"/>
        <w:gridCol w:w="267"/>
        <w:gridCol w:w="160"/>
        <w:gridCol w:w="100"/>
        <w:gridCol w:w="610"/>
        <w:gridCol w:w="160"/>
        <w:gridCol w:w="100"/>
        <w:gridCol w:w="610"/>
        <w:gridCol w:w="160"/>
        <w:gridCol w:w="100"/>
        <w:gridCol w:w="610"/>
        <w:gridCol w:w="160"/>
        <w:gridCol w:w="383"/>
        <w:gridCol w:w="267"/>
      </w:tblGrid>
      <w:tr w:rsidR="00000000">
        <w:trPr>
          <w:divId w:val="1629815119"/>
          <w:trHeight w:val="20"/>
        </w:trPr>
        <w:tc>
          <w:tcPr>
            <w:tcW w:w="1510" w:type="pct"/>
            <w:tcMar>
              <w:top w:w="0" w:type="dxa"/>
              <w:left w:w="0" w:type="dxa"/>
              <w:bottom w:w="0" w:type="dxa"/>
              <w:right w:w="0" w:type="dxa"/>
            </w:tcMar>
            <w:vAlign w:val="bottom"/>
            <w:hideMark/>
          </w:tcPr>
          <w:p w:rsidR="00000000" w:rsidRDefault="008B747E">
            <w:pPr>
              <w:pStyle w:val="a3"/>
              <w:spacing w:before="0" w:beforeAutospacing="0" w:after="0" w:afterAutospacing="0"/>
              <w:divId w:val="160533477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367948129"/>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82965043"/>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669066143"/>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527378973"/>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056394599"/>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4114731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564726042"/>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950042160"/>
              <w:rPr>
                <w:sz w:val="20"/>
                <w:szCs w:val="20"/>
              </w:rPr>
            </w:pPr>
            <w:r>
              <w:rPr>
                <w:sz w:val="2"/>
                <w:szCs w:val="2"/>
              </w:rPr>
              <w:t>​</w:t>
            </w:r>
          </w:p>
        </w:tc>
        <w:tc>
          <w:tcPr>
            <w:tcW w:w="35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428959190"/>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177115577"/>
              <w:rPr>
                <w:sz w:val="20"/>
                <w:szCs w:val="20"/>
              </w:rPr>
            </w:pPr>
            <w:r>
              <w:rPr>
                <w:sz w:val="2"/>
                <w:szCs w:val="2"/>
              </w:rPr>
              <w:t>​</w:t>
            </w:r>
          </w:p>
        </w:tc>
        <w:tc>
          <w:tcPr>
            <w:tcW w:w="185"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088918200"/>
              <w:rPr>
                <w:sz w:val="20"/>
                <w:szCs w:val="20"/>
              </w:rPr>
            </w:pPr>
            <w:r>
              <w:rPr>
                <w:sz w:val="2"/>
                <w:szCs w:val="2"/>
              </w:rPr>
              <w:t>​</w:t>
            </w:r>
          </w:p>
        </w:tc>
        <w:tc>
          <w:tcPr>
            <w:tcW w:w="12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3606203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10775581"/>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876429196"/>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840148576"/>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12538879"/>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482934994"/>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490558168"/>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895050379"/>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73021867"/>
              <w:rPr>
                <w:sz w:val="20"/>
                <w:szCs w:val="20"/>
              </w:rPr>
            </w:pPr>
            <w:r>
              <w:rPr>
                <w:sz w:val="2"/>
                <w:szCs w:val="2"/>
              </w:rPr>
              <w:t>​</w:t>
            </w:r>
          </w:p>
        </w:tc>
        <w:tc>
          <w:tcPr>
            <w:tcW w:w="31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383793229"/>
              <w:rPr>
                <w:sz w:val="20"/>
                <w:szCs w:val="20"/>
              </w:rPr>
            </w:pPr>
            <w:r>
              <w:rPr>
                <w:sz w:val="2"/>
                <w:szCs w:val="2"/>
              </w:rPr>
              <w:t>​</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042828930"/>
              <w:rPr>
                <w:sz w:val="20"/>
                <w:szCs w:val="20"/>
              </w:rPr>
            </w:pPr>
            <w:r>
              <w:rPr>
                <w:sz w:val="2"/>
                <w:szCs w:val="2"/>
              </w:rPr>
              <w:t>​</w:t>
            </w:r>
          </w:p>
        </w:tc>
        <w:tc>
          <w:tcPr>
            <w:tcW w:w="185"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15949992"/>
              <w:rPr>
                <w:sz w:val="20"/>
                <w:szCs w:val="20"/>
              </w:rPr>
            </w:pPr>
            <w:r>
              <w:rPr>
                <w:sz w:val="2"/>
                <w:szCs w:val="2"/>
              </w:rPr>
              <w:t>​</w:t>
            </w:r>
          </w:p>
        </w:tc>
        <w:tc>
          <w:tcPr>
            <w:tcW w:w="12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801267673"/>
              <w:rPr>
                <w:sz w:val="20"/>
                <w:szCs w:val="20"/>
              </w:rPr>
            </w:pPr>
            <w:r>
              <w:rPr>
                <w:sz w:val="2"/>
                <w:szCs w:val="2"/>
              </w:rPr>
              <w:t>​</w:t>
            </w:r>
          </w:p>
        </w:tc>
      </w:tr>
      <w:tr w:rsidR="00000000">
        <w:trPr>
          <w:divId w:val="1629815119"/>
        </w:trPr>
        <w:tc>
          <w:tcPr>
            <w:tcW w:w="1510"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812" w:type="pct"/>
            <w:gridSpan w:val="5"/>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Three Months Ended </w:t>
            </w:r>
          </w:p>
        </w:tc>
        <w:tc>
          <w:tcPr>
            <w:tcW w:w="7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4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5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7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85"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2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7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812" w:type="pct"/>
            <w:gridSpan w:val="5"/>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Six Months Ended </w:t>
            </w:r>
          </w:p>
        </w:tc>
        <w:tc>
          <w:tcPr>
            <w:tcW w:w="7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4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1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7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85"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2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r>
      <w:tr w:rsidR="00000000">
        <w:trPr>
          <w:divId w:val="1629815119"/>
        </w:trPr>
        <w:tc>
          <w:tcPr>
            <w:tcW w:w="1510"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812"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7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666"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Change</w:t>
            </w:r>
          </w:p>
        </w:tc>
        <w:tc>
          <w:tcPr>
            <w:tcW w:w="12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812"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7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630"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Change</w:t>
            </w:r>
          </w:p>
        </w:tc>
        <w:tc>
          <w:tcPr>
            <w:tcW w:w="12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r>
      <w:tr w:rsidR="00000000">
        <w:trPr>
          <w:divId w:val="1629815119"/>
        </w:trPr>
        <w:tc>
          <w:tcPr>
            <w:tcW w:w="1510" w:type="pct"/>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(In thousands)</w:t>
            </w:r>
          </w:p>
        </w:tc>
        <w:tc>
          <w:tcPr>
            <w:tcW w:w="7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36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7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36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7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40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7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185"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12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7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36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7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36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7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36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7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185"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12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r>
      <w:tr w:rsidR="00000000">
        <w:trPr>
          <w:divId w:val="1629815119"/>
        </w:trPr>
        <w:tc>
          <w:tcPr>
            <w:tcW w:w="151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Product sales</w:t>
            </w:r>
          </w:p>
        </w:tc>
        <w:tc>
          <w:tcPr>
            <w:tcW w:w="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5,36</w:t>
            </w:r>
            <w:r>
              <w:rPr>
                <w:sz w:val="20"/>
                <w:szCs w:val="20"/>
              </w:rPr>
              <w:t>1</w:t>
            </w:r>
          </w:p>
        </w:tc>
        <w:tc>
          <w:tcPr>
            <w:tcW w:w="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(5,361</w:t>
            </w: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8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NM</w:t>
            </w:r>
          </w:p>
        </w:tc>
        <w:tc>
          <w:tcPr>
            <w:tcW w:w="12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  </w:t>
            </w:r>
          </w:p>
        </w:tc>
        <w:tc>
          <w:tcPr>
            <w:tcW w:w="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9,04</w:t>
            </w:r>
            <w:r>
              <w:rPr>
                <w:sz w:val="20"/>
                <w:szCs w:val="20"/>
              </w:rPr>
              <w:t>0</w:t>
            </w:r>
          </w:p>
        </w:tc>
        <w:tc>
          <w:tcPr>
            <w:tcW w:w="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(9,040</w:t>
            </w: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18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NM</w:t>
            </w:r>
          </w:p>
        </w:tc>
        <w:tc>
          <w:tcPr>
            <w:tcW w:w="12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r>
      <w:tr w:rsidR="00000000">
        <w:trPr>
          <w:divId w:val="1629815119"/>
        </w:trPr>
        <w:tc>
          <w:tcPr>
            <w:tcW w:w="1510"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Collaboration revenue</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9"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7,65</w:t>
            </w:r>
            <w:r>
              <w:rPr>
                <w:sz w:val="20"/>
                <w:szCs w:val="20"/>
              </w:rPr>
              <w:t>0</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9"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18,11</w:t>
            </w:r>
            <w:r>
              <w:rPr>
                <w:sz w:val="20"/>
                <w:szCs w:val="20"/>
              </w:rPr>
              <w:t>5</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4"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(10,465</w:t>
            </w:r>
            <w:r>
              <w:rPr>
                <w:sz w:val="20"/>
                <w:szCs w:val="20"/>
              </w:rPr>
              <w:t>)</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185"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(58</w:t>
            </w:r>
            <w:r>
              <w:rPr>
                <w:sz w:val="20"/>
                <w:szCs w:val="20"/>
              </w:rPr>
              <w:t>)</w:t>
            </w:r>
          </w:p>
        </w:tc>
        <w:tc>
          <w:tcPr>
            <w:tcW w:w="12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9"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12,98</w:t>
            </w:r>
            <w:r>
              <w:rPr>
                <w:sz w:val="20"/>
                <w:szCs w:val="20"/>
              </w:rPr>
              <w:t>8</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9"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22,75</w:t>
            </w:r>
            <w:r>
              <w:rPr>
                <w:sz w:val="20"/>
                <w:szCs w:val="20"/>
              </w:rPr>
              <w:t>5</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8"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9"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(9,767</w:t>
            </w:r>
            <w:r>
              <w:rPr>
                <w:sz w:val="20"/>
                <w:szCs w:val="20"/>
              </w:rPr>
              <w:t>)</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185"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(43</w:t>
            </w:r>
            <w:r>
              <w:rPr>
                <w:sz w:val="20"/>
                <w:szCs w:val="20"/>
              </w:rPr>
              <w:t>)</w:t>
            </w:r>
          </w:p>
        </w:tc>
        <w:tc>
          <w:tcPr>
            <w:tcW w:w="12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r>
      <w:tr w:rsidR="00000000">
        <w:trPr>
          <w:divId w:val="1629815119"/>
        </w:trPr>
        <w:tc>
          <w:tcPr>
            <w:tcW w:w="151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Licensing revenue</w:t>
            </w:r>
          </w:p>
        </w:tc>
        <w:tc>
          <w:tcPr>
            <w:tcW w:w="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18,50</w:t>
            </w:r>
            <w:r>
              <w:rPr>
                <w:sz w:val="20"/>
                <w:szCs w:val="20"/>
              </w:rPr>
              <w:t>0</w:t>
            </w:r>
          </w:p>
        </w:tc>
        <w:tc>
          <w:tcPr>
            <w:tcW w:w="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4"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18,50</w:t>
            </w:r>
            <w:r>
              <w:rPr>
                <w:sz w:val="20"/>
                <w:szCs w:val="20"/>
              </w:rPr>
              <w:t>0</w:t>
            </w:r>
          </w:p>
        </w:tc>
        <w:tc>
          <w:tcPr>
            <w:tcW w:w="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1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NM</w:t>
            </w:r>
          </w:p>
        </w:tc>
        <w:tc>
          <w:tcPr>
            <w:tcW w:w="12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18,50</w:t>
            </w:r>
            <w:r>
              <w:rPr>
                <w:sz w:val="20"/>
                <w:szCs w:val="20"/>
              </w:rPr>
              <w:t>0</w:t>
            </w:r>
          </w:p>
        </w:tc>
        <w:tc>
          <w:tcPr>
            <w:tcW w:w="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c>
          <w:tcPr>
            <w:tcW w:w="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8"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9"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18,50</w:t>
            </w:r>
            <w:r>
              <w:rPr>
                <w:sz w:val="20"/>
                <w:szCs w:val="20"/>
              </w:rPr>
              <w:t>0</w:t>
            </w:r>
          </w:p>
        </w:tc>
        <w:tc>
          <w:tcPr>
            <w:tcW w:w="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185" w:type="pct"/>
            <w:tcBorders>
              <w:bottom w:val="sing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NM</w:t>
            </w:r>
          </w:p>
        </w:tc>
        <w:tc>
          <w:tcPr>
            <w:tcW w:w="12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r>
      <w:tr w:rsidR="00000000">
        <w:trPr>
          <w:divId w:val="1629815119"/>
        </w:trPr>
        <w:tc>
          <w:tcPr>
            <w:tcW w:w="1510" w:type="pct"/>
            <w:tcMar>
              <w:top w:w="0" w:type="dxa"/>
              <w:left w:w="0" w:type="dxa"/>
              <w:bottom w:w="0" w:type="dxa"/>
              <w:right w:w="0" w:type="dxa"/>
            </w:tcMar>
            <w:vAlign w:val="bottom"/>
            <w:hideMark/>
          </w:tcPr>
          <w:p w:rsidR="00000000" w:rsidRDefault="008B747E">
            <w:pPr>
              <w:pStyle w:val="a3"/>
              <w:spacing w:before="0" w:beforeAutospacing="0" w:after="0" w:afterAutospacing="0"/>
              <w:ind w:left="120"/>
              <w:rPr>
                <w:sz w:val="20"/>
                <w:szCs w:val="20"/>
              </w:rPr>
            </w:pPr>
            <w:r>
              <w:rPr>
                <w:sz w:val="20"/>
                <w:szCs w:val="20"/>
              </w:rPr>
              <w:t>Total revenue</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9"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26,15</w:t>
            </w:r>
            <w:r>
              <w:rPr>
                <w:sz w:val="20"/>
                <w:szCs w:val="20"/>
              </w:rPr>
              <w:t>0</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9"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23,47</w:t>
            </w:r>
            <w:r>
              <w:rPr>
                <w:sz w:val="20"/>
                <w:szCs w:val="20"/>
              </w:rPr>
              <w:t>6</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8"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54"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2,67</w:t>
            </w:r>
            <w:r>
              <w:rPr>
                <w:sz w:val="20"/>
                <w:szCs w:val="20"/>
              </w:rPr>
              <w:t>4</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85" w:type="pct"/>
            <w:tcBorders>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w:t>
            </w:r>
            <w:r>
              <w:rPr>
                <w:sz w:val="20"/>
                <w:szCs w:val="20"/>
              </w:rPr>
              <w:t>1</w:t>
            </w:r>
          </w:p>
        </w:tc>
        <w:tc>
          <w:tcPr>
            <w:tcW w:w="12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  </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8" w:type="pct"/>
            <w:tcBorders>
              <w:top w:val="single" w:sz="6" w:space="0" w:color="000000"/>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9" w:type="pct"/>
            <w:tcBorders>
              <w:top w:val="single" w:sz="6" w:space="0" w:color="000000"/>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31,48</w:t>
            </w:r>
            <w:r>
              <w:rPr>
                <w:sz w:val="20"/>
                <w:szCs w:val="20"/>
              </w:rPr>
              <w:t>8</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8" w:type="pct"/>
            <w:tcBorders>
              <w:top w:val="single" w:sz="6" w:space="0" w:color="000000"/>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9" w:type="pct"/>
            <w:tcBorders>
              <w:top w:val="single" w:sz="6" w:space="0" w:color="000000"/>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31,79</w:t>
            </w:r>
            <w:r>
              <w:rPr>
                <w:sz w:val="20"/>
                <w:szCs w:val="20"/>
              </w:rPr>
              <w:t>5</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8" w:type="pct"/>
            <w:tcBorders>
              <w:top w:val="single" w:sz="6" w:space="0" w:color="000000"/>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9" w:type="pct"/>
            <w:tcBorders>
              <w:top w:val="single" w:sz="6" w:space="0" w:color="000000"/>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(307</w:t>
            </w:r>
            <w:r>
              <w:rPr>
                <w:sz w:val="20"/>
                <w:szCs w:val="20"/>
              </w:rPr>
              <w:t>)</w:t>
            </w:r>
          </w:p>
        </w:tc>
        <w:tc>
          <w:tcPr>
            <w:tcW w:w="77"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185" w:type="pct"/>
            <w:tcBorders>
              <w:top w:val="single" w:sz="6" w:space="0" w:color="000000"/>
              <w:bottom w:val="doub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w:t>
            </w:r>
            <w:r>
              <w:rPr>
                <w:sz w:val="20"/>
                <w:szCs w:val="20"/>
              </w:rPr>
              <w:t>)</w:t>
            </w:r>
          </w:p>
        </w:tc>
        <w:tc>
          <w:tcPr>
            <w:tcW w:w="12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r>
    </w:tbl>
    <w:p w:rsidR="00000000" w:rsidRDefault="008B747E">
      <w:pPr>
        <w:pStyle w:val="a3"/>
        <w:spacing w:before="0" w:beforeAutospacing="0" w:after="0" w:afterAutospacing="0"/>
        <w:divId w:val="1629815119"/>
        <w:rPr>
          <w:sz w:val="20"/>
          <w:szCs w:val="20"/>
        </w:rPr>
      </w:pPr>
      <w:r>
        <w:rPr>
          <w:sz w:val="20"/>
          <w:szCs w:val="20"/>
        </w:rPr>
        <w:t>NM: Not Meaningful</w:t>
      </w:r>
    </w:p>
    <w:p w:rsidR="00000000" w:rsidRDefault="008B747E">
      <w:pPr>
        <w:pStyle w:val="a3"/>
        <w:spacing w:before="0" w:beforeAutospacing="0" w:after="0" w:afterAutospacing="0"/>
        <w:divId w:val="1629815119"/>
        <w:rPr>
          <w:sz w:val="20"/>
          <w:szCs w:val="20"/>
        </w:rPr>
      </w:pPr>
      <w:r>
        <w:rPr>
          <w:sz w:val="20"/>
          <w:szCs w:val="20"/>
        </w:rPr>
        <w:t>​</w:t>
      </w:r>
    </w:p>
    <w:p w:rsidR="00000000" w:rsidRDefault="008B747E">
      <w:pPr>
        <w:pStyle w:val="a3"/>
        <w:spacing w:before="0" w:beforeAutospacing="0" w:after="0" w:afterAutospacing="0"/>
        <w:divId w:val="1629815119"/>
        <w:rPr>
          <w:sz w:val="20"/>
          <w:szCs w:val="20"/>
        </w:rPr>
      </w:pPr>
      <w:r>
        <w:rPr>
          <w:sz w:val="20"/>
          <w:szCs w:val="20"/>
        </w:rPr>
        <w:t xml:space="preserve">As a result of the sale of our VIBATIV business to Cumberland Pharmaceuticals Inc. (“Cumberland”) in November 2018, no product sales were recognized for the three and six months ended June 30, 2019. </w:t>
      </w:r>
    </w:p>
    <w:p w:rsidR="00000000" w:rsidRDefault="008B747E">
      <w:pPr>
        <w:pStyle w:val="a3"/>
        <w:spacing w:before="0" w:beforeAutospacing="0" w:after="0" w:afterAutospacing="0"/>
        <w:divId w:val="1629815119"/>
        <w:rPr>
          <w:sz w:val="20"/>
          <w:szCs w:val="20"/>
        </w:rPr>
      </w:pPr>
      <w:r>
        <w:rPr>
          <w:sz w:val="20"/>
          <w:szCs w:val="20"/>
        </w:rPr>
        <w:t>​</w:t>
      </w:r>
    </w:p>
    <w:p w:rsidR="00000000" w:rsidRDefault="008B747E">
      <w:pPr>
        <w:pStyle w:val="a3"/>
        <w:spacing w:before="0" w:beforeAutospacing="0" w:after="0" w:afterAutospacing="0"/>
        <w:ind w:firstLine="720"/>
        <w:divId w:val="1629815119"/>
        <w:rPr>
          <w:sz w:val="20"/>
          <w:szCs w:val="20"/>
        </w:rPr>
      </w:pPr>
      <w:r>
        <w:rPr>
          <w:sz w:val="20"/>
          <w:szCs w:val="20"/>
        </w:rPr>
        <w:t>Collaboration revenue decreased by $10.5 million and $</w:t>
      </w:r>
      <w:r>
        <w:rPr>
          <w:sz w:val="20"/>
          <w:szCs w:val="20"/>
        </w:rPr>
        <w:t>9.8 million for the three and six months ended June 30, 2019, respectively, compared to the same periods in 2018. The decreases were primarily attributed to the April 2018 exercise by Alfasigma of its option to develop and commercialize velusetrag.</w:t>
      </w:r>
    </w:p>
    <w:p w:rsidR="00000000" w:rsidRDefault="008B747E">
      <w:pPr>
        <w:pStyle w:val="a3"/>
        <w:spacing w:before="0" w:beforeAutospacing="0" w:after="0" w:afterAutospacing="0"/>
        <w:ind w:firstLine="720"/>
        <w:divId w:val="1629815119"/>
        <w:rPr>
          <w:sz w:val="20"/>
          <w:szCs w:val="20"/>
        </w:rPr>
      </w:pPr>
      <w:r>
        <w:rPr>
          <w:sz w:val="20"/>
          <w:szCs w:val="20"/>
        </w:rPr>
        <w:t>​</w:t>
      </w:r>
    </w:p>
    <w:p w:rsidR="00000000" w:rsidRDefault="008B747E">
      <w:pPr>
        <w:pStyle w:val="a3"/>
        <w:spacing w:before="360" w:beforeAutospacing="0" w:after="0" w:afterAutospacing="0"/>
        <w:jc w:val="center"/>
        <w:divId w:val="1133017261"/>
        <w:rPr>
          <w:sz w:val="20"/>
          <w:szCs w:val="20"/>
        </w:rPr>
      </w:pPr>
      <w:r>
        <w:rPr>
          <w:sz w:val="20"/>
          <w:szCs w:val="20"/>
        </w:rPr>
        <w:t>26</w:t>
      </w:r>
    </w:p>
    <w:p w:rsidR="00000000" w:rsidRDefault="008B747E">
      <w:pPr>
        <w:pStyle w:val="a3"/>
        <w:spacing w:before="0" w:beforeAutospacing="0" w:after="600" w:afterAutospacing="0"/>
        <w:divId w:val="951320754"/>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ind w:firstLine="720"/>
        <w:divId w:val="1746535674"/>
        <w:rPr>
          <w:sz w:val="20"/>
          <w:szCs w:val="20"/>
        </w:rPr>
      </w:pPr>
      <w:r>
        <w:rPr>
          <w:sz w:val="20"/>
          <w:szCs w:val="20"/>
        </w:rPr>
        <w:t>Licensing revenue was $18.5 million for the three and six months ended June 30, 2019 and represented a $18.5 million</w:t>
      </w:r>
      <w:r>
        <w:rPr>
          <w:sz w:val="20"/>
          <w:szCs w:val="20"/>
          <w:shd w:val="clear" w:color="auto" w:fill="FFFFFF"/>
        </w:rPr>
        <w:t> </w:t>
      </w:r>
      <w:r>
        <w:rPr>
          <w:sz w:val="20"/>
          <w:szCs w:val="20"/>
        </w:rPr>
        <w:t>upfront payment</w:t>
      </w:r>
      <w:r>
        <w:rPr>
          <w:sz w:val="20"/>
          <w:szCs w:val="20"/>
          <w:shd w:val="clear" w:color="auto" w:fill="FFFFFF"/>
        </w:rPr>
        <w:t xml:space="preserve"> (before a required tax withholding) </w:t>
      </w:r>
      <w:r>
        <w:rPr>
          <w:sz w:val="20"/>
          <w:szCs w:val="20"/>
        </w:rPr>
        <w:t>from Mylan associated with the amendment sign</w:t>
      </w:r>
      <w:r>
        <w:rPr>
          <w:sz w:val="20"/>
          <w:szCs w:val="20"/>
        </w:rPr>
        <w:t>ed in June 2019 for the commercialization and development r</w:t>
      </w:r>
      <w:r>
        <w:rPr>
          <w:sz w:val="20"/>
          <w:szCs w:val="20"/>
          <w:shd w:val="clear" w:color="auto" w:fill="FFFFFF"/>
        </w:rPr>
        <w:t>ights to nebulized revefenacin in China and adjacent territories.</w:t>
      </w:r>
    </w:p>
    <w:p w:rsidR="00000000" w:rsidRDefault="008B747E">
      <w:pPr>
        <w:pStyle w:val="a3"/>
        <w:spacing w:before="0" w:beforeAutospacing="0" w:after="0" w:afterAutospacing="0"/>
        <w:divId w:val="1746535674"/>
        <w:rPr>
          <w:sz w:val="20"/>
          <w:szCs w:val="20"/>
        </w:rPr>
      </w:pPr>
      <w:r>
        <w:rPr>
          <w:sz w:val="20"/>
          <w:szCs w:val="20"/>
        </w:rPr>
        <w:t>​</w:t>
      </w:r>
    </w:p>
    <w:p w:rsidR="00000000" w:rsidRDefault="008B747E">
      <w:pPr>
        <w:pStyle w:val="a3"/>
        <w:spacing w:before="0" w:beforeAutospacing="0" w:after="0" w:afterAutospacing="0"/>
        <w:divId w:val="1746535674"/>
        <w:rPr>
          <w:sz w:val="20"/>
          <w:szCs w:val="20"/>
        </w:rPr>
      </w:pPr>
      <w:r>
        <w:rPr>
          <w:b/>
          <w:bCs/>
          <w:i/>
          <w:iCs/>
          <w:sz w:val="20"/>
          <w:szCs w:val="20"/>
        </w:rPr>
        <w:t>Cost of Goods Sold</w:t>
      </w:r>
    </w:p>
    <w:p w:rsidR="00000000" w:rsidRDefault="008B747E">
      <w:pPr>
        <w:pStyle w:val="a3"/>
        <w:spacing w:before="0" w:beforeAutospacing="0" w:after="0" w:afterAutospacing="0"/>
        <w:divId w:val="1746535674"/>
        <w:rPr>
          <w:sz w:val="20"/>
          <w:szCs w:val="20"/>
        </w:rPr>
      </w:pPr>
      <w:r>
        <w:rPr>
          <w:sz w:val="10"/>
          <w:szCs w:val="10"/>
        </w:rPr>
        <w:t>​</w:t>
      </w:r>
    </w:p>
    <w:p w:rsidR="00000000" w:rsidRDefault="008B747E">
      <w:pPr>
        <w:pStyle w:val="a3"/>
        <w:spacing w:before="0" w:beforeAutospacing="0" w:after="0" w:afterAutospacing="0"/>
        <w:ind w:firstLine="720"/>
        <w:divId w:val="1746535674"/>
        <w:rPr>
          <w:sz w:val="20"/>
          <w:szCs w:val="20"/>
        </w:rPr>
      </w:pPr>
      <w:r>
        <w:rPr>
          <w:sz w:val="20"/>
          <w:szCs w:val="20"/>
        </w:rPr>
        <w:t>Cost of goods sold, as compared to the comparable periods in the prior year, was as follows:</w:t>
      </w:r>
    </w:p>
    <w:p w:rsidR="00000000" w:rsidRDefault="008B747E">
      <w:pPr>
        <w:pStyle w:val="a3"/>
        <w:spacing w:before="0" w:beforeAutospacing="0" w:after="0" w:afterAutospacing="0"/>
        <w:divId w:val="1746535674"/>
        <w:rPr>
          <w:sz w:val="20"/>
          <w:szCs w:val="20"/>
        </w:rPr>
      </w:pPr>
      <w:r>
        <w:rPr>
          <w:sz w:val="20"/>
          <w:szCs w:val="20"/>
        </w:rPr>
        <w:t>​</w:t>
      </w:r>
    </w:p>
    <w:tbl>
      <w:tblPr>
        <w:tblW w:w="4999" w:type="pct"/>
        <w:tblCellMar>
          <w:top w:w="15" w:type="dxa"/>
          <w:left w:w="0" w:type="dxa"/>
          <w:bottom w:w="15" w:type="dxa"/>
          <w:right w:w="0" w:type="dxa"/>
        </w:tblCellMar>
        <w:tblLook w:val="04A0" w:firstRow="1" w:lastRow="0" w:firstColumn="1" w:lastColumn="0" w:noHBand="0" w:noVBand="1"/>
      </w:tblPr>
      <w:tblGrid>
        <w:gridCol w:w="2229"/>
        <w:gridCol w:w="160"/>
        <w:gridCol w:w="123"/>
        <w:gridCol w:w="485"/>
        <w:gridCol w:w="160"/>
        <w:gridCol w:w="120"/>
        <w:gridCol w:w="584"/>
        <w:gridCol w:w="160"/>
        <w:gridCol w:w="100"/>
        <w:gridCol w:w="510"/>
        <w:gridCol w:w="160"/>
        <w:gridCol w:w="383"/>
        <w:gridCol w:w="267"/>
        <w:gridCol w:w="160"/>
        <w:gridCol w:w="109"/>
        <w:gridCol w:w="436"/>
        <w:gridCol w:w="161"/>
        <w:gridCol w:w="109"/>
        <w:gridCol w:w="458"/>
        <w:gridCol w:w="160"/>
        <w:gridCol w:w="100"/>
        <w:gridCol w:w="360"/>
        <w:gridCol w:w="160"/>
        <w:gridCol w:w="383"/>
        <w:gridCol w:w="267"/>
      </w:tblGrid>
      <w:tr w:rsidR="00000000">
        <w:trPr>
          <w:divId w:val="1746535674"/>
          <w:trHeight w:val="20"/>
        </w:trPr>
        <w:tc>
          <w:tcPr>
            <w:tcW w:w="1847" w:type="pct"/>
            <w:tcMar>
              <w:top w:w="0" w:type="dxa"/>
              <w:left w:w="0" w:type="dxa"/>
              <w:bottom w:w="0" w:type="dxa"/>
              <w:right w:w="0" w:type="dxa"/>
            </w:tcMar>
            <w:vAlign w:val="bottom"/>
            <w:hideMark/>
          </w:tcPr>
          <w:p w:rsidR="00000000" w:rsidRDefault="008B747E">
            <w:pPr>
              <w:pStyle w:val="a3"/>
              <w:spacing w:before="0" w:beforeAutospacing="0" w:after="0" w:afterAutospacing="0"/>
              <w:divId w:val="111791667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790274361"/>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541936330"/>
              <w:rPr>
                <w:sz w:val="20"/>
                <w:szCs w:val="20"/>
              </w:rPr>
            </w:pPr>
            <w:r>
              <w:rPr>
                <w:sz w:val="2"/>
                <w:szCs w:val="2"/>
              </w:rPr>
              <w:t>​</w:t>
            </w:r>
          </w:p>
        </w:tc>
        <w:tc>
          <w:tcPr>
            <w:tcW w:w="262"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86771794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065375178"/>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292053889"/>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376349328"/>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728529295"/>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986080048"/>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92094269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068406246"/>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65033361"/>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294402852"/>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519466836"/>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849369324"/>
              <w:rPr>
                <w:sz w:val="20"/>
                <w:szCs w:val="20"/>
              </w:rPr>
            </w:pPr>
            <w:r>
              <w:rPr>
                <w:sz w:val="2"/>
                <w:szCs w:val="2"/>
              </w:rPr>
              <w:t>​</w:t>
            </w:r>
          </w:p>
        </w:tc>
        <w:tc>
          <w:tcPr>
            <w:tcW w:w="22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338043578"/>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625896109"/>
              <w:rPr>
                <w:sz w:val="20"/>
                <w:szCs w:val="20"/>
              </w:rPr>
            </w:pPr>
            <w:r>
              <w:rPr>
                <w:sz w:val="2"/>
                <w:szCs w:val="2"/>
              </w:rPr>
              <w:t>​</w:t>
            </w:r>
          </w:p>
        </w:tc>
        <w:tc>
          <w:tcPr>
            <w:tcW w:w="5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464782596"/>
              <w:rPr>
                <w:sz w:val="20"/>
                <w:szCs w:val="20"/>
              </w:rPr>
            </w:pPr>
            <w:r>
              <w:rPr>
                <w:sz w:val="2"/>
                <w:szCs w:val="2"/>
              </w:rPr>
              <w:t>​</w:t>
            </w:r>
          </w:p>
        </w:tc>
        <w:tc>
          <w:tcPr>
            <w:tcW w:w="240"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312368906"/>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4669663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126777715"/>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82708806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132402678"/>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626736601"/>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628556058"/>
              <w:rPr>
                <w:sz w:val="20"/>
                <w:szCs w:val="20"/>
              </w:rPr>
            </w:pPr>
            <w:r>
              <w:rPr>
                <w:sz w:val="2"/>
                <w:szCs w:val="2"/>
              </w:rPr>
              <w:t>​</w:t>
            </w:r>
          </w:p>
        </w:tc>
      </w:tr>
      <w:tr w:rsidR="00000000">
        <w:trPr>
          <w:divId w:val="1746535674"/>
        </w:trPr>
        <w:tc>
          <w:tcPr>
            <w:tcW w:w="184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88" w:type="pct"/>
            <w:gridSpan w:val="5"/>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Three Months Ended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27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90"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3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661" w:type="pct"/>
            <w:gridSpan w:val="5"/>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Six Months Ended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203"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90"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3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r>
      <w:tr w:rsidR="00000000">
        <w:trPr>
          <w:divId w:val="1746535674"/>
        </w:trPr>
        <w:tc>
          <w:tcPr>
            <w:tcW w:w="1847"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88"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596"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Change</w:t>
            </w:r>
          </w:p>
        </w:tc>
        <w:tc>
          <w:tcPr>
            <w:tcW w:w="13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661"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522"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Change</w:t>
            </w:r>
          </w:p>
        </w:tc>
        <w:tc>
          <w:tcPr>
            <w:tcW w:w="13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r>
      <w:tr w:rsidR="00000000">
        <w:trPr>
          <w:divId w:val="1746535674"/>
        </w:trPr>
        <w:tc>
          <w:tcPr>
            <w:tcW w:w="1847" w:type="pct"/>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(In thousands)</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32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380"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32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19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13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285"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29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r>
              <w:rPr>
                <w:b/>
                <w:bCs/>
                <w:sz w:val="16"/>
                <w:szCs w:val="16"/>
              </w:rPr>
              <w:t>   </w:t>
            </w:r>
          </w:p>
        </w:tc>
        <w:tc>
          <w:tcPr>
            <w:tcW w:w="25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19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13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r>
      <w:tr w:rsidR="00000000">
        <w:trPr>
          <w:divId w:val="1746535674"/>
        </w:trPr>
        <w:tc>
          <w:tcPr>
            <w:tcW w:w="1847"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Cost of goods sold</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26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(1,448</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1,44</w:t>
            </w:r>
            <w:r>
              <w:rPr>
                <w:sz w:val="20"/>
                <w:szCs w:val="20"/>
              </w:rPr>
              <w:t>8</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 </w:t>
            </w:r>
          </w:p>
        </w:tc>
        <w:tc>
          <w:tcPr>
            <w:tcW w:w="19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NM</w:t>
            </w:r>
          </w:p>
        </w:tc>
        <w:tc>
          <w:tcPr>
            <w:tcW w:w="13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22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5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(622</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203"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62</w:t>
            </w:r>
            <w:r>
              <w:rPr>
                <w:sz w:val="20"/>
                <w:szCs w:val="20"/>
              </w:rPr>
              <w:t>2</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 </w:t>
            </w:r>
          </w:p>
        </w:tc>
        <w:tc>
          <w:tcPr>
            <w:tcW w:w="19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NM</w:t>
            </w:r>
          </w:p>
        </w:tc>
        <w:tc>
          <w:tcPr>
            <w:tcW w:w="13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r>
    </w:tbl>
    <w:p w:rsidR="00000000" w:rsidRDefault="008B747E">
      <w:pPr>
        <w:pStyle w:val="a3"/>
        <w:spacing w:before="0" w:beforeAutospacing="0" w:after="0" w:afterAutospacing="0"/>
        <w:divId w:val="1746535674"/>
        <w:rPr>
          <w:sz w:val="20"/>
          <w:szCs w:val="20"/>
        </w:rPr>
      </w:pPr>
      <w:r>
        <w:rPr>
          <w:sz w:val="20"/>
          <w:szCs w:val="20"/>
        </w:rPr>
        <w:t>NM: Not Meaningful</w:t>
      </w:r>
    </w:p>
    <w:p w:rsidR="00000000" w:rsidRDefault="008B747E">
      <w:pPr>
        <w:pStyle w:val="a3"/>
        <w:spacing w:before="0" w:beforeAutospacing="0" w:after="0" w:afterAutospacing="0"/>
        <w:divId w:val="1746535674"/>
        <w:rPr>
          <w:sz w:val="20"/>
          <w:szCs w:val="20"/>
        </w:rPr>
      </w:pPr>
      <w:r>
        <w:rPr>
          <w:sz w:val="20"/>
          <w:szCs w:val="20"/>
        </w:rPr>
        <w:t>​</w:t>
      </w:r>
    </w:p>
    <w:p w:rsidR="00000000" w:rsidRDefault="008B747E">
      <w:pPr>
        <w:pStyle w:val="a3"/>
        <w:spacing w:before="0" w:beforeAutospacing="0" w:after="0" w:afterAutospacing="0"/>
        <w:ind w:firstLine="720"/>
        <w:divId w:val="1746535674"/>
        <w:rPr>
          <w:sz w:val="20"/>
          <w:szCs w:val="20"/>
        </w:rPr>
      </w:pPr>
      <w:r>
        <w:rPr>
          <w:sz w:val="20"/>
          <w:szCs w:val="20"/>
        </w:rPr>
        <w:t xml:space="preserve">As a result of the sale of our VIBATIV business to Cumberland in November 2018, no cost of goods sold was recognized for the three and six months ended June 30, 2019. The negative cost of goods sold amounts for the three and six months ended June 30, 2018 </w:t>
      </w:r>
      <w:r>
        <w:rPr>
          <w:sz w:val="20"/>
          <w:szCs w:val="20"/>
        </w:rPr>
        <w:t>were primarily due to a reversal of a $2.3 million charge originally taken in the fourth quarter of 2017 related to VIBATIV inventory purchase commitments that were subsequently waived by our third-party manufacturer.</w:t>
      </w:r>
    </w:p>
    <w:p w:rsidR="00000000" w:rsidRDefault="008B747E">
      <w:pPr>
        <w:pStyle w:val="a3"/>
        <w:spacing w:before="0" w:beforeAutospacing="0" w:after="0" w:afterAutospacing="0"/>
        <w:ind w:firstLine="720"/>
        <w:divId w:val="1746535674"/>
        <w:rPr>
          <w:sz w:val="20"/>
          <w:szCs w:val="20"/>
        </w:rPr>
      </w:pPr>
      <w:r>
        <w:rPr>
          <w:sz w:val="20"/>
          <w:szCs w:val="20"/>
        </w:rPr>
        <w:t>​</w:t>
      </w:r>
    </w:p>
    <w:p w:rsidR="00000000" w:rsidRDefault="008B747E">
      <w:pPr>
        <w:pStyle w:val="a3"/>
        <w:spacing w:before="0" w:beforeAutospacing="0" w:after="0" w:afterAutospacing="0"/>
        <w:divId w:val="1746535674"/>
        <w:rPr>
          <w:sz w:val="20"/>
          <w:szCs w:val="20"/>
        </w:rPr>
      </w:pPr>
      <w:r>
        <w:rPr>
          <w:b/>
          <w:bCs/>
          <w:i/>
          <w:iCs/>
          <w:sz w:val="20"/>
          <w:szCs w:val="20"/>
        </w:rPr>
        <w:t>Reduction in Workforce</w:t>
      </w:r>
    </w:p>
    <w:p w:rsidR="00000000" w:rsidRDefault="008B747E">
      <w:pPr>
        <w:pStyle w:val="a3"/>
        <w:spacing w:before="0" w:beforeAutospacing="0" w:after="0" w:afterAutospacing="0"/>
        <w:divId w:val="1746535674"/>
        <w:rPr>
          <w:sz w:val="20"/>
          <w:szCs w:val="20"/>
        </w:rPr>
      </w:pPr>
      <w:r>
        <w:rPr>
          <w:b/>
          <w:bCs/>
          <w:sz w:val="10"/>
          <w:szCs w:val="10"/>
        </w:rPr>
        <w:t>​</w:t>
      </w:r>
    </w:p>
    <w:p w:rsidR="00000000" w:rsidRDefault="008B747E">
      <w:pPr>
        <w:pStyle w:val="a3"/>
        <w:spacing w:before="0" w:beforeAutospacing="0" w:after="0" w:afterAutospacing="0"/>
        <w:ind w:firstLine="720"/>
        <w:divId w:val="1746535674"/>
        <w:rPr>
          <w:sz w:val="20"/>
          <w:szCs w:val="20"/>
        </w:rPr>
      </w:pPr>
      <w:r>
        <w:rPr>
          <w:sz w:val="20"/>
          <w:szCs w:val="20"/>
        </w:rPr>
        <w:t xml:space="preserve">In January </w:t>
      </w:r>
      <w:r>
        <w:rPr>
          <w:sz w:val="20"/>
          <w:szCs w:val="20"/>
        </w:rPr>
        <w:t>2019, we announced a reduction in workforce to align with our focus on continued execution of key strategic programs and advancement of selected late-stage research programs toward clinical development. We reduced our overall headcount by 51 individuals, w</w:t>
      </w:r>
      <w:r>
        <w:rPr>
          <w:sz w:val="20"/>
          <w:szCs w:val="20"/>
        </w:rPr>
        <w:t xml:space="preserve">ith the affected employees primarily focused on early research or the infrastructure in support of VIBATIV which was sold by us to Cumberland in November 2018. </w:t>
      </w:r>
    </w:p>
    <w:p w:rsidR="00000000" w:rsidRDefault="008B747E">
      <w:pPr>
        <w:pStyle w:val="a3"/>
        <w:spacing w:before="0" w:beforeAutospacing="0" w:after="0" w:afterAutospacing="0"/>
        <w:ind w:firstLine="720"/>
        <w:divId w:val="1746535674"/>
        <w:rPr>
          <w:sz w:val="20"/>
          <w:szCs w:val="20"/>
        </w:rPr>
      </w:pPr>
      <w:r>
        <w:rPr>
          <w:sz w:val="20"/>
          <w:szCs w:val="20"/>
        </w:rPr>
        <w:t>​</w:t>
      </w:r>
    </w:p>
    <w:p w:rsidR="00000000" w:rsidRDefault="008B747E">
      <w:pPr>
        <w:pStyle w:val="a3"/>
        <w:spacing w:before="0" w:beforeAutospacing="0" w:after="0" w:afterAutospacing="0"/>
        <w:ind w:firstLine="720"/>
        <w:divId w:val="1746535674"/>
        <w:rPr>
          <w:sz w:val="20"/>
          <w:szCs w:val="20"/>
        </w:rPr>
      </w:pPr>
      <w:r>
        <w:rPr>
          <w:sz w:val="20"/>
          <w:szCs w:val="20"/>
        </w:rPr>
        <w:t>The workforce reduction was substantially completed in the first quarter of 2019, and we reco</w:t>
      </w:r>
      <w:r>
        <w:rPr>
          <w:sz w:val="20"/>
          <w:szCs w:val="20"/>
        </w:rPr>
        <w:t>rded severance related charges totaling approximately $3.6 million including compensation expense made to affected employees through any minimum statutory notice periods. As of June 30, 2019, we had paid total severance of $3.4 million. The severance relat</w:t>
      </w:r>
      <w:r>
        <w:rPr>
          <w:sz w:val="20"/>
          <w:szCs w:val="20"/>
        </w:rPr>
        <w:t>ed charges are presented on the condensed consolidated statements of operations within research and development expenses and selling, general and administrative expenses.</w:t>
      </w:r>
    </w:p>
    <w:p w:rsidR="00000000" w:rsidRDefault="008B747E">
      <w:pPr>
        <w:pStyle w:val="a3"/>
        <w:spacing w:before="0" w:beforeAutospacing="0" w:after="0" w:afterAutospacing="0"/>
        <w:divId w:val="1746535674"/>
        <w:rPr>
          <w:sz w:val="20"/>
          <w:szCs w:val="20"/>
        </w:rPr>
      </w:pPr>
      <w:r>
        <w:rPr>
          <w:sz w:val="20"/>
          <w:szCs w:val="20"/>
        </w:rPr>
        <w:t>​</w:t>
      </w:r>
    </w:p>
    <w:p w:rsidR="00000000" w:rsidRDefault="008B747E">
      <w:pPr>
        <w:pStyle w:val="a3"/>
        <w:spacing w:before="0" w:beforeAutospacing="0" w:after="0" w:afterAutospacing="0"/>
        <w:divId w:val="1746535674"/>
        <w:rPr>
          <w:sz w:val="20"/>
          <w:szCs w:val="20"/>
        </w:rPr>
      </w:pPr>
      <w:r>
        <w:rPr>
          <w:b/>
          <w:bCs/>
          <w:i/>
          <w:iCs/>
          <w:sz w:val="20"/>
          <w:szCs w:val="20"/>
        </w:rPr>
        <w:t>Research and Development</w:t>
      </w:r>
    </w:p>
    <w:p w:rsidR="00000000" w:rsidRDefault="008B747E">
      <w:pPr>
        <w:pStyle w:val="a3"/>
        <w:spacing w:before="0" w:beforeAutospacing="0" w:after="0" w:afterAutospacing="0"/>
        <w:divId w:val="1746535674"/>
        <w:rPr>
          <w:sz w:val="20"/>
          <w:szCs w:val="20"/>
        </w:rPr>
      </w:pPr>
      <w:r>
        <w:rPr>
          <w:sz w:val="10"/>
          <w:szCs w:val="10"/>
        </w:rPr>
        <w:t>​</w:t>
      </w:r>
    </w:p>
    <w:p w:rsidR="00000000" w:rsidRDefault="008B747E">
      <w:pPr>
        <w:pStyle w:val="a3"/>
        <w:spacing w:before="0" w:beforeAutospacing="0" w:after="0" w:afterAutospacing="0"/>
        <w:ind w:firstLine="720"/>
        <w:divId w:val="1746535674"/>
        <w:rPr>
          <w:sz w:val="20"/>
          <w:szCs w:val="20"/>
        </w:rPr>
      </w:pPr>
      <w:r>
        <w:rPr>
          <w:sz w:val="20"/>
          <w:szCs w:val="20"/>
        </w:rPr>
        <w:t>Our research and development (“R&amp;D”) expenses consist pr</w:t>
      </w:r>
      <w:r>
        <w:rPr>
          <w:sz w:val="20"/>
          <w:szCs w:val="20"/>
        </w:rPr>
        <w:t>imarily of employee-related costs, external costs, and various allocable expenses. We budget total R&amp;D expenses on an internal department level basis, and we manage and report our R&amp;D activities across the following four cost categories:</w:t>
      </w:r>
    </w:p>
    <w:p w:rsidR="00000000" w:rsidRDefault="008B747E">
      <w:pPr>
        <w:pStyle w:val="a3"/>
        <w:spacing w:before="0" w:beforeAutospacing="0" w:after="0" w:afterAutospacing="0"/>
        <w:divId w:val="174653567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46535674"/>
        </w:trPr>
        <w:tc>
          <w:tcPr>
            <w:tcW w:w="720" w:type="dxa"/>
            <w:vAlign w:val="center"/>
            <w:hideMark/>
          </w:tcPr>
          <w:p w:rsidR="00000000" w:rsidRDefault="008B747E">
            <w:pPr>
              <w:rPr>
                <w:sz w:val="20"/>
                <w:szCs w:val="20"/>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8B747E">
            <w:pPr>
              <w:rPr>
                <w:rFonts w:eastAsia="Times New Roman"/>
                <w:sz w:val="20"/>
                <w:szCs w:val="20"/>
              </w:rPr>
            </w:pPr>
            <w:r>
              <w:rPr>
                <w:rFonts w:eastAsia="Times New Roman"/>
                <w:color w:val="000000"/>
                <w:sz w:val="20"/>
                <w:szCs w:val="20"/>
              </w:rPr>
              <w:t>Employee-rel</w:t>
            </w:r>
            <w:r>
              <w:rPr>
                <w:rFonts w:eastAsia="Times New Roman"/>
                <w:color w:val="000000"/>
                <w:sz w:val="20"/>
                <w:szCs w:val="20"/>
              </w:rPr>
              <w:t>ated costs, which include salaries, wages and benefits;</w:t>
            </w:r>
          </w:p>
        </w:tc>
      </w:tr>
    </w:tbl>
    <w:p w:rsidR="00000000" w:rsidRDefault="008B747E">
      <w:pPr>
        <w:pStyle w:val="a3"/>
        <w:spacing w:before="0" w:beforeAutospacing="0" w:after="0" w:afterAutospacing="0"/>
        <w:ind w:left="720" w:hanging="360"/>
        <w:divId w:val="174653567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46535674"/>
        </w:trPr>
        <w:tc>
          <w:tcPr>
            <w:tcW w:w="720" w:type="dxa"/>
            <w:vAlign w:val="center"/>
            <w:hideMark/>
          </w:tcPr>
          <w:p w:rsidR="00000000" w:rsidRDefault="008B747E">
            <w:pPr>
              <w:rPr>
                <w:sz w:val="20"/>
                <w:szCs w:val="20"/>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2)</w:t>
            </w:r>
          </w:p>
        </w:tc>
        <w:tc>
          <w:tcPr>
            <w:tcW w:w="0" w:type="auto"/>
            <w:tcMar>
              <w:top w:w="0" w:type="dxa"/>
              <w:left w:w="0" w:type="dxa"/>
              <w:bottom w:w="0" w:type="dxa"/>
              <w:right w:w="0" w:type="dxa"/>
            </w:tcMar>
            <w:vAlign w:val="center"/>
            <w:hideMark/>
          </w:tcPr>
          <w:p w:rsidR="00000000" w:rsidRDefault="008B747E">
            <w:pPr>
              <w:rPr>
                <w:rFonts w:eastAsia="Times New Roman"/>
                <w:sz w:val="20"/>
                <w:szCs w:val="20"/>
              </w:rPr>
            </w:pPr>
            <w:r>
              <w:rPr>
                <w:rFonts w:eastAsia="Times New Roman"/>
                <w:color w:val="000000"/>
                <w:sz w:val="20"/>
                <w:szCs w:val="20"/>
              </w:rPr>
              <w:t>Share-based compensation, which includes expenses associated with our equity plans;</w:t>
            </w:r>
          </w:p>
        </w:tc>
      </w:tr>
    </w:tbl>
    <w:p w:rsidR="00000000" w:rsidRDefault="008B747E">
      <w:pPr>
        <w:pStyle w:val="a3"/>
        <w:spacing w:before="0" w:beforeAutospacing="0" w:after="0" w:afterAutospacing="0"/>
        <w:ind w:left="720" w:hanging="360"/>
        <w:divId w:val="174653567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46535674"/>
        </w:trPr>
        <w:tc>
          <w:tcPr>
            <w:tcW w:w="720" w:type="dxa"/>
            <w:vAlign w:val="center"/>
            <w:hideMark/>
          </w:tcPr>
          <w:p w:rsidR="00000000" w:rsidRDefault="008B747E">
            <w:pPr>
              <w:rPr>
                <w:sz w:val="20"/>
                <w:szCs w:val="20"/>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3)</w:t>
            </w:r>
          </w:p>
        </w:tc>
        <w:tc>
          <w:tcPr>
            <w:tcW w:w="0" w:type="auto"/>
            <w:tcMar>
              <w:top w:w="0" w:type="dxa"/>
              <w:left w:w="0" w:type="dxa"/>
              <w:bottom w:w="0" w:type="dxa"/>
              <w:right w:w="0" w:type="dxa"/>
            </w:tcMar>
            <w:vAlign w:val="center"/>
            <w:hideMark/>
          </w:tcPr>
          <w:p w:rsidR="00000000" w:rsidRDefault="008B747E">
            <w:pPr>
              <w:rPr>
                <w:rFonts w:eastAsia="Times New Roman"/>
                <w:sz w:val="20"/>
                <w:szCs w:val="20"/>
              </w:rPr>
            </w:pPr>
            <w:r>
              <w:rPr>
                <w:rFonts w:eastAsia="Times New Roman"/>
                <w:color w:val="000000"/>
                <w:sz w:val="20"/>
                <w:szCs w:val="20"/>
              </w:rPr>
              <w:t>External-related costs, which include clinical trial related expenses, other contract research fees, consulting fees, and contract manufacturing fees; and</w:t>
            </w:r>
          </w:p>
        </w:tc>
      </w:tr>
    </w:tbl>
    <w:p w:rsidR="00000000" w:rsidRDefault="008B747E">
      <w:pPr>
        <w:pStyle w:val="a3"/>
        <w:spacing w:before="0" w:beforeAutospacing="0" w:after="0" w:afterAutospacing="0"/>
        <w:ind w:left="720" w:hanging="360"/>
        <w:divId w:val="1746535674"/>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46535674"/>
        </w:trPr>
        <w:tc>
          <w:tcPr>
            <w:tcW w:w="720" w:type="dxa"/>
            <w:vAlign w:val="center"/>
            <w:hideMark/>
          </w:tcPr>
          <w:p w:rsidR="00000000" w:rsidRDefault="008B747E">
            <w:pPr>
              <w:rPr>
                <w:sz w:val="20"/>
                <w:szCs w:val="20"/>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4)</w:t>
            </w:r>
          </w:p>
        </w:tc>
        <w:tc>
          <w:tcPr>
            <w:tcW w:w="0" w:type="auto"/>
            <w:tcMar>
              <w:top w:w="0" w:type="dxa"/>
              <w:left w:w="0" w:type="dxa"/>
              <w:bottom w:w="0" w:type="dxa"/>
              <w:right w:w="0" w:type="dxa"/>
            </w:tcMar>
            <w:vAlign w:val="center"/>
            <w:hideMark/>
          </w:tcPr>
          <w:p w:rsidR="00000000" w:rsidRDefault="008B747E">
            <w:pPr>
              <w:rPr>
                <w:rFonts w:eastAsia="Times New Roman"/>
                <w:sz w:val="20"/>
                <w:szCs w:val="20"/>
              </w:rPr>
            </w:pPr>
            <w:r>
              <w:rPr>
                <w:rFonts w:eastAsia="Times New Roman"/>
                <w:color w:val="000000"/>
                <w:sz w:val="20"/>
                <w:szCs w:val="20"/>
              </w:rPr>
              <w:t>Facilities and other, which include laboratory and office supplies, depreciation and other all</w:t>
            </w:r>
            <w:r>
              <w:rPr>
                <w:rFonts w:eastAsia="Times New Roman"/>
                <w:color w:val="000000"/>
                <w:sz w:val="20"/>
                <w:szCs w:val="20"/>
              </w:rPr>
              <w:t>ocated expenses, which include general and administrative support functions, insurance and general supplies.</w:t>
            </w:r>
          </w:p>
        </w:tc>
      </w:tr>
    </w:tbl>
    <w:p w:rsidR="00000000" w:rsidRDefault="008B747E">
      <w:pPr>
        <w:pStyle w:val="a3"/>
        <w:spacing w:before="0" w:beforeAutospacing="0" w:after="0" w:afterAutospacing="0"/>
        <w:divId w:val="1746535674"/>
        <w:rPr>
          <w:sz w:val="20"/>
          <w:szCs w:val="20"/>
        </w:rPr>
      </w:pPr>
      <w:r>
        <w:rPr>
          <w:sz w:val="20"/>
          <w:szCs w:val="20"/>
        </w:rPr>
        <w:t>​</w:t>
      </w:r>
    </w:p>
    <w:p w:rsidR="00000000" w:rsidRDefault="008B747E">
      <w:pPr>
        <w:pStyle w:val="a3"/>
        <w:spacing w:before="0" w:beforeAutospacing="0" w:after="0" w:afterAutospacing="0"/>
        <w:ind w:firstLine="720"/>
        <w:divId w:val="1746535674"/>
        <w:rPr>
          <w:sz w:val="20"/>
          <w:szCs w:val="20"/>
        </w:rPr>
      </w:pPr>
      <w:r>
        <w:rPr>
          <w:sz w:val="20"/>
          <w:szCs w:val="20"/>
        </w:rPr>
        <w:t>The following table summarizes our R&amp;D expenses incurred, net of any reimbursements from collaboration partners, as compared to the comparable p</w:t>
      </w:r>
      <w:r>
        <w:rPr>
          <w:sz w:val="20"/>
          <w:szCs w:val="20"/>
        </w:rPr>
        <w:t>eriods in the prior year:</w:t>
      </w:r>
    </w:p>
    <w:p w:rsidR="00000000" w:rsidRDefault="008B747E">
      <w:pPr>
        <w:pStyle w:val="a3"/>
        <w:spacing w:before="0" w:beforeAutospacing="0" w:after="0" w:afterAutospacing="0"/>
        <w:divId w:val="174653567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616"/>
        <w:gridCol w:w="160"/>
        <w:gridCol w:w="100"/>
        <w:gridCol w:w="610"/>
        <w:gridCol w:w="160"/>
        <w:gridCol w:w="100"/>
        <w:gridCol w:w="610"/>
        <w:gridCol w:w="160"/>
        <w:gridCol w:w="100"/>
        <w:gridCol w:w="584"/>
        <w:gridCol w:w="160"/>
        <w:gridCol w:w="334"/>
        <w:gridCol w:w="267"/>
        <w:gridCol w:w="160"/>
        <w:gridCol w:w="100"/>
        <w:gridCol w:w="610"/>
        <w:gridCol w:w="160"/>
        <w:gridCol w:w="100"/>
        <w:gridCol w:w="610"/>
        <w:gridCol w:w="160"/>
        <w:gridCol w:w="100"/>
        <w:gridCol w:w="584"/>
        <w:gridCol w:w="160"/>
        <w:gridCol w:w="334"/>
        <w:gridCol w:w="267"/>
      </w:tblGrid>
      <w:tr w:rsidR="00000000">
        <w:trPr>
          <w:divId w:val="1746535674"/>
          <w:trHeight w:val="20"/>
        </w:trPr>
        <w:tc>
          <w:tcPr>
            <w:tcW w:w="1433" w:type="pct"/>
            <w:tcMar>
              <w:top w:w="0" w:type="dxa"/>
              <w:left w:w="0" w:type="dxa"/>
              <w:bottom w:w="0" w:type="dxa"/>
              <w:right w:w="0" w:type="dxa"/>
            </w:tcMar>
            <w:vAlign w:val="bottom"/>
            <w:hideMark/>
          </w:tcPr>
          <w:p w:rsidR="00000000" w:rsidRDefault="008B747E">
            <w:pPr>
              <w:pStyle w:val="a3"/>
              <w:spacing w:before="0" w:beforeAutospacing="0" w:after="0" w:afterAutospacing="0"/>
              <w:divId w:val="804348969"/>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26740225"/>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9501429"/>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338342539"/>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873495792"/>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51800311"/>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3479689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46278752"/>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581112098"/>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219244379"/>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30888163"/>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569736203"/>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093623867"/>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302468471"/>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954434234"/>
              <w:rPr>
                <w:sz w:val="20"/>
                <w:szCs w:val="20"/>
              </w:rPr>
            </w:pPr>
            <w:r>
              <w:rPr>
                <w:sz w:val="2"/>
                <w:szCs w:val="2"/>
              </w:rPr>
              <w:t>​</w:t>
            </w:r>
          </w:p>
        </w:tc>
        <w:tc>
          <w:tcPr>
            <w:tcW w:w="376"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87484932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31865097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469055679"/>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31745921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414932715"/>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117528573"/>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76922824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11350725"/>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69092567"/>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262371750"/>
              <w:rPr>
                <w:sz w:val="20"/>
                <w:szCs w:val="20"/>
              </w:rPr>
            </w:pPr>
            <w:r>
              <w:rPr>
                <w:sz w:val="2"/>
                <w:szCs w:val="2"/>
              </w:rPr>
              <w:t>​</w:t>
            </w:r>
          </w:p>
        </w:tc>
      </w:tr>
      <w:tr w:rsidR="00000000">
        <w:trPr>
          <w:divId w:val="1746535674"/>
        </w:trPr>
        <w:tc>
          <w:tcPr>
            <w:tcW w:w="1433"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833" w:type="pct"/>
            <w:gridSpan w:val="5"/>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Three Months Ended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1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90"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3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882" w:type="pct"/>
            <w:gridSpan w:val="5"/>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Six Months Ended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1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90"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3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r>
      <w:tr w:rsidR="00000000">
        <w:trPr>
          <w:divId w:val="1746535674"/>
        </w:trPr>
        <w:tc>
          <w:tcPr>
            <w:tcW w:w="1433"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83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633"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Change</w:t>
            </w:r>
          </w:p>
        </w:tc>
        <w:tc>
          <w:tcPr>
            <w:tcW w:w="13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882"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633"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Change</w:t>
            </w:r>
          </w:p>
        </w:tc>
        <w:tc>
          <w:tcPr>
            <w:tcW w:w="13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r>
      <w:tr w:rsidR="00000000">
        <w:trPr>
          <w:divId w:val="1746535674"/>
        </w:trPr>
        <w:tc>
          <w:tcPr>
            <w:tcW w:w="1433" w:type="pct"/>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(In thousands)</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36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19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13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42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36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19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13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r>
      <w:tr w:rsidR="00000000">
        <w:trPr>
          <w:divId w:val="1746535674"/>
        </w:trPr>
        <w:tc>
          <w:tcPr>
            <w:tcW w:w="1433"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Employee-related</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12,40</w:t>
            </w:r>
            <w:r>
              <w:rPr>
                <w:sz w:val="20"/>
                <w:szCs w:val="20"/>
              </w:rPr>
              <w:t>9</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15,59</w:t>
            </w:r>
            <w:r>
              <w:rPr>
                <w:sz w:val="20"/>
                <w:szCs w:val="20"/>
              </w:rPr>
              <w:t>1</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(3,182</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(20</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7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30,80</w:t>
            </w:r>
            <w:r>
              <w:rPr>
                <w:sz w:val="20"/>
                <w:szCs w:val="20"/>
              </w:rPr>
              <w:t>4</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32,38</w:t>
            </w:r>
            <w:r>
              <w:rPr>
                <w:sz w:val="20"/>
                <w:szCs w:val="20"/>
              </w:rPr>
              <w:t>5</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(1,581</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(5</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r>
      <w:tr w:rsidR="00000000">
        <w:trPr>
          <w:divId w:val="1746535674"/>
        </w:trPr>
        <w:tc>
          <w:tcPr>
            <w:tcW w:w="1433"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Share-based compensation</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27"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5,72</w:t>
            </w:r>
            <w:r>
              <w:rPr>
                <w:sz w:val="20"/>
                <w:szCs w:val="20"/>
              </w:rPr>
              <w:t>0</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27"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6,90</w:t>
            </w:r>
            <w:r>
              <w:rPr>
                <w:sz w:val="20"/>
                <w:szCs w:val="20"/>
              </w:rPr>
              <w:t>3</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14"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(1,183</w:t>
            </w:r>
            <w:r>
              <w:rPr>
                <w:sz w:val="20"/>
                <w:szCs w:val="20"/>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90"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(17</w:t>
            </w:r>
            <w:r>
              <w:rPr>
                <w:sz w:val="20"/>
                <w:szCs w:val="20"/>
              </w:rPr>
              <w:t>)</w:t>
            </w:r>
          </w:p>
        </w:tc>
        <w:tc>
          <w:tcPr>
            <w:tcW w:w="132"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76"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11,88</w:t>
            </w:r>
            <w:r>
              <w:rPr>
                <w:sz w:val="20"/>
                <w:szCs w:val="20"/>
              </w:rPr>
              <w:t>0</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27"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13,46</w:t>
            </w:r>
            <w:r>
              <w:rPr>
                <w:sz w:val="20"/>
                <w:szCs w:val="20"/>
              </w:rPr>
              <w:t>3</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14"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(1,583</w:t>
            </w:r>
            <w:r>
              <w:rPr>
                <w:sz w:val="20"/>
                <w:szCs w:val="20"/>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190"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(12</w:t>
            </w:r>
            <w:r>
              <w:rPr>
                <w:sz w:val="20"/>
                <w:szCs w:val="20"/>
              </w:rPr>
              <w:t>)</w:t>
            </w:r>
          </w:p>
        </w:tc>
        <w:tc>
          <w:tcPr>
            <w:tcW w:w="132"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r>
    </w:tbl>
    <w:p w:rsidR="00000000" w:rsidRDefault="008B747E">
      <w:pPr>
        <w:pStyle w:val="a3"/>
        <w:spacing w:before="360" w:beforeAutospacing="0" w:after="0" w:afterAutospacing="0"/>
        <w:jc w:val="center"/>
        <w:divId w:val="1795051104"/>
        <w:rPr>
          <w:sz w:val="20"/>
          <w:szCs w:val="20"/>
        </w:rPr>
      </w:pPr>
      <w:r>
        <w:rPr>
          <w:sz w:val="20"/>
          <w:szCs w:val="20"/>
        </w:rPr>
        <w:t>27</w:t>
      </w:r>
    </w:p>
    <w:p w:rsidR="00000000" w:rsidRDefault="008B747E">
      <w:pPr>
        <w:pStyle w:val="a3"/>
        <w:spacing w:before="0" w:beforeAutospacing="0" w:after="600" w:afterAutospacing="0"/>
        <w:divId w:val="283508956"/>
        <w:rPr>
          <w:sz w:val="20"/>
          <w:szCs w:val="20"/>
        </w:rPr>
      </w:pPr>
      <w:hyperlink w:anchor="TOC" w:history="1">
        <w:r>
          <w:rPr>
            <w:rStyle w:val="a4"/>
            <w:sz w:val="20"/>
            <w:szCs w:val="20"/>
          </w:rPr>
          <w:t>Table of Contents</w:t>
        </w:r>
      </w:hyperlink>
    </w:p>
    <w:tbl>
      <w:tblPr>
        <w:tblW w:w="5000" w:type="pct"/>
        <w:tblCellMar>
          <w:top w:w="15" w:type="dxa"/>
          <w:left w:w="0" w:type="dxa"/>
          <w:bottom w:w="15" w:type="dxa"/>
          <w:right w:w="0" w:type="dxa"/>
        </w:tblCellMar>
        <w:tblLook w:val="04A0" w:firstRow="1" w:lastRow="0" w:firstColumn="1" w:lastColumn="0" w:noHBand="0" w:noVBand="1"/>
      </w:tblPr>
      <w:tblGrid>
        <w:gridCol w:w="2330"/>
        <w:gridCol w:w="76"/>
        <w:gridCol w:w="100"/>
        <w:gridCol w:w="610"/>
        <w:gridCol w:w="76"/>
        <w:gridCol w:w="100"/>
        <w:gridCol w:w="610"/>
        <w:gridCol w:w="76"/>
        <w:gridCol w:w="100"/>
        <w:gridCol w:w="584"/>
        <w:gridCol w:w="76"/>
        <w:gridCol w:w="261"/>
        <w:gridCol w:w="267"/>
        <w:gridCol w:w="76"/>
        <w:gridCol w:w="100"/>
        <w:gridCol w:w="710"/>
        <w:gridCol w:w="77"/>
        <w:gridCol w:w="100"/>
        <w:gridCol w:w="610"/>
        <w:gridCol w:w="77"/>
        <w:gridCol w:w="100"/>
        <w:gridCol w:w="584"/>
        <w:gridCol w:w="77"/>
        <w:gridCol w:w="262"/>
        <w:gridCol w:w="267"/>
      </w:tblGrid>
      <w:tr w:rsidR="00000000">
        <w:trPr>
          <w:divId w:val="91247666"/>
        </w:trPr>
        <w:tc>
          <w:tcPr>
            <w:tcW w:w="1433"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External-related</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2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19,91</w:t>
            </w:r>
            <w:r>
              <w:rPr>
                <w:sz w:val="20"/>
                <w:szCs w:val="20"/>
              </w:rPr>
              <w:t>4</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2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17,57</w:t>
            </w:r>
            <w:r>
              <w:rPr>
                <w:sz w:val="20"/>
                <w:szCs w:val="20"/>
              </w:rPr>
              <w:t>0</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1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2,34</w:t>
            </w:r>
            <w:r>
              <w:rPr>
                <w:sz w:val="20"/>
                <w:szCs w:val="20"/>
              </w:rPr>
              <w:t>4</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w:t>
            </w:r>
            <w:r>
              <w:rPr>
                <w:sz w:val="20"/>
                <w:szCs w:val="20"/>
              </w:rPr>
              <w:t>3</w:t>
            </w:r>
          </w:p>
        </w:tc>
        <w:tc>
          <w:tcPr>
            <w:tcW w:w="13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7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40,58</w:t>
            </w:r>
            <w:r>
              <w:rPr>
                <w:sz w:val="20"/>
                <w:szCs w:val="20"/>
              </w:rPr>
              <w:t>2</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2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32,33</w:t>
            </w:r>
            <w:r>
              <w:rPr>
                <w:sz w:val="20"/>
                <w:szCs w:val="20"/>
              </w:rPr>
              <w:t>4</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1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8,24</w:t>
            </w:r>
            <w:r>
              <w:rPr>
                <w:sz w:val="20"/>
                <w:szCs w:val="20"/>
              </w:rPr>
              <w:t>8</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w:t>
            </w:r>
            <w:r>
              <w:rPr>
                <w:sz w:val="20"/>
                <w:szCs w:val="20"/>
              </w:rPr>
              <w:t>6</w:t>
            </w:r>
          </w:p>
        </w:tc>
        <w:tc>
          <w:tcPr>
            <w:tcW w:w="13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r>
      <w:tr w:rsidR="00000000">
        <w:trPr>
          <w:divId w:val="91247666"/>
        </w:trPr>
        <w:tc>
          <w:tcPr>
            <w:tcW w:w="1433"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Facilities, depreciation and other allocated expenses</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27"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8,35</w:t>
            </w:r>
            <w:r>
              <w:rPr>
                <w:sz w:val="20"/>
                <w:szCs w:val="20"/>
              </w:rPr>
              <w:t>6</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27"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8,55</w:t>
            </w:r>
            <w:r>
              <w:rPr>
                <w:sz w:val="20"/>
                <w:szCs w:val="20"/>
              </w:rPr>
              <w:t>7</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14"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(201</w:t>
            </w:r>
            <w:r>
              <w:rPr>
                <w:sz w:val="20"/>
                <w:szCs w:val="20"/>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(2</w:t>
            </w:r>
            <w:r>
              <w:rPr>
                <w:sz w:val="20"/>
                <w:szCs w:val="20"/>
              </w:rPr>
              <w:t>)</w:t>
            </w:r>
          </w:p>
        </w:tc>
        <w:tc>
          <w:tcPr>
            <w:tcW w:w="132"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76"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16,95</w:t>
            </w:r>
            <w:r>
              <w:rPr>
                <w:sz w:val="20"/>
                <w:szCs w:val="20"/>
              </w:rPr>
              <w:t>1</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27"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18,20</w:t>
            </w:r>
            <w:r>
              <w:rPr>
                <w:sz w:val="20"/>
                <w:szCs w:val="20"/>
              </w:rPr>
              <w:t>4</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14"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(1,253</w:t>
            </w:r>
            <w:r>
              <w:rPr>
                <w:sz w:val="20"/>
                <w:szCs w:val="20"/>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190" w:type="pct"/>
            <w:tcBorders>
              <w:bottom w:val="single" w:sz="6" w:space="0" w:color="000000"/>
            </w:tcBorders>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(7</w:t>
            </w:r>
            <w:r>
              <w:rPr>
                <w:sz w:val="20"/>
                <w:szCs w:val="20"/>
              </w:rPr>
              <w:t>)</w:t>
            </w:r>
          </w:p>
        </w:tc>
        <w:tc>
          <w:tcPr>
            <w:tcW w:w="132"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r>
      <w:tr w:rsidR="00000000">
        <w:trPr>
          <w:divId w:val="91247666"/>
        </w:trPr>
        <w:tc>
          <w:tcPr>
            <w:tcW w:w="1433"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ind w:left="120"/>
              <w:rPr>
                <w:sz w:val="20"/>
                <w:szCs w:val="20"/>
              </w:rPr>
            </w:pPr>
            <w:r>
              <w:rPr>
                <w:sz w:val="20"/>
                <w:szCs w:val="20"/>
              </w:rPr>
              <w:t>Total research &amp; development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46,39</w:t>
            </w:r>
            <w:r>
              <w:rPr>
                <w:sz w:val="20"/>
                <w:szCs w:val="20"/>
              </w:rPr>
              <w:t>9</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48,62</w:t>
            </w:r>
            <w:r>
              <w:rPr>
                <w:sz w:val="20"/>
                <w:szCs w:val="20"/>
              </w:rPr>
              <w:t>1</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(2,222</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(5</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76"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100,21</w:t>
            </w:r>
            <w:r>
              <w:rPr>
                <w:sz w:val="20"/>
                <w:szCs w:val="20"/>
              </w:rPr>
              <w:t>7</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27"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96,38</w:t>
            </w:r>
            <w:r>
              <w:rPr>
                <w:sz w:val="20"/>
                <w:szCs w:val="20"/>
              </w:rPr>
              <w:t>6</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4"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3,83</w:t>
            </w:r>
            <w:r>
              <w:rPr>
                <w:sz w:val="20"/>
                <w:szCs w:val="20"/>
              </w:rPr>
              <w:t>1</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190" w:type="pct"/>
            <w:tcBorders>
              <w:bottom w:val="double" w:sz="6" w:space="0" w:color="000000"/>
            </w:tcBorders>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4</w:t>
            </w:r>
          </w:p>
        </w:tc>
        <w:tc>
          <w:tcPr>
            <w:tcW w:w="13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r>
    </w:tbl>
    <w:p w:rsidR="00000000" w:rsidRDefault="008B747E">
      <w:pPr>
        <w:pStyle w:val="a3"/>
        <w:spacing w:before="0" w:beforeAutospacing="0" w:after="0" w:afterAutospacing="0"/>
        <w:divId w:val="91247666"/>
        <w:rPr>
          <w:sz w:val="20"/>
          <w:szCs w:val="20"/>
        </w:rPr>
      </w:pPr>
      <w:r>
        <w:rPr>
          <w:sz w:val="20"/>
          <w:szCs w:val="20"/>
        </w:rPr>
        <w:t>​</w:t>
      </w:r>
    </w:p>
    <w:p w:rsidR="00000000" w:rsidRDefault="008B747E">
      <w:pPr>
        <w:pStyle w:val="a3"/>
        <w:spacing w:before="0" w:beforeAutospacing="0" w:after="0" w:afterAutospacing="0"/>
        <w:ind w:firstLine="720"/>
        <w:divId w:val="91247666"/>
        <w:rPr>
          <w:sz w:val="20"/>
          <w:szCs w:val="20"/>
        </w:rPr>
      </w:pPr>
      <w:r>
        <w:rPr>
          <w:sz w:val="20"/>
          <w:szCs w:val="20"/>
        </w:rPr>
        <w:t>R&amp;</w:t>
      </w:r>
      <w:r>
        <w:rPr>
          <w:sz w:val="20"/>
          <w:szCs w:val="20"/>
        </w:rPr>
        <w:t xml:space="preserve">D expenses decreased by $2.2 million for the three months ended June 30, 2019 compared to same period in 2018. The decrease was primarily due to a $3.2 million decrease in employee-related expenses, a $1.2 million decrease in share-based compensation, and </w:t>
      </w:r>
      <w:r>
        <w:rPr>
          <w:sz w:val="20"/>
          <w:szCs w:val="20"/>
        </w:rPr>
        <w:t>a $2.3 million increase in external-related expenses. The decrease in employee-related expenses was primarily due to a $4.1 million reduction in payroll-related expenses resulting from our workforce reduction in the first quarter of 2019 which was partiall</w:t>
      </w:r>
      <w:r>
        <w:rPr>
          <w:sz w:val="20"/>
          <w:szCs w:val="20"/>
        </w:rPr>
        <w:t>y offset by a $0.9 million a decrease in employee-related expense reimbursements under certain collaborative arrangements. The $1.2 million decrease in share-based compensation expense was primarily due to lower long-term retention and incentive awards. Th</w:t>
      </w:r>
      <w:r>
        <w:rPr>
          <w:sz w:val="20"/>
          <w:szCs w:val="20"/>
        </w:rPr>
        <w:t>e $2.3 million increase in external-related expenses was primarily related to our ongoing late-stage clinical programs in TD-1473 (our gut-selective pan-JAK inhibitor) and ampreloxetine (a norepinephrine serotonin reuptake inhibitor (“NSRI”)) in neurogenic</w:t>
      </w:r>
      <w:r>
        <w:rPr>
          <w:sz w:val="20"/>
          <w:szCs w:val="20"/>
        </w:rPr>
        <w:t xml:space="preserve"> orthostatic hypotension (“nOH”), as well as continued investment in our research and preclinical programs. These external-related expense increases were partially offset by the termination of the Phase 3 Bacteremia study of VIBATIV.</w:t>
      </w:r>
    </w:p>
    <w:p w:rsidR="00000000" w:rsidRDefault="008B747E">
      <w:pPr>
        <w:pStyle w:val="a3"/>
        <w:spacing w:before="0" w:beforeAutospacing="0" w:after="0" w:afterAutospacing="0"/>
        <w:ind w:firstLine="720"/>
        <w:divId w:val="91247666"/>
        <w:rPr>
          <w:sz w:val="20"/>
          <w:szCs w:val="20"/>
        </w:rPr>
      </w:pPr>
      <w:r>
        <w:rPr>
          <w:sz w:val="20"/>
          <w:szCs w:val="20"/>
        </w:rPr>
        <w:t>​</w:t>
      </w:r>
    </w:p>
    <w:p w:rsidR="00000000" w:rsidRDefault="008B747E">
      <w:pPr>
        <w:pStyle w:val="a3"/>
        <w:spacing w:before="0" w:beforeAutospacing="0" w:after="0" w:afterAutospacing="0"/>
        <w:ind w:firstLine="720"/>
        <w:divId w:val="91247666"/>
        <w:rPr>
          <w:sz w:val="20"/>
          <w:szCs w:val="20"/>
        </w:rPr>
      </w:pPr>
      <w:r>
        <w:rPr>
          <w:sz w:val="20"/>
          <w:szCs w:val="20"/>
        </w:rPr>
        <w:t>R&amp;D expenses increas</w:t>
      </w:r>
      <w:r>
        <w:rPr>
          <w:sz w:val="20"/>
          <w:szCs w:val="20"/>
        </w:rPr>
        <w:t>ed by $3.8 million for the six months ended June 30, 2019 compared to same period in 2018. The increase was primarily due to an $8.2 million increase in external-related expenses related to our ongoing late-stage clinical programs in TD-1473 and ampreloxet</w:t>
      </w:r>
      <w:r>
        <w:rPr>
          <w:sz w:val="20"/>
          <w:szCs w:val="20"/>
        </w:rPr>
        <w:t>ine, as well as continued investment in our research and preclinical programs. These external-related expense increases were partially offset by the termination of the Phase 3 Bacteremia study of VIBATIV. Similar to the three months ended June 30, 2019, th</w:t>
      </w:r>
      <w:r>
        <w:rPr>
          <w:sz w:val="20"/>
          <w:szCs w:val="20"/>
        </w:rPr>
        <w:t xml:space="preserve">e aggregate $8.2 million increase in external related expenses was partially offset by a $1.6 million decrease in employee-related expense and another $1.6 million decrease related to share-based compensation expense. In addition, other expenses decreased </w:t>
      </w:r>
      <w:r>
        <w:rPr>
          <w:sz w:val="20"/>
          <w:szCs w:val="20"/>
        </w:rPr>
        <w:t>by $1.3 million and was primarily driven by lower laboratory supplies expense resulting from the workforce reduction in first quarter of 2019.</w:t>
      </w:r>
    </w:p>
    <w:p w:rsidR="00000000" w:rsidRDefault="008B747E">
      <w:pPr>
        <w:pStyle w:val="a3"/>
        <w:spacing w:before="0" w:beforeAutospacing="0" w:after="0" w:afterAutospacing="0"/>
        <w:divId w:val="91247666"/>
        <w:rPr>
          <w:sz w:val="20"/>
          <w:szCs w:val="20"/>
        </w:rPr>
      </w:pPr>
      <w:r>
        <w:rPr>
          <w:sz w:val="20"/>
          <w:szCs w:val="20"/>
        </w:rPr>
        <w:t>​</w:t>
      </w:r>
    </w:p>
    <w:p w:rsidR="00000000" w:rsidRDefault="008B747E">
      <w:pPr>
        <w:pStyle w:val="a3"/>
        <w:spacing w:before="0" w:beforeAutospacing="0" w:after="0" w:afterAutospacing="0"/>
        <w:ind w:firstLine="720"/>
        <w:divId w:val="91247666"/>
        <w:rPr>
          <w:sz w:val="20"/>
          <w:szCs w:val="20"/>
        </w:rPr>
      </w:pPr>
      <w:r>
        <w:rPr>
          <w:sz w:val="20"/>
          <w:szCs w:val="20"/>
        </w:rPr>
        <w:t>Under certain of our collaborative arrangements, we receive partial reimbursement of employee-related costs and</w:t>
      </w:r>
      <w:r>
        <w:rPr>
          <w:sz w:val="20"/>
          <w:szCs w:val="20"/>
        </w:rPr>
        <w:t xml:space="preserve"> external costs, which have been reflected as a reduction of R&amp;D expenses of $0.8 million and $1.4 million for the three months ended June 30, 2019 and 2018, respectively, and $2.4 million and $3.2 million for the six months ended June 30, 2019 and 2018, r</w:t>
      </w:r>
      <w:r>
        <w:rPr>
          <w:sz w:val="20"/>
          <w:szCs w:val="20"/>
        </w:rPr>
        <w:t xml:space="preserve">espectively. The decreases in expense reimbursements were primarily attributed to the wind down of the revefenacin development program following our submission of the NDA in November 2017. </w:t>
      </w:r>
    </w:p>
    <w:p w:rsidR="00000000" w:rsidRDefault="008B747E">
      <w:pPr>
        <w:pStyle w:val="a3"/>
        <w:spacing w:before="0" w:beforeAutospacing="0" w:after="0" w:afterAutospacing="0"/>
        <w:ind w:firstLine="720"/>
        <w:divId w:val="91247666"/>
        <w:rPr>
          <w:sz w:val="20"/>
          <w:szCs w:val="20"/>
        </w:rPr>
      </w:pPr>
      <w:r>
        <w:rPr>
          <w:sz w:val="20"/>
          <w:szCs w:val="20"/>
        </w:rPr>
        <w:t>​</w:t>
      </w:r>
    </w:p>
    <w:p w:rsidR="00000000" w:rsidRDefault="008B747E">
      <w:pPr>
        <w:pStyle w:val="a3"/>
        <w:spacing w:before="0" w:beforeAutospacing="0" w:after="0" w:afterAutospacing="0"/>
        <w:divId w:val="91247666"/>
        <w:rPr>
          <w:sz w:val="20"/>
          <w:szCs w:val="20"/>
        </w:rPr>
      </w:pPr>
      <w:r>
        <w:rPr>
          <w:b/>
          <w:bCs/>
          <w:i/>
          <w:iCs/>
          <w:sz w:val="20"/>
          <w:szCs w:val="20"/>
        </w:rPr>
        <w:t>Selling, General and Administrative Expenses</w:t>
      </w:r>
    </w:p>
    <w:p w:rsidR="00000000" w:rsidRDefault="008B747E">
      <w:pPr>
        <w:pStyle w:val="a3"/>
        <w:spacing w:before="0" w:beforeAutospacing="0" w:after="0" w:afterAutospacing="0"/>
        <w:divId w:val="91247666"/>
        <w:rPr>
          <w:sz w:val="20"/>
          <w:szCs w:val="20"/>
        </w:rPr>
      </w:pPr>
      <w:r>
        <w:rPr>
          <w:sz w:val="10"/>
          <w:szCs w:val="10"/>
        </w:rPr>
        <w:t>​</w:t>
      </w:r>
    </w:p>
    <w:p w:rsidR="00000000" w:rsidRDefault="008B747E">
      <w:pPr>
        <w:pStyle w:val="a3"/>
        <w:spacing w:before="0" w:beforeAutospacing="0" w:after="0" w:afterAutospacing="0"/>
        <w:ind w:firstLine="720"/>
        <w:divId w:val="91247666"/>
        <w:rPr>
          <w:sz w:val="20"/>
          <w:szCs w:val="20"/>
        </w:rPr>
      </w:pPr>
      <w:r>
        <w:rPr>
          <w:sz w:val="20"/>
          <w:szCs w:val="20"/>
        </w:rPr>
        <w:t xml:space="preserve">Selling, general </w:t>
      </w:r>
      <w:r>
        <w:rPr>
          <w:sz w:val="20"/>
          <w:szCs w:val="20"/>
        </w:rPr>
        <w:t>and administrative expenses, as compared to the comparable periods in the prior year, were as follows:</w:t>
      </w:r>
    </w:p>
    <w:p w:rsidR="00000000" w:rsidRDefault="008B747E">
      <w:pPr>
        <w:pStyle w:val="a3"/>
        <w:spacing w:before="0" w:beforeAutospacing="0" w:after="0" w:afterAutospacing="0"/>
        <w:divId w:val="91247666"/>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556"/>
        <w:gridCol w:w="160"/>
        <w:gridCol w:w="100"/>
        <w:gridCol w:w="610"/>
        <w:gridCol w:w="160"/>
        <w:gridCol w:w="100"/>
        <w:gridCol w:w="610"/>
        <w:gridCol w:w="160"/>
        <w:gridCol w:w="100"/>
        <w:gridCol w:w="584"/>
        <w:gridCol w:w="160"/>
        <w:gridCol w:w="334"/>
        <w:gridCol w:w="267"/>
        <w:gridCol w:w="160"/>
        <w:gridCol w:w="100"/>
        <w:gridCol w:w="610"/>
        <w:gridCol w:w="160"/>
        <w:gridCol w:w="100"/>
        <w:gridCol w:w="610"/>
        <w:gridCol w:w="160"/>
        <w:gridCol w:w="100"/>
        <w:gridCol w:w="584"/>
        <w:gridCol w:w="160"/>
        <w:gridCol w:w="234"/>
        <w:gridCol w:w="267"/>
        <w:gridCol w:w="160"/>
      </w:tblGrid>
      <w:tr w:rsidR="00000000">
        <w:trPr>
          <w:divId w:val="91247666"/>
          <w:trHeight w:val="20"/>
        </w:trPr>
        <w:tc>
          <w:tcPr>
            <w:tcW w:w="1453" w:type="pct"/>
            <w:tcMar>
              <w:top w:w="0" w:type="dxa"/>
              <w:left w:w="0" w:type="dxa"/>
              <w:bottom w:w="0" w:type="dxa"/>
              <w:right w:w="0" w:type="dxa"/>
            </w:tcMar>
            <w:vAlign w:val="bottom"/>
            <w:hideMark/>
          </w:tcPr>
          <w:p w:rsidR="00000000" w:rsidRDefault="008B747E">
            <w:pPr>
              <w:pStyle w:val="a3"/>
              <w:spacing w:before="0" w:beforeAutospacing="0" w:after="0" w:afterAutospacing="0"/>
              <w:divId w:val="1316184358"/>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68853140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788351926"/>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739815712"/>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314649049"/>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359626609"/>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196576574"/>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884760472"/>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415933846"/>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86235111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800341130"/>
              <w:rPr>
                <w:sz w:val="20"/>
                <w:szCs w:val="20"/>
              </w:rPr>
            </w:pPr>
            <w:r>
              <w:rPr>
                <w:sz w:val="2"/>
                <w:szCs w:val="2"/>
              </w:rPr>
              <w:t>​</w:t>
            </w:r>
          </w:p>
        </w:tc>
        <w:tc>
          <w:tcPr>
            <w:tcW w:w="190"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449056662"/>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550189217"/>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197502455"/>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36124300"/>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66298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6504209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24850565"/>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453404788"/>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32962640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413746567"/>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328602851"/>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875391517"/>
              <w:rPr>
                <w:sz w:val="20"/>
                <w:szCs w:val="20"/>
              </w:rPr>
            </w:pPr>
            <w:r>
              <w:rPr>
                <w:sz w:val="2"/>
                <w:szCs w:val="2"/>
              </w:rPr>
              <w:t>​</w:t>
            </w:r>
          </w:p>
        </w:tc>
        <w:tc>
          <w:tcPr>
            <w:tcW w:w="140"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704011097"/>
              <w:rPr>
                <w:sz w:val="20"/>
                <w:szCs w:val="20"/>
              </w:rPr>
            </w:pPr>
            <w:r>
              <w:rPr>
                <w:sz w:val="2"/>
                <w:szCs w:val="2"/>
              </w:rPr>
              <w:t>​</w:t>
            </w:r>
          </w:p>
        </w:tc>
        <w:tc>
          <w:tcPr>
            <w:tcW w:w="132"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703439463"/>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561915423"/>
              <w:rPr>
                <w:sz w:val="20"/>
                <w:szCs w:val="20"/>
              </w:rPr>
            </w:pPr>
            <w:r>
              <w:rPr>
                <w:sz w:val="2"/>
                <w:szCs w:val="2"/>
              </w:rPr>
              <w:t>​</w:t>
            </w:r>
          </w:p>
        </w:tc>
      </w:tr>
      <w:tr w:rsidR="00000000">
        <w:trPr>
          <w:divId w:val="91247666"/>
        </w:trPr>
        <w:tc>
          <w:tcPr>
            <w:tcW w:w="1453"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833" w:type="pct"/>
            <w:gridSpan w:val="5"/>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Three Months Ended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1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90"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3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833" w:type="pct"/>
            <w:gridSpan w:val="5"/>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Six Months Ended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1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40"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3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r>
      <w:tr w:rsidR="00000000">
        <w:trPr>
          <w:divId w:val="91247666"/>
        </w:trPr>
        <w:tc>
          <w:tcPr>
            <w:tcW w:w="1453"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83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633"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Change</w:t>
            </w:r>
          </w:p>
        </w:tc>
        <w:tc>
          <w:tcPr>
            <w:tcW w:w="13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83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584"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Change</w:t>
            </w:r>
          </w:p>
        </w:tc>
        <w:tc>
          <w:tcPr>
            <w:tcW w:w="13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r>
      <w:tr w:rsidR="00000000">
        <w:trPr>
          <w:divId w:val="91247666"/>
        </w:trPr>
        <w:tc>
          <w:tcPr>
            <w:tcW w:w="1453" w:type="pct"/>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(In thousands)</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37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37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36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19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13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37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36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14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13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r>
      <w:tr w:rsidR="008B747E">
        <w:trPr>
          <w:divId w:val="91247666"/>
        </w:trPr>
        <w:tc>
          <w:tcPr>
            <w:tcW w:w="1453"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Selling, general and administrative</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22,22</w:t>
            </w:r>
            <w:r>
              <w:rPr>
                <w:sz w:val="20"/>
                <w:szCs w:val="20"/>
              </w:rPr>
              <w:t>7</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25,00</w:t>
            </w:r>
            <w:r>
              <w:rPr>
                <w:sz w:val="20"/>
                <w:szCs w:val="20"/>
              </w:rPr>
              <w:t>7</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(2,780</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9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(11</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47,41</w:t>
            </w:r>
            <w:r>
              <w:rPr>
                <w:sz w:val="20"/>
                <w:szCs w:val="20"/>
              </w:rPr>
              <w:t>3</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49,71</w:t>
            </w:r>
            <w:r>
              <w:rPr>
                <w:sz w:val="20"/>
                <w:szCs w:val="20"/>
              </w:rPr>
              <w:t>1</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(2,298</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14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(5</w:t>
            </w:r>
            <w:r>
              <w:rPr>
                <w:sz w:val="20"/>
                <w:szCs w:val="20"/>
              </w:rPr>
              <w:t>)</w:t>
            </w:r>
          </w:p>
        </w:tc>
        <w:tc>
          <w:tcPr>
            <w:tcW w:w="13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bl>
    <w:p w:rsidR="00000000" w:rsidRDefault="008B747E">
      <w:pPr>
        <w:pStyle w:val="a3"/>
        <w:spacing w:before="0" w:beforeAutospacing="0" w:after="0" w:afterAutospacing="0"/>
        <w:divId w:val="91247666"/>
        <w:rPr>
          <w:sz w:val="20"/>
          <w:szCs w:val="20"/>
        </w:rPr>
      </w:pPr>
      <w:r>
        <w:rPr>
          <w:sz w:val="20"/>
          <w:szCs w:val="20"/>
        </w:rPr>
        <w:t>​</w:t>
      </w:r>
    </w:p>
    <w:p w:rsidR="00000000" w:rsidRDefault="008B747E">
      <w:pPr>
        <w:pStyle w:val="a3"/>
        <w:spacing w:before="0" w:beforeAutospacing="0" w:after="0" w:afterAutospacing="0"/>
        <w:ind w:firstLine="720"/>
        <w:divId w:val="91247666"/>
        <w:rPr>
          <w:sz w:val="20"/>
          <w:szCs w:val="20"/>
        </w:rPr>
      </w:pPr>
      <w:r>
        <w:rPr>
          <w:sz w:val="20"/>
          <w:szCs w:val="20"/>
        </w:rPr>
        <w:t xml:space="preserve">For the three months ended June 30, 2019, selling, general and administrative expenses decreased by $2.8 million compared to the same period in 2018. The decrease was primarily due to a $1.5 million decrease in external-related expenses and a $1.3 million </w:t>
      </w:r>
      <w:r>
        <w:rPr>
          <w:sz w:val="20"/>
          <w:szCs w:val="20"/>
        </w:rPr>
        <w:t>decrease in share-based compensation expense. The decrease in external-related expenses was primarily due to decreases in VIBATIV-related external services as a result of the sale of VIBATIV to Cumberland in November 2018 in addition to a decrease in gener</w:t>
      </w:r>
      <w:r>
        <w:rPr>
          <w:sz w:val="20"/>
          <w:szCs w:val="20"/>
        </w:rPr>
        <w:t>al and administrative and facilities-related consulting expenses. The decrease in share-based compensation expense was primarily due to lower long-term retention and incentive awards.</w:t>
      </w:r>
    </w:p>
    <w:p w:rsidR="00000000" w:rsidRDefault="008B747E">
      <w:pPr>
        <w:pStyle w:val="a3"/>
        <w:spacing w:before="0" w:beforeAutospacing="0" w:after="0" w:afterAutospacing="0"/>
        <w:ind w:firstLine="720"/>
        <w:divId w:val="91247666"/>
        <w:rPr>
          <w:sz w:val="20"/>
          <w:szCs w:val="20"/>
        </w:rPr>
      </w:pPr>
      <w:r>
        <w:rPr>
          <w:sz w:val="20"/>
          <w:szCs w:val="20"/>
        </w:rPr>
        <w:t>​</w:t>
      </w:r>
    </w:p>
    <w:p w:rsidR="00000000" w:rsidRDefault="008B747E">
      <w:pPr>
        <w:pStyle w:val="a3"/>
        <w:spacing w:before="0" w:beforeAutospacing="0" w:after="0" w:afterAutospacing="0"/>
        <w:ind w:firstLine="720"/>
        <w:divId w:val="91247666"/>
        <w:rPr>
          <w:sz w:val="20"/>
          <w:szCs w:val="20"/>
        </w:rPr>
      </w:pPr>
      <w:r>
        <w:rPr>
          <w:sz w:val="20"/>
          <w:szCs w:val="20"/>
        </w:rPr>
        <w:t>For the six months ended June 30, 2019, selling, general and administr</w:t>
      </w:r>
      <w:r>
        <w:rPr>
          <w:sz w:val="20"/>
          <w:szCs w:val="20"/>
        </w:rPr>
        <w:t>ative expenses decreased by $2.3 million compared to the same period in 2018. The decrease was primarily due to a $3.0 million decrease in external-related expenses and a $2.7 million decrease in share-based compensation expense. The decrease in external-r</w:t>
      </w:r>
      <w:r>
        <w:rPr>
          <w:sz w:val="20"/>
          <w:szCs w:val="20"/>
        </w:rPr>
        <w:t>elated expenses was primarily due to decreases in VIBATIV-related external services as a result of the sale of VIBATIV to Cumberland in November 2018 in addition to a decrease in general and administrative and facilities-related consulting expenses. The de</w:t>
      </w:r>
      <w:r>
        <w:rPr>
          <w:sz w:val="20"/>
          <w:szCs w:val="20"/>
        </w:rPr>
        <w:t xml:space="preserve">crease in share-based compensation expense was primarily due to lower long-term retention and incentive awards. The increases in external-related </w:t>
      </w:r>
    </w:p>
    <w:p w:rsidR="00000000" w:rsidRDefault="008B747E">
      <w:pPr>
        <w:pStyle w:val="a3"/>
        <w:spacing w:before="360" w:beforeAutospacing="0" w:after="0" w:afterAutospacing="0"/>
        <w:jc w:val="center"/>
        <w:divId w:val="605039727"/>
        <w:rPr>
          <w:sz w:val="20"/>
          <w:szCs w:val="20"/>
        </w:rPr>
      </w:pPr>
      <w:r>
        <w:rPr>
          <w:sz w:val="20"/>
          <w:szCs w:val="20"/>
        </w:rPr>
        <w:t>28</w:t>
      </w:r>
    </w:p>
    <w:p w:rsidR="00000000" w:rsidRDefault="008B747E">
      <w:pPr>
        <w:pStyle w:val="a3"/>
        <w:spacing w:before="0" w:beforeAutospacing="0" w:after="600" w:afterAutospacing="0"/>
        <w:divId w:val="1380544178"/>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1671374711"/>
        <w:rPr>
          <w:sz w:val="20"/>
          <w:szCs w:val="20"/>
        </w:rPr>
      </w:pPr>
      <w:r>
        <w:rPr>
          <w:sz w:val="20"/>
          <w:szCs w:val="20"/>
        </w:rPr>
        <w:t>expenses and share-based compensation expense were partially offset by a $1.5 million increase in facilities and other allocable expenses and $1.6 million in collaboration expenses payable to Mylan in connection with the commercial launch of YUPELRI that f</w:t>
      </w:r>
      <w:r>
        <w:rPr>
          <w:sz w:val="20"/>
          <w:szCs w:val="20"/>
        </w:rPr>
        <w:t>ormally began in the first quarter of 2019.</w:t>
      </w:r>
    </w:p>
    <w:p w:rsidR="00000000" w:rsidRDefault="008B747E">
      <w:pPr>
        <w:pStyle w:val="a3"/>
        <w:spacing w:before="0" w:beforeAutospacing="0" w:after="0" w:afterAutospacing="0"/>
        <w:divId w:val="1671374711"/>
        <w:rPr>
          <w:sz w:val="20"/>
          <w:szCs w:val="20"/>
        </w:rPr>
      </w:pPr>
      <w:r>
        <w:rPr>
          <w:sz w:val="20"/>
          <w:szCs w:val="20"/>
        </w:rPr>
        <w:t>​</w:t>
      </w:r>
    </w:p>
    <w:p w:rsidR="00000000" w:rsidRDefault="008B747E">
      <w:pPr>
        <w:pStyle w:val="a3"/>
        <w:spacing w:before="0" w:beforeAutospacing="0" w:after="0" w:afterAutospacing="0"/>
        <w:divId w:val="1671374711"/>
        <w:rPr>
          <w:sz w:val="20"/>
          <w:szCs w:val="20"/>
        </w:rPr>
      </w:pPr>
      <w:r>
        <w:rPr>
          <w:b/>
          <w:bCs/>
          <w:i/>
          <w:iCs/>
          <w:sz w:val="20"/>
          <w:szCs w:val="20"/>
        </w:rPr>
        <w:t>Income from Investment in TRC, LLC</w:t>
      </w:r>
    </w:p>
    <w:p w:rsidR="00000000" w:rsidRDefault="008B747E">
      <w:pPr>
        <w:pStyle w:val="a3"/>
        <w:spacing w:before="0" w:beforeAutospacing="0" w:after="0" w:afterAutospacing="0"/>
        <w:divId w:val="1671374711"/>
        <w:rPr>
          <w:sz w:val="20"/>
          <w:szCs w:val="20"/>
        </w:rPr>
      </w:pPr>
      <w:r>
        <w:rPr>
          <w:sz w:val="12"/>
          <w:szCs w:val="12"/>
        </w:rPr>
        <w:t>​</w:t>
      </w:r>
    </w:p>
    <w:p w:rsidR="00000000" w:rsidRDefault="008B747E">
      <w:pPr>
        <w:pStyle w:val="a3"/>
        <w:spacing w:before="0" w:beforeAutospacing="0" w:after="0" w:afterAutospacing="0"/>
        <w:ind w:firstLine="720"/>
        <w:divId w:val="1671374711"/>
        <w:rPr>
          <w:sz w:val="20"/>
          <w:szCs w:val="20"/>
        </w:rPr>
      </w:pPr>
      <w:r>
        <w:rPr>
          <w:sz w:val="20"/>
          <w:szCs w:val="20"/>
        </w:rPr>
        <w:t>Income from investment in TRC, as compared to the comparable periods in the prior year, was as follows:</w:t>
      </w:r>
    </w:p>
    <w:p w:rsidR="00000000" w:rsidRDefault="008B747E">
      <w:pPr>
        <w:pStyle w:val="a3"/>
        <w:spacing w:before="0" w:beforeAutospacing="0" w:after="0" w:afterAutospacing="0"/>
        <w:divId w:val="167137471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733"/>
        <w:gridCol w:w="200"/>
        <w:gridCol w:w="101"/>
        <w:gridCol w:w="539"/>
        <w:gridCol w:w="201"/>
        <w:gridCol w:w="100"/>
        <w:gridCol w:w="538"/>
        <w:gridCol w:w="200"/>
        <w:gridCol w:w="100"/>
        <w:gridCol w:w="510"/>
        <w:gridCol w:w="200"/>
        <w:gridCol w:w="300"/>
        <w:gridCol w:w="227"/>
        <w:gridCol w:w="200"/>
        <w:gridCol w:w="100"/>
        <w:gridCol w:w="610"/>
        <w:gridCol w:w="200"/>
        <w:gridCol w:w="100"/>
        <w:gridCol w:w="510"/>
        <w:gridCol w:w="200"/>
        <w:gridCol w:w="100"/>
        <w:gridCol w:w="610"/>
        <w:gridCol w:w="200"/>
        <w:gridCol w:w="300"/>
        <w:gridCol w:w="227"/>
      </w:tblGrid>
      <w:tr w:rsidR="00000000">
        <w:trPr>
          <w:divId w:val="1671374711"/>
          <w:trHeight w:val="20"/>
        </w:trPr>
        <w:tc>
          <w:tcPr>
            <w:tcW w:w="1570" w:type="pct"/>
            <w:tcMar>
              <w:top w:w="0" w:type="dxa"/>
              <w:left w:w="0" w:type="dxa"/>
              <w:bottom w:w="0" w:type="dxa"/>
              <w:right w:w="0" w:type="dxa"/>
            </w:tcMar>
            <w:vAlign w:val="bottom"/>
            <w:hideMark/>
          </w:tcPr>
          <w:p w:rsidR="00000000" w:rsidRDefault="008B747E">
            <w:pPr>
              <w:pStyle w:val="a3"/>
              <w:spacing w:before="0" w:beforeAutospacing="0" w:after="0" w:afterAutospacing="0"/>
              <w:divId w:val="1431195856"/>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0242855"/>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759056923"/>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343629998"/>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42745683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051763151"/>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046825239"/>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754159021"/>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675570549"/>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29734217"/>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417284171"/>
              <w:rPr>
                <w:sz w:val="20"/>
                <w:szCs w:val="20"/>
              </w:rPr>
            </w:pPr>
            <w:r>
              <w:rPr>
                <w:sz w:val="2"/>
                <w:szCs w:val="2"/>
              </w:rPr>
              <w:t>​</w:t>
            </w:r>
          </w:p>
        </w:tc>
        <w:tc>
          <w:tcPr>
            <w:tcW w:w="173"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548026055"/>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0588730"/>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8601589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359937788"/>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333873998"/>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75321332"/>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304512006"/>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177231481"/>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4092871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39137086"/>
              <w:rPr>
                <w:sz w:val="20"/>
                <w:szCs w:val="20"/>
              </w:rPr>
            </w:pPr>
            <w:r>
              <w:rPr>
                <w:sz w:val="2"/>
                <w:szCs w:val="2"/>
              </w:rPr>
              <w:t>​</w:t>
            </w:r>
          </w:p>
        </w:tc>
        <w:tc>
          <w:tcPr>
            <w:tcW w:w="32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320160206"/>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036612125"/>
              <w:rPr>
                <w:sz w:val="20"/>
                <w:szCs w:val="20"/>
              </w:rPr>
            </w:pPr>
            <w:r>
              <w:rPr>
                <w:sz w:val="2"/>
                <w:szCs w:val="2"/>
              </w:rPr>
              <w:t>​</w:t>
            </w:r>
          </w:p>
        </w:tc>
        <w:tc>
          <w:tcPr>
            <w:tcW w:w="173"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86325822"/>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008943377"/>
              <w:rPr>
                <w:sz w:val="20"/>
                <w:szCs w:val="20"/>
              </w:rPr>
            </w:pPr>
            <w:r>
              <w:rPr>
                <w:sz w:val="2"/>
                <w:szCs w:val="2"/>
              </w:rPr>
              <w:t>​</w:t>
            </w:r>
          </w:p>
        </w:tc>
      </w:tr>
      <w:tr w:rsidR="00000000">
        <w:trPr>
          <w:divId w:val="1671374711"/>
        </w:trPr>
        <w:tc>
          <w:tcPr>
            <w:tcW w:w="1570"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53" w:type="pct"/>
            <w:gridSpan w:val="5"/>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Three Months Ended </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27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73"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1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803" w:type="pct"/>
            <w:gridSpan w:val="5"/>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Six Months Ended </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2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73"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1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r>
      <w:tr w:rsidR="00000000">
        <w:trPr>
          <w:divId w:val="1671374711"/>
        </w:trPr>
        <w:tc>
          <w:tcPr>
            <w:tcW w:w="1570"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5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600"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Change</w:t>
            </w:r>
          </w:p>
        </w:tc>
        <w:tc>
          <w:tcPr>
            <w:tcW w:w="11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803"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649"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Change</w:t>
            </w:r>
          </w:p>
        </w:tc>
        <w:tc>
          <w:tcPr>
            <w:tcW w:w="11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r>
      <w:tr w:rsidR="00000000">
        <w:trPr>
          <w:divId w:val="1671374711"/>
        </w:trPr>
        <w:tc>
          <w:tcPr>
            <w:tcW w:w="1570" w:type="pct"/>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(In thousands)</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32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32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32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173"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11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37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32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376"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173"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11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r>
      <w:tr w:rsidR="00000000">
        <w:trPr>
          <w:divId w:val="1671374711"/>
        </w:trPr>
        <w:tc>
          <w:tcPr>
            <w:tcW w:w="157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Income from investment in TRC, LLC</w:t>
            </w:r>
          </w:p>
        </w:tc>
        <w:tc>
          <w:tcPr>
            <w:tcW w:w="9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8,36</w:t>
            </w:r>
            <w:r>
              <w:rPr>
                <w:sz w:val="20"/>
                <w:szCs w:val="20"/>
              </w:rPr>
              <w:t>6</w:t>
            </w:r>
          </w:p>
        </w:tc>
        <w:tc>
          <w:tcPr>
            <w:tcW w:w="9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1,94</w:t>
            </w:r>
            <w:r>
              <w:rPr>
                <w:sz w:val="20"/>
                <w:szCs w:val="20"/>
              </w:rPr>
              <w:t>9</w:t>
            </w:r>
          </w:p>
        </w:tc>
        <w:tc>
          <w:tcPr>
            <w:tcW w:w="9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6,41</w:t>
            </w:r>
            <w:r>
              <w:rPr>
                <w:sz w:val="20"/>
                <w:szCs w:val="20"/>
              </w:rPr>
              <w:t>7</w:t>
            </w:r>
          </w:p>
        </w:tc>
        <w:tc>
          <w:tcPr>
            <w:tcW w:w="9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73"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32</w:t>
            </w:r>
            <w:r>
              <w:rPr>
                <w:sz w:val="20"/>
                <w:szCs w:val="20"/>
              </w:rPr>
              <w:t>9</w:t>
            </w:r>
          </w:p>
        </w:tc>
        <w:tc>
          <w:tcPr>
            <w:tcW w:w="1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14,59</w:t>
            </w:r>
            <w:r>
              <w:rPr>
                <w:sz w:val="20"/>
                <w:szCs w:val="20"/>
              </w:rPr>
              <w:t>5</w:t>
            </w:r>
          </w:p>
        </w:tc>
        <w:tc>
          <w:tcPr>
            <w:tcW w:w="9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2,63</w:t>
            </w:r>
            <w:r>
              <w:rPr>
                <w:sz w:val="20"/>
                <w:szCs w:val="20"/>
              </w:rPr>
              <w:t>5</w:t>
            </w:r>
          </w:p>
        </w:tc>
        <w:tc>
          <w:tcPr>
            <w:tcW w:w="9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2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11,96</w:t>
            </w:r>
            <w:r>
              <w:rPr>
                <w:sz w:val="20"/>
                <w:szCs w:val="20"/>
              </w:rPr>
              <w:t>0</w:t>
            </w:r>
          </w:p>
        </w:tc>
        <w:tc>
          <w:tcPr>
            <w:tcW w:w="9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173"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45</w:t>
            </w:r>
            <w:r>
              <w:rPr>
                <w:sz w:val="20"/>
                <w:szCs w:val="20"/>
              </w:rPr>
              <w:t>4</w:t>
            </w:r>
          </w:p>
        </w:tc>
        <w:tc>
          <w:tcPr>
            <w:tcW w:w="1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r>
    </w:tbl>
    <w:p w:rsidR="00000000" w:rsidRDefault="008B747E">
      <w:pPr>
        <w:pStyle w:val="a3"/>
        <w:spacing w:before="0" w:beforeAutospacing="0" w:after="0" w:afterAutospacing="0"/>
        <w:ind w:firstLine="720"/>
        <w:divId w:val="1671374711"/>
        <w:rPr>
          <w:sz w:val="20"/>
          <w:szCs w:val="20"/>
        </w:rPr>
      </w:pPr>
      <w:r>
        <w:rPr>
          <w:sz w:val="20"/>
          <w:szCs w:val="20"/>
        </w:rPr>
        <w:t>​</w:t>
      </w:r>
    </w:p>
    <w:p w:rsidR="00000000" w:rsidRDefault="008B747E">
      <w:pPr>
        <w:pStyle w:val="a3"/>
        <w:spacing w:before="0" w:beforeAutospacing="0" w:after="0" w:afterAutospacing="0"/>
        <w:divId w:val="1671374711"/>
        <w:rPr>
          <w:sz w:val="20"/>
          <w:szCs w:val="20"/>
        </w:rPr>
      </w:pPr>
      <w:r>
        <w:rPr>
          <w:sz w:val="20"/>
          <w:szCs w:val="20"/>
        </w:rPr>
        <w:t>Income from investment in TRC increased by $6.4 million and $12.0 million for the three and six months ended June 30, 2019 compared to the same periods in 2018. The investme</w:t>
      </w:r>
      <w:r>
        <w:rPr>
          <w:sz w:val="20"/>
          <w:szCs w:val="20"/>
        </w:rPr>
        <w:t xml:space="preserve">nt income in TRC was generated by royalty payments from GSK to TRC arising from the net sales of </w:t>
      </w:r>
      <w:r>
        <w:rPr>
          <w:caps/>
          <w:sz w:val="20"/>
          <w:szCs w:val="20"/>
        </w:rPr>
        <w:t>Trelegy Ellipta</w:t>
      </w:r>
      <w:r>
        <w:rPr>
          <w:sz w:val="20"/>
          <w:szCs w:val="20"/>
        </w:rPr>
        <w:t xml:space="preserve"> which was launched in the fourth quarter of 2017.</w:t>
      </w:r>
    </w:p>
    <w:p w:rsidR="00000000" w:rsidRDefault="008B747E">
      <w:pPr>
        <w:pStyle w:val="a3"/>
        <w:spacing w:before="0" w:beforeAutospacing="0" w:after="0" w:afterAutospacing="0"/>
        <w:divId w:val="1671374711"/>
        <w:rPr>
          <w:sz w:val="20"/>
          <w:szCs w:val="20"/>
        </w:rPr>
      </w:pPr>
      <w:r>
        <w:rPr>
          <w:sz w:val="20"/>
          <w:szCs w:val="20"/>
        </w:rPr>
        <w:t>​</w:t>
      </w:r>
    </w:p>
    <w:p w:rsidR="00000000" w:rsidRDefault="008B747E">
      <w:pPr>
        <w:pStyle w:val="a3"/>
        <w:spacing w:before="0" w:beforeAutospacing="0" w:after="0" w:afterAutospacing="0"/>
        <w:ind w:firstLine="720"/>
        <w:divId w:val="1671374711"/>
        <w:rPr>
          <w:sz w:val="20"/>
          <w:szCs w:val="20"/>
        </w:rPr>
      </w:pPr>
      <w:r>
        <w:rPr>
          <w:sz w:val="20"/>
          <w:szCs w:val="20"/>
        </w:rPr>
        <w:t>In connection with the issuance of our $237.5 million net principal amount Non-Recourse 2033 Notes in November 2018, 75% of the income from our investment in TRC is available only for payment of the Non-Recourse 2033 Notes and is not available to pay other</w:t>
      </w:r>
      <w:r>
        <w:rPr>
          <w:sz w:val="20"/>
          <w:szCs w:val="20"/>
        </w:rPr>
        <w:t xml:space="preserve"> creditor obligations or claims. In May 2019, we announced that we had initiated arbitration against Innoviva and TRC in connection with Innoviva’s failure to disburse certain royalties to us. Please refer to “Legal Proceedings” under Part II, Item 1 of th</w:t>
      </w:r>
      <w:r>
        <w:rPr>
          <w:sz w:val="20"/>
          <w:szCs w:val="20"/>
        </w:rPr>
        <w:t xml:space="preserve">ese financial statements for further details. </w:t>
      </w:r>
    </w:p>
    <w:p w:rsidR="00000000" w:rsidRDefault="008B747E">
      <w:pPr>
        <w:pStyle w:val="a3"/>
        <w:spacing w:before="0" w:beforeAutospacing="0" w:after="0" w:afterAutospacing="0"/>
        <w:ind w:firstLine="720"/>
        <w:divId w:val="1671374711"/>
        <w:rPr>
          <w:sz w:val="20"/>
          <w:szCs w:val="20"/>
        </w:rPr>
      </w:pPr>
      <w:r>
        <w:rPr>
          <w:color w:val="FF0000"/>
          <w:sz w:val="20"/>
          <w:szCs w:val="20"/>
        </w:rPr>
        <w:t>​</w:t>
      </w:r>
    </w:p>
    <w:p w:rsidR="00000000" w:rsidRDefault="008B747E">
      <w:pPr>
        <w:pStyle w:val="a3"/>
        <w:spacing w:before="0" w:beforeAutospacing="0" w:after="0" w:afterAutospacing="0"/>
        <w:divId w:val="1671374711"/>
        <w:rPr>
          <w:sz w:val="20"/>
          <w:szCs w:val="20"/>
        </w:rPr>
      </w:pPr>
      <w:r>
        <w:rPr>
          <w:b/>
          <w:bCs/>
          <w:i/>
          <w:iCs/>
          <w:sz w:val="20"/>
          <w:szCs w:val="20"/>
        </w:rPr>
        <w:t>Interest Expense</w:t>
      </w:r>
    </w:p>
    <w:p w:rsidR="00000000" w:rsidRDefault="008B747E">
      <w:pPr>
        <w:pStyle w:val="a3"/>
        <w:spacing w:before="0" w:beforeAutospacing="0" w:after="0" w:afterAutospacing="0"/>
        <w:divId w:val="1671374711"/>
        <w:rPr>
          <w:sz w:val="20"/>
          <w:szCs w:val="20"/>
        </w:rPr>
      </w:pPr>
      <w:r>
        <w:rPr>
          <w:sz w:val="10"/>
          <w:szCs w:val="10"/>
        </w:rPr>
        <w:t>​</w:t>
      </w:r>
    </w:p>
    <w:p w:rsidR="00000000" w:rsidRDefault="008B747E">
      <w:pPr>
        <w:pStyle w:val="a3"/>
        <w:spacing w:before="0" w:beforeAutospacing="0" w:after="0" w:afterAutospacing="0"/>
        <w:ind w:firstLine="720"/>
        <w:divId w:val="1671374711"/>
        <w:rPr>
          <w:sz w:val="20"/>
          <w:szCs w:val="20"/>
        </w:rPr>
      </w:pPr>
      <w:r>
        <w:rPr>
          <w:sz w:val="20"/>
          <w:szCs w:val="20"/>
        </w:rPr>
        <w:t>Interest expense, as compared to the comparable periods in the prior year, was as follows:</w:t>
      </w:r>
    </w:p>
    <w:p w:rsidR="00000000" w:rsidRDefault="008B747E">
      <w:pPr>
        <w:pStyle w:val="a3"/>
        <w:spacing w:before="0" w:beforeAutospacing="0" w:after="0" w:afterAutospacing="0"/>
        <w:divId w:val="1671374711"/>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1228"/>
        <w:gridCol w:w="200"/>
        <w:gridCol w:w="100"/>
        <w:gridCol w:w="584"/>
        <w:gridCol w:w="200"/>
        <w:gridCol w:w="100"/>
        <w:gridCol w:w="584"/>
        <w:gridCol w:w="200"/>
        <w:gridCol w:w="100"/>
        <w:gridCol w:w="584"/>
        <w:gridCol w:w="200"/>
        <w:gridCol w:w="360"/>
        <w:gridCol w:w="227"/>
        <w:gridCol w:w="200"/>
        <w:gridCol w:w="100"/>
        <w:gridCol w:w="684"/>
        <w:gridCol w:w="200"/>
        <w:gridCol w:w="100"/>
        <w:gridCol w:w="584"/>
        <w:gridCol w:w="200"/>
        <w:gridCol w:w="100"/>
        <w:gridCol w:w="684"/>
        <w:gridCol w:w="200"/>
        <w:gridCol w:w="360"/>
        <w:gridCol w:w="227"/>
      </w:tblGrid>
      <w:tr w:rsidR="00000000">
        <w:trPr>
          <w:divId w:val="1671374711"/>
          <w:trHeight w:val="20"/>
        </w:trPr>
        <w:tc>
          <w:tcPr>
            <w:tcW w:w="1290" w:type="pct"/>
            <w:tcMar>
              <w:top w:w="0" w:type="dxa"/>
              <w:left w:w="0" w:type="dxa"/>
              <w:bottom w:w="0" w:type="dxa"/>
              <w:right w:w="0" w:type="dxa"/>
            </w:tcMar>
            <w:vAlign w:val="bottom"/>
            <w:hideMark/>
          </w:tcPr>
          <w:p w:rsidR="00000000" w:rsidRDefault="008B747E">
            <w:pPr>
              <w:pStyle w:val="a3"/>
              <w:spacing w:before="0" w:beforeAutospacing="0" w:after="0" w:afterAutospacing="0"/>
              <w:divId w:val="1328822810"/>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467315072"/>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23723885"/>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89470659"/>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815952282"/>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008824480"/>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972516591"/>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105030208"/>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724865521"/>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3169908"/>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191410379"/>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48189612"/>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69894453"/>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470323765"/>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72708987"/>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454295573"/>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84446546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19212993"/>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43573638"/>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4536398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354886447"/>
              <w:rPr>
                <w:sz w:val="20"/>
                <w:szCs w:val="20"/>
              </w:rPr>
            </w:pPr>
            <w:r>
              <w:rPr>
                <w:sz w:val="2"/>
                <w:szCs w:val="2"/>
              </w:rPr>
              <w:t>​</w:t>
            </w:r>
          </w:p>
        </w:tc>
        <w:tc>
          <w:tcPr>
            <w:tcW w:w="36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146467352"/>
              <w:rPr>
                <w:sz w:val="20"/>
                <w:szCs w:val="20"/>
              </w:rPr>
            </w:pPr>
            <w:r>
              <w:rPr>
                <w:sz w:val="2"/>
                <w:szCs w:val="2"/>
              </w:rPr>
              <w:t>​</w:t>
            </w:r>
          </w:p>
        </w:tc>
        <w:tc>
          <w:tcPr>
            <w:tcW w:w="9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477461146"/>
              <w:rPr>
                <w:sz w:val="20"/>
                <w:szCs w:val="20"/>
              </w:rPr>
            </w:pPr>
            <w:r>
              <w:rPr>
                <w:sz w:val="2"/>
                <w:szCs w:val="2"/>
              </w:rPr>
              <w:t>​</w:t>
            </w:r>
          </w:p>
        </w:tc>
        <w:tc>
          <w:tcPr>
            <w:tcW w:w="203"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963267399"/>
              <w:rPr>
                <w:sz w:val="20"/>
                <w:szCs w:val="20"/>
              </w:rPr>
            </w:pPr>
            <w:r>
              <w:rPr>
                <w:sz w:val="2"/>
                <w:szCs w:val="2"/>
              </w:rPr>
              <w:t>​</w:t>
            </w:r>
          </w:p>
        </w:tc>
        <w:tc>
          <w:tcPr>
            <w:tcW w:w="112"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619729105"/>
              <w:rPr>
                <w:sz w:val="20"/>
                <w:szCs w:val="20"/>
              </w:rPr>
            </w:pPr>
            <w:r>
              <w:rPr>
                <w:sz w:val="2"/>
                <w:szCs w:val="2"/>
              </w:rPr>
              <w:t>​</w:t>
            </w:r>
          </w:p>
        </w:tc>
      </w:tr>
      <w:tr w:rsidR="00000000">
        <w:trPr>
          <w:divId w:val="1671374711"/>
        </w:trPr>
        <w:tc>
          <w:tcPr>
            <w:tcW w:w="1290"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827" w:type="pct"/>
            <w:gridSpan w:val="5"/>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Three Months Ended </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1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203"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1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876" w:type="pct"/>
            <w:gridSpan w:val="5"/>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Six Months Ended </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6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203"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1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r>
      <w:tr w:rsidR="00000000">
        <w:trPr>
          <w:divId w:val="1671374711"/>
        </w:trPr>
        <w:tc>
          <w:tcPr>
            <w:tcW w:w="1290"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827"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666"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Change</w:t>
            </w:r>
          </w:p>
        </w:tc>
        <w:tc>
          <w:tcPr>
            <w:tcW w:w="11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876"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16"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Change</w:t>
            </w:r>
          </w:p>
        </w:tc>
        <w:tc>
          <w:tcPr>
            <w:tcW w:w="11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r>
      <w:tr w:rsidR="00000000">
        <w:trPr>
          <w:divId w:val="1671374711"/>
        </w:trPr>
        <w:tc>
          <w:tcPr>
            <w:tcW w:w="1290" w:type="pct"/>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(In thousands)</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36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36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36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203"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11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41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36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41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9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203"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11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r>
      <w:tr w:rsidR="00000000">
        <w:trPr>
          <w:divId w:val="1671374711"/>
        </w:trPr>
        <w:tc>
          <w:tcPr>
            <w:tcW w:w="129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Interest expense</w:t>
            </w:r>
          </w:p>
        </w:tc>
        <w:tc>
          <w:tcPr>
            <w:tcW w:w="9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(7,901</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(2,137</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(5,764</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203"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27</w:t>
            </w:r>
            <w:r>
              <w:rPr>
                <w:sz w:val="20"/>
                <w:szCs w:val="20"/>
              </w:rPr>
              <w:t>0</w:t>
            </w:r>
          </w:p>
        </w:tc>
        <w:tc>
          <w:tcPr>
            <w:tcW w:w="1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(15,759</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(4,274</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6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(11,485</w:t>
            </w:r>
            <w:r>
              <w:rPr>
                <w:sz w:val="20"/>
                <w:szCs w:val="20"/>
              </w:rPr>
              <w:t>)</w:t>
            </w:r>
          </w:p>
        </w:tc>
        <w:tc>
          <w:tcPr>
            <w:tcW w:w="9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203"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26</w:t>
            </w:r>
            <w:r>
              <w:rPr>
                <w:sz w:val="20"/>
                <w:szCs w:val="20"/>
              </w:rPr>
              <w:t>9</w:t>
            </w:r>
          </w:p>
        </w:tc>
        <w:tc>
          <w:tcPr>
            <w:tcW w:w="11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r>
    </w:tbl>
    <w:p w:rsidR="00000000" w:rsidRDefault="008B747E">
      <w:pPr>
        <w:pStyle w:val="a3"/>
        <w:spacing w:before="0" w:beforeAutospacing="0" w:after="0" w:afterAutospacing="0"/>
        <w:divId w:val="1671374711"/>
        <w:rPr>
          <w:sz w:val="20"/>
          <w:szCs w:val="20"/>
        </w:rPr>
      </w:pPr>
      <w:r>
        <w:rPr>
          <w:sz w:val="20"/>
          <w:szCs w:val="20"/>
        </w:rPr>
        <w:t>​</w:t>
      </w:r>
    </w:p>
    <w:p w:rsidR="00000000" w:rsidRDefault="008B747E">
      <w:pPr>
        <w:pStyle w:val="a3"/>
        <w:spacing w:before="0" w:beforeAutospacing="0" w:after="0" w:afterAutospacing="0"/>
        <w:ind w:firstLine="720"/>
        <w:divId w:val="1671374711"/>
        <w:rPr>
          <w:sz w:val="20"/>
          <w:szCs w:val="20"/>
        </w:rPr>
      </w:pPr>
      <w:r>
        <w:rPr>
          <w:sz w:val="20"/>
          <w:szCs w:val="20"/>
        </w:rPr>
        <w:t>Interest expense increased by $5.8 million and $11.5 million for the three and six months ended June 30, 2019 compared to the same periods in 2018 due to additional interest</w:t>
      </w:r>
      <w:r>
        <w:rPr>
          <w:sz w:val="20"/>
          <w:szCs w:val="20"/>
        </w:rPr>
        <w:t xml:space="preserve"> expense related to the issuance of the Non-Recourse 2033 Notes in November 2018. </w:t>
      </w:r>
    </w:p>
    <w:p w:rsidR="00000000" w:rsidRDefault="008B747E">
      <w:pPr>
        <w:pStyle w:val="a3"/>
        <w:spacing w:before="0" w:beforeAutospacing="0" w:after="0" w:afterAutospacing="0"/>
        <w:divId w:val="1671374711"/>
        <w:rPr>
          <w:sz w:val="20"/>
          <w:szCs w:val="20"/>
        </w:rPr>
      </w:pPr>
      <w:r>
        <w:rPr>
          <w:sz w:val="20"/>
          <w:szCs w:val="20"/>
        </w:rPr>
        <w:t>​</w:t>
      </w:r>
    </w:p>
    <w:p w:rsidR="00000000" w:rsidRDefault="008B747E">
      <w:pPr>
        <w:pStyle w:val="a3"/>
        <w:spacing w:before="0" w:beforeAutospacing="0" w:after="0" w:afterAutospacing="0"/>
        <w:divId w:val="1671374711"/>
        <w:rPr>
          <w:sz w:val="20"/>
          <w:szCs w:val="20"/>
        </w:rPr>
      </w:pPr>
      <w:r>
        <w:rPr>
          <w:b/>
          <w:bCs/>
          <w:i/>
          <w:iCs/>
          <w:sz w:val="20"/>
          <w:szCs w:val="20"/>
        </w:rPr>
        <w:t>Interest and Other Income, net</w:t>
      </w:r>
    </w:p>
    <w:p w:rsidR="00000000" w:rsidRDefault="008B747E">
      <w:pPr>
        <w:pStyle w:val="a3"/>
        <w:spacing w:before="0" w:beforeAutospacing="0" w:after="0" w:afterAutospacing="0"/>
        <w:divId w:val="1671374711"/>
        <w:rPr>
          <w:sz w:val="20"/>
          <w:szCs w:val="20"/>
        </w:rPr>
      </w:pPr>
      <w:r>
        <w:rPr>
          <w:i/>
          <w:iCs/>
          <w:sz w:val="10"/>
          <w:szCs w:val="10"/>
        </w:rPr>
        <w:t>​</w:t>
      </w:r>
    </w:p>
    <w:p w:rsidR="00000000" w:rsidRDefault="008B747E">
      <w:pPr>
        <w:pStyle w:val="a3"/>
        <w:spacing w:before="0" w:beforeAutospacing="0" w:after="0" w:afterAutospacing="0"/>
        <w:ind w:firstLine="720"/>
        <w:divId w:val="1671374711"/>
        <w:rPr>
          <w:sz w:val="20"/>
          <w:szCs w:val="20"/>
        </w:rPr>
      </w:pPr>
      <w:r>
        <w:rPr>
          <w:sz w:val="20"/>
          <w:szCs w:val="20"/>
        </w:rPr>
        <w:t>Interest and other income, net, as compared to the comparable periods in the prior year, was as follows:</w:t>
      </w:r>
    </w:p>
    <w:p w:rsidR="00000000" w:rsidRDefault="008B747E">
      <w:pPr>
        <w:pStyle w:val="a3"/>
        <w:spacing w:before="0" w:beforeAutospacing="0" w:after="0" w:afterAutospacing="0"/>
        <w:divId w:val="1671374711"/>
        <w:rPr>
          <w:sz w:val="20"/>
          <w:szCs w:val="20"/>
        </w:rPr>
      </w:pPr>
      <w:r>
        <w:rPr>
          <w:sz w:val="20"/>
          <w:szCs w:val="20"/>
        </w:rPr>
        <w:t>​</w:t>
      </w:r>
    </w:p>
    <w:tbl>
      <w:tblPr>
        <w:tblW w:w="5062" w:type="pct"/>
        <w:tblCellMar>
          <w:top w:w="15" w:type="dxa"/>
          <w:left w:w="0" w:type="dxa"/>
          <w:bottom w:w="15" w:type="dxa"/>
          <w:right w:w="0" w:type="dxa"/>
        </w:tblCellMar>
        <w:tblLook w:val="04A0" w:firstRow="1" w:lastRow="0" w:firstColumn="1" w:lastColumn="0" w:noHBand="0" w:noVBand="1"/>
      </w:tblPr>
      <w:tblGrid>
        <w:gridCol w:w="2115"/>
        <w:gridCol w:w="200"/>
        <w:gridCol w:w="101"/>
        <w:gridCol w:w="539"/>
        <w:gridCol w:w="200"/>
        <w:gridCol w:w="100"/>
        <w:gridCol w:w="540"/>
        <w:gridCol w:w="200"/>
        <w:gridCol w:w="100"/>
        <w:gridCol w:w="510"/>
        <w:gridCol w:w="200"/>
        <w:gridCol w:w="260"/>
        <w:gridCol w:w="227"/>
        <w:gridCol w:w="200"/>
        <w:gridCol w:w="100"/>
        <w:gridCol w:w="510"/>
        <w:gridCol w:w="200"/>
        <w:gridCol w:w="100"/>
        <w:gridCol w:w="510"/>
        <w:gridCol w:w="200"/>
        <w:gridCol w:w="100"/>
        <w:gridCol w:w="510"/>
        <w:gridCol w:w="200"/>
        <w:gridCol w:w="260"/>
        <w:gridCol w:w="227"/>
      </w:tblGrid>
      <w:tr w:rsidR="00000000">
        <w:trPr>
          <w:divId w:val="1671374711"/>
          <w:trHeight w:val="20"/>
        </w:trPr>
        <w:tc>
          <w:tcPr>
            <w:tcW w:w="1750" w:type="pct"/>
            <w:tcMar>
              <w:top w:w="0" w:type="dxa"/>
              <w:left w:w="0" w:type="dxa"/>
              <w:bottom w:w="0" w:type="dxa"/>
              <w:right w:w="0" w:type="dxa"/>
            </w:tcMar>
            <w:vAlign w:val="bottom"/>
            <w:hideMark/>
          </w:tcPr>
          <w:p w:rsidR="00000000" w:rsidRDefault="008B747E">
            <w:pPr>
              <w:pStyle w:val="a3"/>
              <w:spacing w:before="0" w:beforeAutospacing="0" w:after="0" w:afterAutospacing="0"/>
              <w:divId w:val="535580361"/>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28592739"/>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049601506"/>
              <w:rPr>
                <w:sz w:val="20"/>
                <w:szCs w:val="20"/>
              </w:rPr>
            </w:pPr>
            <w:r>
              <w:rPr>
                <w:sz w:val="2"/>
                <w:szCs w:val="2"/>
              </w:rPr>
              <w:t>​</w:t>
            </w:r>
          </w:p>
        </w:tc>
        <w:tc>
          <w:tcPr>
            <w:tcW w:w="27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795976947"/>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131394164"/>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216818531"/>
              <w:rPr>
                <w:sz w:val="20"/>
                <w:szCs w:val="20"/>
              </w:rPr>
            </w:pPr>
            <w:r>
              <w:rPr>
                <w:sz w:val="2"/>
                <w:szCs w:val="2"/>
              </w:rPr>
              <w:t>​</w:t>
            </w:r>
          </w:p>
        </w:tc>
        <w:tc>
          <w:tcPr>
            <w:tcW w:w="27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34048722"/>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27355906"/>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905138952"/>
              <w:rPr>
                <w:sz w:val="20"/>
                <w:szCs w:val="20"/>
              </w:rPr>
            </w:pPr>
            <w:r>
              <w:rPr>
                <w:sz w:val="2"/>
                <w:szCs w:val="2"/>
              </w:rPr>
              <w:t>​</w:t>
            </w:r>
          </w:p>
        </w:tc>
        <w:tc>
          <w:tcPr>
            <w:tcW w:w="27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864368972"/>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44012190"/>
              <w:rPr>
                <w:sz w:val="20"/>
                <w:szCs w:val="20"/>
              </w:rPr>
            </w:pPr>
            <w:r>
              <w:rPr>
                <w:sz w:val="2"/>
                <w:szCs w:val="2"/>
              </w:rPr>
              <w:t>​</w:t>
            </w:r>
          </w:p>
        </w:tc>
        <w:tc>
          <w:tcPr>
            <w:tcW w:w="151"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64882840"/>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377972208"/>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30621155"/>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081022778"/>
              <w:rPr>
                <w:sz w:val="20"/>
                <w:szCs w:val="20"/>
              </w:rPr>
            </w:pPr>
            <w:r>
              <w:rPr>
                <w:sz w:val="2"/>
                <w:szCs w:val="2"/>
              </w:rPr>
              <w:t>​</w:t>
            </w:r>
          </w:p>
        </w:tc>
        <w:tc>
          <w:tcPr>
            <w:tcW w:w="27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555704000"/>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5471486"/>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99352210"/>
              <w:rPr>
                <w:sz w:val="20"/>
                <w:szCs w:val="20"/>
              </w:rPr>
            </w:pPr>
            <w:r>
              <w:rPr>
                <w:sz w:val="2"/>
                <w:szCs w:val="2"/>
              </w:rPr>
              <w:t>​</w:t>
            </w:r>
          </w:p>
        </w:tc>
        <w:tc>
          <w:tcPr>
            <w:tcW w:w="27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855221980"/>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160849120"/>
              <w:rPr>
                <w:sz w:val="20"/>
                <w:szCs w:val="20"/>
              </w:rPr>
            </w:pPr>
            <w:r>
              <w:rPr>
                <w:sz w:val="2"/>
                <w:szCs w:val="2"/>
              </w:rPr>
              <w:t>​</w:t>
            </w:r>
          </w:p>
        </w:tc>
        <w:tc>
          <w:tcPr>
            <w:tcW w:w="4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26815864"/>
              <w:rPr>
                <w:sz w:val="20"/>
                <w:szCs w:val="20"/>
              </w:rPr>
            </w:pPr>
            <w:r>
              <w:rPr>
                <w:sz w:val="2"/>
                <w:szCs w:val="2"/>
              </w:rPr>
              <w:t>​</w:t>
            </w:r>
          </w:p>
        </w:tc>
        <w:tc>
          <w:tcPr>
            <w:tcW w:w="27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102997497"/>
              <w:rPr>
                <w:sz w:val="20"/>
                <w:szCs w:val="20"/>
              </w:rPr>
            </w:pPr>
            <w:r>
              <w:rPr>
                <w:sz w:val="2"/>
                <w:szCs w:val="2"/>
              </w:rPr>
              <w:t>​</w:t>
            </w:r>
          </w:p>
        </w:tc>
        <w:tc>
          <w:tcPr>
            <w:tcW w:w="9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123042290"/>
              <w:rPr>
                <w:sz w:val="20"/>
                <w:szCs w:val="20"/>
              </w:rPr>
            </w:pPr>
            <w:r>
              <w:rPr>
                <w:sz w:val="2"/>
                <w:szCs w:val="2"/>
              </w:rPr>
              <w:t>​</w:t>
            </w:r>
          </w:p>
        </w:tc>
        <w:tc>
          <w:tcPr>
            <w:tcW w:w="151"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721438441"/>
              <w:rPr>
                <w:sz w:val="20"/>
                <w:szCs w:val="20"/>
              </w:rPr>
            </w:pPr>
            <w:r>
              <w:rPr>
                <w:sz w:val="2"/>
                <w:szCs w:val="2"/>
              </w:rPr>
              <w:t>​</w:t>
            </w:r>
          </w:p>
        </w:tc>
        <w:tc>
          <w:tcPr>
            <w:tcW w:w="111"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444085485"/>
              <w:rPr>
                <w:sz w:val="20"/>
                <w:szCs w:val="20"/>
              </w:rPr>
            </w:pPr>
            <w:r>
              <w:rPr>
                <w:sz w:val="2"/>
                <w:szCs w:val="2"/>
              </w:rPr>
              <w:t>​</w:t>
            </w:r>
          </w:p>
        </w:tc>
      </w:tr>
      <w:tr w:rsidR="00000000">
        <w:trPr>
          <w:divId w:val="1671374711"/>
        </w:trPr>
        <w:tc>
          <w:tcPr>
            <w:tcW w:w="1750"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44" w:type="pct"/>
            <w:gridSpan w:val="5"/>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Three Months Ended </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4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27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51"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11"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744" w:type="pct"/>
            <w:gridSpan w:val="5"/>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Six Months Ended </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48"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27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51"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111"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r>
      <w:tr w:rsidR="00000000">
        <w:trPr>
          <w:divId w:val="1671374711"/>
        </w:trPr>
        <w:tc>
          <w:tcPr>
            <w:tcW w:w="1750"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744"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573"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Change</w:t>
            </w:r>
          </w:p>
        </w:tc>
        <w:tc>
          <w:tcPr>
            <w:tcW w:w="111"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44"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573"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Change</w:t>
            </w:r>
          </w:p>
        </w:tc>
        <w:tc>
          <w:tcPr>
            <w:tcW w:w="111"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r>
      <w:tr w:rsidR="00000000">
        <w:trPr>
          <w:divId w:val="1671374711"/>
        </w:trPr>
        <w:tc>
          <w:tcPr>
            <w:tcW w:w="1750" w:type="pct"/>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(In thousands)</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32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32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32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151"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111"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32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32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32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97"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    </w:t>
            </w:r>
          </w:p>
        </w:tc>
        <w:tc>
          <w:tcPr>
            <w:tcW w:w="151"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111"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w:t>
            </w:r>
          </w:p>
        </w:tc>
      </w:tr>
      <w:tr w:rsidR="00000000">
        <w:trPr>
          <w:divId w:val="1671374711"/>
        </w:trPr>
        <w:tc>
          <w:tcPr>
            <w:tcW w:w="1750"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Interest and other income, net</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27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2,37</w:t>
            </w:r>
            <w:r>
              <w:rPr>
                <w:sz w:val="20"/>
                <w:szCs w:val="20"/>
              </w:rPr>
              <w:t>4</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27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1,28</w:t>
            </w:r>
            <w:r>
              <w:rPr>
                <w:sz w:val="20"/>
                <w:szCs w:val="20"/>
              </w:rPr>
              <w:t>4</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27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1,09</w:t>
            </w:r>
            <w:r>
              <w:rPr>
                <w:sz w:val="20"/>
                <w:szCs w:val="20"/>
              </w:rPr>
              <w:t>0</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5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8</w:t>
            </w:r>
            <w:r>
              <w:rPr>
                <w:sz w:val="20"/>
                <w:szCs w:val="20"/>
              </w:rPr>
              <w:t>5</w:t>
            </w:r>
          </w:p>
        </w:tc>
        <w:tc>
          <w:tcPr>
            <w:tcW w:w="11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27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5,16</w:t>
            </w:r>
            <w:r>
              <w:rPr>
                <w:sz w:val="20"/>
                <w:szCs w:val="20"/>
              </w:rPr>
              <w:t>9</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27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2,76</w:t>
            </w:r>
            <w:r>
              <w:rPr>
                <w:sz w:val="20"/>
                <w:szCs w:val="20"/>
              </w:rPr>
              <w:t>8</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27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2,40</w:t>
            </w:r>
            <w:r>
              <w:rPr>
                <w:sz w:val="20"/>
                <w:szCs w:val="20"/>
              </w:rPr>
              <w:t>1</w:t>
            </w:r>
          </w:p>
        </w:tc>
        <w:tc>
          <w:tcPr>
            <w:tcW w:w="9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5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8</w:t>
            </w:r>
            <w:r>
              <w:rPr>
                <w:sz w:val="20"/>
                <w:szCs w:val="20"/>
              </w:rPr>
              <w:t>7</w:t>
            </w:r>
          </w:p>
        </w:tc>
        <w:tc>
          <w:tcPr>
            <w:tcW w:w="111"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w:t>
            </w:r>
          </w:p>
        </w:tc>
      </w:tr>
    </w:tbl>
    <w:p w:rsidR="00000000" w:rsidRDefault="008B747E">
      <w:pPr>
        <w:pStyle w:val="a3"/>
        <w:spacing w:before="0" w:beforeAutospacing="0" w:after="0" w:afterAutospacing="0"/>
        <w:divId w:val="1671374711"/>
        <w:rPr>
          <w:sz w:val="20"/>
          <w:szCs w:val="20"/>
        </w:rPr>
      </w:pPr>
      <w:r>
        <w:rPr>
          <w:sz w:val="20"/>
          <w:szCs w:val="20"/>
        </w:rPr>
        <w:t>​</w:t>
      </w:r>
    </w:p>
    <w:p w:rsidR="00000000" w:rsidRDefault="008B747E">
      <w:pPr>
        <w:pStyle w:val="a3"/>
        <w:spacing w:before="0" w:beforeAutospacing="0" w:after="0" w:afterAutospacing="0"/>
        <w:ind w:firstLine="720"/>
        <w:divId w:val="1671374711"/>
        <w:rPr>
          <w:sz w:val="20"/>
          <w:szCs w:val="20"/>
        </w:rPr>
      </w:pPr>
      <w:r>
        <w:rPr>
          <w:sz w:val="20"/>
          <w:szCs w:val="20"/>
        </w:rPr>
        <w:t>Interest and other income increased by $1.1 million and $2.4 million for the three and six months ended June 30, 2019 compared to the same periods in 2018 primarily due to t</w:t>
      </w:r>
      <w:r>
        <w:rPr>
          <w:sz w:val="20"/>
          <w:szCs w:val="20"/>
        </w:rPr>
        <w:t xml:space="preserve">he additional income earned from higher investment balances following the issuance of the Non-Recourse 2033 Notes in November 2018. We also recognized $0.2 million and $0.4 million for the three and six months ended June 30, 2019, respectively, as royalty </w:t>
      </w:r>
      <w:r>
        <w:rPr>
          <w:sz w:val="20"/>
          <w:szCs w:val="20"/>
        </w:rPr>
        <w:t>income generated from sales of VIBATIV by Cumberland.</w:t>
      </w:r>
    </w:p>
    <w:p w:rsidR="00000000" w:rsidRDefault="008B747E">
      <w:pPr>
        <w:pStyle w:val="a3"/>
        <w:spacing w:before="0" w:beforeAutospacing="0" w:after="0" w:afterAutospacing="0"/>
        <w:divId w:val="1671374711"/>
        <w:rPr>
          <w:sz w:val="20"/>
          <w:szCs w:val="20"/>
        </w:rPr>
      </w:pPr>
      <w:r>
        <w:rPr>
          <w:sz w:val="20"/>
          <w:szCs w:val="20"/>
        </w:rPr>
        <w:t>​</w:t>
      </w:r>
    </w:p>
    <w:p w:rsidR="00000000" w:rsidRDefault="008B747E">
      <w:pPr>
        <w:pStyle w:val="a3"/>
        <w:spacing w:before="360" w:beforeAutospacing="0" w:after="0" w:afterAutospacing="0"/>
        <w:jc w:val="center"/>
        <w:divId w:val="82920003"/>
        <w:rPr>
          <w:sz w:val="20"/>
          <w:szCs w:val="20"/>
        </w:rPr>
      </w:pPr>
      <w:r>
        <w:rPr>
          <w:sz w:val="20"/>
          <w:szCs w:val="20"/>
        </w:rPr>
        <w:t>29</w:t>
      </w:r>
    </w:p>
    <w:p w:rsidR="00000000" w:rsidRDefault="008B747E">
      <w:pPr>
        <w:pStyle w:val="a3"/>
        <w:spacing w:before="0" w:beforeAutospacing="0" w:after="600" w:afterAutospacing="0"/>
        <w:divId w:val="267587446"/>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1814710894"/>
        <w:rPr>
          <w:sz w:val="20"/>
          <w:szCs w:val="20"/>
        </w:rPr>
      </w:pPr>
      <w:r>
        <w:rPr>
          <w:b/>
          <w:bCs/>
          <w:i/>
          <w:iCs/>
          <w:sz w:val="20"/>
          <w:szCs w:val="20"/>
        </w:rPr>
        <w:t>Provision for Income Tax (Expense) Benefit</w:t>
      </w:r>
    </w:p>
    <w:p w:rsidR="00000000" w:rsidRDefault="008B747E">
      <w:pPr>
        <w:pStyle w:val="a3"/>
        <w:spacing w:before="0" w:beforeAutospacing="0" w:after="0" w:afterAutospacing="0"/>
        <w:divId w:val="1814710894"/>
        <w:rPr>
          <w:sz w:val="20"/>
          <w:szCs w:val="20"/>
        </w:rPr>
      </w:pPr>
      <w:r>
        <w:rPr>
          <w:sz w:val="10"/>
          <w:szCs w:val="10"/>
        </w:rPr>
        <w:t>​</w:t>
      </w:r>
    </w:p>
    <w:p w:rsidR="00000000" w:rsidRDefault="008B747E">
      <w:pPr>
        <w:pStyle w:val="a3"/>
        <w:spacing w:before="0" w:beforeAutospacing="0" w:after="0" w:afterAutospacing="0"/>
        <w:ind w:firstLine="720"/>
        <w:divId w:val="1814710894"/>
        <w:rPr>
          <w:sz w:val="20"/>
          <w:szCs w:val="20"/>
        </w:rPr>
      </w:pPr>
      <w:r>
        <w:rPr>
          <w:sz w:val="20"/>
          <w:szCs w:val="20"/>
        </w:rPr>
        <w:t>The provision for income tax (expense) benefit, as compared to the comparable periods in the prior year, was as follows:</w:t>
      </w:r>
    </w:p>
    <w:p w:rsidR="00000000" w:rsidRDefault="008B747E">
      <w:pPr>
        <w:pStyle w:val="a3"/>
        <w:spacing w:before="0" w:beforeAutospacing="0" w:after="0" w:afterAutospacing="0"/>
        <w:ind w:firstLine="720"/>
        <w:divId w:val="1814710894"/>
        <w:rPr>
          <w:sz w:val="20"/>
          <w:szCs w:val="20"/>
        </w:rPr>
      </w:pPr>
      <w:r>
        <w:rPr>
          <w:sz w:val="20"/>
          <w:szCs w:val="20"/>
        </w:rPr>
        <w:t>​</w:t>
      </w:r>
    </w:p>
    <w:p w:rsidR="00000000" w:rsidRDefault="008B747E">
      <w:pPr>
        <w:pStyle w:val="a3"/>
        <w:spacing w:before="0" w:beforeAutospacing="0" w:after="0" w:afterAutospacing="0"/>
        <w:divId w:val="1814710894"/>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2007"/>
        <w:gridCol w:w="160"/>
        <w:gridCol w:w="129"/>
        <w:gridCol w:w="509"/>
        <w:gridCol w:w="160"/>
        <w:gridCol w:w="126"/>
        <w:gridCol w:w="541"/>
        <w:gridCol w:w="160"/>
        <w:gridCol w:w="100"/>
        <w:gridCol w:w="584"/>
        <w:gridCol w:w="160"/>
        <w:gridCol w:w="434"/>
        <w:gridCol w:w="167"/>
        <w:gridCol w:w="160"/>
        <w:gridCol w:w="100"/>
        <w:gridCol w:w="434"/>
        <w:gridCol w:w="160"/>
        <w:gridCol w:w="100"/>
        <w:gridCol w:w="510"/>
        <w:gridCol w:w="160"/>
        <w:gridCol w:w="100"/>
        <w:gridCol w:w="584"/>
        <w:gridCol w:w="160"/>
        <w:gridCol w:w="434"/>
        <w:gridCol w:w="167"/>
      </w:tblGrid>
      <w:tr w:rsidR="00000000">
        <w:trPr>
          <w:divId w:val="1814710894"/>
          <w:trHeight w:val="20"/>
        </w:trPr>
        <w:tc>
          <w:tcPr>
            <w:tcW w:w="1701" w:type="pct"/>
            <w:tcMar>
              <w:top w:w="0" w:type="dxa"/>
              <w:left w:w="0" w:type="dxa"/>
              <w:bottom w:w="0" w:type="dxa"/>
              <w:right w:w="0" w:type="dxa"/>
            </w:tcMar>
            <w:vAlign w:val="bottom"/>
            <w:hideMark/>
          </w:tcPr>
          <w:p w:rsidR="00000000" w:rsidRDefault="008B747E">
            <w:pPr>
              <w:pStyle w:val="a3"/>
              <w:spacing w:before="0" w:beforeAutospacing="0" w:after="0" w:afterAutospacing="0"/>
              <w:divId w:val="721950241"/>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051105222"/>
              <w:rPr>
                <w:sz w:val="20"/>
                <w:szCs w:val="20"/>
              </w:rPr>
            </w:pPr>
            <w:r>
              <w:rPr>
                <w:sz w:val="2"/>
                <w:szCs w:val="2"/>
              </w:rPr>
              <w:t>​</w:t>
            </w:r>
          </w:p>
        </w:tc>
        <w:tc>
          <w:tcPr>
            <w:tcW w:w="66"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831264656"/>
              <w:rPr>
                <w:sz w:val="20"/>
                <w:szCs w:val="20"/>
              </w:rPr>
            </w:pPr>
            <w:r>
              <w:rPr>
                <w:sz w:val="2"/>
                <w:szCs w:val="2"/>
              </w:rPr>
              <w:t>​</w:t>
            </w:r>
          </w:p>
        </w:tc>
        <w:tc>
          <w:tcPr>
            <w:tcW w:w="262"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203907794"/>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990475550"/>
              <w:rPr>
                <w:sz w:val="20"/>
                <w:szCs w:val="20"/>
              </w:rPr>
            </w:pPr>
            <w:r>
              <w:rPr>
                <w:sz w:val="2"/>
                <w:szCs w:val="2"/>
              </w:rPr>
              <w:t>​</w:t>
            </w:r>
          </w:p>
        </w:tc>
        <w:tc>
          <w:tcPr>
            <w:tcW w:w="65"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539977359"/>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195800874"/>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322123600"/>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385491961"/>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43945007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973245997"/>
              <w:rPr>
                <w:sz w:val="20"/>
                <w:szCs w:val="20"/>
              </w:rPr>
            </w:pPr>
            <w:r>
              <w:rPr>
                <w:sz w:val="2"/>
                <w:szCs w:val="2"/>
              </w:rPr>
              <w:t>​</w:t>
            </w:r>
          </w:p>
        </w:tc>
        <w:tc>
          <w:tcPr>
            <w:tcW w:w="240"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9037285"/>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577010886"/>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16094279"/>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63572255"/>
              <w:rPr>
                <w:sz w:val="20"/>
                <w:szCs w:val="20"/>
              </w:rPr>
            </w:pPr>
            <w:r>
              <w:rPr>
                <w:sz w:val="2"/>
                <w:szCs w:val="2"/>
              </w:rPr>
              <w:t>​</w:t>
            </w:r>
          </w:p>
        </w:tc>
        <w:tc>
          <w:tcPr>
            <w:tcW w:w="240"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39102580"/>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91304937"/>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172182828"/>
              <w:rPr>
                <w:sz w:val="20"/>
                <w:szCs w:val="20"/>
              </w:rPr>
            </w:pPr>
            <w:r>
              <w:rPr>
                <w:sz w:val="2"/>
                <w:szCs w:val="2"/>
              </w:rPr>
              <w:t>​</w:t>
            </w:r>
          </w:p>
        </w:tc>
        <w:tc>
          <w:tcPr>
            <w:tcW w:w="277"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032797465"/>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086218554"/>
              <w:rPr>
                <w:sz w:val="20"/>
                <w:szCs w:val="20"/>
              </w:rPr>
            </w:pPr>
            <w:r>
              <w:rPr>
                <w:sz w:val="2"/>
                <w:szCs w:val="2"/>
              </w:rPr>
              <w:t>​</w:t>
            </w:r>
          </w:p>
        </w:tc>
        <w:tc>
          <w:tcPr>
            <w:tcW w:w="4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77222681"/>
              <w:rPr>
                <w:sz w:val="20"/>
                <w:szCs w:val="20"/>
              </w:rPr>
            </w:pPr>
            <w:r>
              <w:rPr>
                <w:sz w:val="2"/>
                <w:szCs w:val="2"/>
              </w:rPr>
              <w:t>​</w:t>
            </w:r>
          </w:p>
        </w:tc>
        <w:tc>
          <w:tcPr>
            <w:tcW w:w="31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0862809"/>
              <w:rPr>
                <w:sz w:val="20"/>
                <w:szCs w:val="20"/>
              </w:rPr>
            </w:pPr>
            <w:r>
              <w:rPr>
                <w:sz w:val="2"/>
                <w:szCs w:val="2"/>
              </w:rPr>
              <w:t>​</w:t>
            </w:r>
          </w:p>
        </w:tc>
        <w:tc>
          <w:tcPr>
            <w:tcW w:w="79"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995836763"/>
              <w:rPr>
                <w:sz w:val="20"/>
                <w:szCs w:val="20"/>
              </w:rPr>
            </w:pPr>
            <w:r>
              <w:rPr>
                <w:sz w:val="2"/>
                <w:szCs w:val="2"/>
              </w:rPr>
              <w:t>​</w:t>
            </w:r>
          </w:p>
        </w:tc>
        <w:tc>
          <w:tcPr>
            <w:tcW w:w="240"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90599088"/>
              <w:rPr>
                <w:sz w:val="20"/>
                <w:szCs w:val="20"/>
              </w:rPr>
            </w:pPr>
            <w:r>
              <w:rPr>
                <w:sz w:val="2"/>
                <w:szCs w:val="2"/>
              </w:rPr>
              <w:t>​</w:t>
            </w:r>
          </w:p>
        </w:tc>
        <w:tc>
          <w:tcPr>
            <w:tcW w:w="82"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2210398"/>
              <w:rPr>
                <w:sz w:val="20"/>
                <w:szCs w:val="20"/>
              </w:rPr>
            </w:pPr>
            <w:r>
              <w:rPr>
                <w:sz w:val="2"/>
                <w:szCs w:val="2"/>
              </w:rPr>
              <w:t>​</w:t>
            </w:r>
          </w:p>
        </w:tc>
      </w:tr>
      <w:tr w:rsidR="00000000">
        <w:trPr>
          <w:divId w:val="1814710894"/>
        </w:trPr>
        <w:tc>
          <w:tcPr>
            <w:tcW w:w="1701"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51" w:type="pct"/>
            <w:gridSpan w:val="5"/>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Three Months Ended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1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240"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696" w:type="pct"/>
            <w:gridSpan w:val="5"/>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Six Months Ended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4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31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240"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c>
          <w:tcPr>
            <w:tcW w:w="8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16"/>
                <w:szCs w:val="16"/>
              </w:rPr>
              <w:t>​</w:t>
            </w:r>
          </w:p>
        </w:tc>
      </w:tr>
      <w:tr w:rsidR="00000000">
        <w:trPr>
          <w:divId w:val="1814710894"/>
        </w:trPr>
        <w:tc>
          <w:tcPr>
            <w:tcW w:w="1701"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51"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683"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Change</w:t>
            </w:r>
          </w:p>
        </w:tc>
        <w:tc>
          <w:tcPr>
            <w:tcW w:w="8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696"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683" w:type="pct"/>
            <w:gridSpan w:val="4"/>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Change</w:t>
            </w:r>
          </w:p>
        </w:tc>
        <w:tc>
          <w:tcPr>
            <w:tcW w:w="8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r>
      <w:tr w:rsidR="00000000">
        <w:trPr>
          <w:divId w:val="1814710894"/>
        </w:trPr>
        <w:tc>
          <w:tcPr>
            <w:tcW w:w="1701" w:type="pct"/>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(In thousands)</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32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34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36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24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8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289"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32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364"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79"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240" w:type="pct"/>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w:t>
            </w:r>
          </w:p>
        </w:tc>
        <w:tc>
          <w:tcPr>
            <w:tcW w:w="82"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r>
      <w:tr w:rsidR="00000000">
        <w:trPr>
          <w:divId w:val="1814710894"/>
        </w:trPr>
        <w:tc>
          <w:tcPr>
            <w:tcW w:w="1701"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Provision for income tax (expense) benefit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6"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26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(201</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5"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6,79</w:t>
            </w:r>
            <w:r>
              <w:rPr>
                <w:sz w:val="20"/>
                <w:szCs w:val="20"/>
              </w:rPr>
              <w:t>0</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(6,991</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(103</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(281</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277"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6,64</w:t>
            </w:r>
            <w:r>
              <w:rPr>
                <w:sz w:val="20"/>
                <w:szCs w:val="20"/>
              </w:rPr>
              <w:t>6</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1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(6,927</w:t>
            </w:r>
            <w:r>
              <w:rPr>
                <w:sz w:val="20"/>
                <w:szCs w:val="20"/>
              </w:rPr>
              <w:t>)</w:t>
            </w:r>
          </w:p>
        </w:tc>
        <w:tc>
          <w:tcPr>
            <w:tcW w:w="79"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240"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(104</w:t>
            </w:r>
            <w:r>
              <w:rPr>
                <w:sz w:val="20"/>
                <w:szCs w:val="20"/>
              </w:rPr>
              <w:t>)</w:t>
            </w:r>
          </w:p>
        </w:tc>
        <w:tc>
          <w:tcPr>
            <w:tcW w:w="82"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bl>
    <w:p w:rsidR="00000000" w:rsidRDefault="008B747E">
      <w:pPr>
        <w:pStyle w:val="a3"/>
        <w:spacing w:before="0" w:beforeAutospacing="0" w:after="0" w:afterAutospacing="0"/>
        <w:divId w:val="1814710894"/>
        <w:rPr>
          <w:sz w:val="20"/>
          <w:szCs w:val="20"/>
        </w:rPr>
      </w:pPr>
      <w:r>
        <w:rPr>
          <w:sz w:val="20"/>
          <w:szCs w:val="20"/>
        </w:rPr>
        <w:t>​</w:t>
      </w:r>
    </w:p>
    <w:p w:rsidR="00000000" w:rsidRDefault="008B747E">
      <w:pPr>
        <w:pStyle w:val="a3"/>
        <w:spacing w:before="0" w:beforeAutospacing="0" w:after="0" w:afterAutospacing="0"/>
        <w:ind w:firstLine="720"/>
        <w:divId w:val="1814710894"/>
        <w:rPr>
          <w:sz w:val="20"/>
          <w:szCs w:val="20"/>
        </w:rPr>
      </w:pPr>
      <w:r>
        <w:rPr>
          <w:sz w:val="20"/>
          <w:szCs w:val="20"/>
        </w:rPr>
        <w:t>Our effective tax rate for the six months ended June 30, 2019 was approximately (0.25)%. Although we incurred operating losses on a consolidated basis, the provision for income</w:t>
      </w:r>
      <w:r>
        <w:rPr>
          <w:sz w:val="20"/>
          <w:szCs w:val="20"/>
        </w:rPr>
        <w:t xml:space="preserve"> taxes was due to the uncertain tax positions taken with respect to transfer pricing and tax credits.</w:t>
      </w:r>
      <w:r>
        <w:rPr>
          <w:sz w:val="20"/>
          <w:szCs w:val="20"/>
        </w:rPr>
        <w:t xml:space="preserve"> </w:t>
      </w:r>
    </w:p>
    <w:p w:rsidR="00000000" w:rsidRDefault="008B747E">
      <w:pPr>
        <w:pStyle w:val="a3"/>
        <w:spacing w:before="0" w:beforeAutospacing="0" w:after="0" w:afterAutospacing="0"/>
        <w:ind w:firstLine="720"/>
        <w:divId w:val="1814710894"/>
        <w:rPr>
          <w:sz w:val="20"/>
          <w:szCs w:val="20"/>
        </w:rPr>
      </w:pPr>
      <w:r>
        <w:rPr>
          <w:sz w:val="20"/>
          <w:szCs w:val="20"/>
        </w:rPr>
        <w:t>​</w:t>
      </w:r>
    </w:p>
    <w:p w:rsidR="00000000" w:rsidRDefault="008B747E">
      <w:pPr>
        <w:pStyle w:val="a3"/>
        <w:spacing w:before="0" w:beforeAutospacing="0" w:after="0" w:afterAutospacing="0"/>
        <w:ind w:firstLine="720"/>
        <w:divId w:val="1814710894"/>
        <w:rPr>
          <w:sz w:val="20"/>
          <w:szCs w:val="20"/>
        </w:rPr>
      </w:pPr>
      <w:r>
        <w:rPr>
          <w:sz w:val="20"/>
          <w:szCs w:val="20"/>
        </w:rPr>
        <w:t>The provision for income taxes increased by $6.9 million for the six months ended June 20, 2019 compared to the same period in 2018. The increase was primarily attributed to a tax adjustment recorded in second quarter of 2018 related to the finalization of</w:t>
      </w:r>
      <w:r>
        <w:rPr>
          <w:sz w:val="20"/>
          <w:szCs w:val="20"/>
        </w:rPr>
        <w:t xml:space="preserve"> our transfer pricing policy. The 2018 tax adjustment resulted in a tax benefit of $6.8 million and $6.6 million for the three and six months ended June 30, 2018, respectively.</w:t>
      </w:r>
    </w:p>
    <w:p w:rsidR="00000000" w:rsidRDefault="008B747E">
      <w:pPr>
        <w:pStyle w:val="a3"/>
        <w:spacing w:before="0" w:beforeAutospacing="0" w:after="0" w:afterAutospacing="0"/>
        <w:divId w:val="1814710894"/>
        <w:rPr>
          <w:sz w:val="20"/>
          <w:szCs w:val="20"/>
        </w:rPr>
      </w:pPr>
      <w:r>
        <w:rPr>
          <w:color w:val="FF0000"/>
          <w:sz w:val="20"/>
          <w:szCs w:val="20"/>
        </w:rPr>
        <w:t>​</w:t>
      </w:r>
    </w:p>
    <w:p w:rsidR="00000000" w:rsidRDefault="008B747E">
      <w:pPr>
        <w:pStyle w:val="a3"/>
        <w:spacing w:before="0" w:beforeAutospacing="0" w:after="0" w:afterAutospacing="0"/>
        <w:divId w:val="1814710894"/>
        <w:rPr>
          <w:sz w:val="20"/>
          <w:szCs w:val="20"/>
        </w:rPr>
      </w:pPr>
      <w:r>
        <w:rPr>
          <w:b/>
          <w:bCs/>
          <w:sz w:val="20"/>
          <w:szCs w:val="20"/>
        </w:rPr>
        <w:t>Liquidity and Capital Resources</w:t>
      </w:r>
    </w:p>
    <w:p w:rsidR="00000000" w:rsidRDefault="008B747E">
      <w:pPr>
        <w:pStyle w:val="a3"/>
        <w:spacing w:before="0" w:beforeAutospacing="0" w:after="0" w:afterAutospacing="0"/>
        <w:divId w:val="1814710894"/>
        <w:rPr>
          <w:sz w:val="20"/>
          <w:szCs w:val="20"/>
        </w:rPr>
      </w:pPr>
      <w:r>
        <w:rPr>
          <w:sz w:val="10"/>
          <w:szCs w:val="10"/>
        </w:rPr>
        <w:t>​</w:t>
      </w:r>
    </w:p>
    <w:p w:rsidR="00000000" w:rsidRDefault="008B747E">
      <w:pPr>
        <w:pStyle w:val="a3"/>
        <w:spacing w:before="0" w:beforeAutospacing="0" w:after="0" w:afterAutospacing="0"/>
        <w:ind w:firstLine="720"/>
        <w:divId w:val="1814710894"/>
        <w:rPr>
          <w:sz w:val="20"/>
          <w:szCs w:val="20"/>
        </w:rPr>
      </w:pPr>
      <w:r>
        <w:rPr>
          <w:sz w:val="20"/>
          <w:szCs w:val="20"/>
        </w:rPr>
        <w:t>We have financed our operations primarily t</w:t>
      </w:r>
      <w:r>
        <w:rPr>
          <w:sz w:val="20"/>
          <w:szCs w:val="20"/>
        </w:rPr>
        <w:t>hrough public offering of equity and debt securities, private placements of equity and debt, revenue from collaboration arrangements and, to a lesser extent, revenue from product sales. As of June 30, 2019, we had approximately $396.1 million in cash, cash</w:t>
      </w:r>
      <w:r>
        <w:rPr>
          <w:sz w:val="20"/>
          <w:szCs w:val="20"/>
        </w:rPr>
        <w:t xml:space="preserve"> equivalents, and investments in marketable securities. Also, as of June 30, 2019, we had outstanding (i) $230.0 million in aggregate principal Convertible Senior 2023 Notes and (ii) $237.5 million in net principal Non-Recourse 2033 Notes stated net of a 5</w:t>
      </w:r>
      <w:r>
        <w:rPr>
          <w:sz w:val="20"/>
          <w:szCs w:val="20"/>
        </w:rPr>
        <w:t xml:space="preserve">.0% retention by us as discussed in the </w:t>
      </w:r>
      <w:r>
        <w:rPr>
          <w:i/>
          <w:iCs/>
          <w:sz w:val="20"/>
          <w:szCs w:val="20"/>
        </w:rPr>
        <w:t xml:space="preserve">Theravance Respiratory Company, LLC </w:t>
      </w:r>
      <w:r>
        <w:rPr>
          <w:sz w:val="20"/>
          <w:szCs w:val="20"/>
        </w:rPr>
        <w:t>section above.</w:t>
      </w:r>
    </w:p>
    <w:p w:rsidR="00000000" w:rsidRDefault="008B747E">
      <w:pPr>
        <w:pStyle w:val="a3"/>
        <w:spacing w:before="0" w:beforeAutospacing="0" w:after="0" w:afterAutospacing="0"/>
        <w:divId w:val="1814710894"/>
        <w:rPr>
          <w:sz w:val="20"/>
          <w:szCs w:val="20"/>
        </w:rPr>
      </w:pPr>
      <w:r>
        <w:rPr>
          <w:sz w:val="20"/>
          <w:szCs w:val="20"/>
        </w:rPr>
        <w:t>​</w:t>
      </w:r>
    </w:p>
    <w:p w:rsidR="00000000" w:rsidRDefault="008B747E">
      <w:pPr>
        <w:pStyle w:val="a3"/>
        <w:spacing w:before="0" w:beforeAutospacing="0" w:after="0" w:afterAutospacing="0"/>
        <w:ind w:firstLine="720"/>
        <w:divId w:val="1814710894"/>
        <w:rPr>
          <w:sz w:val="20"/>
          <w:szCs w:val="20"/>
        </w:rPr>
      </w:pPr>
      <w:r>
        <w:rPr>
          <w:sz w:val="20"/>
          <w:szCs w:val="20"/>
        </w:rPr>
        <w:t>The Non-Recourse 2033 Notes are secured by all of the Issuer’s rights, title and interest as a holder of the Issuer Class C Units in TRC. The primary source of fun</w:t>
      </w:r>
      <w:r>
        <w:rPr>
          <w:sz w:val="20"/>
          <w:szCs w:val="20"/>
        </w:rPr>
        <w:t>ds to make payments on the Non-Recourse 2033 Notes will be the 63.75% economic interest of the issuer (evidenced by the Issuer Class C Units) in any future payments that may be made by GSK to TRC under the strategic alliance agreement and under the portion</w:t>
      </w:r>
      <w:r>
        <w:rPr>
          <w:sz w:val="20"/>
          <w:szCs w:val="20"/>
        </w:rPr>
        <w:t xml:space="preserve"> of the collaboration agreement assigned to TRC by Innoviva (net of TRC expenses paid and the amount of cash, if any, expected to be used by TRC pursuant to the TRC LLC Agreement over the next four fiscal quarters) relating to the GSK-Partnered Respiratory</w:t>
      </w:r>
      <w:r>
        <w:rPr>
          <w:sz w:val="20"/>
          <w:szCs w:val="20"/>
        </w:rPr>
        <w:t xml:space="preserve"> Programs, including the </w:t>
      </w:r>
      <w:r>
        <w:rPr>
          <w:caps/>
          <w:sz w:val="20"/>
          <w:szCs w:val="20"/>
        </w:rPr>
        <w:t>Trelegy Ellipta</w:t>
      </w:r>
      <w:r>
        <w:rPr>
          <w:sz w:val="20"/>
          <w:szCs w:val="20"/>
        </w:rPr>
        <w:t xml:space="preserve"> program. As a result, the holders of the Non-Recourse 2033 Notes have no recourse against Theravance Biopharma even if the TRELEGY ELLIPTA payments are insufficient to cover the principal and interest payments for t</w:t>
      </w:r>
      <w:r>
        <w:rPr>
          <w:sz w:val="20"/>
          <w:szCs w:val="20"/>
        </w:rPr>
        <w:t>he Non-Recourse 2033 Notes.</w:t>
      </w:r>
    </w:p>
    <w:p w:rsidR="00000000" w:rsidRDefault="008B747E">
      <w:pPr>
        <w:pStyle w:val="a3"/>
        <w:spacing w:before="0" w:beforeAutospacing="0" w:after="0" w:afterAutospacing="0"/>
        <w:divId w:val="1814710894"/>
        <w:rPr>
          <w:sz w:val="20"/>
          <w:szCs w:val="20"/>
        </w:rPr>
      </w:pPr>
      <w:r>
        <w:rPr>
          <w:sz w:val="20"/>
          <w:szCs w:val="20"/>
        </w:rPr>
        <w:t>​</w:t>
      </w:r>
    </w:p>
    <w:p w:rsidR="00000000" w:rsidRDefault="008B747E">
      <w:pPr>
        <w:pStyle w:val="a3"/>
        <w:spacing w:before="0" w:beforeAutospacing="0" w:after="0" w:afterAutospacing="0"/>
        <w:ind w:firstLine="720"/>
        <w:divId w:val="1814710894"/>
        <w:rPr>
          <w:sz w:val="20"/>
          <w:szCs w:val="20"/>
        </w:rPr>
      </w:pPr>
      <w:r>
        <w:rPr>
          <w:sz w:val="20"/>
          <w:szCs w:val="20"/>
        </w:rPr>
        <w:t xml:space="preserve">We expect to continue to incur net losses over at least the next several years due to significant expenditures relating to our continuing drug discovery efforts, preclinical and clinical development of our current </w:t>
      </w:r>
      <w:r>
        <w:rPr>
          <w:rFonts w:ascii="Times" w:hAnsi="Times"/>
          <w:sz w:val="20"/>
          <w:szCs w:val="20"/>
        </w:rPr>
        <w:t>product cand</w:t>
      </w:r>
      <w:r>
        <w:rPr>
          <w:rFonts w:ascii="Times" w:hAnsi="Times"/>
          <w:sz w:val="20"/>
          <w:szCs w:val="20"/>
        </w:rPr>
        <w:t>idates and</w:t>
      </w:r>
      <w:r>
        <w:rPr>
          <w:sz w:val="20"/>
          <w:szCs w:val="20"/>
        </w:rPr>
        <w:t xml:space="preserve"> commercialization costs relating to YUPELRI. In particular, to the extent we advance our product candidates into and through later-stage clinical studies without a partner, we will incur substantial expenses. We expect the clinical development o</w:t>
      </w:r>
      <w:r>
        <w:rPr>
          <w:sz w:val="20"/>
          <w:szCs w:val="20"/>
        </w:rPr>
        <w:t>f our key development programs will require significant investment in order to continue to advance in clinical development. In addition, we expect to invest strategically in our research efforts to continue to grow our development pipeline. In the past, we</w:t>
      </w:r>
      <w:r>
        <w:rPr>
          <w:sz w:val="20"/>
          <w:szCs w:val="20"/>
        </w:rPr>
        <w:t xml:space="preserve"> have received a number of significant payments from collaboration agreements and other significant transactions. In the future, we may continue to receive potential substantial payments from future collaboration transactions if the drug candidates in our </w:t>
      </w:r>
      <w:r>
        <w:rPr>
          <w:sz w:val="20"/>
          <w:szCs w:val="20"/>
        </w:rPr>
        <w:t>pipeline achieve positive clinical or regulatory outcomes or if our product candidates are approved and meet certain milestones. Our current business plan is subject to significant uncertainties and risks as a result of, among other factors, clinical progr</w:t>
      </w:r>
      <w:r>
        <w:rPr>
          <w:sz w:val="20"/>
          <w:szCs w:val="20"/>
        </w:rPr>
        <w:t>am outcomes, whether, when and on what terms we are able to enter into new collaboration arrangements, expenses being higher than anticipated, the sales levels of any approved products, unplanned expenses, cash receipts being lower than anticipated, and th</w:t>
      </w:r>
      <w:r>
        <w:rPr>
          <w:sz w:val="20"/>
          <w:szCs w:val="20"/>
        </w:rPr>
        <w:t>e need to satisfy contingent liabilities, including litigation matters and indemnification obligations.</w:t>
      </w:r>
    </w:p>
    <w:p w:rsidR="00000000" w:rsidRDefault="008B747E">
      <w:pPr>
        <w:pStyle w:val="a3"/>
        <w:spacing w:before="0" w:beforeAutospacing="0" w:after="0" w:afterAutospacing="0"/>
        <w:divId w:val="1814710894"/>
        <w:rPr>
          <w:sz w:val="20"/>
          <w:szCs w:val="20"/>
        </w:rPr>
      </w:pPr>
      <w:r>
        <w:rPr>
          <w:sz w:val="20"/>
          <w:szCs w:val="20"/>
        </w:rPr>
        <w:t>​</w:t>
      </w:r>
    </w:p>
    <w:p w:rsidR="00000000" w:rsidRDefault="008B747E">
      <w:pPr>
        <w:pStyle w:val="a3"/>
        <w:spacing w:before="360" w:beforeAutospacing="0" w:after="0" w:afterAutospacing="0"/>
        <w:jc w:val="center"/>
        <w:divId w:val="1893690374"/>
        <w:rPr>
          <w:sz w:val="20"/>
          <w:szCs w:val="20"/>
        </w:rPr>
      </w:pPr>
      <w:r>
        <w:rPr>
          <w:sz w:val="20"/>
          <w:szCs w:val="20"/>
        </w:rPr>
        <w:t>30</w:t>
      </w:r>
    </w:p>
    <w:p w:rsidR="00000000" w:rsidRDefault="008B747E">
      <w:pPr>
        <w:pStyle w:val="a3"/>
        <w:spacing w:before="0" w:beforeAutospacing="0" w:after="600" w:afterAutospacing="0"/>
        <w:divId w:val="382871122"/>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1762724710"/>
        <w:rPr>
          <w:sz w:val="20"/>
          <w:szCs w:val="20"/>
        </w:rPr>
      </w:pPr>
      <w:r>
        <w:rPr>
          <w:i/>
          <w:iCs/>
          <w:sz w:val="20"/>
          <w:szCs w:val="20"/>
        </w:rPr>
        <w:t>Adequacy of cash resources to meet future needs</w:t>
      </w:r>
    </w:p>
    <w:p w:rsidR="00000000" w:rsidRDefault="008B747E">
      <w:pPr>
        <w:pStyle w:val="a3"/>
        <w:spacing w:before="0" w:beforeAutospacing="0" w:after="0" w:afterAutospacing="0"/>
        <w:divId w:val="1762724710"/>
        <w:rPr>
          <w:sz w:val="20"/>
          <w:szCs w:val="20"/>
        </w:rPr>
      </w:pPr>
      <w:r>
        <w:rPr>
          <w:sz w:val="10"/>
          <w:szCs w:val="10"/>
        </w:rPr>
        <w:t>​</w:t>
      </w:r>
    </w:p>
    <w:p w:rsidR="00000000" w:rsidRDefault="008B747E">
      <w:pPr>
        <w:pStyle w:val="a3"/>
        <w:spacing w:before="0" w:beforeAutospacing="0" w:after="0" w:afterAutospacing="0"/>
        <w:ind w:firstLine="720"/>
        <w:divId w:val="1762724710"/>
        <w:rPr>
          <w:sz w:val="20"/>
          <w:szCs w:val="20"/>
        </w:rPr>
      </w:pPr>
      <w:r>
        <w:rPr>
          <w:sz w:val="20"/>
          <w:szCs w:val="20"/>
        </w:rPr>
        <w:t>We expect our cash and cash equivalents and marketabl</w:t>
      </w:r>
      <w:r>
        <w:rPr>
          <w:sz w:val="20"/>
          <w:szCs w:val="20"/>
        </w:rPr>
        <w:t>e securities will be sufficient to fund our operations for at least the next 12 months from the issuance date of these condensed consolidated financial statements based on current operating plans and financial forecasts.</w:t>
      </w:r>
    </w:p>
    <w:p w:rsidR="00000000" w:rsidRDefault="008B747E">
      <w:pPr>
        <w:pStyle w:val="a3"/>
        <w:spacing w:before="0" w:beforeAutospacing="0" w:after="0" w:afterAutospacing="0"/>
        <w:ind w:firstLine="720"/>
        <w:divId w:val="1762724710"/>
        <w:rPr>
          <w:sz w:val="20"/>
          <w:szCs w:val="20"/>
        </w:rPr>
      </w:pPr>
      <w:r>
        <w:rPr>
          <w:sz w:val="20"/>
          <w:szCs w:val="20"/>
        </w:rPr>
        <w:t>​</w:t>
      </w:r>
    </w:p>
    <w:p w:rsidR="00000000" w:rsidRDefault="008B747E">
      <w:pPr>
        <w:pStyle w:val="a3"/>
        <w:spacing w:before="0" w:beforeAutospacing="0" w:after="0" w:afterAutospacing="0"/>
        <w:ind w:firstLine="720"/>
        <w:divId w:val="1762724710"/>
        <w:rPr>
          <w:sz w:val="20"/>
          <w:szCs w:val="20"/>
        </w:rPr>
      </w:pPr>
      <w:r>
        <w:rPr>
          <w:sz w:val="20"/>
          <w:szCs w:val="20"/>
        </w:rPr>
        <w:t xml:space="preserve">We may seek to obtain additional </w:t>
      </w:r>
      <w:r>
        <w:rPr>
          <w:sz w:val="20"/>
          <w:szCs w:val="20"/>
        </w:rPr>
        <w:t>financing in the form of public or private equity offerings, debt financing or additional collaborations and licensing arrangements. However, future financing may not be available in amounts or on terms acceptable to us, if at all.</w:t>
      </w:r>
    </w:p>
    <w:p w:rsidR="00000000" w:rsidRDefault="008B747E">
      <w:pPr>
        <w:pStyle w:val="a3"/>
        <w:spacing w:before="0" w:beforeAutospacing="0" w:after="0" w:afterAutospacing="0"/>
        <w:divId w:val="1762724710"/>
        <w:rPr>
          <w:sz w:val="20"/>
          <w:szCs w:val="20"/>
        </w:rPr>
      </w:pPr>
      <w:r>
        <w:rPr>
          <w:sz w:val="20"/>
          <w:szCs w:val="20"/>
        </w:rPr>
        <w:t>​</w:t>
      </w:r>
    </w:p>
    <w:p w:rsidR="00000000" w:rsidRDefault="008B747E">
      <w:pPr>
        <w:pStyle w:val="a3"/>
        <w:spacing w:before="0" w:beforeAutospacing="0" w:after="0" w:afterAutospacing="0"/>
        <w:ind w:firstLine="720"/>
        <w:divId w:val="1762724710"/>
        <w:rPr>
          <w:sz w:val="20"/>
          <w:szCs w:val="20"/>
        </w:rPr>
      </w:pPr>
      <w:r>
        <w:rPr>
          <w:sz w:val="20"/>
          <w:szCs w:val="20"/>
        </w:rPr>
        <w:t>Without adequate finan</w:t>
      </w:r>
      <w:r>
        <w:rPr>
          <w:sz w:val="20"/>
          <w:szCs w:val="20"/>
        </w:rPr>
        <w:t>cial resources to fund our operations as presently conducted, we may be required to relinquish rights to our technologies, product candidates or territories, or grant licenses on terms that are not favorable to us, in order to raise additional funds throug</w:t>
      </w:r>
      <w:r>
        <w:rPr>
          <w:sz w:val="20"/>
          <w:szCs w:val="20"/>
        </w:rPr>
        <w:t>h collaborations or licensing arrangements. We may also have to sequence preclinical and clinical studies as opposed to conducting them concomitantly in order to conserve resources, or delay, reduce or eliminate one or more of our research or development p</w:t>
      </w:r>
      <w:r>
        <w:rPr>
          <w:sz w:val="20"/>
          <w:szCs w:val="20"/>
        </w:rPr>
        <w:t>rograms and reduce overall overhead expenses. In addition, we may have to make reductions in our workforce and may be prevented from continuing our discovery, development and commercialization efforts and exploiting other corporate opportunities.</w:t>
      </w:r>
    </w:p>
    <w:p w:rsidR="00000000" w:rsidRDefault="008B747E">
      <w:pPr>
        <w:pStyle w:val="a3"/>
        <w:spacing w:before="0" w:beforeAutospacing="0" w:after="0" w:afterAutospacing="0"/>
        <w:divId w:val="1762724710"/>
        <w:rPr>
          <w:sz w:val="20"/>
          <w:szCs w:val="20"/>
        </w:rPr>
      </w:pPr>
      <w:r>
        <w:rPr>
          <w:sz w:val="20"/>
          <w:szCs w:val="20"/>
        </w:rPr>
        <w:t>​</w:t>
      </w:r>
    </w:p>
    <w:p w:rsidR="00000000" w:rsidRDefault="008B747E">
      <w:pPr>
        <w:pStyle w:val="a3"/>
        <w:spacing w:before="0" w:beforeAutospacing="0" w:after="0" w:afterAutospacing="0"/>
        <w:divId w:val="1762724710"/>
        <w:rPr>
          <w:sz w:val="20"/>
          <w:szCs w:val="20"/>
        </w:rPr>
      </w:pPr>
      <w:r>
        <w:rPr>
          <w:b/>
          <w:bCs/>
          <w:i/>
          <w:iCs/>
          <w:sz w:val="20"/>
          <w:szCs w:val="20"/>
        </w:rPr>
        <w:t>Cash Fl</w:t>
      </w:r>
      <w:r>
        <w:rPr>
          <w:b/>
          <w:bCs/>
          <w:i/>
          <w:iCs/>
          <w:sz w:val="20"/>
          <w:szCs w:val="20"/>
        </w:rPr>
        <w:t>ows</w:t>
      </w:r>
    </w:p>
    <w:p w:rsidR="00000000" w:rsidRDefault="008B747E">
      <w:pPr>
        <w:pStyle w:val="a3"/>
        <w:spacing w:before="0" w:beforeAutospacing="0" w:after="0" w:afterAutospacing="0"/>
        <w:divId w:val="1762724710"/>
        <w:rPr>
          <w:sz w:val="20"/>
          <w:szCs w:val="20"/>
        </w:rPr>
      </w:pPr>
      <w:r>
        <w:rPr>
          <w:sz w:val="10"/>
          <w:szCs w:val="10"/>
        </w:rPr>
        <w:t>​</w:t>
      </w:r>
    </w:p>
    <w:p w:rsidR="00000000" w:rsidRDefault="008B747E">
      <w:pPr>
        <w:pStyle w:val="a3"/>
        <w:spacing w:before="0" w:beforeAutospacing="0" w:after="0" w:afterAutospacing="0"/>
        <w:ind w:firstLine="720"/>
        <w:divId w:val="1762724710"/>
        <w:rPr>
          <w:sz w:val="20"/>
          <w:szCs w:val="20"/>
        </w:rPr>
      </w:pPr>
      <w:r>
        <w:rPr>
          <w:sz w:val="20"/>
          <w:szCs w:val="20"/>
        </w:rPr>
        <w:t>Cash flows, as compared to the comparable period in the prior year, were as follows:</w:t>
      </w:r>
    </w:p>
    <w:p w:rsidR="00000000" w:rsidRDefault="008B747E">
      <w:pPr>
        <w:pStyle w:val="a3"/>
        <w:spacing w:before="0" w:beforeAutospacing="0" w:after="0" w:afterAutospacing="0"/>
        <w:divId w:val="1762724710"/>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114"/>
        <w:gridCol w:w="160"/>
        <w:gridCol w:w="100"/>
        <w:gridCol w:w="784"/>
        <w:gridCol w:w="160"/>
        <w:gridCol w:w="100"/>
        <w:gridCol w:w="684"/>
        <w:gridCol w:w="160"/>
        <w:gridCol w:w="100"/>
        <w:gridCol w:w="784"/>
        <w:gridCol w:w="160"/>
      </w:tblGrid>
      <w:tr w:rsidR="00000000">
        <w:trPr>
          <w:divId w:val="1762724710"/>
          <w:trHeight w:val="20"/>
        </w:trPr>
        <w:tc>
          <w:tcPr>
            <w:tcW w:w="3132" w:type="pct"/>
            <w:tcMar>
              <w:top w:w="0" w:type="dxa"/>
              <w:left w:w="0" w:type="dxa"/>
              <w:bottom w:w="0" w:type="dxa"/>
              <w:right w:w="0" w:type="dxa"/>
            </w:tcMar>
            <w:vAlign w:val="bottom"/>
            <w:hideMark/>
          </w:tcPr>
          <w:p w:rsidR="00000000" w:rsidRDefault="008B747E">
            <w:pPr>
              <w:pStyle w:val="a3"/>
              <w:spacing w:before="0" w:beforeAutospacing="0" w:after="0" w:afterAutospacing="0"/>
              <w:divId w:val="406146437"/>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98959674"/>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76029240"/>
              <w:rPr>
                <w:sz w:val="20"/>
                <w:szCs w:val="20"/>
              </w:rPr>
            </w:pPr>
            <w:r>
              <w:rPr>
                <w:sz w:val="2"/>
                <w:szCs w:val="2"/>
              </w:rPr>
              <w:t>​</w:t>
            </w:r>
          </w:p>
        </w:tc>
        <w:tc>
          <w:tcPr>
            <w:tcW w:w="413"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742682475"/>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635981106"/>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892231904"/>
              <w:rPr>
                <w:sz w:val="20"/>
                <w:szCs w:val="20"/>
              </w:rPr>
            </w:pPr>
            <w:r>
              <w:rPr>
                <w:sz w:val="2"/>
                <w:szCs w:val="2"/>
              </w:rPr>
              <w:t>​</w:t>
            </w:r>
          </w:p>
        </w:tc>
        <w:tc>
          <w:tcPr>
            <w:tcW w:w="388"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062945004"/>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532232026"/>
              <w:rPr>
                <w:sz w:val="20"/>
                <w:szCs w:val="20"/>
              </w:rPr>
            </w:pPr>
            <w:r>
              <w:rPr>
                <w:sz w:val="2"/>
                <w:szCs w:val="2"/>
              </w:rPr>
              <w:t>​</w:t>
            </w:r>
          </w:p>
        </w:tc>
        <w:tc>
          <w:tcPr>
            <w:tcW w:w="9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218588347"/>
              <w:rPr>
                <w:sz w:val="20"/>
                <w:szCs w:val="20"/>
              </w:rPr>
            </w:pPr>
            <w:r>
              <w:rPr>
                <w:sz w:val="2"/>
                <w:szCs w:val="2"/>
              </w:rPr>
              <w:t>​</w:t>
            </w:r>
          </w:p>
        </w:tc>
        <w:tc>
          <w:tcPr>
            <w:tcW w:w="413"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692851658"/>
              <w:rPr>
                <w:sz w:val="20"/>
                <w:szCs w:val="20"/>
              </w:rPr>
            </w:pPr>
            <w:r>
              <w:rPr>
                <w:sz w:val="2"/>
                <w:szCs w:val="2"/>
              </w:rPr>
              <w:t>​</w:t>
            </w:r>
          </w:p>
        </w:tc>
        <w:tc>
          <w:tcPr>
            <w:tcW w:w="84" w:type="pct"/>
            <w:noWrap/>
            <w:tcMar>
              <w:top w:w="0" w:type="dxa"/>
              <w:left w:w="0" w:type="dxa"/>
              <w:bottom w:w="0" w:type="dxa"/>
              <w:right w:w="0" w:type="dxa"/>
            </w:tcMar>
            <w:vAlign w:val="bottom"/>
            <w:hideMark/>
          </w:tcPr>
          <w:p w:rsidR="00000000" w:rsidRDefault="008B747E">
            <w:pPr>
              <w:pStyle w:val="a3"/>
              <w:spacing w:before="0" w:beforeAutospacing="0" w:after="0" w:afterAutospacing="0"/>
              <w:divId w:val="1329400382"/>
              <w:rPr>
                <w:sz w:val="20"/>
                <w:szCs w:val="20"/>
              </w:rPr>
            </w:pPr>
            <w:r>
              <w:rPr>
                <w:sz w:val="2"/>
                <w:szCs w:val="2"/>
              </w:rPr>
              <w:t>​</w:t>
            </w:r>
          </w:p>
        </w:tc>
      </w:tr>
      <w:tr w:rsidR="00000000">
        <w:trPr>
          <w:divId w:val="1762724710"/>
        </w:trPr>
        <w:tc>
          <w:tcPr>
            <w:tcW w:w="3132"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1085" w:type="pct"/>
            <w:gridSpan w:val="5"/>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xml:space="preserve">Six Months Ended </w:t>
            </w:r>
          </w:p>
        </w:tc>
        <w:tc>
          <w:tcPr>
            <w:tcW w:w="9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9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413"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8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r>
      <w:tr w:rsidR="00000000">
        <w:trPr>
          <w:divId w:val="1762724710"/>
        </w:trPr>
        <w:tc>
          <w:tcPr>
            <w:tcW w:w="3132" w:type="pct"/>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9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1085" w:type="pct"/>
            <w:gridSpan w:val="5"/>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June 30, </w:t>
            </w:r>
          </w:p>
        </w:tc>
        <w:tc>
          <w:tcPr>
            <w:tcW w:w="9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9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413"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8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r>
      <w:tr w:rsidR="00000000">
        <w:trPr>
          <w:divId w:val="1762724710"/>
        </w:trPr>
        <w:tc>
          <w:tcPr>
            <w:tcW w:w="3132" w:type="pct"/>
            <w:tcBorders>
              <w:bottom w:val="single" w:sz="6" w:space="0" w:color="000000"/>
            </w:tcBorders>
            <w:shd w:val="clear" w:color="auto" w:fill="auto"/>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(In thousands)</w:t>
            </w:r>
          </w:p>
        </w:tc>
        <w:tc>
          <w:tcPr>
            <w:tcW w:w="9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507"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2019</w:t>
            </w:r>
          </w:p>
        </w:tc>
        <w:tc>
          <w:tcPr>
            <w:tcW w:w="9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483"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2018</w:t>
            </w:r>
          </w:p>
        </w:tc>
        <w:tc>
          <w:tcPr>
            <w:tcW w:w="9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    </w:t>
            </w:r>
          </w:p>
        </w:tc>
        <w:tc>
          <w:tcPr>
            <w:tcW w:w="508" w:type="pct"/>
            <w:gridSpan w:val="2"/>
            <w:tcBorders>
              <w:bottom w:val="single" w:sz="6" w:space="0" w:color="000000"/>
            </w:tcBorders>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Change</w:t>
            </w:r>
          </w:p>
        </w:tc>
        <w:tc>
          <w:tcPr>
            <w:tcW w:w="84" w:type="pct"/>
            <w:shd w:val="clear" w:color="auto" w:fill="auto"/>
            <w:noWrap/>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r>
      <w:tr w:rsidR="00000000">
        <w:trPr>
          <w:divId w:val="1762724710"/>
        </w:trPr>
        <w:tc>
          <w:tcPr>
            <w:tcW w:w="3132"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Net cash used in operating activities</w:t>
            </w:r>
          </w:p>
        </w:tc>
        <w:tc>
          <w:tcPr>
            <w:tcW w:w="9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(129,223</w:t>
            </w: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3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(11,712</w:t>
            </w: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413"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(117,511</w:t>
            </w:r>
            <w:r>
              <w:rPr>
                <w:sz w:val="20"/>
                <w:szCs w:val="20"/>
              </w:rPr>
              <w:t>)</w:t>
            </w:r>
          </w:p>
        </w:tc>
        <w:tc>
          <w:tcPr>
            <w:tcW w:w="8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762724710"/>
        </w:trPr>
        <w:tc>
          <w:tcPr>
            <w:tcW w:w="3132"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Net cash (used in) provided by investing activities</w:t>
            </w:r>
          </w:p>
        </w:tc>
        <w:tc>
          <w:tcPr>
            <w:tcW w:w="9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3"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(73,456</w:t>
            </w:r>
            <w:r>
              <w:rPr>
                <w:sz w:val="20"/>
                <w:szCs w:val="20"/>
              </w:rPr>
              <w:t>)</w:t>
            </w:r>
          </w:p>
        </w:tc>
        <w:tc>
          <w:tcPr>
            <w:tcW w:w="9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88" w:type="pct"/>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30,66</w:t>
            </w:r>
            <w:r>
              <w:rPr>
                <w:sz w:val="20"/>
                <w:szCs w:val="20"/>
              </w:rPr>
              <w:t>8</w:t>
            </w:r>
          </w:p>
        </w:tc>
        <w:tc>
          <w:tcPr>
            <w:tcW w:w="9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94" w:type="pct"/>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3" w:type="pct"/>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(104,124</w:t>
            </w:r>
            <w:r>
              <w:rPr>
                <w:sz w:val="20"/>
                <w:szCs w:val="20"/>
              </w:rPr>
              <w:t>)</w:t>
            </w:r>
          </w:p>
        </w:tc>
        <w:tc>
          <w:tcPr>
            <w:tcW w:w="84" w:type="pct"/>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r w:rsidR="00000000">
        <w:trPr>
          <w:divId w:val="1762724710"/>
        </w:trPr>
        <w:tc>
          <w:tcPr>
            <w:tcW w:w="3132" w:type="pct"/>
            <w:shd w:val="clear" w:color="auto" w:fill="CCEEFF"/>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Net cash provided by (used in) financing activities</w:t>
            </w:r>
          </w:p>
        </w:tc>
        <w:tc>
          <w:tcPr>
            <w:tcW w:w="9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2,96</w:t>
            </w:r>
            <w:r>
              <w:rPr>
                <w:sz w:val="20"/>
                <w:szCs w:val="20"/>
              </w:rPr>
              <w:t>9</w:t>
            </w:r>
          </w:p>
        </w:tc>
        <w:tc>
          <w:tcPr>
            <w:tcW w:w="9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388"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(4,082</w:t>
            </w: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w:t>
            </w:r>
          </w:p>
        </w:tc>
        <w:tc>
          <w:tcPr>
            <w:tcW w:w="9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sz w:val="20"/>
                <w:szCs w:val="20"/>
              </w:rPr>
              <w:t> </w:t>
            </w:r>
          </w:p>
        </w:tc>
        <w:tc>
          <w:tcPr>
            <w:tcW w:w="413"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ind w:right="60"/>
              <w:jc w:val="right"/>
              <w:rPr>
                <w:sz w:val="20"/>
                <w:szCs w:val="20"/>
              </w:rPr>
            </w:pPr>
            <w:r>
              <w:rPr>
                <w:sz w:val="20"/>
                <w:szCs w:val="20"/>
              </w:rPr>
              <w:t>7,05</w:t>
            </w:r>
            <w:r>
              <w:rPr>
                <w:sz w:val="20"/>
                <w:szCs w:val="20"/>
              </w:rPr>
              <w:t>1</w:t>
            </w:r>
          </w:p>
        </w:tc>
        <w:tc>
          <w:tcPr>
            <w:tcW w:w="84" w:type="pct"/>
            <w:shd w:val="clear" w:color="auto" w:fill="CCEEFF"/>
            <w:noWrap/>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r>
    </w:tbl>
    <w:p w:rsidR="00000000" w:rsidRDefault="008B747E">
      <w:pPr>
        <w:pStyle w:val="a3"/>
        <w:spacing w:before="0" w:beforeAutospacing="0" w:after="0" w:afterAutospacing="0"/>
        <w:divId w:val="1762724710"/>
        <w:rPr>
          <w:sz w:val="20"/>
          <w:szCs w:val="20"/>
        </w:rPr>
      </w:pPr>
      <w:r>
        <w:rPr>
          <w:sz w:val="20"/>
          <w:szCs w:val="20"/>
        </w:rPr>
        <w:t>​</w:t>
      </w:r>
    </w:p>
    <w:p w:rsidR="00000000" w:rsidRDefault="008B747E">
      <w:pPr>
        <w:pStyle w:val="a3"/>
        <w:spacing w:before="0" w:beforeAutospacing="0" w:after="0" w:afterAutospacing="0"/>
        <w:divId w:val="1762724710"/>
        <w:rPr>
          <w:sz w:val="20"/>
          <w:szCs w:val="20"/>
        </w:rPr>
      </w:pPr>
      <w:r>
        <w:rPr>
          <w:i/>
          <w:iCs/>
          <w:sz w:val="20"/>
          <w:szCs w:val="20"/>
        </w:rPr>
        <w:t>Cash flows used in operating activities</w:t>
      </w:r>
    </w:p>
    <w:p w:rsidR="00000000" w:rsidRDefault="008B747E">
      <w:pPr>
        <w:pStyle w:val="a3"/>
        <w:spacing w:before="0" w:beforeAutospacing="0" w:after="0" w:afterAutospacing="0"/>
        <w:divId w:val="1762724710"/>
        <w:rPr>
          <w:sz w:val="20"/>
          <w:szCs w:val="20"/>
        </w:rPr>
      </w:pPr>
      <w:r>
        <w:rPr>
          <w:sz w:val="10"/>
          <w:szCs w:val="10"/>
        </w:rPr>
        <w:t>​</w:t>
      </w:r>
    </w:p>
    <w:p w:rsidR="00000000" w:rsidRDefault="008B747E">
      <w:pPr>
        <w:pStyle w:val="a3"/>
        <w:spacing w:before="0" w:beforeAutospacing="0" w:after="0" w:afterAutospacing="0"/>
        <w:ind w:firstLine="720"/>
        <w:divId w:val="1762724710"/>
        <w:rPr>
          <w:sz w:val="20"/>
          <w:szCs w:val="20"/>
        </w:rPr>
      </w:pPr>
      <w:r>
        <w:rPr>
          <w:sz w:val="20"/>
          <w:szCs w:val="20"/>
        </w:rPr>
        <w:t>Net cash used in operating activities was $129.2 million for the six months ended June 30, 2019. The $129.2 million used in operating activities consisted primarily of net loss of $112.4 million, adjusted for non-cash items such as $23.5 million for share-</w:t>
      </w:r>
      <w:r>
        <w:rPr>
          <w:sz w:val="20"/>
          <w:szCs w:val="20"/>
        </w:rPr>
        <w:t>based compensation expense, $14.6 million related to undistributed earnings from our investment in TRC, and $29.0 million of net cash outflow related to changes in operating assets and liabilities. Overall, net cash used in operating activities increased b</w:t>
      </w:r>
      <w:r>
        <w:rPr>
          <w:sz w:val="20"/>
          <w:szCs w:val="20"/>
        </w:rPr>
        <w:t>y $117.5 million, compared to the same period in 2018, primarily driven by our receipt of the $100.0 million upfront payment from our collaborative arrangement from Janssen in February 2018.</w:t>
      </w:r>
    </w:p>
    <w:p w:rsidR="00000000" w:rsidRDefault="008B747E">
      <w:pPr>
        <w:pStyle w:val="a3"/>
        <w:spacing w:before="0" w:beforeAutospacing="0" w:after="0" w:afterAutospacing="0"/>
        <w:divId w:val="1762724710"/>
        <w:rPr>
          <w:sz w:val="20"/>
          <w:szCs w:val="20"/>
        </w:rPr>
      </w:pPr>
      <w:r>
        <w:rPr>
          <w:sz w:val="20"/>
          <w:szCs w:val="20"/>
        </w:rPr>
        <w:t>​</w:t>
      </w:r>
    </w:p>
    <w:p w:rsidR="00000000" w:rsidRDefault="008B747E">
      <w:pPr>
        <w:pStyle w:val="a3"/>
        <w:spacing w:before="0" w:beforeAutospacing="0" w:after="0" w:afterAutospacing="0"/>
        <w:ind w:firstLine="720"/>
        <w:divId w:val="1762724710"/>
        <w:rPr>
          <w:sz w:val="20"/>
          <w:szCs w:val="20"/>
        </w:rPr>
      </w:pPr>
      <w:r>
        <w:rPr>
          <w:sz w:val="20"/>
          <w:szCs w:val="20"/>
        </w:rPr>
        <w:t>Net cash used in operating activities was $11.7 million for the</w:t>
      </w:r>
      <w:r>
        <w:rPr>
          <w:sz w:val="20"/>
          <w:szCs w:val="20"/>
        </w:rPr>
        <w:t xml:space="preserve"> six months ended June 30, 2018. The $11.7 million used in operating activities consisted primarily of net loss of $105.9 million, adjusted for non-cash items such as $27.9 million for share-based compensation expense and $68.6 million of net cash inflows </w:t>
      </w:r>
      <w:r>
        <w:rPr>
          <w:sz w:val="20"/>
          <w:szCs w:val="20"/>
        </w:rPr>
        <w:t xml:space="preserve">related to changes in operating assets and liabilities. </w:t>
      </w:r>
    </w:p>
    <w:p w:rsidR="00000000" w:rsidRDefault="008B747E">
      <w:pPr>
        <w:pStyle w:val="a3"/>
        <w:spacing w:before="0" w:beforeAutospacing="0" w:after="0" w:afterAutospacing="0"/>
        <w:divId w:val="1762724710"/>
        <w:rPr>
          <w:sz w:val="20"/>
          <w:szCs w:val="20"/>
        </w:rPr>
      </w:pPr>
      <w:r>
        <w:rPr>
          <w:sz w:val="20"/>
          <w:szCs w:val="20"/>
        </w:rPr>
        <w:t>​</w:t>
      </w:r>
    </w:p>
    <w:p w:rsidR="00000000" w:rsidRDefault="008B747E">
      <w:pPr>
        <w:pStyle w:val="a3"/>
        <w:spacing w:before="0" w:beforeAutospacing="0" w:after="0" w:afterAutospacing="0"/>
        <w:divId w:val="1762724710"/>
        <w:rPr>
          <w:sz w:val="20"/>
          <w:szCs w:val="20"/>
        </w:rPr>
      </w:pPr>
      <w:r>
        <w:rPr>
          <w:i/>
          <w:iCs/>
          <w:sz w:val="20"/>
          <w:szCs w:val="20"/>
        </w:rPr>
        <w:t>Cash flows (used in) provided by investing activities</w:t>
      </w:r>
    </w:p>
    <w:p w:rsidR="00000000" w:rsidRDefault="008B747E">
      <w:pPr>
        <w:pStyle w:val="a3"/>
        <w:spacing w:before="0" w:beforeAutospacing="0" w:after="0" w:afterAutospacing="0"/>
        <w:divId w:val="1762724710"/>
        <w:rPr>
          <w:sz w:val="20"/>
          <w:szCs w:val="20"/>
        </w:rPr>
      </w:pPr>
      <w:r>
        <w:rPr>
          <w:sz w:val="10"/>
          <w:szCs w:val="10"/>
        </w:rPr>
        <w:t>​</w:t>
      </w:r>
    </w:p>
    <w:p w:rsidR="00000000" w:rsidRDefault="008B747E">
      <w:pPr>
        <w:pStyle w:val="a3"/>
        <w:spacing w:before="0" w:beforeAutospacing="0" w:after="0" w:afterAutospacing="0"/>
        <w:ind w:firstLine="720"/>
        <w:divId w:val="1762724710"/>
        <w:rPr>
          <w:sz w:val="20"/>
          <w:szCs w:val="20"/>
        </w:rPr>
      </w:pPr>
      <w:r>
        <w:rPr>
          <w:sz w:val="20"/>
          <w:szCs w:val="20"/>
        </w:rPr>
        <w:t>Net cash used in investing activities was $73.5 </w:t>
      </w:r>
      <w:r>
        <w:rPr>
          <w:sz w:val="20"/>
          <w:szCs w:val="20"/>
        </w:rPr>
        <w:t>million for the six months ended June 30, 2019, consisting primarily of net cash outflows resulting from net purchases and maturities of marketable securities of $76.7 million which was partially offset by $5.0 million in cash inflows related to final inst</w:t>
      </w:r>
      <w:r>
        <w:rPr>
          <w:sz w:val="20"/>
          <w:szCs w:val="20"/>
        </w:rPr>
        <w:t>allment proceeds from the sale of the VIBATIV product to Cumberland in November 2018.</w:t>
      </w:r>
    </w:p>
    <w:p w:rsidR="00000000" w:rsidRDefault="008B747E">
      <w:pPr>
        <w:pStyle w:val="a3"/>
        <w:spacing w:before="0" w:beforeAutospacing="0" w:after="0" w:afterAutospacing="0"/>
        <w:divId w:val="1762724710"/>
        <w:rPr>
          <w:sz w:val="20"/>
          <w:szCs w:val="20"/>
        </w:rPr>
      </w:pPr>
      <w:r>
        <w:rPr>
          <w:sz w:val="20"/>
          <w:szCs w:val="20"/>
        </w:rPr>
        <w:t>​</w:t>
      </w:r>
    </w:p>
    <w:p w:rsidR="00000000" w:rsidRDefault="008B747E">
      <w:pPr>
        <w:pStyle w:val="a3"/>
        <w:spacing w:before="0" w:beforeAutospacing="0" w:after="0" w:afterAutospacing="0"/>
        <w:ind w:firstLine="720"/>
        <w:divId w:val="1762724710"/>
        <w:rPr>
          <w:sz w:val="20"/>
          <w:szCs w:val="20"/>
        </w:rPr>
      </w:pPr>
      <w:r>
        <w:rPr>
          <w:sz w:val="20"/>
          <w:szCs w:val="20"/>
        </w:rPr>
        <w:t>Net cash provided by investing activities was $30.7 million for the six months ended June 30, 2018, consisting primarily of net cash inflows resulting from net purchase</w:t>
      </w:r>
      <w:r>
        <w:rPr>
          <w:sz w:val="20"/>
          <w:szCs w:val="20"/>
        </w:rPr>
        <w:t xml:space="preserve">s and maturities of marketable securities of $34.5 million which was partially offset by $3.9 million in cash outflows related to the acquisition of property and equipment. </w:t>
      </w:r>
    </w:p>
    <w:p w:rsidR="00000000" w:rsidRDefault="008B747E">
      <w:pPr>
        <w:pStyle w:val="a3"/>
        <w:spacing w:before="0" w:beforeAutospacing="0" w:after="0" w:afterAutospacing="0"/>
        <w:divId w:val="1762724710"/>
        <w:rPr>
          <w:sz w:val="20"/>
          <w:szCs w:val="20"/>
        </w:rPr>
      </w:pPr>
      <w:r>
        <w:rPr>
          <w:sz w:val="20"/>
          <w:szCs w:val="20"/>
        </w:rPr>
        <w:t>​</w:t>
      </w:r>
    </w:p>
    <w:p w:rsidR="00000000" w:rsidRDefault="008B747E">
      <w:pPr>
        <w:pStyle w:val="a3"/>
        <w:spacing w:before="360" w:beforeAutospacing="0" w:after="0" w:afterAutospacing="0"/>
        <w:jc w:val="center"/>
        <w:divId w:val="1079597042"/>
        <w:rPr>
          <w:sz w:val="20"/>
          <w:szCs w:val="20"/>
        </w:rPr>
      </w:pPr>
      <w:r>
        <w:rPr>
          <w:sz w:val="20"/>
          <w:szCs w:val="20"/>
        </w:rPr>
        <w:t>31</w:t>
      </w:r>
    </w:p>
    <w:p w:rsidR="00000000" w:rsidRDefault="008B747E">
      <w:pPr>
        <w:pStyle w:val="a3"/>
        <w:spacing w:before="0" w:beforeAutospacing="0" w:after="600" w:afterAutospacing="0"/>
        <w:divId w:val="887183508"/>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1491754826"/>
        <w:rPr>
          <w:sz w:val="20"/>
          <w:szCs w:val="20"/>
        </w:rPr>
      </w:pPr>
      <w:r>
        <w:rPr>
          <w:i/>
          <w:iCs/>
          <w:sz w:val="20"/>
          <w:szCs w:val="20"/>
        </w:rPr>
        <w:t xml:space="preserve">Cash flows provided by (used in) </w:t>
      </w:r>
      <w:r>
        <w:rPr>
          <w:i/>
          <w:iCs/>
          <w:sz w:val="20"/>
          <w:szCs w:val="20"/>
        </w:rPr>
        <w:t>financing activities</w:t>
      </w:r>
    </w:p>
    <w:p w:rsidR="00000000" w:rsidRDefault="008B747E">
      <w:pPr>
        <w:pStyle w:val="a3"/>
        <w:spacing w:before="0" w:beforeAutospacing="0" w:after="0" w:afterAutospacing="0"/>
        <w:divId w:val="1491754826"/>
        <w:rPr>
          <w:sz w:val="20"/>
          <w:szCs w:val="20"/>
        </w:rPr>
      </w:pPr>
      <w:r>
        <w:rPr>
          <w:sz w:val="10"/>
          <w:szCs w:val="10"/>
        </w:rPr>
        <w:t>​</w:t>
      </w:r>
    </w:p>
    <w:p w:rsidR="00000000" w:rsidRDefault="008B747E">
      <w:pPr>
        <w:pStyle w:val="a3"/>
        <w:spacing w:before="0" w:beforeAutospacing="0" w:after="0" w:afterAutospacing="0"/>
        <w:ind w:firstLine="720"/>
        <w:divId w:val="1491754826"/>
        <w:rPr>
          <w:sz w:val="20"/>
          <w:szCs w:val="20"/>
        </w:rPr>
      </w:pPr>
      <w:r>
        <w:rPr>
          <w:sz w:val="20"/>
          <w:szCs w:val="20"/>
        </w:rPr>
        <w:t>Net cash provided by financing activities was $3.0 million for the six months ended June 30, 2019, consisting of $5.2 million of net cash inflows from employee share plan purchase proceeds and share option exercises which was partially offset by $2.2 milli</w:t>
      </w:r>
      <w:r>
        <w:rPr>
          <w:sz w:val="20"/>
          <w:szCs w:val="20"/>
        </w:rPr>
        <w:t>on of net cash outflows related to the repurchase of shares to satisfy tax withholding obligations.</w:t>
      </w:r>
    </w:p>
    <w:p w:rsidR="00000000" w:rsidRDefault="008B747E">
      <w:pPr>
        <w:pStyle w:val="a3"/>
        <w:spacing w:before="0" w:beforeAutospacing="0" w:after="0" w:afterAutospacing="0"/>
        <w:divId w:val="1491754826"/>
        <w:rPr>
          <w:sz w:val="20"/>
          <w:szCs w:val="20"/>
        </w:rPr>
      </w:pPr>
      <w:r>
        <w:rPr>
          <w:sz w:val="20"/>
          <w:szCs w:val="20"/>
        </w:rPr>
        <w:t>​</w:t>
      </w:r>
    </w:p>
    <w:p w:rsidR="00000000" w:rsidRDefault="008B747E">
      <w:pPr>
        <w:pStyle w:val="a3"/>
        <w:spacing w:before="0" w:beforeAutospacing="0" w:after="0" w:afterAutospacing="0"/>
        <w:ind w:firstLine="720"/>
        <w:divId w:val="1491754826"/>
        <w:rPr>
          <w:sz w:val="20"/>
          <w:szCs w:val="20"/>
        </w:rPr>
      </w:pPr>
      <w:r>
        <w:rPr>
          <w:sz w:val="20"/>
          <w:szCs w:val="20"/>
        </w:rPr>
        <w:t>Net cash used in financing activities was $4.1 million for the six months ended June 30, 2018, primarily consisting of $6.9 million of net cash outflows f</w:t>
      </w:r>
      <w:r>
        <w:rPr>
          <w:sz w:val="20"/>
          <w:szCs w:val="20"/>
        </w:rPr>
        <w:t xml:space="preserve">or the repurchase of shares to satisfy tax withholding obligations which was partially offset by $2.7 million of net cash inflows from employee share plan purchase proceeds. </w:t>
      </w:r>
    </w:p>
    <w:p w:rsidR="00000000" w:rsidRDefault="008B747E">
      <w:pPr>
        <w:pStyle w:val="a3"/>
        <w:spacing w:before="0" w:beforeAutospacing="0" w:after="0" w:afterAutospacing="0"/>
        <w:divId w:val="1491754826"/>
        <w:rPr>
          <w:sz w:val="20"/>
          <w:szCs w:val="20"/>
        </w:rPr>
      </w:pPr>
      <w:r>
        <w:rPr>
          <w:sz w:val="20"/>
          <w:szCs w:val="20"/>
        </w:rPr>
        <w:t>​</w:t>
      </w:r>
    </w:p>
    <w:p w:rsidR="00000000" w:rsidRDefault="008B747E">
      <w:pPr>
        <w:pStyle w:val="a3"/>
        <w:spacing w:before="0" w:beforeAutospacing="0" w:after="0" w:afterAutospacing="0"/>
        <w:divId w:val="1491754826"/>
        <w:rPr>
          <w:sz w:val="20"/>
          <w:szCs w:val="20"/>
        </w:rPr>
      </w:pPr>
      <w:r>
        <w:rPr>
          <w:b/>
          <w:bCs/>
          <w:i/>
          <w:iCs/>
          <w:sz w:val="20"/>
          <w:szCs w:val="20"/>
        </w:rPr>
        <w:t>Commitments and Contingencies</w:t>
      </w:r>
    </w:p>
    <w:p w:rsidR="00000000" w:rsidRDefault="008B747E">
      <w:pPr>
        <w:pStyle w:val="a3"/>
        <w:spacing w:before="0" w:beforeAutospacing="0" w:after="0" w:afterAutospacing="0"/>
        <w:divId w:val="1491754826"/>
        <w:rPr>
          <w:sz w:val="20"/>
          <w:szCs w:val="20"/>
        </w:rPr>
      </w:pPr>
      <w:r>
        <w:rPr>
          <w:sz w:val="10"/>
          <w:szCs w:val="10"/>
        </w:rPr>
        <w:t>​</w:t>
      </w:r>
    </w:p>
    <w:p w:rsidR="00000000" w:rsidRDefault="008B747E">
      <w:pPr>
        <w:pStyle w:val="a3"/>
        <w:spacing w:before="0" w:beforeAutospacing="0" w:after="0" w:afterAutospacing="0"/>
        <w:ind w:firstLine="720"/>
        <w:divId w:val="1491754826"/>
        <w:rPr>
          <w:sz w:val="20"/>
          <w:szCs w:val="20"/>
        </w:rPr>
      </w:pPr>
      <w:r>
        <w:rPr>
          <w:sz w:val="20"/>
          <w:szCs w:val="20"/>
        </w:rPr>
        <w:t>We indemnify our officers and directors for cer</w:t>
      </w:r>
      <w:r>
        <w:rPr>
          <w:sz w:val="20"/>
          <w:szCs w:val="20"/>
        </w:rPr>
        <w:t>tain events or occurrences, subject to certain limits. We believe the fair value of these indemnification agreements is minimal. Accordingly, we have not recognized any liabilities relating to these agreements as of June 30, 2019.</w:t>
      </w:r>
    </w:p>
    <w:p w:rsidR="00000000" w:rsidRDefault="008B747E">
      <w:pPr>
        <w:pStyle w:val="a3"/>
        <w:spacing w:before="0" w:beforeAutospacing="0" w:after="0" w:afterAutospacing="0"/>
        <w:ind w:firstLine="720"/>
        <w:divId w:val="1491754826"/>
        <w:rPr>
          <w:sz w:val="20"/>
          <w:szCs w:val="20"/>
        </w:rPr>
      </w:pPr>
      <w:r>
        <w:rPr>
          <w:sz w:val="20"/>
          <w:szCs w:val="20"/>
        </w:rPr>
        <w:t>​</w:t>
      </w:r>
    </w:p>
    <w:p w:rsidR="00000000" w:rsidRDefault="008B747E">
      <w:pPr>
        <w:pStyle w:val="a3"/>
        <w:spacing w:before="0" w:beforeAutospacing="0" w:after="0" w:afterAutospacing="0"/>
        <w:divId w:val="1491754826"/>
        <w:rPr>
          <w:sz w:val="20"/>
          <w:szCs w:val="20"/>
        </w:rPr>
      </w:pPr>
      <w:r>
        <w:rPr>
          <w:i/>
          <w:iCs/>
          <w:sz w:val="20"/>
          <w:szCs w:val="20"/>
        </w:rPr>
        <w:t xml:space="preserve">Performance-Contingent </w:t>
      </w:r>
      <w:r>
        <w:rPr>
          <w:i/>
          <w:iCs/>
          <w:sz w:val="20"/>
          <w:szCs w:val="20"/>
        </w:rPr>
        <w:t>Awards</w:t>
      </w:r>
    </w:p>
    <w:p w:rsidR="00000000" w:rsidRDefault="008B747E">
      <w:pPr>
        <w:pStyle w:val="a3"/>
        <w:spacing w:before="0" w:beforeAutospacing="0" w:after="0" w:afterAutospacing="0"/>
        <w:divId w:val="1491754826"/>
        <w:rPr>
          <w:sz w:val="20"/>
          <w:szCs w:val="20"/>
        </w:rPr>
      </w:pPr>
      <w:r>
        <w:rPr>
          <w:sz w:val="12"/>
          <w:szCs w:val="12"/>
        </w:rPr>
        <w:t>​</w:t>
      </w:r>
    </w:p>
    <w:p w:rsidR="00000000" w:rsidRDefault="008B747E">
      <w:pPr>
        <w:pStyle w:val="a3"/>
        <w:spacing w:before="0" w:beforeAutospacing="0" w:after="0" w:afterAutospacing="0"/>
        <w:ind w:firstLine="720"/>
        <w:divId w:val="1491754826"/>
        <w:rPr>
          <w:sz w:val="20"/>
          <w:szCs w:val="20"/>
        </w:rPr>
      </w:pPr>
      <w:r>
        <w:rPr>
          <w:sz w:val="20"/>
          <w:szCs w:val="20"/>
        </w:rPr>
        <w:t>In 2016, we granted long-term retention and incentive restricted share awards (“RSAs”) and restricted share units (“RSUs”) to members of senior management and long-term retention and incentive cash bonus awards to certain employees. The vesting an</w:t>
      </w:r>
      <w:r>
        <w:rPr>
          <w:sz w:val="20"/>
          <w:szCs w:val="20"/>
        </w:rPr>
        <w:t>d payout of such awards is dependent on meeting certain operating goals and objectives during the five-year period from 2016 to December 31, 2020. These goals are strategically important for us, and we believe the goals, if achieved, will increase sharehol</w:t>
      </w:r>
      <w:r>
        <w:rPr>
          <w:sz w:val="20"/>
          <w:szCs w:val="20"/>
        </w:rPr>
        <w:t>der value. The awards have dual triggers of vesting based upon the achievement of these goals and continued employment, and they are broken into three separate tranches. We recognize compensation expense relating to awards subject to performance conditions</w:t>
      </w:r>
      <w:r>
        <w:rPr>
          <w:sz w:val="20"/>
          <w:szCs w:val="20"/>
        </w:rPr>
        <w:t xml:space="preserve"> if it is considered probable that the performance goals will be achieved. The probability of achievement is reassessed at each quarter-end reporting period. Previously recognized expense is reversed in the period in which it becomes probable that the requ</w:t>
      </w:r>
      <w:r>
        <w:rPr>
          <w:sz w:val="20"/>
          <w:szCs w:val="20"/>
        </w:rPr>
        <w:t>isite service period will not be rendered.</w:t>
      </w:r>
    </w:p>
    <w:p w:rsidR="00000000" w:rsidRDefault="008B747E">
      <w:pPr>
        <w:pStyle w:val="a3"/>
        <w:spacing w:before="0" w:beforeAutospacing="0" w:after="0" w:afterAutospacing="0"/>
        <w:divId w:val="1491754826"/>
        <w:rPr>
          <w:sz w:val="20"/>
          <w:szCs w:val="20"/>
        </w:rPr>
      </w:pPr>
      <w:r>
        <w:rPr>
          <w:sz w:val="20"/>
          <w:szCs w:val="20"/>
        </w:rPr>
        <w:t>​</w:t>
      </w:r>
    </w:p>
    <w:p w:rsidR="00000000" w:rsidRDefault="008B747E">
      <w:pPr>
        <w:pStyle w:val="a3"/>
        <w:spacing w:before="0" w:beforeAutospacing="0" w:after="0" w:afterAutospacing="0"/>
        <w:ind w:firstLine="720"/>
        <w:divId w:val="1491754826"/>
        <w:rPr>
          <w:sz w:val="20"/>
          <w:szCs w:val="20"/>
        </w:rPr>
      </w:pPr>
      <w:r>
        <w:rPr>
          <w:sz w:val="20"/>
          <w:szCs w:val="20"/>
        </w:rPr>
        <w:t>We determined that achievement of the requisite performance conditions for the first tranche were completed as of June 2018, and the expense associated with this first tranche has been fully recognized. We deter</w:t>
      </w:r>
      <w:r>
        <w:rPr>
          <w:sz w:val="20"/>
          <w:szCs w:val="20"/>
        </w:rPr>
        <w:t>mined that achievement of the requisite performance conditions for the second tranche were completed as of February 2019. For the six months ended June 30, 2019, we recognized $0.5</w:t>
      </w:r>
      <w:r>
        <w:rPr>
          <w:color w:val="FF0000"/>
          <w:sz w:val="20"/>
          <w:szCs w:val="20"/>
        </w:rPr>
        <w:t xml:space="preserve"> </w:t>
      </w:r>
      <w:r>
        <w:rPr>
          <w:sz w:val="20"/>
          <w:szCs w:val="20"/>
        </w:rPr>
        <w:t>million and $1.3 million of share-based compensation expense and cash bonus</w:t>
      </w:r>
      <w:r>
        <w:rPr>
          <w:sz w:val="20"/>
          <w:szCs w:val="20"/>
        </w:rPr>
        <w:t xml:space="preserve"> expense, respectively, related to the second tranche of these awards. The maximum remaining share-based compensation expense and cash bonus expense associated with the second tranche is $1.8 million and $2.3 million, respectively.</w:t>
      </w:r>
    </w:p>
    <w:p w:rsidR="00000000" w:rsidRDefault="008B747E">
      <w:pPr>
        <w:pStyle w:val="a3"/>
        <w:spacing w:before="0" w:beforeAutospacing="0" w:after="0" w:afterAutospacing="0"/>
        <w:divId w:val="1491754826"/>
        <w:rPr>
          <w:sz w:val="20"/>
          <w:szCs w:val="20"/>
        </w:rPr>
      </w:pPr>
      <w:r>
        <w:rPr>
          <w:sz w:val="20"/>
          <w:szCs w:val="20"/>
        </w:rPr>
        <w:t>​</w:t>
      </w:r>
    </w:p>
    <w:p w:rsidR="00000000" w:rsidRDefault="008B747E">
      <w:pPr>
        <w:pStyle w:val="a3"/>
        <w:spacing w:before="0" w:beforeAutospacing="0" w:after="0" w:afterAutospacing="0"/>
        <w:ind w:firstLine="720"/>
        <w:divId w:val="1491754826"/>
        <w:rPr>
          <w:sz w:val="20"/>
          <w:szCs w:val="20"/>
        </w:rPr>
      </w:pPr>
      <w:r>
        <w:rPr>
          <w:sz w:val="20"/>
          <w:szCs w:val="20"/>
        </w:rPr>
        <w:t>The maximum potential remaining expense associated with the third tranche of this program is $12.8 million related to share-based compensation expense and $16.2 million related to cash bonus expense, which would be recognized in increments based on achieve</w:t>
      </w:r>
      <w:r>
        <w:rPr>
          <w:sz w:val="20"/>
          <w:szCs w:val="20"/>
        </w:rPr>
        <w:t xml:space="preserve">ment of the performance conditions. </w:t>
      </w:r>
      <w:r>
        <w:rPr>
          <w:rFonts w:ascii="Times" w:hAnsi="Times"/>
          <w:sz w:val="20"/>
          <w:szCs w:val="20"/>
          <w:shd w:val="clear" w:color="auto" w:fill="FFFFFF"/>
        </w:rPr>
        <w:t>We determined that the remaining third tranche was not probable of vesting and, as a result, no compensation expense related to this tranche has been recognized to date.</w:t>
      </w:r>
    </w:p>
    <w:p w:rsidR="00000000" w:rsidRDefault="008B747E">
      <w:pPr>
        <w:pStyle w:val="a3"/>
        <w:spacing w:before="0" w:beforeAutospacing="0" w:after="0" w:afterAutospacing="0"/>
        <w:ind w:firstLine="720"/>
        <w:divId w:val="1491754826"/>
        <w:rPr>
          <w:sz w:val="20"/>
          <w:szCs w:val="20"/>
        </w:rPr>
      </w:pPr>
      <w:r>
        <w:rPr>
          <w:rFonts w:ascii="Times" w:hAnsi="Times"/>
          <w:sz w:val="20"/>
          <w:szCs w:val="20"/>
          <w:shd w:val="clear" w:color="auto" w:fill="FFFFFF"/>
        </w:rPr>
        <w:t>​</w:t>
      </w:r>
    </w:p>
    <w:p w:rsidR="00000000" w:rsidRDefault="008B747E">
      <w:pPr>
        <w:pStyle w:val="a3"/>
        <w:spacing w:before="0" w:beforeAutospacing="0" w:after="0" w:afterAutospacing="0"/>
        <w:ind w:firstLine="720"/>
        <w:divId w:val="1491754826"/>
        <w:rPr>
          <w:sz w:val="20"/>
          <w:szCs w:val="20"/>
        </w:rPr>
      </w:pPr>
      <w:r>
        <w:rPr>
          <w:sz w:val="20"/>
          <w:szCs w:val="20"/>
        </w:rPr>
        <w:t xml:space="preserve">In the fourth quarter of 2018, we granted 3,000 </w:t>
      </w:r>
      <w:r>
        <w:rPr>
          <w:sz w:val="20"/>
          <w:szCs w:val="20"/>
        </w:rPr>
        <w:t>performance-contingent RSUs to an employee. These RSUs have a maximum compensation expense of $75,000 which will be recognized when its single performance milestone is deemed to be probable of achievement. These 3,000 performance-based RSUs expire by Decem</w:t>
      </w:r>
      <w:r>
        <w:rPr>
          <w:sz w:val="20"/>
          <w:szCs w:val="20"/>
        </w:rPr>
        <w:t>ber 31, 2020.</w:t>
      </w:r>
    </w:p>
    <w:p w:rsidR="00000000" w:rsidRDefault="008B747E">
      <w:pPr>
        <w:pStyle w:val="a3"/>
        <w:spacing w:before="0" w:beforeAutospacing="0" w:after="0" w:afterAutospacing="0"/>
        <w:divId w:val="1491754826"/>
        <w:rPr>
          <w:sz w:val="20"/>
          <w:szCs w:val="20"/>
        </w:rPr>
      </w:pPr>
      <w:r>
        <w:rPr>
          <w:sz w:val="20"/>
          <w:szCs w:val="20"/>
        </w:rPr>
        <w:t>​</w:t>
      </w:r>
    </w:p>
    <w:p w:rsidR="00000000" w:rsidRDefault="008B747E">
      <w:pPr>
        <w:pStyle w:val="a3"/>
        <w:spacing w:before="0" w:beforeAutospacing="0" w:after="0" w:afterAutospacing="0"/>
        <w:ind w:firstLine="720"/>
        <w:divId w:val="1491754826"/>
        <w:rPr>
          <w:sz w:val="20"/>
          <w:szCs w:val="20"/>
        </w:rPr>
      </w:pPr>
      <w:r>
        <w:rPr>
          <w:sz w:val="20"/>
          <w:szCs w:val="20"/>
        </w:rPr>
        <w:t>In the first quarter of 2019, we granted 60,000 performance-contingent RSUs and incentive cash bonus awards to certain employees. These awards have dual triggers of vesting based upon the achievement of certain performance milestones in spe</w:t>
      </w:r>
      <w:r>
        <w:rPr>
          <w:sz w:val="20"/>
          <w:szCs w:val="20"/>
        </w:rPr>
        <w:t>cified timeframes, as well as a requirement for continued employment. The compensation expense related to these awards is broken into two separate performance milestones and recognized when the associated performance milestones are deemed to be probable of</w:t>
      </w:r>
      <w:r>
        <w:rPr>
          <w:sz w:val="20"/>
          <w:szCs w:val="20"/>
        </w:rPr>
        <w:t xml:space="preserve"> achievement. The maximum share-based compensation expense associated with 60,000 performance-contingent RSUs’ first and second performance milestones are $0.8 million each for a total of $1.6 million</w:t>
      </w:r>
      <w:r>
        <w:rPr>
          <w:color w:val="FF0000"/>
          <w:sz w:val="20"/>
          <w:szCs w:val="20"/>
        </w:rPr>
        <w:t xml:space="preserve">. </w:t>
      </w:r>
      <w:r>
        <w:rPr>
          <w:sz w:val="20"/>
          <w:szCs w:val="20"/>
        </w:rPr>
        <w:t>The maximum compensation expense associated with the c</w:t>
      </w:r>
      <w:r>
        <w:rPr>
          <w:sz w:val="20"/>
          <w:szCs w:val="20"/>
        </w:rPr>
        <w:t xml:space="preserve">ash bonus’ first and second performance milestones are $75,000 and $225,000, respectively, for a total of $300,000. The 60,000 performance-contingent RSUs and cash bonus milestones expire by December 31, 2021, and December 31, 2020, respectively. </w:t>
      </w:r>
    </w:p>
    <w:p w:rsidR="00000000" w:rsidRDefault="008B747E">
      <w:pPr>
        <w:pStyle w:val="a3"/>
        <w:spacing w:before="0" w:beforeAutospacing="0" w:after="0" w:afterAutospacing="0"/>
        <w:divId w:val="1491754826"/>
        <w:rPr>
          <w:sz w:val="20"/>
          <w:szCs w:val="20"/>
        </w:rPr>
      </w:pPr>
      <w:r>
        <w:rPr>
          <w:sz w:val="20"/>
          <w:szCs w:val="20"/>
        </w:rPr>
        <w:t>​</w:t>
      </w:r>
    </w:p>
    <w:p w:rsidR="00000000" w:rsidRDefault="008B747E">
      <w:pPr>
        <w:pStyle w:val="a3"/>
        <w:spacing w:before="360" w:beforeAutospacing="0" w:after="0" w:afterAutospacing="0"/>
        <w:jc w:val="center"/>
        <w:divId w:val="1070083990"/>
        <w:rPr>
          <w:sz w:val="20"/>
          <w:szCs w:val="20"/>
        </w:rPr>
      </w:pPr>
      <w:r>
        <w:rPr>
          <w:sz w:val="20"/>
          <w:szCs w:val="20"/>
        </w:rPr>
        <w:t>32</w:t>
      </w:r>
    </w:p>
    <w:p w:rsidR="00000000" w:rsidRDefault="008B747E">
      <w:pPr>
        <w:pStyle w:val="a3"/>
        <w:spacing w:before="0" w:beforeAutospacing="0" w:after="600" w:afterAutospacing="0"/>
        <w:divId w:val="1454863778"/>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ind w:firstLine="720"/>
        <w:divId w:val="1741173492"/>
        <w:rPr>
          <w:sz w:val="20"/>
          <w:szCs w:val="20"/>
        </w:rPr>
      </w:pPr>
      <w:r>
        <w:rPr>
          <w:sz w:val="20"/>
          <w:szCs w:val="20"/>
        </w:rPr>
        <w:t>As of June 30, 2019, we determined that the performance milestones for the awards granted in the fourth quarter of 2018 and the first quarter of 2019 were not probable of achievement and, as a result, no compensatio</w:t>
      </w:r>
      <w:r>
        <w:rPr>
          <w:sz w:val="20"/>
          <w:szCs w:val="20"/>
        </w:rPr>
        <w:t>n expense related to these awards has been recognized to date.</w:t>
      </w:r>
    </w:p>
    <w:p w:rsidR="00000000" w:rsidRDefault="008B747E">
      <w:pPr>
        <w:pStyle w:val="a3"/>
        <w:spacing w:before="0" w:beforeAutospacing="0" w:after="0" w:afterAutospacing="0"/>
        <w:divId w:val="1741173492"/>
        <w:rPr>
          <w:sz w:val="20"/>
          <w:szCs w:val="20"/>
        </w:rPr>
      </w:pPr>
      <w:r>
        <w:rPr>
          <w:sz w:val="20"/>
          <w:szCs w:val="20"/>
        </w:rPr>
        <w:t>​</w:t>
      </w:r>
    </w:p>
    <w:p w:rsidR="00000000" w:rsidRDefault="008B747E">
      <w:pPr>
        <w:pStyle w:val="a3"/>
        <w:spacing w:before="0" w:beforeAutospacing="0" w:after="0" w:afterAutospacing="0"/>
        <w:divId w:val="1741173492"/>
        <w:rPr>
          <w:sz w:val="20"/>
          <w:szCs w:val="20"/>
        </w:rPr>
      </w:pPr>
      <w:r>
        <w:rPr>
          <w:b/>
          <w:bCs/>
          <w:i/>
          <w:iCs/>
          <w:sz w:val="20"/>
          <w:szCs w:val="20"/>
        </w:rPr>
        <w:t>Equity Compensation Plans</w:t>
      </w:r>
    </w:p>
    <w:p w:rsidR="00000000" w:rsidRDefault="008B747E">
      <w:pPr>
        <w:pStyle w:val="a3"/>
        <w:spacing w:before="0" w:beforeAutospacing="0" w:after="0" w:afterAutospacing="0"/>
        <w:divId w:val="1741173492"/>
        <w:rPr>
          <w:sz w:val="20"/>
          <w:szCs w:val="20"/>
        </w:rPr>
      </w:pPr>
      <w:r>
        <w:rPr>
          <w:b/>
          <w:bCs/>
          <w:i/>
          <w:iCs/>
          <w:sz w:val="10"/>
          <w:szCs w:val="10"/>
        </w:rPr>
        <w:t>​</w:t>
      </w:r>
    </w:p>
    <w:p w:rsidR="00000000" w:rsidRDefault="008B747E">
      <w:pPr>
        <w:pStyle w:val="a3"/>
        <w:spacing w:before="0" w:beforeAutospacing="0" w:after="0" w:afterAutospacing="0"/>
        <w:ind w:firstLine="720"/>
        <w:divId w:val="1741173492"/>
        <w:rPr>
          <w:sz w:val="20"/>
          <w:szCs w:val="20"/>
        </w:rPr>
      </w:pPr>
      <w:r>
        <w:rPr>
          <w:sz w:val="20"/>
          <w:szCs w:val="20"/>
        </w:rPr>
        <w:t>We have three equity compensation plans — our 2013 Equity Incentive Plan (the “2013 EIP”), our 2013 Employee Share Purchase Plan (the “2013 ESPP”), and our 2014 Ne</w:t>
      </w:r>
      <w:r>
        <w:rPr>
          <w:sz w:val="20"/>
          <w:szCs w:val="20"/>
        </w:rPr>
        <w:t xml:space="preserve">w Employee Equity Incentive Plan (the “2014 NEEIP”). As of December 31, 2018, (i) 5,324,287 securities remained available for future issuance under our shareholder approved equity compensation plans, consisting of 3,642,602 ordinary shares available under </w:t>
      </w:r>
      <w:r>
        <w:rPr>
          <w:sz w:val="20"/>
          <w:szCs w:val="20"/>
        </w:rPr>
        <w:t>the 2013 EIP and 1,681,685 ordinary shares available under the 2013 ESPP, and (ii) 132,415 securities remained available for future issuance under the 2014 NEEIP, an equity compensation plan not approved by shareholders.</w:t>
      </w:r>
    </w:p>
    <w:p w:rsidR="00000000" w:rsidRDefault="008B747E">
      <w:pPr>
        <w:pStyle w:val="a3"/>
        <w:spacing w:before="0" w:beforeAutospacing="0" w:after="0" w:afterAutospacing="0"/>
        <w:divId w:val="1741173492"/>
        <w:rPr>
          <w:sz w:val="20"/>
          <w:szCs w:val="20"/>
        </w:rPr>
      </w:pPr>
      <w:r>
        <w:rPr>
          <w:sz w:val="20"/>
          <w:szCs w:val="20"/>
        </w:rPr>
        <w:t>​</w:t>
      </w:r>
    </w:p>
    <w:p w:rsidR="00000000" w:rsidRDefault="008B747E">
      <w:pPr>
        <w:pStyle w:val="a3"/>
        <w:spacing w:before="0" w:beforeAutospacing="0" w:after="0" w:afterAutospacing="0"/>
        <w:divId w:val="1741173492"/>
        <w:rPr>
          <w:sz w:val="20"/>
          <w:szCs w:val="20"/>
        </w:rPr>
      </w:pPr>
      <w:r>
        <w:rPr>
          <w:b/>
          <w:bCs/>
          <w:i/>
          <w:iCs/>
          <w:sz w:val="20"/>
          <w:szCs w:val="20"/>
        </w:rPr>
        <w:t>Off-Balance Sheet Arrangements</w:t>
      </w:r>
    </w:p>
    <w:p w:rsidR="00000000" w:rsidRDefault="008B747E">
      <w:pPr>
        <w:pStyle w:val="a3"/>
        <w:spacing w:before="0" w:beforeAutospacing="0" w:after="0" w:afterAutospacing="0"/>
        <w:divId w:val="1741173492"/>
        <w:rPr>
          <w:sz w:val="20"/>
          <w:szCs w:val="20"/>
        </w:rPr>
      </w:pPr>
      <w:r>
        <w:rPr>
          <w:sz w:val="10"/>
          <w:szCs w:val="10"/>
        </w:rPr>
        <w:t>​</w:t>
      </w:r>
    </w:p>
    <w:p w:rsidR="00000000" w:rsidRDefault="008B747E">
      <w:pPr>
        <w:pStyle w:val="a3"/>
        <w:spacing w:before="0" w:beforeAutospacing="0" w:after="0" w:afterAutospacing="0"/>
        <w:ind w:firstLine="720"/>
        <w:divId w:val="1741173492"/>
        <w:rPr>
          <w:sz w:val="20"/>
          <w:szCs w:val="20"/>
        </w:rPr>
      </w:pPr>
      <w:r>
        <w:rPr>
          <w:sz w:val="20"/>
          <w:szCs w:val="20"/>
        </w:rPr>
        <w:t>There have been no material changes in our off-balance sheet arrangements from those set forth in our Annual Report on Form 10-K for the year ended December 31, 2018, filed with the SEC on February 28, 2019.</w:t>
      </w:r>
    </w:p>
    <w:p w:rsidR="00000000" w:rsidRDefault="008B747E">
      <w:pPr>
        <w:pStyle w:val="a3"/>
        <w:spacing w:before="0" w:beforeAutospacing="0" w:after="0" w:afterAutospacing="0"/>
        <w:divId w:val="1741173492"/>
        <w:rPr>
          <w:sz w:val="20"/>
          <w:szCs w:val="20"/>
        </w:rPr>
      </w:pPr>
      <w:r>
        <w:rPr>
          <w:sz w:val="20"/>
          <w:szCs w:val="20"/>
        </w:rPr>
        <w:t>​</w:t>
      </w:r>
    </w:p>
    <w:p w:rsidR="00000000" w:rsidRDefault="008B747E">
      <w:pPr>
        <w:pStyle w:val="a3"/>
        <w:spacing w:before="0" w:beforeAutospacing="0" w:after="0" w:afterAutospacing="0"/>
        <w:divId w:val="1741173492"/>
        <w:rPr>
          <w:sz w:val="20"/>
          <w:szCs w:val="20"/>
        </w:rPr>
      </w:pPr>
      <w:r>
        <w:rPr>
          <w:b/>
          <w:bCs/>
          <w:i/>
          <w:iCs/>
          <w:sz w:val="20"/>
          <w:szCs w:val="20"/>
        </w:rPr>
        <w:t>Contractual Obligations and Commercial Commitm</w:t>
      </w:r>
      <w:r>
        <w:rPr>
          <w:b/>
          <w:bCs/>
          <w:i/>
          <w:iCs/>
          <w:sz w:val="20"/>
          <w:szCs w:val="20"/>
        </w:rPr>
        <w:t>ents</w:t>
      </w:r>
    </w:p>
    <w:p w:rsidR="00000000" w:rsidRDefault="008B747E">
      <w:pPr>
        <w:pStyle w:val="a3"/>
        <w:spacing w:before="0" w:beforeAutospacing="0" w:after="0" w:afterAutospacing="0"/>
        <w:divId w:val="1741173492"/>
        <w:rPr>
          <w:sz w:val="20"/>
          <w:szCs w:val="20"/>
        </w:rPr>
      </w:pPr>
      <w:r>
        <w:rPr>
          <w:sz w:val="10"/>
          <w:szCs w:val="10"/>
        </w:rPr>
        <w:t>​</w:t>
      </w:r>
    </w:p>
    <w:p w:rsidR="00000000" w:rsidRDefault="008B747E">
      <w:pPr>
        <w:pStyle w:val="a3"/>
        <w:spacing w:before="0" w:beforeAutospacing="0" w:after="0" w:afterAutospacing="0"/>
        <w:ind w:firstLine="720"/>
        <w:divId w:val="1741173492"/>
        <w:rPr>
          <w:sz w:val="20"/>
          <w:szCs w:val="20"/>
        </w:rPr>
      </w:pPr>
      <w:r>
        <w:rPr>
          <w:sz w:val="20"/>
          <w:szCs w:val="20"/>
        </w:rPr>
        <w:t xml:space="preserve">There have been no material changes in our contractual obligations and commercial commitments from those set forth in our Annual Report on Form 10-K for the year ended December 31, 2018, filed with the SEC on February 28, 2019. </w:t>
      </w:r>
    </w:p>
    <w:p w:rsidR="00000000" w:rsidRDefault="008B747E">
      <w:pPr>
        <w:pStyle w:val="a3"/>
        <w:spacing w:before="0" w:beforeAutospacing="0" w:after="0" w:afterAutospacing="0"/>
        <w:divId w:val="1741173492"/>
        <w:rPr>
          <w:sz w:val="20"/>
          <w:szCs w:val="20"/>
        </w:rPr>
      </w:pPr>
      <w:r>
        <w:rPr>
          <w:sz w:val="20"/>
          <w:szCs w:val="20"/>
        </w:rPr>
        <w:t>​</w:t>
      </w:r>
    </w:p>
    <w:p w:rsidR="00000000" w:rsidRDefault="008B747E">
      <w:pPr>
        <w:pStyle w:val="a3"/>
        <w:spacing w:before="0" w:beforeAutospacing="0" w:after="0" w:afterAutospacing="0"/>
        <w:divId w:val="1741173492"/>
        <w:rPr>
          <w:sz w:val="20"/>
          <w:szCs w:val="20"/>
        </w:rPr>
      </w:pPr>
      <w:r>
        <w:rPr>
          <w:b/>
          <w:bCs/>
          <w:sz w:val="20"/>
          <w:szCs w:val="20"/>
        </w:rPr>
        <w:t>ITEM 3.   QUANTITA</w:t>
      </w:r>
      <w:r>
        <w:rPr>
          <w:b/>
          <w:bCs/>
          <w:sz w:val="20"/>
          <w:szCs w:val="20"/>
        </w:rPr>
        <w:t>TIVE AND QUALITATIVE DISCLOSURES ABOUT MARKET RISK</w:t>
      </w:r>
    </w:p>
    <w:p w:rsidR="00000000" w:rsidRDefault="008B747E">
      <w:pPr>
        <w:pStyle w:val="a3"/>
        <w:spacing w:before="0" w:beforeAutospacing="0" w:after="0" w:afterAutospacing="0"/>
        <w:divId w:val="1741173492"/>
        <w:rPr>
          <w:sz w:val="20"/>
          <w:szCs w:val="20"/>
        </w:rPr>
      </w:pPr>
      <w:r>
        <w:rPr>
          <w:sz w:val="20"/>
          <w:szCs w:val="20"/>
        </w:rPr>
        <w:t>​</w:t>
      </w:r>
    </w:p>
    <w:p w:rsidR="00000000" w:rsidRDefault="008B747E">
      <w:pPr>
        <w:pStyle w:val="a3"/>
        <w:spacing w:before="0" w:beforeAutospacing="0" w:after="0" w:afterAutospacing="0"/>
        <w:ind w:firstLine="720"/>
        <w:divId w:val="1741173492"/>
        <w:rPr>
          <w:sz w:val="20"/>
          <w:szCs w:val="20"/>
        </w:rPr>
      </w:pPr>
      <w:r>
        <w:rPr>
          <w:sz w:val="20"/>
          <w:szCs w:val="20"/>
        </w:rPr>
        <w:t>Our market risks as of June 30, 2019 have not changed materially from those discussed in Item 7A of our Annual Report on Form 10-K for the year ended December 31, 2018, filed with the SEC on February 28, 2019.</w:t>
      </w:r>
    </w:p>
    <w:p w:rsidR="00000000" w:rsidRDefault="008B747E">
      <w:pPr>
        <w:pStyle w:val="a3"/>
        <w:spacing w:before="0" w:beforeAutospacing="0" w:after="0" w:afterAutospacing="0"/>
        <w:divId w:val="1741173492"/>
        <w:rPr>
          <w:sz w:val="20"/>
          <w:szCs w:val="20"/>
        </w:rPr>
      </w:pPr>
      <w:r>
        <w:rPr>
          <w:sz w:val="20"/>
          <w:szCs w:val="20"/>
        </w:rPr>
        <w:t>​</w:t>
      </w:r>
    </w:p>
    <w:p w:rsidR="00000000" w:rsidRDefault="008B747E">
      <w:pPr>
        <w:pStyle w:val="a3"/>
        <w:spacing w:before="0" w:beforeAutospacing="0" w:after="0" w:afterAutospacing="0"/>
        <w:divId w:val="1741173492"/>
        <w:rPr>
          <w:sz w:val="20"/>
          <w:szCs w:val="20"/>
        </w:rPr>
      </w:pPr>
      <w:r>
        <w:rPr>
          <w:b/>
          <w:bCs/>
          <w:sz w:val="20"/>
          <w:szCs w:val="20"/>
        </w:rPr>
        <w:t>ITEM 4.   CONTROLS AND PROCEDURES</w:t>
      </w:r>
    </w:p>
    <w:p w:rsidR="00000000" w:rsidRDefault="008B747E">
      <w:pPr>
        <w:pStyle w:val="a3"/>
        <w:spacing w:before="0" w:beforeAutospacing="0" w:after="0" w:afterAutospacing="0"/>
        <w:divId w:val="1741173492"/>
        <w:rPr>
          <w:sz w:val="20"/>
          <w:szCs w:val="20"/>
        </w:rPr>
      </w:pPr>
      <w:r>
        <w:rPr>
          <w:sz w:val="20"/>
          <w:szCs w:val="20"/>
        </w:rPr>
        <w:t>​</w:t>
      </w:r>
    </w:p>
    <w:p w:rsidR="00000000" w:rsidRDefault="008B747E">
      <w:pPr>
        <w:pStyle w:val="a3"/>
        <w:spacing w:before="0" w:beforeAutospacing="0" w:after="0" w:afterAutospacing="0"/>
        <w:divId w:val="1741173492"/>
        <w:rPr>
          <w:sz w:val="20"/>
          <w:szCs w:val="20"/>
        </w:rPr>
      </w:pPr>
      <w:r>
        <w:rPr>
          <w:b/>
          <w:bCs/>
          <w:i/>
          <w:iCs/>
          <w:sz w:val="20"/>
          <w:szCs w:val="20"/>
        </w:rPr>
        <w:t>Evaluati</w:t>
      </w:r>
      <w:r>
        <w:rPr>
          <w:b/>
          <w:bCs/>
          <w:i/>
          <w:iCs/>
          <w:sz w:val="20"/>
          <w:szCs w:val="20"/>
        </w:rPr>
        <w:t>on of Disclosure Controls and Procedures</w:t>
      </w:r>
    </w:p>
    <w:p w:rsidR="00000000" w:rsidRDefault="008B747E">
      <w:pPr>
        <w:pStyle w:val="a3"/>
        <w:spacing w:before="0" w:beforeAutospacing="0" w:after="0" w:afterAutospacing="0"/>
        <w:divId w:val="1741173492"/>
        <w:rPr>
          <w:sz w:val="20"/>
          <w:szCs w:val="20"/>
        </w:rPr>
      </w:pPr>
      <w:r>
        <w:rPr>
          <w:sz w:val="10"/>
          <w:szCs w:val="10"/>
        </w:rPr>
        <w:t>​</w:t>
      </w:r>
    </w:p>
    <w:p w:rsidR="00000000" w:rsidRDefault="008B747E">
      <w:pPr>
        <w:pStyle w:val="a3"/>
        <w:spacing w:before="0" w:beforeAutospacing="0" w:after="0" w:afterAutospacing="0"/>
        <w:ind w:firstLine="720"/>
        <w:divId w:val="1741173492"/>
        <w:rPr>
          <w:sz w:val="20"/>
          <w:szCs w:val="20"/>
        </w:rPr>
      </w:pPr>
      <w:r>
        <w:rPr>
          <w:sz w:val="20"/>
          <w:szCs w:val="20"/>
        </w:rPr>
        <w:t>We conducted an evaluation required by paragraph (d) of Rule 13a-15 of the Exchange Act as of June 30, 2019, under the supervision and with the participation of our management, including our Chief Executive Office</w:t>
      </w:r>
      <w:r>
        <w:rPr>
          <w:sz w:val="20"/>
          <w:szCs w:val="20"/>
        </w:rPr>
        <w:t>r and Chief Financial Officer, of the effectiveness of the design and operation of our disclosure controls and procedures (as defined under Rule 13a-15(e) of the Exchange Act), which are controls and other procedures of a company that are designed to ensur</w:t>
      </w:r>
      <w:r>
        <w:rPr>
          <w:sz w:val="20"/>
          <w:szCs w:val="20"/>
        </w:rPr>
        <w:t>e that information required to be disclosed by a company in the reports that it files under the Exchange Act is recorded, processed, summarized and reported within required time periods. Based upon that evaluation, our Chief Executive Officer and Chief Fin</w:t>
      </w:r>
      <w:r>
        <w:rPr>
          <w:sz w:val="20"/>
          <w:szCs w:val="20"/>
        </w:rPr>
        <w:t>ancial Officer concluded that, as of such date, our disclosure controls and procedures were effective at the reasonable assurance level.</w:t>
      </w:r>
    </w:p>
    <w:p w:rsidR="00000000" w:rsidRDefault="008B747E">
      <w:pPr>
        <w:pStyle w:val="a3"/>
        <w:spacing w:before="0" w:beforeAutospacing="0" w:after="0" w:afterAutospacing="0"/>
        <w:divId w:val="1741173492"/>
        <w:rPr>
          <w:sz w:val="20"/>
          <w:szCs w:val="20"/>
        </w:rPr>
      </w:pPr>
      <w:r>
        <w:rPr>
          <w:sz w:val="20"/>
          <w:szCs w:val="20"/>
        </w:rPr>
        <w:t>​</w:t>
      </w:r>
    </w:p>
    <w:p w:rsidR="00000000" w:rsidRDefault="008B747E">
      <w:pPr>
        <w:pStyle w:val="a3"/>
        <w:spacing w:before="0" w:beforeAutospacing="0" w:after="0" w:afterAutospacing="0"/>
        <w:divId w:val="1741173492"/>
        <w:rPr>
          <w:sz w:val="20"/>
          <w:szCs w:val="20"/>
        </w:rPr>
      </w:pPr>
      <w:r>
        <w:rPr>
          <w:b/>
          <w:bCs/>
          <w:i/>
          <w:iCs/>
          <w:sz w:val="20"/>
          <w:szCs w:val="20"/>
        </w:rPr>
        <w:t>Limitations on the Effectiveness of Controls</w:t>
      </w:r>
    </w:p>
    <w:p w:rsidR="00000000" w:rsidRDefault="008B747E">
      <w:pPr>
        <w:pStyle w:val="a3"/>
        <w:spacing w:before="0" w:beforeAutospacing="0" w:after="0" w:afterAutospacing="0"/>
        <w:divId w:val="1741173492"/>
        <w:rPr>
          <w:sz w:val="20"/>
          <w:szCs w:val="20"/>
        </w:rPr>
      </w:pPr>
      <w:r>
        <w:rPr>
          <w:sz w:val="10"/>
          <w:szCs w:val="10"/>
        </w:rPr>
        <w:t>​</w:t>
      </w:r>
    </w:p>
    <w:p w:rsidR="00000000" w:rsidRDefault="008B747E">
      <w:pPr>
        <w:pStyle w:val="a3"/>
        <w:spacing w:before="0" w:beforeAutospacing="0" w:after="0" w:afterAutospacing="0"/>
        <w:ind w:firstLine="720"/>
        <w:divId w:val="1741173492"/>
        <w:rPr>
          <w:sz w:val="20"/>
          <w:szCs w:val="20"/>
        </w:rPr>
      </w:pPr>
      <w:r>
        <w:rPr>
          <w:sz w:val="20"/>
          <w:szCs w:val="20"/>
        </w:rPr>
        <w:t>Our management, including our Chief Executive Officer and Chief Financ</w:t>
      </w:r>
      <w:r>
        <w:rPr>
          <w:sz w:val="20"/>
          <w:szCs w:val="20"/>
        </w:rPr>
        <w:t>ial Officer, does not expect that our disclosure controls and procedures or our internal control over financial reporting will prevent all error and all fraud. A control system, no matter how well conceived and operated, can provide only reasonable, not ab</w:t>
      </w:r>
      <w:r>
        <w:rPr>
          <w:sz w:val="20"/>
          <w:szCs w:val="20"/>
        </w:rPr>
        <w:t>solute, assurance that the objectives of the control system are met. Further, the design of a control system must reflect the fact that there are resource constraints, and the benefit of controls must be considered relative to their costs. Because of the i</w:t>
      </w:r>
      <w:r>
        <w:rPr>
          <w:sz w:val="20"/>
          <w:szCs w:val="20"/>
        </w:rPr>
        <w:t>nherent limitations in all control systems, no evaluation of controls can provide absolute assurance that all control issues and instances of fraud, if any, within Theravance Biopharma have been detected. Also, projections of any evaluation of effectivenes</w:t>
      </w:r>
      <w:r>
        <w:rPr>
          <w:sz w:val="20"/>
          <w:szCs w:val="20"/>
        </w:rPr>
        <w:t>s to future periods are subject to the risk that controls may become inadequate because of changes in conditions, or that the degree of compliance with the policies or procedures may deteriorate.</w:t>
      </w:r>
    </w:p>
    <w:p w:rsidR="00000000" w:rsidRDefault="008B747E">
      <w:pPr>
        <w:pStyle w:val="a3"/>
        <w:spacing w:before="0" w:beforeAutospacing="0" w:after="0" w:afterAutospacing="0"/>
        <w:divId w:val="1741173492"/>
        <w:rPr>
          <w:sz w:val="20"/>
          <w:szCs w:val="20"/>
        </w:rPr>
      </w:pPr>
      <w:r>
        <w:rPr>
          <w:sz w:val="20"/>
          <w:szCs w:val="20"/>
        </w:rPr>
        <w:t>​</w:t>
      </w:r>
    </w:p>
    <w:p w:rsidR="00000000" w:rsidRDefault="008B747E">
      <w:pPr>
        <w:pStyle w:val="a3"/>
        <w:spacing w:before="0" w:beforeAutospacing="0" w:after="0" w:afterAutospacing="0"/>
        <w:divId w:val="1741173492"/>
        <w:rPr>
          <w:sz w:val="20"/>
          <w:szCs w:val="20"/>
        </w:rPr>
      </w:pPr>
      <w:r>
        <w:rPr>
          <w:b/>
          <w:bCs/>
          <w:i/>
          <w:iCs/>
          <w:sz w:val="20"/>
          <w:szCs w:val="20"/>
        </w:rPr>
        <w:t>Changes in Internal Control over Financial Reporting</w:t>
      </w:r>
    </w:p>
    <w:p w:rsidR="00000000" w:rsidRDefault="008B747E">
      <w:pPr>
        <w:pStyle w:val="a3"/>
        <w:spacing w:before="0" w:beforeAutospacing="0" w:after="0" w:afterAutospacing="0"/>
        <w:divId w:val="1741173492"/>
        <w:rPr>
          <w:sz w:val="20"/>
          <w:szCs w:val="20"/>
        </w:rPr>
      </w:pPr>
      <w:r>
        <w:rPr>
          <w:sz w:val="10"/>
          <w:szCs w:val="10"/>
        </w:rPr>
        <w:t>​</w:t>
      </w:r>
    </w:p>
    <w:p w:rsidR="00000000" w:rsidRDefault="008B747E">
      <w:pPr>
        <w:pStyle w:val="a3"/>
        <w:spacing w:before="0" w:beforeAutospacing="0" w:after="0" w:afterAutospacing="0"/>
        <w:ind w:firstLine="720"/>
        <w:divId w:val="1741173492"/>
        <w:rPr>
          <w:sz w:val="20"/>
          <w:szCs w:val="20"/>
        </w:rPr>
      </w:pPr>
      <w:r>
        <w:rPr>
          <w:sz w:val="20"/>
          <w:szCs w:val="20"/>
        </w:rPr>
        <w:t>The</w:t>
      </w:r>
      <w:r>
        <w:rPr>
          <w:sz w:val="20"/>
          <w:szCs w:val="20"/>
        </w:rPr>
        <w:t xml:space="preserve">re was no change in our internal control over financial reporting (as defined in Rule 13a-15(f) of the Exchange Act) identified in connection with the evaluation required by paragraph (d) of Rule 13a-15 of the Exchange Act, which </w:t>
      </w:r>
    </w:p>
    <w:p w:rsidR="00000000" w:rsidRDefault="008B747E">
      <w:pPr>
        <w:pStyle w:val="a3"/>
        <w:spacing w:before="360" w:beforeAutospacing="0" w:after="0" w:afterAutospacing="0"/>
        <w:jc w:val="center"/>
        <w:divId w:val="1112282950"/>
        <w:rPr>
          <w:sz w:val="20"/>
          <w:szCs w:val="20"/>
        </w:rPr>
      </w:pPr>
      <w:r>
        <w:rPr>
          <w:sz w:val="20"/>
          <w:szCs w:val="20"/>
        </w:rPr>
        <w:t>33</w:t>
      </w:r>
    </w:p>
    <w:p w:rsidR="00000000" w:rsidRDefault="008B747E">
      <w:pPr>
        <w:pStyle w:val="a3"/>
        <w:spacing w:before="0" w:beforeAutospacing="0" w:after="600" w:afterAutospacing="0"/>
        <w:divId w:val="1247496358"/>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815296392"/>
        <w:rPr>
          <w:sz w:val="20"/>
          <w:szCs w:val="20"/>
        </w:rPr>
      </w:pPr>
      <w:r>
        <w:rPr>
          <w:sz w:val="20"/>
          <w:szCs w:val="20"/>
        </w:rPr>
        <w:t>occurred during the second quarter of the year ending December 31, 2019 which has materially affected, or is reasonably likely to materially affect, our internal control over financial reporting.</w:t>
      </w:r>
    </w:p>
    <w:p w:rsidR="00000000" w:rsidRDefault="008B747E">
      <w:pPr>
        <w:pStyle w:val="a3"/>
        <w:spacing w:before="0" w:beforeAutospacing="0" w:after="0" w:afterAutospacing="0"/>
        <w:ind w:firstLine="720"/>
        <w:divId w:val="815296392"/>
        <w:rPr>
          <w:sz w:val="20"/>
          <w:szCs w:val="20"/>
        </w:rPr>
      </w:pPr>
      <w:r>
        <w:rPr>
          <w:sz w:val="20"/>
          <w:szCs w:val="20"/>
        </w:rPr>
        <w:t>​</w:t>
      </w:r>
    </w:p>
    <w:p w:rsidR="00000000" w:rsidRDefault="008B747E">
      <w:pPr>
        <w:pStyle w:val="a3"/>
        <w:spacing w:before="0" w:beforeAutospacing="0" w:after="0" w:afterAutospacing="0"/>
        <w:divId w:val="815296392"/>
        <w:rPr>
          <w:sz w:val="20"/>
          <w:szCs w:val="20"/>
        </w:rPr>
      </w:pPr>
      <w:r>
        <w:rPr>
          <w:b/>
          <w:bCs/>
          <w:sz w:val="20"/>
          <w:szCs w:val="20"/>
        </w:rPr>
        <w:t>PART II.  OTHER INFORMATION</w:t>
      </w:r>
    </w:p>
    <w:p w:rsidR="00000000" w:rsidRDefault="008B747E">
      <w:pPr>
        <w:pStyle w:val="a3"/>
        <w:spacing w:before="0" w:beforeAutospacing="0" w:after="0" w:afterAutospacing="0"/>
        <w:divId w:val="815296392"/>
        <w:rPr>
          <w:sz w:val="20"/>
          <w:szCs w:val="20"/>
        </w:rPr>
      </w:pPr>
      <w:r>
        <w:rPr>
          <w:sz w:val="20"/>
          <w:szCs w:val="20"/>
        </w:rPr>
        <w:t>​</w:t>
      </w:r>
    </w:p>
    <w:p w:rsidR="00000000" w:rsidRDefault="008B747E">
      <w:pPr>
        <w:pStyle w:val="a3"/>
        <w:spacing w:before="0" w:beforeAutospacing="0" w:after="0" w:afterAutospacing="0"/>
        <w:divId w:val="815296392"/>
        <w:rPr>
          <w:sz w:val="20"/>
          <w:szCs w:val="20"/>
        </w:rPr>
      </w:pPr>
      <w:r>
        <w:rPr>
          <w:b/>
          <w:bCs/>
          <w:sz w:val="20"/>
          <w:szCs w:val="20"/>
        </w:rPr>
        <w:t>ITEM 1</w:t>
      </w:r>
      <w:r>
        <w:rPr>
          <w:b/>
          <w:bCs/>
          <w:sz w:val="20"/>
          <w:szCs w:val="20"/>
        </w:rPr>
        <w:t>.   LEGAL PROCEEDINGS</w:t>
      </w:r>
    </w:p>
    <w:p w:rsidR="00000000" w:rsidRDefault="008B747E">
      <w:pPr>
        <w:pStyle w:val="a3"/>
        <w:spacing w:before="0" w:beforeAutospacing="0" w:after="0" w:afterAutospacing="0"/>
        <w:divId w:val="815296392"/>
        <w:rPr>
          <w:sz w:val="20"/>
          <w:szCs w:val="20"/>
        </w:rPr>
      </w:pPr>
      <w:r>
        <w:rPr>
          <w:sz w:val="20"/>
          <w:szCs w:val="20"/>
        </w:rPr>
        <w:t>​</w:t>
      </w:r>
    </w:p>
    <w:p w:rsidR="00000000" w:rsidRDefault="008B747E">
      <w:pPr>
        <w:pStyle w:val="a3"/>
        <w:spacing w:before="0" w:beforeAutospacing="0" w:after="0" w:afterAutospacing="0"/>
        <w:ind w:firstLine="720"/>
        <w:divId w:val="815296392"/>
        <w:rPr>
          <w:sz w:val="20"/>
          <w:szCs w:val="20"/>
        </w:rPr>
      </w:pPr>
      <w:r>
        <w:rPr>
          <w:sz w:val="20"/>
          <w:szCs w:val="20"/>
        </w:rPr>
        <w:t>We are entitled to receive an 85% economic interest in any future payments that may be made by GSK to Theravance Respiratory Company, LLC (“TRC”) pursuant to its agreements with Innoviva (net of TRC expenses paid and the amount of c</w:t>
      </w:r>
      <w:r>
        <w:rPr>
          <w:sz w:val="20"/>
          <w:szCs w:val="20"/>
        </w:rPr>
        <w:t>ash, if any, expected to be used in TRC over the next four fiscal quarters) relating to the GSK-Partnered Respiratory Programs, which Innoviva partnered with GSK and assigned to TRC in connection with Innoviva’s separation of its biopharmaceutical operatio</w:t>
      </w:r>
      <w:r>
        <w:rPr>
          <w:sz w:val="20"/>
          <w:szCs w:val="20"/>
        </w:rPr>
        <w:t>ns into its then wholly-owned subsidiary Theravance Biopharma in June 2014. The GSK-Partnered Respiratory Programs consist primarily of the TRELEGY ELLIPTA program and the inhaled Bifunctional Muscarinic Antagonist-Beta2 Agonist (“MABA”) program, each of w</w:t>
      </w:r>
      <w:r>
        <w:rPr>
          <w:sz w:val="20"/>
          <w:szCs w:val="20"/>
        </w:rPr>
        <w:t xml:space="preserve">hich are described in more detail above. We are entitled to this economic interest through our equity ownership in TRC. </w:t>
      </w:r>
    </w:p>
    <w:p w:rsidR="00000000" w:rsidRDefault="008B747E">
      <w:pPr>
        <w:pStyle w:val="a3"/>
        <w:spacing w:before="0" w:beforeAutospacing="0" w:after="0" w:afterAutospacing="0"/>
        <w:ind w:firstLine="720"/>
        <w:divId w:val="815296392"/>
        <w:rPr>
          <w:sz w:val="20"/>
          <w:szCs w:val="20"/>
        </w:rPr>
      </w:pPr>
      <w:r>
        <w:rPr>
          <w:sz w:val="20"/>
          <w:szCs w:val="20"/>
        </w:rPr>
        <w:t>​</w:t>
      </w:r>
    </w:p>
    <w:p w:rsidR="00000000" w:rsidRDefault="008B747E">
      <w:pPr>
        <w:pStyle w:val="a3"/>
        <w:spacing w:before="0" w:beforeAutospacing="0" w:after="0" w:afterAutospacing="0"/>
        <w:ind w:firstLine="720"/>
        <w:divId w:val="815296392"/>
        <w:rPr>
          <w:sz w:val="20"/>
          <w:szCs w:val="20"/>
        </w:rPr>
      </w:pPr>
      <w:r>
        <w:rPr>
          <w:sz w:val="20"/>
          <w:szCs w:val="20"/>
        </w:rPr>
        <w:t>We have initiated arbitration against Innoviva and TRC because Innoviva has caused TRC to not make certain distributions owed to us with respect to our 85% economic interest in TRC since the quarter ended December 31, 2018, and Innoviva’s previous statemen</w:t>
      </w:r>
      <w:r>
        <w:rPr>
          <w:sz w:val="20"/>
          <w:szCs w:val="20"/>
        </w:rPr>
        <w:t>t to us that it intends to cause TRC to withhold making further cash distributions through calendar year 2019. We believe that these actions by Innoviva and TRC constitute a material breach of their obligations to disburse to us 85% of the royalties paid t</w:t>
      </w:r>
      <w:r>
        <w:rPr>
          <w:sz w:val="20"/>
          <w:szCs w:val="20"/>
        </w:rPr>
        <w:t>o TRC by GSK as a result of GSK’s net sales of TRELEGY ELLIPTA (net of TRC expenses paid and the amount of cash, if any, expected to be used by TRC pursuant to the TRC LLC Agreement over the next four fiscal quarters). The TRC LLC Agreement imposes express</w:t>
      </w:r>
      <w:r>
        <w:rPr>
          <w:sz w:val="20"/>
          <w:szCs w:val="20"/>
        </w:rPr>
        <w:t xml:space="preserve"> fiduciary duties on Innoviva as manager. To ensure that Innoviva causes TRC to fulfill its contractual duties to distribute royalties, and to discharge its own fiduciary duties, the TRC LLC Agreement imposes significant limitations on Innoviva’s authority</w:t>
      </w:r>
      <w:r>
        <w:rPr>
          <w:sz w:val="20"/>
          <w:szCs w:val="20"/>
        </w:rPr>
        <w:t xml:space="preserve"> as manager, including requiring Theravance Biopharma’s consent before taking actions or omitting to take actions that would reasonably be expected to have a direct or indirect material and adverse effect on the Theravance Biopharma’s economic interest in </w:t>
      </w:r>
      <w:r>
        <w:rPr>
          <w:sz w:val="20"/>
          <w:szCs w:val="20"/>
        </w:rPr>
        <w:t>TRC or its rights, preferences, privileges or obligations. The arbitration hearing commenced on July 23, 2019. Resolution of the arbitration should occur in the third quarter of 2019</w:t>
      </w:r>
      <w:r>
        <w:rPr>
          <w:sz w:val="20"/>
          <w:szCs w:val="20"/>
        </w:rPr>
        <w:t>.</w:t>
      </w:r>
    </w:p>
    <w:p w:rsidR="00000000" w:rsidRDefault="008B747E">
      <w:pPr>
        <w:pStyle w:val="a3"/>
        <w:spacing w:before="0" w:beforeAutospacing="0" w:after="0" w:afterAutospacing="0"/>
        <w:divId w:val="815296392"/>
        <w:rPr>
          <w:sz w:val="20"/>
          <w:szCs w:val="20"/>
        </w:rPr>
      </w:pPr>
      <w:r>
        <w:rPr>
          <w:sz w:val="20"/>
          <w:szCs w:val="20"/>
        </w:rPr>
        <w:t>​</w:t>
      </w:r>
    </w:p>
    <w:p w:rsidR="00000000" w:rsidRDefault="008B747E">
      <w:pPr>
        <w:pStyle w:val="a3"/>
        <w:spacing w:before="0" w:beforeAutospacing="0" w:after="0" w:afterAutospacing="0"/>
        <w:divId w:val="815296392"/>
        <w:rPr>
          <w:sz w:val="20"/>
          <w:szCs w:val="20"/>
        </w:rPr>
      </w:pPr>
      <w:r>
        <w:rPr>
          <w:b/>
          <w:bCs/>
          <w:sz w:val="20"/>
          <w:szCs w:val="20"/>
        </w:rPr>
        <w:t>ITEM 1A.  RISK FACTORS</w:t>
      </w:r>
    </w:p>
    <w:p w:rsidR="00000000" w:rsidRDefault="008B747E">
      <w:pPr>
        <w:pStyle w:val="a3"/>
        <w:spacing w:before="0" w:beforeAutospacing="0" w:after="0" w:afterAutospacing="0"/>
        <w:divId w:val="815296392"/>
        <w:rPr>
          <w:sz w:val="20"/>
          <w:szCs w:val="20"/>
        </w:rPr>
      </w:pPr>
      <w:r>
        <w:rPr>
          <w:sz w:val="20"/>
          <w:szCs w:val="20"/>
        </w:rPr>
        <w:t>​</w:t>
      </w:r>
    </w:p>
    <w:p w:rsidR="00000000" w:rsidRDefault="008B747E">
      <w:pPr>
        <w:pStyle w:val="a3"/>
        <w:spacing w:before="0" w:beforeAutospacing="0" w:after="0" w:afterAutospacing="0"/>
        <w:divId w:val="815296392"/>
        <w:rPr>
          <w:sz w:val="20"/>
          <w:szCs w:val="20"/>
        </w:rPr>
      </w:pPr>
      <w:r>
        <w:rPr>
          <w:b/>
          <w:bCs/>
          <w:sz w:val="20"/>
          <w:szCs w:val="20"/>
        </w:rPr>
        <w:t xml:space="preserve">RISKS RELATING TO THE COMPANY </w:t>
      </w:r>
    </w:p>
    <w:p w:rsidR="00000000" w:rsidRDefault="008B747E">
      <w:pPr>
        <w:pStyle w:val="a3"/>
        <w:spacing w:before="0" w:beforeAutospacing="0" w:after="0" w:afterAutospacing="0"/>
        <w:divId w:val="815296392"/>
        <w:rPr>
          <w:sz w:val="20"/>
          <w:szCs w:val="20"/>
        </w:rPr>
      </w:pPr>
      <w:r>
        <w:rPr>
          <w:b/>
          <w:bCs/>
          <w:sz w:val="20"/>
          <w:szCs w:val="20"/>
        </w:rPr>
        <w:t>​</w:t>
      </w:r>
    </w:p>
    <w:p w:rsidR="00000000" w:rsidRDefault="008B747E">
      <w:pPr>
        <w:pStyle w:val="a3"/>
        <w:spacing w:before="0" w:beforeAutospacing="0" w:after="0" w:afterAutospacing="0"/>
        <w:ind w:firstLine="720"/>
        <w:divId w:val="815296392"/>
        <w:rPr>
          <w:sz w:val="20"/>
          <w:szCs w:val="20"/>
        </w:rPr>
      </w:pPr>
      <w:r>
        <w:rPr>
          <w:sz w:val="20"/>
          <w:szCs w:val="20"/>
        </w:rPr>
        <w:t>The risks described below and elsewhere in the Annual Report for the year ended December 31, 2018 on Form 10-K and in our other public filings with the SEC are not the only risks facing the Company. Additional risks and uncertainties not currently known to</w:t>
      </w:r>
      <w:r>
        <w:rPr>
          <w:sz w:val="20"/>
          <w:szCs w:val="20"/>
        </w:rPr>
        <w:t xml:space="preserve"> us or that we currently deem to be immaterial also may materially adversely affect our business, financial condition and/or operating results.</w:t>
      </w:r>
    </w:p>
    <w:p w:rsidR="00000000" w:rsidRDefault="008B747E">
      <w:pPr>
        <w:pStyle w:val="a3"/>
        <w:spacing w:before="0" w:beforeAutospacing="0" w:after="0" w:afterAutospacing="0"/>
        <w:divId w:val="815296392"/>
        <w:rPr>
          <w:sz w:val="20"/>
          <w:szCs w:val="20"/>
        </w:rPr>
      </w:pPr>
      <w:r>
        <w:rPr>
          <w:sz w:val="20"/>
          <w:szCs w:val="20"/>
        </w:rPr>
        <w:t>​</w:t>
      </w:r>
    </w:p>
    <w:p w:rsidR="00000000" w:rsidRDefault="008B747E">
      <w:pPr>
        <w:pStyle w:val="a3"/>
        <w:spacing w:before="0" w:beforeAutospacing="0" w:after="120" w:afterAutospacing="0"/>
        <w:divId w:val="815296392"/>
        <w:rPr>
          <w:b/>
          <w:bCs/>
          <w:i/>
          <w:iCs/>
          <w:sz w:val="20"/>
          <w:szCs w:val="20"/>
        </w:rPr>
      </w:pPr>
      <w:r>
        <w:rPr>
          <w:b/>
          <w:bCs/>
          <w:i/>
          <w:iCs/>
          <w:sz w:val="20"/>
          <w:szCs w:val="20"/>
        </w:rPr>
        <w:t>We anticipate that we will incur losses for the foreseeable future. We may never achieve or sustain profitabil</w:t>
      </w:r>
      <w:r>
        <w:rPr>
          <w:b/>
          <w:bCs/>
          <w:i/>
          <w:iCs/>
          <w:sz w:val="20"/>
          <w:szCs w:val="20"/>
        </w:rPr>
        <w:t>ity.</w:t>
      </w:r>
    </w:p>
    <w:p w:rsidR="00000000" w:rsidRDefault="008B747E">
      <w:pPr>
        <w:pStyle w:val="a3"/>
        <w:spacing w:before="0" w:beforeAutospacing="0" w:after="0" w:afterAutospacing="0"/>
        <w:ind w:firstLine="720"/>
        <w:divId w:val="815296392"/>
        <w:rPr>
          <w:sz w:val="20"/>
          <w:szCs w:val="20"/>
        </w:rPr>
      </w:pPr>
      <w:r>
        <w:rPr>
          <w:sz w:val="20"/>
          <w:szCs w:val="20"/>
        </w:rPr>
        <w:t>First as part of Innoviva, Inc., and since June 2, 2014 as Theravance Biopharma, we have been engaged in discovery and development of compounds and product candidates since mid-1997. We may never generate sufficient revenue from the sale of medicines,</w:t>
      </w:r>
      <w:r>
        <w:rPr>
          <w:sz w:val="20"/>
          <w:szCs w:val="20"/>
        </w:rPr>
        <w:t xml:space="preserve"> royalties on sales by our partners or from our interest in Theravance Respiratory Company, LLC (“TRC”) to achieve profitability. During the three and six months ended June 30, 2019 and years ended December 31, 2018 and 2017, we recognized net losses of $3</w:t>
      </w:r>
      <w:r>
        <w:rPr>
          <w:sz w:val="20"/>
          <w:szCs w:val="20"/>
        </w:rPr>
        <w:t>9.8 million, $112.4 million, $215.5 million and $285.4 million, respectively, which are reflected in the shareholders’ (deficit) equity on our consolidated balance sheets. We reflect cumulative net loss incurred after June 2, 2014, the effective date of ou</w:t>
      </w:r>
      <w:r>
        <w:rPr>
          <w:sz w:val="20"/>
          <w:szCs w:val="20"/>
        </w:rPr>
        <w:t>r spin-off from Innoviva, Inc. (the “Spin-Off”), as accumulated deficit on our consolidated balance sheets, which was $1.1 billion as of June 30, 2019. We expect to continue to incur net losses at least over the next several years as we continue our drug d</w:t>
      </w:r>
      <w:r>
        <w:rPr>
          <w:sz w:val="20"/>
          <w:szCs w:val="20"/>
        </w:rPr>
        <w:t>iscovery and development efforts and incur significant preclinical and clinical development costs related to our current product candidates and commercialization and development costs relating to YUPELRI. In particular, to the extent we continue to advance</w:t>
      </w:r>
      <w:r>
        <w:rPr>
          <w:sz w:val="20"/>
          <w:szCs w:val="20"/>
        </w:rPr>
        <w:t xml:space="preserve"> our product candidates into and through additional clinical studies, we will incur substantial expenses. For example: in August 2018 we announced that we intend to progress ampreloxetine (TD-9855) into a Phase 3 registrational program; in late 2018 we ini</w:t>
      </w:r>
      <w:r>
        <w:rPr>
          <w:sz w:val="20"/>
          <w:szCs w:val="20"/>
        </w:rPr>
        <w:t xml:space="preserve">tiated a Phase 2 induction study of TD-1473 in Crohn’s disease; and we have initiated sites in a Phase 2b/3 induction and maintenance study of TD-1473 in </w:t>
      </w:r>
    </w:p>
    <w:p w:rsidR="00000000" w:rsidRDefault="008B747E">
      <w:pPr>
        <w:pStyle w:val="a3"/>
        <w:spacing w:before="360" w:beforeAutospacing="0" w:after="0" w:afterAutospacing="0"/>
        <w:jc w:val="center"/>
        <w:divId w:val="1428455388"/>
        <w:rPr>
          <w:sz w:val="20"/>
          <w:szCs w:val="20"/>
        </w:rPr>
      </w:pPr>
      <w:r>
        <w:rPr>
          <w:sz w:val="20"/>
          <w:szCs w:val="20"/>
        </w:rPr>
        <w:t>34</w:t>
      </w:r>
    </w:p>
    <w:p w:rsidR="00000000" w:rsidRDefault="008B747E">
      <w:pPr>
        <w:pStyle w:val="a3"/>
        <w:spacing w:before="0" w:beforeAutospacing="0" w:after="600" w:afterAutospacing="0"/>
        <w:divId w:val="927613119"/>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1718234638"/>
        <w:rPr>
          <w:sz w:val="20"/>
          <w:szCs w:val="20"/>
        </w:rPr>
      </w:pPr>
      <w:r>
        <w:rPr>
          <w:sz w:val="20"/>
          <w:szCs w:val="20"/>
        </w:rPr>
        <w:t>ulcerative colitis. The expenses associated with these</w:t>
      </w:r>
      <w:r>
        <w:rPr>
          <w:sz w:val="20"/>
          <w:szCs w:val="20"/>
        </w:rPr>
        <w:t xml:space="preserve"> clinical studies are very significant. We will incur costs and expenses associated with our co-promotion agreement with Mylan for commercialization of YUPELRI in the US, including the maintenance of an independent sales and marketing organization with app</w:t>
      </w:r>
      <w:r>
        <w:rPr>
          <w:sz w:val="20"/>
          <w:szCs w:val="20"/>
        </w:rPr>
        <w:t>ropriate technical expertise, a medical affairs presence and consultant support, and post-marketing studies. We recently sold our VIBATIV product, and therefore will not recognize revenue from future product sales, other than through royalties from sales b</w:t>
      </w:r>
      <w:r>
        <w:rPr>
          <w:sz w:val="20"/>
          <w:szCs w:val="20"/>
        </w:rPr>
        <w:t>y Cumberland Pharmaceuticals Inc. (“Cumberland”), the purchaser of the product. Our commitment of resources to the continued development of our existing product candidates, our discovery programs, and YUPELRI will require significant additional funding. Ou</w:t>
      </w:r>
      <w:r>
        <w:rPr>
          <w:sz w:val="20"/>
          <w:szCs w:val="20"/>
        </w:rPr>
        <w:t>r operating expenses also will increase if, among other things:</w:t>
      </w:r>
    </w:p>
    <w:p w:rsidR="00000000" w:rsidRDefault="008B747E">
      <w:pPr>
        <w:pStyle w:val="a3"/>
        <w:spacing w:before="0" w:beforeAutospacing="0" w:after="0" w:afterAutospacing="0"/>
        <w:divId w:val="1718234638"/>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18234638"/>
        </w:trPr>
        <w:tc>
          <w:tcPr>
            <w:tcW w:w="720" w:type="dxa"/>
            <w:vAlign w:val="center"/>
            <w:hideMark/>
          </w:tcPr>
          <w:p w:rsidR="00000000" w:rsidRDefault="008B747E">
            <w:pPr>
              <w:rPr>
                <w:sz w:val="20"/>
                <w:szCs w:val="20"/>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rPr>
                <w:rFonts w:ascii="Times" w:eastAsia="Times New Roman" w:hAnsi="Times"/>
                <w:sz w:val="20"/>
                <w:szCs w:val="20"/>
              </w:rPr>
            </w:pPr>
            <w:r>
              <w:rPr>
                <w:rFonts w:ascii="Times" w:eastAsia="Times New Roman" w:hAnsi="Times"/>
                <w:color w:val="000000"/>
                <w:sz w:val="20"/>
                <w:szCs w:val="20"/>
              </w:rPr>
              <w:t>our earlier stage potential products move into later-stage clinical development, which is generally more expensive than early stage development;</w:t>
            </w:r>
            <w:r>
              <w:rPr>
                <w:rFonts w:ascii="Times" w:eastAsia="Times New Roman" w:hAnsi="Times"/>
                <w:color w:val="000000"/>
                <w:sz w:val="20"/>
                <w:szCs w:val="20"/>
              </w:rPr>
              <w:t xml:space="preserve"> </w:t>
            </w:r>
          </w:p>
        </w:tc>
      </w:tr>
    </w:tbl>
    <w:p w:rsidR="00000000" w:rsidRDefault="008B747E">
      <w:pPr>
        <w:divId w:val="171823463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18234638"/>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additional preclinical product candidates are selected for clinical development;</w:t>
            </w:r>
            <w:r>
              <w:rPr>
                <w:rFonts w:ascii="Times" w:eastAsia="Times New Roman" w:hAnsi="Times"/>
                <w:color w:val="000000"/>
                <w:sz w:val="20"/>
                <w:szCs w:val="20"/>
              </w:rPr>
              <w:t xml:space="preserve"> </w:t>
            </w:r>
          </w:p>
        </w:tc>
      </w:tr>
    </w:tbl>
    <w:p w:rsidR="00000000" w:rsidRDefault="008B747E">
      <w:pPr>
        <w:divId w:val="171823463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18234638"/>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we pursue clinical development of our potential or current products in new indications;</w:t>
            </w:r>
            <w:r>
              <w:rPr>
                <w:rFonts w:ascii="Times" w:eastAsia="Times New Roman" w:hAnsi="Times"/>
                <w:color w:val="000000"/>
                <w:sz w:val="20"/>
                <w:szCs w:val="20"/>
              </w:rPr>
              <w:t xml:space="preserve"> </w:t>
            </w:r>
          </w:p>
        </w:tc>
      </w:tr>
    </w:tbl>
    <w:p w:rsidR="00000000" w:rsidRDefault="008B747E">
      <w:pPr>
        <w:divId w:val="171823463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18234638"/>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we increase the number of patents we are prosecuting or otherwise expend ad</w:t>
            </w:r>
            <w:r>
              <w:rPr>
                <w:rFonts w:ascii="Times" w:eastAsia="Times New Roman" w:hAnsi="Times"/>
                <w:color w:val="000000"/>
                <w:sz w:val="20"/>
                <w:szCs w:val="20"/>
              </w:rPr>
              <w:t>ditional resources on patent prosecution or defense; or</w:t>
            </w:r>
            <w:r>
              <w:rPr>
                <w:rFonts w:ascii="Times" w:eastAsia="Times New Roman" w:hAnsi="Times"/>
                <w:color w:val="000000"/>
                <w:sz w:val="20"/>
                <w:szCs w:val="20"/>
              </w:rPr>
              <w:t xml:space="preserve"> </w:t>
            </w:r>
          </w:p>
        </w:tc>
      </w:tr>
    </w:tbl>
    <w:p w:rsidR="00000000" w:rsidRDefault="008B747E">
      <w:pPr>
        <w:divId w:val="171823463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18234638"/>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rPr>
                <w:rFonts w:ascii="Times" w:eastAsia="Times New Roman" w:hAnsi="Times"/>
                <w:sz w:val="20"/>
                <w:szCs w:val="20"/>
              </w:rPr>
            </w:pPr>
            <w:r>
              <w:rPr>
                <w:rFonts w:ascii="Times" w:eastAsia="Times New Roman" w:hAnsi="Times"/>
                <w:color w:val="000000"/>
                <w:sz w:val="20"/>
                <w:szCs w:val="20"/>
              </w:rPr>
              <w:t>we acquire or in-license additional technologies, product candidates, products or businesses.</w:t>
            </w:r>
            <w:r>
              <w:rPr>
                <w:rFonts w:ascii="Times" w:eastAsia="Times New Roman" w:hAnsi="Times"/>
                <w:color w:val="000000"/>
                <w:sz w:val="20"/>
                <w:szCs w:val="20"/>
              </w:rPr>
              <w:t xml:space="preserve"> </w:t>
            </w:r>
          </w:p>
        </w:tc>
      </w:tr>
    </w:tbl>
    <w:p w:rsidR="00000000" w:rsidRDefault="008B747E">
      <w:pPr>
        <w:pStyle w:val="a3"/>
        <w:spacing w:before="0" w:beforeAutospacing="0" w:after="0" w:afterAutospacing="0"/>
        <w:ind w:firstLine="720"/>
        <w:divId w:val="1718234638"/>
        <w:rPr>
          <w:rFonts w:ascii="Times" w:hAnsi="Times"/>
          <w:sz w:val="20"/>
          <w:szCs w:val="20"/>
        </w:rPr>
      </w:pPr>
      <w:r>
        <w:rPr>
          <w:rFonts w:ascii="Times" w:hAnsi="Times"/>
          <w:sz w:val="20"/>
          <w:szCs w:val="20"/>
        </w:rPr>
        <w:t>Other than (i) potential revenues from sales of YUPELRI, (ii) our economic interest in royalties f</w:t>
      </w:r>
      <w:r>
        <w:rPr>
          <w:rFonts w:ascii="Times" w:hAnsi="Times"/>
          <w:sz w:val="20"/>
          <w:szCs w:val="20"/>
        </w:rPr>
        <w:t>rom net sales of</w:t>
      </w:r>
      <w:r>
        <w:rPr>
          <w:rFonts w:ascii="Times" w:hAnsi="Times"/>
          <w:sz w:val="20"/>
          <w:szCs w:val="20"/>
        </w:rPr>
        <w:t xml:space="preserve"> </w:t>
      </w:r>
      <w:r>
        <w:rPr>
          <w:rFonts w:ascii="Times" w:hAnsi="Times"/>
          <w:caps/>
          <w:sz w:val="20"/>
          <w:szCs w:val="20"/>
        </w:rPr>
        <w:t>Trelegy Ellipta</w:t>
      </w:r>
      <w:r>
        <w:rPr>
          <w:rFonts w:ascii="Times" w:hAnsi="Times"/>
          <w:sz w:val="20"/>
          <w:szCs w:val="20"/>
        </w:rPr>
        <w:t xml:space="preserve"> </w:t>
      </w:r>
      <w:r>
        <w:rPr>
          <w:rFonts w:ascii="Times" w:hAnsi="Times"/>
          <w:sz w:val="20"/>
          <w:szCs w:val="20"/>
        </w:rPr>
        <w:t>paid to TRC (63.75% of which amounts are used to make payments on the Non-Recourse 2033 Notes), (iii) potential payments under collaboration agreements, and (iv) minor royalties from the net sales of VIBATIV, we do not expe</w:t>
      </w:r>
      <w:r>
        <w:rPr>
          <w:rFonts w:ascii="Times" w:hAnsi="Times"/>
          <w:sz w:val="20"/>
          <w:szCs w:val="20"/>
        </w:rPr>
        <w:t>ct to generate revenues in the immediate future. Since we or our collaborators or licensees may not successfully develop additional products, obtain required regulatory approvals, manufacture products at an acceptable cost or with appropriate quality, or s</w:t>
      </w:r>
      <w:r>
        <w:rPr>
          <w:rFonts w:ascii="Times" w:hAnsi="Times"/>
          <w:sz w:val="20"/>
          <w:szCs w:val="20"/>
        </w:rPr>
        <w:t>uccessfully market and sell such products with desired margins, our expenses will continue to exceed any revenues we may receive for the foreseeable future.</w:t>
      </w:r>
      <w:r>
        <w:rPr>
          <w:rFonts w:ascii="Times" w:hAnsi="Times"/>
          <w:sz w:val="20"/>
          <w:szCs w:val="20"/>
        </w:rPr>
        <w:t xml:space="preserve"> </w:t>
      </w:r>
    </w:p>
    <w:p w:rsidR="00000000" w:rsidRDefault="008B747E">
      <w:pPr>
        <w:pStyle w:val="a3"/>
        <w:spacing w:before="0" w:beforeAutospacing="0" w:after="0" w:afterAutospacing="0"/>
        <w:ind w:firstLine="720"/>
        <w:divId w:val="1718234638"/>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1718234638"/>
        <w:rPr>
          <w:rFonts w:ascii="Times" w:hAnsi="Times"/>
          <w:sz w:val="20"/>
          <w:szCs w:val="20"/>
        </w:rPr>
      </w:pPr>
      <w:r>
        <w:rPr>
          <w:rFonts w:ascii="Times" w:hAnsi="Times"/>
          <w:sz w:val="20"/>
          <w:szCs w:val="20"/>
        </w:rPr>
        <w:t>In the absence of substantial licensing payments, contingent payments or other revenues from third-party collaborators, royalties on sales of products licensed under our intellectual property rights, future revenues from those product candidates in develop</w:t>
      </w:r>
      <w:r>
        <w:rPr>
          <w:rFonts w:ascii="Times" w:hAnsi="Times"/>
          <w:sz w:val="20"/>
          <w:szCs w:val="20"/>
        </w:rPr>
        <w:t>ment that receive regulatory approval or other sources of revenues, we will continue to incur operating losses and will require additional capital to execute our business strategy. The likelihood of reaching, and the time required to reach, and then to sus</w:t>
      </w:r>
      <w:r>
        <w:rPr>
          <w:rFonts w:ascii="Times" w:hAnsi="Times"/>
          <w:sz w:val="20"/>
          <w:szCs w:val="20"/>
        </w:rPr>
        <w:t>tain, profitability are highly uncertain. As a result, we expect to continue to incur substantial losses for the foreseeable future. We are uncertain when or if we will ever be able to achieve or sustain profitability. Failure to become and remain profitab</w:t>
      </w:r>
      <w:r>
        <w:rPr>
          <w:rFonts w:ascii="Times" w:hAnsi="Times"/>
          <w:sz w:val="20"/>
          <w:szCs w:val="20"/>
        </w:rPr>
        <w:t>le would adversely affect the price of our securities and our ability to raise capital and continue operations.</w:t>
      </w:r>
      <w:r>
        <w:rPr>
          <w:rFonts w:ascii="Times" w:hAnsi="Times"/>
          <w:sz w:val="20"/>
          <w:szCs w:val="20"/>
        </w:rPr>
        <w:t xml:space="preserve"> </w:t>
      </w:r>
    </w:p>
    <w:p w:rsidR="00000000" w:rsidRDefault="008B747E">
      <w:pPr>
        <w:pStyle w:val="a3"/>
        <w:spacing w:before="0" w:beforeAutospacing="0" w:after="0" w:afterAutospacing="0"/>
        <w:divId w:val="1718234638"/>
        <w:rPr>
          <w:sz w:val="20"/>
          <w:szCs w:val="20"/>
        </w:rPr>
      </w:pPr>
      <w:r>
        <w:rPr>
          <w:sz w:val="20"/>
          <w:szCs w:val="20"/>
        </w:rPr>
        <w:t>​</w:t>
      </w:r>
    </w:p>
    <w:p w:rsidR="00000000" w:rsidRDefault="008B747E">
      <w:pPr>
        <w:pStyle w:val="a3"/>
        <w:spacing w:before="0" w:beforeAutospacing="0" w:after="120" w:afterAutospacing="0"/>
        <w:divId w:val="1718234638"/>
        <w:rPr>
          <w:rFonts w:ascii="Times" w:hAnsi="Times"/>
          <w:b/>
          <w:bCs/>
          <w:i/>
          <w:iCs/>
          <w:sz w:val="20"/>
          <w:szCs w:val="20"/>
        </w:rPr>
      </w:pPr>
      <w:r>
        <w:rPr>
          <w:rFonts w:ascii="Times" w:hAnsi="Times"/>
          <w:b/>
          <w:bCs/>
          <w:i/>
          <w:iCs/>
          <w:sz w:val="20"/>
          <w:szCs w:val="20"/>
        </w:rPr>
        <w:t>Any delay in commencing or completing clinical studies for product candidates and any adverse results from clinical or non-clinical studies o</w:t>
      </w:r>
      <w:r>
        <w:rPr>
          <w:rFonts w:ascii="Times" w:hAnsi="Times"/>
          <w:b/>
          <w:bCs/>
          <w:i/>
          <w:iCs/>
          <w:sz w:val="20"/>
          <w:szCs w:val="20"/>
        </w:rPr>
        <w:t>r regulatory obstacles product candidates may face, would harm our business and the price of our securities could fall.</w:t>
      </w:r>
      <w:r>
        <w:rPr>
          <w:rFonts w:ascii="Times" w:hAnsi="Times"/>
          <w:b/>
          <w:bCs/>
          <w:i/>
          <w:iCs/>
          <w:sz w:val="20"/>
          <w:szCs w:val="20"/>
        </w:rPr>
        <w:t xml:space="preserve"> </w:t>
      </w:r>
    </w:p>
    <w:p w:rsidR="00000000" w:rsidRDefault="008B747E">
      <w:pPr>
        <w:pStyle w:val="a3"/>
        <w:spacing w:before="0" w:beforeAutospacing="0" w:after="0" w:afterAutospacing="0"/>
        <w:ind w:firstLine="720"/>
        <w:divId w:val="1718234638"/>
        <w:rPr>
          <w:rFonts w:ascii="Times" w:hAnsi="Times"/>
          <w:sz w:val="20"/>
          <w:szCs w:val="20"/>
        </w:rPr>
      </w:pPr>
      <w:r>
        <w:rPr>
          <w:rFonts w:ascii="Times" w:hAnsi="Times"/>
          <w:sz w:val="20"/>
          <w:szCs w:val="20"/>
        </w:rPr>
        <w:t>Each of our product candidates must undergo extensive non-clinical and clinical studies as a condition to regulatory approval. Non-clin</w:t>
      </w:r>
      <w:r>
        <w:rPr>
          <w:rFonts w:ascii="Times" w:hAnsi="Times"/>
          <w:sz w:val="20"/>
          <w:szCs w:val="20"/>
        </w:rPr>
        <w:t>ical and clinical studies are expensive, take many years to complete and study results may lead to delays in further studies, new requirements for conducting future studies or decisions to terminate programs. The commencement and completion of clinical stu</w:t>
      </w:r>
      <w:r>
        <w:rPr>
          <w:rFonts w:ascii="Times" w:hAnsi="Times"/>
          <w:sz w:val="20"/>
          <w:szCs w:val="20"/>
        </w:rPr>
        <w:t>dies for our product candidates may be delayed and programs may be terminated due to many factors, including, but not limited to:</w:t>
      </w:r>
    </w:p>
    <w:p w:rsidR="00000000" w:rsidRDefault="008B747E">
      <w:pPr>
        <w:pStyle w:val="a3"/>
        <w:spacing w:before="0" w:beforeAutospacing="0" w:after="0" w:afterAutospacing="0"/>
        <w:ind w:firstLine="720"/>
        <w:divId w:val="1718234638"/>
        <w:rPr>
          <w:rFonts w:ascii="Times" w:hAnsi="Times"/>
          <w:sz w:val="20"/>
          <w:szCs w:val="20"/>
        </w:rPr>
      </w:pPr>
      <w:r>
        <w:rPr>
          <w:rFonts w:ascii="Times" w:hAnsi="Time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18234638"/>
        </w:trPr>
        <w:tc>
          <w:tcPr>
            <w:tcW w:w="720" w:type="dxa"/>
            <w:vAlign w:val="center"/>
            <w:hideMark/>
          </w:tcPr>
          <w:p w:rsidR="00000000" w:rsidRDefault="008B747E">
            <w:pPr>
              <w:rPr>
                <w:rFonts w:ascii="Times" w:hAnsi="Times"/>
                <w:sz w:val="20"/>
                <w:szCs w:val="20"/>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rPr>
                <w:rFonts w:ascii="Times" w:eastAsia="Times New Roman" w:hAnsi="Times"/>
                <w:sz w:val="20"/>
                <w:szCs w:val="20"/>
              </w:rPr>
            </w:pPr>
            <w:r>
              <w:rPr>
                <w:rFonts w:ascii="Times" w:eastAsia="Times New Roman" w:hAnsi="Times"/>
                <w:color w:val="000000"/>
                <w:sz w:val="20"/>
                <w:szCs w:val="20"/>
              </w:rPr>
              <w:t>lack of effectiveness of product candidates during clinical studies;</w:t>
            </w:r>
          </w:p>
        </w:tc>
      </w:tr>
    </w:tbl>
    <w:p w:rsidR="00000000" w:rsidRDefault="008B747E">
      <w:pPr>
        <w:divId w:val="171823463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18234638"/>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adverse events, safety issues or side effects r</w:t>
            </w:r>
            <w:r>
              <w:rPr>
                <w:rFonts w:ascii="Times" w:eastAsia="Times New Roman" w:hAnsi="Times"/>
                <w:color w:val="000000"/>
                <w:sz w:val="20"/>
                <w:szCs w:val="20"/>
              </w:rPr>
              <w:t>elating to the product candidates or their formulation into medicines;</w:t>
            </w:r>
            <w:r>
              <w:rPr>
                <w:rFonts w:ascii="Times" w:eastAsia="Times New Roman" w:hAnsi="Times"/>
                <w:color w:val="000000"/>
                <w:sz w:val="20"/>
                <w:szCs w:val="20"/>
              </w:rPr>
              <w:t xml:space="preserve"> </w:t>
            </w:r>
          </w:p>
        </w:tc>
      </w:tr>
    </w:tbl>
    <w:p w:rsidR="00000000" w:rsidRDefault="008B747E">
      <w:pPr>
        <w:pStyle w:val="a3"/>
        <w:spacing w:before="360" w:beforeAutospacing="0" w:after="0" w:afterAutospacing="0"/>
        <w:jc w:val="center"/>
        <w:divId w:val="1838839227"/>
        <w:rPr>
          <w:sz w:val="20"/>
          <w:szCs w:val="20"/>
        </w:rPr>
      </w:pPr>
      <w:r>
        <w:rPr>
          <w:sz w:val="20"/>
          <w:szCs w:val="20"/>
        </w:rPr>
        <w:t>35</w:t>
      </w:r>
    </w:p>
    <w:p w:rsidR="00000000" w:rsidRDefault="008B747E">
      <w:pPr>
        <w:pStyle w:val="a3"/>
        <w:spacing w:before="0" w:beforeAutospacing="0" w:after="600" w:afterAutospacing="0"/>
        <w:divId w:val="1059329876"/>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42663127"/>
        </w:trPr>
        <w:tc>
          <w:tcPr>
            <w:tcW w:w="720" w:type="dxa"/>
            <w:vAlign w:val="center"/>
            <w:hideMark/>
          </w:tcPr>
          <w:p w:rsidR="00000000" w:rsidRDefault="008B747E">
            <w:pPr>
              <w:rPr>
                <w:sz w:val="20"/>
                <w:szCs w:val="20"/>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inability to raise additional capital in sufficient amounts to continue our development programs, which are very expensive;</w:t>
            </w:r>
            <w:r>
              <w:rPr>
                <w:rFonts w:ascii="Times" w:eastAsia="Times New Roman" w:hAnsi="Times"/>
                <w:color w:val="000000"/>
                <w:sz w:val="20"/>
                <w:szCs w:val="20"/>
              </w:rPr>
              <w:t xml:space="preserve"> </w:t>
            </w:r>
          </w:p>
        </w:tc>
      </w:tr>
    </w:tbl>
    <w:p w:rsidR="00000000" w:rsidRDefault="008B747E">
      <w:pPr>
        <w:divId w:val="13426631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42663127"/>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inability to enter into partnering arrangements relating to the development and commercialization of our programs and product candidates;</w:t>
            </w:r>
            <w:r>
              <w:rPr>
                <w:rFonts w:ascii="Times" w:eastAsia="Times New Roman" w:hAnsi="Times"/>
                <w:color w:val="000000"/>
                <w:sz w:val="20"/>
                <w:szCs w:val="20"/>
              </w:rPr>
              <w:t xml:space="preserve"> </w:t>
            </w:r>
          </w:p>
        </w:tc>
      </w:tr>
    </w:tbl>
    <w:p w:rsidR="00000000" w:rsidRDefault="008B747E">
      <w:pPr>
        <w:divId w:val="13426631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42663127"/>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delays in patient enrollment and variability in the number and types of patients available for clinical studies;</w:t>
            </w:r>
            <w:r>
              <w:rPr>
                <w:rFonts w:ascii="Times" w:eastAsia="Times New Roman" w:hAnsi="Times"/>
                <w:color w:val="000000"/>
                <w:sz w:val="20"/>
                <w:szCs w:val="20"/>
              </w:rPr>
              <w:t xml:space="preserve"> </w:t>
            </w:r>
          </w:p>
        </w:tc>
      </w:tr>
    </w:tbl>
    <w:p w:rsidR="00000000" w:rsidRDefault="008B747E">
      <w:pPr>
        <w:divId w:val="13426631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42663127"/>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the need to sequence clinical studies as opposed to conducting them concomitantly in order to conserve resources;</w:t>
            </w:r>
            <w:r>
              <w:rPr>
                <w:rFonts w:ascii="Times" w:eastAsia="Times New Roman" w:hAnsi="Times"/>
                <w:color w:val="000000"/>
                <w:sz w:val="20"/>
                <w:szCs w:val="20"/>
              </w:rPr>
              <w:t xml:space="preserve"> </w:t>
            </w:r>
          </w:p>
        </w:tc>
      </w:tr>
    </w:tbl>
    <w:p w:rsidR="00000000" w:rsidRDefault="008B747E">
      <w:pPr>
        <w:divId w:val="13426631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42663127"/>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our inability or the inability of our collaborators or licensees to manufacture or obtain from third parties materials sufficient</w:t>
            </w:r>
            <w:r>
              <w:rPr>
                <w:rFonts w:ascii="Times" w:eastAsia="Times New Roman" w:hAnsi="Times"/>
                <w:color w:val="000000"/>
                <w:sz w:val="20"/>
                <w:szCs w:val="20"/>
              </w:rPr>
              <w:t xml:space="preserve"> for use in non-clinical and clinical studies;</w:t>
            </w:r>
            <w:r>
              <w:rPr>
                <w:rFonts w:ascii="Times" w:eastAsia="Times New Roman" w:hAnsi="Times"/>
                <w:color w:val="000000"/>
                <w:sz w:val="20"/>
                <w:szCs w:val="20"/>
              </w:rPr>
              <w:t xml:space="preserve"> </w:t>
            </w:r>
          </w:p>
        </w:tc>
      </w:tr>
    </w:tbl>
    <w:p w:rsidR="00000000" w:rsidRDefault="008B747E">
      <w:pPr>
        <w:divId w:val="13426631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42663127"/>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governmental or regulatory delays or suspensions of the conduct of the clinical trials and changes in regulatory requirements, policy and guidelines;</w:t>
            </w:r>
            <w:r>
              <w:rPr>
                <w:rFonts w:ascii="Times" w:eastAsia="Times New Roman" w:hAnsi="Times"/>
                <w:color w:val="000000"/>
                <w:sz w:val="20"/>
                <w:szCs w:val="20"/>
              </w:rPr>
              <w:t xml:space="preserve"> </w:t>
            </w:r>
          </w:p>
        </w:tc>
      </w:tr>
    </w:tbl>
    <w:p w:rsidR="00000000" w:rsidRDefault="008B747E">
      <w:pPr>
        <w:divId w:val="13426631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42663127"/>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failure of our partners to advance our product candidates through clinical development;</w:t>
            </w:r>
            <w:r>
              <w:rPr>
                <w:rFonts w:ascii="Times" w:eastAsia="Times New Roman" w:hAnsi="Times"/>
                <w:color w:val="000000"/>
                <w:sz w:val="20"/>
                <w:szCs w:val="20"/>
              </w:rPr>
              <w:t xml:space="preserve"> </w:t>
            </w:r>
          </w:p>
        </w:tc>
      </w:tr>
    </w:tbl>
    <w:p w:rsidR="00000000" w:rsidRDefault="008B747E">
      <w:pPr>
        <w:divId w:val="13426631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42663127"/>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diffic</w:t>
            </w:r>
            <w:r>
              <w:rPr>
                <w:rFonts w:ascii="Times" w:eastAsia="Times New Roman" w:hAnsi="Times"/>
                <w:color w:val="000000"/>
                <w:sz w:val="20"/>
                <w:szCs w:val="20"/>
              </w:rPr>
              <w:t>ulty in maintaining contact with patients after treatment, resulting in incomplete data;</w:t>
            </w:r>
            <w:r>
              <w:rPr>
                <w:rFonts w:ascii="Times" w:eastAsia="Times New Roman" w:hAnsi="Times"/>
                <w:color w:val="000000"/>
                <w:sz w:val="20"/>
                <w:szCs w:val="20"/>
              </w:rPr>
              <w:t xml:space="preserve"> </w:t>
            </w:r>
          </w:p>
        </w:tc>
      </w:tr>
    </w:tbl>
    <w:p w:rsidR="00000000" w:rsidRDefault="008B747E">
      <w:pPr>
        <w:divId w:val="13426631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42663127"/>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varying regulatory requirements or interpretations of data among the FDA and foreign regulatory authorities; and</w:t>
            </w:r>
            <w:r>
              <w:rPr>
                <w:rFonts w:ascii="Times" w:eastAsia="Times New Roman" w:hAnsi="Times"/>
                <w:color w:val="000000"/>
                <w:sz w:val="20"/>
                <w:szCs w:val="20"/>
              </w:rPr>
              <w:t xml:space="preserve"> </w:t>
            </w:r>
          </w:p>
        </w:tc>
      </w:tr>
    </w:tbl>
    <w:p w:rsidR="00000000" w:rsidRDefault="008B747E">
      <w:pPr>
        <w:divId w:val="1342663127"/>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342663127"/>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rPr>
                <w:rFonts w:ascii="Times" w:eastAsia="Times New Roman" w:hAnsi="Times"/>
                <w:sz w:val="20"/>
                <w:szCs w:val="20"/>
              </w:rPr>
            </w:pPr>
            <w:r>
              <w:rPr>
                <w:rFonts w:ascii="Times" w:eastAsia="Times New Roman" w:hAnsi="Times"/>
                <w:color w:val="000000"/>
                <w:sz w:val="20"/>
                <w:szCs w:val="20"/>
              </w:rPr>
              <w:t>a regional disturbance where we or our col</w:t>
            </w:r>
            <w:r>
              <w:rPr>
                <w:rFonts w:ascii="Times" w:eastAsia="Times New Roman" w:hAnsi="Times"/>
                <w:color w:val="000000"/>
                <w:sz w:val="20"/>
                <w:szCs w:val="20"/>
              </w:rPr>
              <w:t>laborative partners are enrolling patients in clinical trials, such as a pandemic, terrorist activities or war, political unrest or a natural disaster.</w:t>
            </w:r>
            <w:r>
              <w:rPr>
                <w:rFonts w:ascii="Times" w:eastAsia="Times New Roman" w:hAnsi="Times"/>
                <w:color w:val="000000"/>
                <w:sz w:val="20"/>
                <w:szCs w:val="20"/>
              </w:rPr>
              <w:t xml:space="preserve"> </w:t>
            </w:r>
          </w:p>
        </w:tc>
      </w:tr>
    </w:tbl>
    <w:p w:rsidR="00000000" w:rsidRDefault="008B747E">
      <w:pPr>
        <w:pStyle w:val="a3"/>
        <w:spacing w:before="0" w:beforeAutospacing="0" w:after="0" w:afterAutospacing="0"/>
        <w:ind w:firstLine="720"/>
        <w:divId w:val="1342663127"/>
        <w:rPr>
          <w:sz w:val="20"/>
          <w:szCs w:val="20"/>
        </w:rPr>
      </w:pPr>
      <w:r>
        <w:rPr>
          <w:sz w:val="20"/>
          <w:szCs w:val="20"/>
        </w:rPr>
        <w:t>Any adverse developments or results or perceived adverse developments or results with respect to our c</w:t>
      </w:r>
      <w:r>
        <w:rPr>
          <w:sz w:val="20"/>
          <w:szCs w:val="20"/>
        </w:rPr>
        <w:t>linical programs including, without limitation, any delays in development in our programs, any halting of development in our programs, any difficulties or delays encountered with regard to the FDA or other regulatory authorities with respect to our program</w:t>
      </w:r>
      <w:r>
        <w:rPr>
          <w:sz w:val="20"/>
          <w:szCs w:val="20"/>
        </w:rPr>
        <w:t xml:space="preserve">s, or any indication from clinical or non-clinical studies that the compounds in our programs are not safe or efficacious, could have a material adverse effect on our business and cause the price of our securities to fall. </w:t>
      </w:r>
    </w:p>
    <w:p w:rsidR="00000000" w:rsidRDefault="008B747E">
      <w:pPr>
        <w:pStyle w:val="a3"/>
        <w:spacing w:before="0" w:beforeAutospacing="0" w:after="0" w:afterAutospacing="0"/>
        <w:ind w:firstLine="720"/>
        <w:divId w:val="1342663127"/>
        <w:rPr>
          <w:sz w:val="20"/>
          <w:szCs w:val="20"/>
        </w:rPr>
      </w:pPr>
      <w:r>
        <w:rPr>
          <w:sz w:val="20"/>
          <w:szCs w:val="20"/>
        </w:rPr>
        <w:t>​</w:t>
      </w:r>
    </w:p>
    <w:p w:rsidR="00000000" w:rsidRDefault="008B747E">
      <w:pPr>
        <w:pStyle w:val="a3"/>
        <w:spacing w:before="0" w:beforeAutospacing="0" w:after="120" w:afterAutospacing="0"/>
        <w:divId w:val="1342663127"/>
        <w:rPr>
          <w:rFonts w:ascii="Times" w:hAnsi="Times"/>
          <w:b/>
          <w:bCs/>
          <w:i/>
          <w:iCs/>
          <w:sz w:val="20"/>
          <w:szCs w:val="20"/>
        </w:rPr>
      </w:pPr>
      <w:r>
        <w:rPr>
          <w:rFonts w:ascii="Times" w:hAnsi="Times"/>
          <w:b/>
          <w:bCs/>
          <w:i/>
          <w:iCs/>
          <w:sz w:val="20"/>
          <w:szCs w:val="20"/>
        </w:rPr>
        <w:t>If our product candidates are not approved by regulatory authorities, including the FDA, we will be unable to commercialize them.</w:t>
      </w:r>
      <w:r>
        <w:rPr>
          <w:rFonts w:ascii="Times" w:hAnsi="Times"/>
          <w:b/>
          <w:bCs/>
          <w:i/>
          <w:iCs/>
          <w:sz w:val="20"/>
          <w:szCs w:val="20"/>
        </w:rPr>
        <w:t xml:space="preserve"> </w:t>
      </w:r>
    </w:p>
    <w:p w:rsidR="00000000" w:rsidRDefault="008B747E">
      <w:pPr>
        <w:pStyle w:val="a3"/>
        <w:spacing w:before="0" w:beforeAutospacing="0" w:after="0" w:afterAutospacing="0"/>
        <w:ind w:firstLine="720"/>
        <w:divId w:val="1342663127"/>
        <w:rPr>
          <w:rFonts w:ascii="Times" w:hAnsi="Times"/>
          <w:sz w:val="20"/>
          <w:szCs w:val="20"/>
        </w:rPr>
      </w:pPr>
      <w:r>
        <w:rPr>
          <w:rFonts w:ascii="Times" w:hAnsi="Times"/>
          <w:sz w:val="20"/>
          <w:szCs w:val="20"/>
        </w:rPr>
        <w:t>The FDA must approve any new medicine before it can be marketed and sold in the US. We will not obtain this approval for a pr</w:t>
      </w:r>
      <w:r>
        <w:rPr>
          <w:rFonts w:ascii="Times" w:hAnsi="Times"/>
          <w:sz w:val="20"/>
          <w:szCs w:val="20"/>
        </w:rPr>
        <w:t>oduct candidate unless and until the FDA approves an NDA. We, or our collaborative partners, must provide the FDA and similar foreign regulatory authorities with data from preclinical and clinical studies that demonstrate that our product candidates comply</w:t>
      </w:r>
      <w:r>
        <w:rPr>
          <w:rFonts w:ascii="Times" w:hAnsi="Times"/>
          <w:sz w:val="20"/>
          <w:szCs w:val="20"/>
        </w:rPr>
        <w:t xml:space="preserve"> with the regulatory requirements for the quality of medicinal products and are safe and effective</w:t>
      </w:r>
      <w:r>
        <w:rPr>
          <w:rFonts w:ascii="Times" w:hAnsi="Times"/>
          <w:sz w:val="20"/>
          <w:szCs w:val="20"/>
        </w:rPr>
        <w:t xml:space="preserve"> </w:t>
      </w:r>
      <w:r>
        <w:rPr>
          <w:rFonts w:ascii="Times" w:hAnsi="Times"/>
          <w:sz w:val="20"/>
          <w:szCs w:val="20"/>
        </w:rPr>
        <w:t>for a defined indication before they can be approved for commercial distribution. FDA or foreign regulatory authorities may disagree with our trial design an</w:t>
      </w:r>
      <w:r>
        <w:rPr>
          <w:rFonts w:ascii="Times" w:hAnsi="Times"/>
          <w:sz w:val="20"/>
          <w:szCs w:val="20"/>
        </w:rPr>
        <w:t>d our interpretation of data from preclinical studies and clinical trials. The processes by which regulatory approvals are obtained from the FDA and foreign regulatory authorities to market and sell a new product are complex, require a number of years, dep</w:t>
      </w:r>
      <w:r>
        <w:rPr>
          <w:rFonts w:ascii="Times" w:hAnsi="Times"/>
          <w:sz w:val="20"/>
          <w:szCs w:val="20"/>
        </w:rPr>
        <w:t>end upon the type, complexity and novelty of the product candidate and involve the expenditure of substantial resources for research, development and testing. The FDA has substantial discretion in the drug approval process and may require us to conduct add</w:t>
      </w:r>
      <w:r>
        <w:rPr>
          <w:rFonts w:ascii="Times" w:hAnsi="Times"/>
          <w:sz w:val="20"/>
          <w:szCs w:val="20"/>
        </w:rPr>
        <w:t>itional nonclinical and clinical testing or to perform post-marketing studies. Further, the implementation of new laws and regulations, and revisions to FDA clinical trial design guidance may lead to increased uncertainty regarding the approvability of new</w:t>
      </w:r>
      <w:r>
        <w:rPr>
          <w:rFonts w:ascii="Times" w:hAnsi="Times"/>
          <w:sz w:val="20"/>
          <w:szCs w:val="20"/>
        </w:rPr>
        <w:t xml:space="preserve"> drugs. In addition, the FDA has additional standards for approval of new drugs, including recommended advisory committee meetings for certain new molecular entities, and formal risk evaluation and mitigation requirements at the FDA’s discretion. Even if w</w:t>
      </w:r>
      <w:r>
        <w:rPr>
          <w:rFonts w:ascii="Times" w:hAnsi="Times"/>
          <w:sz w:val="20"/>
          <w:szCs w:val="20"/>
        </w:rPr>
        <w:t>e receive regulatory approval of a product, the approval may limit the indicated uses for which the drug may be marketed or impose significant restrictions or limitations on the use and/or distribution of such product.</w:t>
      </w:r>
      <w:r>
        <w:rPr>
          <w:rFonts w:ascii="Times" w:hAnsi="Times"/>
          <w:sz w:val="20"/>
          <w:szCs w:val="20"/>
        </w:rPr>
        <w:t xml:space="preserve"> </w:t>
      </w:r>
    </w:p>
    <w:p w:rsidR="00000000" w:rsidRDefault="008B747E">
      <w:pPr>
        <w:pStyle w:val="a3"/>
        <w:spacing w:before="0" w:beforeAutospacing="0" w:after="0" w:afterAutospacing="0"/>
        <w:ind w:firstLine="720"/>
        <w:divId w:val="1342663127"/>
        <w:rPr>
          <w:rFonts w:ascii="Times" w:hAnsi="Times"/>
          <w:sz w:val="20"/>
          <w:szCs w:val="20"/>
        </w:rPr>
      </w:pPr>
      <w:r>
        <w:rPr>
          <w:rFonts w:ascii="Times" w:hAnsi="Times"/>
          <w:sz w:val="20"/>
          <w:szCs w:val="20"/>
        </w:rPr>
        <w:t>​</w:t>
      </w:r>
    </w:p>
    <w:p w:rsidR="00000000" w:rsidRDefault="008B747E">
      <w:pPr>
        <w:pStyle w:val="a3"/>
        <w:spacing w:before="360" w:beforeAutospacing="0" w:after="0" w:afterAutospacing="0"/>
        <w:jc w:val="center"/>
        <w:divId w:val="25758923"/>
        <w:rPr>
          <w:sz w:val="20"/>
          <w:szCs w:val="20"/>
        </w:rPr>
      </w:pPr>
      <w:r>
        <w:rPr>
          <w:sz w:val="20"/>
          <w:szCs w:val="20"/>
        </w:rPr>
        <w:t>36</w:t>
      </w:r>
    </w:p>
    <w:p w:rsidR="00000000" w:rsidRDefault="008B747E">
      <w:pPr>
        <w:pStyle w:val="a3"/>
        <w:spacing w:before="0" w:beforeAutospacing="0" w:after="600" w:afterAutospacing="0"/>
        <w:divId w:val="1299335599"/>
        <w:rPr>
          <w:sz w:val="20"/>
          <w:szCs w:val="20"/>
        </w:rPr>
      </w:pPr>
      <w:hyperlink w:anchor="TOC" w:history="1">
        <w:r>
          <w:rPr>
            <w:rStyle w:val="a4"/>
            <w:sz w:val="20"/>
            <w:szCs w:val="20"/>
          </w:rPr>
          <w:t>Table</w:t>
        </w:r>
        <w:r>
          <w:rPr>
            <w:rStyle w:val="a4"/>
            <w:sz w:val="20"/>
            <w:szCs w:val="20"/>
          </w:rPr>
          <w:t xml:space="preserve"> of Contents</w:t>
        </w:r>
      </w:hyperlink>
    </w:p>
    <w:p w:rsidR="00000000" w:rsidRDefault="008B747E">
      <w:pPr>
        <w:pStyle w:val="a3"/>
        <w:spacing w:before="0" w:beforeAutospacing="0" w:after="0" w:afterAutospacing="0"/>
        <w:ind w:firstLine="720"/>
        <w:divId w:val="1208688502"/>
        <w:rPr>
          <w:rFonts w:ascii="Times" w:hAnsi="Times"/>
          <w:sz w:val="20"/>
          <w:szCs w:val="20"/>
        </w:rPr>
      </w:pPr>
      <w:r>
        <w:rPr>
          <w:rFonts w:ascii="Times" w:hAnsi="Times"/>
          <w:sz w:val="20"/>
          <w:szCs w:val="20"/>
        </w:rPr>
        <w:t>In addition, in order to market our medicines in foreign jurisdictions, we or our collaborative partners must obtain separate regulatory approvals in each country. The approval procedure varies among countries and can involve additional testin</w:t>
      </w:r>
      <w:r>
        <w:rPr>
          <w:rFonts w:ascii="Times" w:hAnsi="Times"/>
          <w:sz w:val="20"/>
          <w:szCs w:val="20"/>
        </w:rPr>
        <w:t>g, and the time required to obtain approval may differ from that required to obtain FDA approval. Approval by the FDA does not ensure approval by regulatory authorities in other countries, and approval by one foreign regulatory authority does not ensure ap</w:t>
      </w:r>
      <w:r>
        <w:rPr>
          <w:rFonts w:ascii="Times" w:hAnsi="Times"/>
          <w:sz w:val="20"/>
          <w:szCs w:val="20"/>
        </w:rPr>
        <w:t>proval by regulatory authorities in other foreign countries or by the FDA. Conversely, failure to obtain approval in one or more jurisdictions may make approval in other jurisdictions more difficult. These laws, regulations, additional requirements and cha</w:t>
      </w:r>
      <w:r>
        <w:rPr>
          <w:rFonts w:ascii="Times" w:hAnsi="Times"/>
          <w:sz w:val="20"/>
          <w:szCs w:val="20"/>
        </w:rPr>
        <w:t>nges in interpretation could cause non-approval or further delays in the FDA’s or other regulatory authorities’</w:t>
      </w:r>
      <w:r>
        <w:rPr>
          <w:rFonts w:ascii="Times" w:hAnsi="Times"/>
          <w:sz w:val="20"/>
          <w:szCs w:val="20"/>
        </w:rPr>
        <w:t xml:space="preserve"> </w:t>
      </w:r>
      <w:r>
        <w:rPr>
          <w:rFonts w:ascii="Times" w:hAnsi="Times"/>
          <w:sz w:val="20"/>
          <w:szCs w:val="20"/>
        </w:rPr>
        <w:t xml:space="preserve">review and approval of our and our collaborative partner’s product candidates, which would materially harm our business and financial condition </w:t>
      </w:r>
      <w:r>
        <w:rPr>
          <w:rFonts w:ascii="Times" w:hAnsi="Times"/>
          <w:sz w:val="20"/>
          <w:szCs w:val="20"/>
        </w:rPr>
        <w:t>and could cause the price of our securities to fall.</w:t>
      </w:r>
      <w:r>
        <w:rPr>
          <w:rFonts w:ascii="Times" w:hAnsi="Times"/>
          <w:sz w:val="20"/>
          <w:szCs w:val="20"/>
        </w:rPr>
        <w:t xml:space="preserve"> </w:t>
      </w:r>
    </w:p>
    <w:p w:rsidR="00000000" w:rsidRDefault="008B747E">
      <w:pPr>
        <w:pStyle w:val="a3"/>
        <w:spacing w:before="0" w:beforeAutospacing="0" w:after="0" w:afterAutospacing="0"/>
        <w:ind w:firstLine="720"/>
        <w:divId w:val="1208688502"/>
        <w:rPr>
          <w:rFonts w:ascii="Times" w:hAnsi="Times"/>
          <w:sz w:val="20"/>
          <w:szCs w:val="20"/>
        </w:rPr>
      </w:pPr>
      <w:r>
        <w:rPr>
          <w:rFonts w:ascii="Times" w:hAnsi="Times"/>
          <w:sz w:val="20"/>
          <w:szCs w:val="20"/>
        </w:rPr>
        <w:t>​</w:t>
      </w:r>
    </w:p>
    <w:p w:rsidR="00000000" w:rsidRDefault="008B747E">
      <w:pPr>
        <w:pStyle w:val="a3"/>
        <w:spacing w:before="0" w:beforeAutospacing="0" w:after="120" w:afterAutospacing="0"/>
        <w:divId w:val="1208688502"/>
        <w:rPr>
          <w:rFonts w:ascii="Times" w:hAnsi="Times"/>
          <w:b/>
          <w:bCs/>
          <w:i/>
          <w:iCs/>
          <w:sz w:val="20"/>
          <w:szCs w:val="20"/>
        </w:rPr>
      </w:pPr>
      <w:r>
        <w:rPr>
          <w:rFonts w:ascii="Times" w:hAnsi="Times"/>
          <w:b/>
          <w:bCs/>
          <w:i/>
          <w:iCs/>
          <w:sz w:val="20"/>
          <w:szCs w:val="20"/>
        </w:rPr>
        <w:t>If additional capital is not available, we may have to curtail or cease operations or we could be forced to share our rights to commercialize our product candidates with third parties on terms that ma</w:t>
      </w:r>
      <w:r>
        <w:rPr>
          <w:rFonts w:ascii="Times" w:hAnsi="Times"/>
          <w:b/>
          <w:bCs/>
          <w:i/>
          <w:iCs/>
          <w:sz w:val="20"/>
          <w:szCs w:val="20"/>
        </w:rPr>
        <w:t>y not be favorable to us.</w:t>
      </w:r>
      <w:r>
        <w:rPr>
          <w:rFonts w:ascii="Times" w:hAnsi="Times"/>
          <w:b/>
          <w:bCs/>
          <w:i/>
          <w:iCs/>
          <w:sz w:val="20"/>
          <w:szCs w:val="20"/>
        </w:rPr>
        <w:t xml:space="preserve"> </w:t>
      </w:r>
    </w:p>
    <w:p w:rsidR="00000000" w:rsidRDefault="008B747E">
      <w:pPr>
        <w:pStyle w:val="a3"/>
        <w:spacing w:before="0" w:beforeAutospacing="0" w:after="0" w:afterAutospacing="0"/>
        <w:ind w:firstLine="720"/>
        <w:divId w:val="1208688502"/>
        <w:rPr>
          <w:rFonts w:ascii="Times" w:hAnsi="Times"/>
          <w:sz w:val="20"/>
          <w:szCs w:val="20"/>
        </w:rPr>
      </w:pPr>
      <w:r>
        <w:rPr>
          <w:rFonts w:ascii="Times" w:hAnsi="Times"/>
          <w:sz w:val="20"/>
          <w:szCs w:val="20"/>
        </w:rPr>
        <w:t>Based on our current operating plans and financial forecasts, we believe that our cash, cash equivalents and marketable securities will be sufficient to meet our anticipated operating needs for at least the next twelve months. Ho</w:t>
      </w:r>
      <w:r>
        <w:rPr>
          <w:rFonts w:ascii="Times" w:hAnsi="Times"/>
          <w:sz w:val="20"/>
          <w:szCs w:val="20"/>
        </w:rPr>
        <w:t>wever, our current operating plans or financial forecasts occasionally change. For example, in August 2017, we announced an increase in our anticipated operating loss for 2017, primarily driven by our decision to accelerate funding associated with the next</w:t>
      </w:r>
      <w:r>
        <w:rPr>
          <w:rFonts w:ascii="Times" w:hAnsi="Times"/>
          <w:sz w:val="20"/>
          <w:szCs w:val="20"/>
        </w:rPr>
        <w:t xml:space="preserve"> phase of development of our JAK inhibitor program. If our current operating plans or financial forecasts change, we may require or seek additional funding sooner in the form of public or private equity or equity-linked offerings, debt financings or additi</w:t>
      </w:r>
      <w:r>
        <w:rPr>
          <w:rFonts w:ascii="Times" w:hAnsi="Times"/>
          <w:sz w:val="20"/>
          <w:szCs w:val="20"/>
        </w:rPr>
        <w:t>onal collaborations and licensing arrangements.</w:t>
      </w:r>
      <w:r>
        <w:rPr>
          <w:rFonts w:ascii="Times" w:hAnsi="Times"/>
          <w:sz w:val="20"/>
          <w:szCs w:val="20"/>
        </w:rPr>
        <w:t xml:space="preserve"> </w:t>
      </w:r>
    </w:p>
    <w:p w:rsidR="00000000" w:rsidRDefault="008B747E">
      <w:pPr>
        <w:pStyle w:val="a3"/>
        <w:spacing w:before="0" w:beforeAutospacing="0" w:after="0" w:afterAutospacing="0"/>
        <w:ind w:firstLine="720"/>
        <w:divId w:val="1208688502"/>
        <w:rPr>
          <w:rFonts w:ascii="Times" w:hAnsi="Times"/>
          <w:sz w:val="20"/>
          <w:szCs w:val="20"/>
        </w:rPr>
      </w:pPr>
      <w:r>
        <w:rPr>
          <w:rFonts w:ascii="Times" w:hAnsi="Times"/>
          <w:sz w:val="20"/>
          <w:szCs w:val="20"/>
        </w:rPr>
        <w:t>​</w:t>
      </w:r>
    </w:p>
    <w:p w:rsidR="00000000" w:rsidRDefault="008B747E">
      <w:pPr>
        <w:pStyle w:val="a3"/>
        <w:spacing w:before="0" w:beforeAutospacing="0" w:after="240" w:afterAutospacing="0"/>
        <w:ind w:firstLine="720"/>
        <w:divId w:val="1208688502"/>
        <w:rPr>
          <w:rFonts w:ascii="Times" w:hAnsi="Times"/>
          <w:sz w:val="20"/>
          <w:szCs w:val="20"/>
        </w:rPr>
      </w:pPr>
      <w:r>
        <w:rPr>
          <w:rFonts w:ascii="Times" w:hAnsi="Times"/>
          <w:sz w:val="20"/>
          <w:szCs w:val="20"/>
        </w:rPr>
        <w:t>We may need to raise additional capital in the future to, among other things: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08688502"/>
        </w:trPr>
        <w:tc>
          <w:tcPr>
            <w:tcW w:w="720" w:type="dxa"/>
            <w:vAlign w:val="center"/>
            <w:hideMark/>
          </w:tcPr>
          <w:p w:rsidR="00000000" w:rsidRDefault="008B747E">
            <w:pPr>
              <w:rPr>
                <w:rFonts w:ascii="Times" w:hAnsi="Times"/>
                <w:sz w:val="20"/>
                <w:szCs w:val="20"/>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fund our discovery efforts and research and development programs;</w:t>
            </w:r>
            <w:r>
              <w:rPr>
                <w:rFonts w:ascii="Times" w:eastAsia="Times New Roman" w:hAnsi="Times"/>
                <w:color w:val="000000"/>
                <w:sz w:val="20"/>
                <w:szCs w:val="20"/>
              </w:rPr>
              <w:t xml:space="preserve"> </w:t>
            </w:r>
          </w:p>
        </w:tc>
      </w:tr>
    </w:tbl>
    <w:p w:rsidR="00000000" w:rsidRDefault="008B747E">
      <w:pPr>
        <w:divId w:val="12086885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0868850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fund our commercialization strategies for any approved products and to prepare for potential product approvals;</w:t>
            </w:r>
            <w:r>
              <w:rPr>
                <w:rFonts w:ascii="Times" w:eastAsia="Times New Roman" w:hAnsi="Times"/>
                <w:color w:val="000000"/>
                <w:sz w:val="20"/>
                <w:szCs w:val="20"/>
              </w:rPr>
              <w:t xml:space="preserve"> </w:t>
            </w:r>
          </w:p>
        </w:tc>
      </w:tr>
    </w:tbl>
    <w:p w:rsidR="00000000" w:rsidRDefault="008B747E">
      <w:pPr>
        <w:divId w:val="12086885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0868850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rPr>
                <w:rFonts w:ascii="Times" w:eastAsia="Times New Roman" w:hAnsi="Times"/>
                <w:sz w:val="20"/>
                <w:szCs w:val="20"/>
              </w:rPr>
            </w:pPr>
            <w:r>
              <w:rPr>
                <w:rFonts w:ascii="Times" w:eastAsia="Times New Roman" w:hAnsi="Times"/>
                <w:color w:val="000000"/>
                <w:sz w:val="20"/>
                <w:szCs w:val="20"/>
              </w:rPr>
              <w:t>support our independent sales and marketing organization and medical affairs team;</w:t>
            </w:r>
          </w:p>
        </w:tc>
      </w:tr>
    </w:tbl>
    <w:p w:rsidR="00000000" w:rsidRDefault="008B747E">
      <w:pPr>
        <w:divId w:val="12086885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0868850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support our additional investments in YUPELRI, including potential post-marketing clinical studies;</w:t>
            </w:r>
          </w:p>
        </w:tc>
      </w:tr>
    </w:tbl>
    <w:p w:rsidR="00000000" w:rsidRDefault="008B747E">
      <w:pPr>
        <w:divId w:val="12086885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0868850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progress any additional product candidates into later-stage dev</w:t>
            </w:r>
            <w:r>
              <w:rPr>
                <w:rFonts w:ascii="Times" w:eastAsia="Times New Roman" w:hAnsi="Times"/>
                <w:color w:val="000000"/>
                <w:sz w:val="20"/>
                <w:szCs w:val="20"/>
              </w:rPr>
              <w:t>elopment without funding from a collaboration partner;</w:t>
            </w:r>
          </w:p>
        </w:tc>
      </w:tr>
    </w:tbl>
    <w:p w:rsidR="00000000" w:rsidRDefault="008B747E">
      <w:pPr>
        <w:divId w:val="12086885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0868850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progress mid-to-late stage product candidates into later-stage development, if warranted;</w:t>
            </w:r>
            <w:r>
              <w:rPr>
                <w:rFonts w:ascii="Times" w:eastAsia="Times New Roman" w:hAnsi="Times"/>
                <w:color w:val="000000"/>
                <w:sz w:val="20"/>
                <w:szCs w:val="20"/>
              </w:rPr>
              <w:t xml:space="preserve"> </w:t>
            </w:r>
          </w:p>
        </w:tc>
      </w:tr>
    </w:tbl>
    <w:p w:rsidR="00000000" w:rsidRDefault="008B747E">
      <w:pPr>
        <w:divId w:val="12086885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0868850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respond to competitive pressures; and</w:t>
            </w:r>
            <w:r>
              <w:rPr>
                <w:rFonts w:ascii="Times" w:eastAsia="Times New Roman" w:hAnsi="Times"/>
                <w:color w:val="000000"/>
                <w:sz w:val="20"/>
                <w:szCs w:val="20"/>
              </w:rPr>
              <w:t xml:space="preserve"> </w:t>
            </w:r>
          </w:p>
        </w:tc>
      </w:tr>
    </w:tbl>
    <w:p w:rsidR="00000000" w:rsidRDefault="008B747E">
      <w:pPr>
        <w:divId w:val="12086885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0868850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rPr>
                <w:rFonts w:ascii="Times" w:eastAsia="Times New Roman" w:hAnsi="Times"/>
                <w:sz w:val="20"/>
                <w:szCs w:val="20"/>
              </w:rPr>
            </w:pPr>
            <w:r>
              <w:rPr>
                <w:rFonts w:ascii="Times" w:eastAsia="Times New Roman" w:hAnsi="Times"/>
                <w:color w:val="000000"/>
                <w:sz w:val="20"/>
                <w:szCs w:val="20"/>
              </w:rPr>
              <w:t>acquire complementary businesses or technologies.</w:t>
            </w:r>
            <w:r>
              <w:rPr>
                <w:rFonts w:ascii="Times" w:eastAsia="Times New Roman" w:hAnsi="Times"/>
                <w:color w:val="000000"/>
                <w:sz w:val="20"/>
                <w:szCs w:val="20"/>
              </w:rPr>
              <w:t xml:space="preserve"> </w:t>
            </w:r>
          </w:p>
        </w:tc>
      </w:tr>
    </w:tbl>
    <w:p w:rsidR="00000000" w:rsidRDefault="008B747E">
      <w:pPr>
        <w:pStyle w:val="a3"/>
        <w:spacing w:before="0" w:beforeAutospacing="0" w:after="240" w:afterAutospacing="0"/>
        <w:ind w:firstLine="720"/>
        <w:divId w:val="1208688502"/>
        <w:rPr>
          <w:rFonts w:ascii="Times" w:hAnsi="Times"/>
          <w:sz w:val="20"/>
          <w:szCs w:val="20"/>
        </w:rPr>
      </w:pPr>
      <w:r>
        <w:rPr>
          <w:rFonts w:ascii="Times" w:hAnsi="Times"/>
          <w:sz w:val="20"/>
          <w:szCs w:val="20"/>
        </w:rPr>
        <w:t>Our future capital needs depend on many factors, including:</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08688502"/>
        </w:trPr>
        <w:tc>
          <w:tcPr>
            <w:tcW w:w="720" w:type="dxa"/>
            <w:vAlign w:val="center"/>
            <w:hideMark/>
          </w:tcPr>
          <w:p w:rsidR="00000000" w:rsidRDefault="008B747E">
            <w:pPr>
              <w:rPr>
                <w:rFonts w:ascii="Times" w:hAnsi="Times"/>
                <w:sz w:val="20"/>
                <w:szCs w:val="20"/>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the scope, duration and expenditures associated with our discovery efforts and research and development programs;</w:t>
            </w:r>
            <w:r>
              <w:rPr>
                <w:rFonts w:ascii="Times" w:eastAsia="Times New Roman" w:hAnsi="Times"/>
                <w:color w:val="000000"/>
                <w:sz w:val="20"/>
                <w:szCs w:val="20"/>
              </w:rPr>
              <w:t xml:space="preserve"> </w:t>
            </w:r>
          </w:p>
        </w:tc>
      </w:tr>
    </w:tbl>
    <w:p w:rsidR="00000000" w:rsidRDefault="008B747E">
      <w:pPr>
        <w:divId w:val="12086885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0868850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 xml:space="preserve">continued scientific </w:t>
            </w:r>
            <w:r>
              <w:rPr>
                <w:rFonts w:ascii="Times" w:eastAsia="Times New Roman" w:hAnsi="Times"/>
                <w:color w:val="000000"/>
                <w:sz w:val="20"/>
                <w:szCs w:val="20"/>
              </w:rPr>
              <w:t>progress in these programs;</w:t>
            </w:r>
            <w:r>
              <w:rPr>
                <w:rFonts w:ascii="Times" w:eastAsia="Times New Roman" w:hAnsi="Times"/>
                <w:color w:val="000000"/>
                <w:sz w:val="20"/>
                <w:szCs w:val="20"/>
              </w:rPr>
              <w:t xml:space="preserve"> </w:t>
            </w:r>
          </w:p>
        </w:tc>
      </w:tr>
    </w:tbl>
    <w:p w:rsidR="00000000" w:rsidRDefault="008B747E">
      <w:pPr>
        <w:divId w:val="12086885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0868850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the extent to which we encounter technical obstacles in our research and development programs;</w:t>
            </w:r>
            <w:r>
              <w:rPr>
                <w:rFonts w:ascii="Times" w:eastAsia="Times New Roman" w:hAnsi="Times"/>
                <w:color w:val="000000"/>
                <w:sz w:val="20"/>
                <w:szCs w:val="20"/>
              </w:rPr>
              <w:t xml:space="preserve"> </w:t>
            </w:r>
          </w:p>
        </w:tc>
      </w:tr>
    </w:tbl>
    <w:p w:rsidR="00000000" w:rsidRDefault="008B747E">
      <w:pPr>
        <w:divId w:val="12086885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0868850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the outcome of potential licensing or partnering transactions, if any;</w:t>
            </w:r>
            <w:r>
              <w:rPr>
                <w:rFonts w:ascii="Times" w:eastAsia="Times New Roman" w:hAnsi="Times"/>
                <w:color w:val="000000"/>
                <w:sz w:val="20"/>
                <w:szCs w:val="20"/>
              </w:rPr>
              <w:t xml:space="preserve"> </w:t>
            </w:r>
          </w:p>
        </w:tc>
      </w:tr>
    </w:tbl>
    <w:p w:rsidR="00000000" w:rsidRDefault="008B747E">
      <w:pPr>
        <w:divId w:val="120868850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0868850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competing technological developments;</w:t>
            </w:r>
            <w:r>
              <w:rPr>
                <w:rFonts w:ascii="Times" w:eastAsia="Times New Roman" w:hAnsi="Times"/>
                <w:color w:val="000000"/>
                <w:sz w:val="20"/>
                <w:szCs w:val="20"/>
              </w:rPr>
              <w:t xml:space="preserve"> </w:t>
            </w:r>
          </w:p>
        </w:tc>
      </w:tr>
    </w:tbl>
    <w:p w:rsidR="00000000" w:rsidRDefault="008B747E">
      <w:pPr>
        <w:pStyle w:val="a3"/>
        <w:spacing w:before="360" w:beforeAutospacing="0" w:after="0" w:afterAutospacing="0"/>
        <w:jc w:val="center"/>
        <w:divId w:val="322196788"/>
        <w:rPr>
          <w:sz w:val="20"/>
          <w:szCs w:val="20"/>
        </w:rPr>
      </w:pPr>
      <w:r>
        <w:rPr>
          <w:sz w:val="20"/>
          <w:szCs w:val="20"/>
        </w:rPr>
        <w:t>37</w:t>
      </w:r>
    </w:p>
    <w:p w:rsidR="00000000" w:rsidRDefault="008B747E">
      <w:pPr>
        <w:pStyle w:val="a3"/>
        <w:spacing w:before="0" w:beforeAutospacing="0" w:after="600" w:afterAutospacing="0"/>
        <w:divId w:val="615605743"/>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27509413"/>
        </w:trPr>
        <w:tc>
          <w:tcPr>
            <w:tcW w:w="720" w:type="dxa"/>
            <w:vAlign w:val="center"/>
            <w:hideMark/>
          </w:tcPr>
          <w:p w:rsidR="00000000" w:rsidRDefault="008B747E">
            <w:pPr>
              <w:rPr>
                <w:sz w:val="20"/>
                <w:szCs w:val="20"/>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the extent of our proprietary patent position in any approved products and our product ca</w:t>
            </w:r>
            <w:r>
              <w:rPr>
                <w:rFonts w:ascii="Times" w:eastAsia="Times New Roman" w:hAnsi="Times"/>
                <w:color w:val="000000"/>
                <w:sz w:val="20"/>
                <w:szCs w:val="20"/>
              </w:rPr>
              <w:t>ndidates;</w:t>
            </w:r>
            <w:r>
              <w:rPr>
                <w:rFonts w:ascii="Times" w:eastAsia="Times New Roman" w:hAnsi="Times"/>
                <w:color w:val="000000"/>
                <w:sz w:val="20"/>
                <w:szCs w:val="20"/>
              </w:rPr>
              <w:t xml:space="preserve"> </w:t>
            </w:r>
          </w:p>
        </w:tc>
      </w:tr>
    </w:tbl>
    <w:p w:rsidR="00000000" w:rsidRDefault="008B747E">
      <w:pPr>
        <w:divId w:val="11275094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27509413"/>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our facilities expenses, which will vary depending on the time and terms of any facility lease or sublease we may enter into, and other operating expenses;</w:t>
            </w:r>
            <w:r>
              <w:rPr>
                <w:rFonts w:ascii="Times" w:eastAsia="Times New Roman" w:hAnsi="Times"/>
                <w:color w:val="000000"/>
                <w:sz w:val="20"/>
                <w:szCs w:val="20"/>
              </w:rPr>
              <w:t xml:space="preserve"> </w:t>
            </w:r>
          </w:p>
        </w:tc>
      </w:tr>
    </w:tbl>
    <w:p w:rsidR="00000000" w:rsidRDefault="008B747E">
      <w:pPr>
        <w:divId w:val="11275094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27509413"/>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the scope and extent of the expansion of our sales and marketing efforts;</w:t>
            </w:r>
            <w:r>
              <w:rPr>
                <w:rFonts w:ascii="Times" w:eastAsia="Times New Roman" w:hAnsi="Times"/>
                <w:color w:val="000000"/>
                <w:sz w:val="20"/>
                <w:szCs w:val="20"/>
              </w:rPr>
              <w:t xml:space="preserve"> </w:t>
            </w:r>
          </w:p>
        </w:tc>
      </w:tr>
    </w:tbl>
    <w:p w:rsidR="00000000" w:rsidRDefault="008B747E">
      <w:pPr>
        <w:divId w:val="11275094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27509413"/>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potential litigation and other contingencies; and</w:t>
            </w:r>
            <w:r>
              <w:rPr>
                <w:rFonts w:ascii="Times" w:eastAsia="Times New Roman" w:hAnsi="Times"/>
                <w:color w:val="000000"/>
                <w:sz w:val="20"/>
                <w:szCs w:val="20"/>
              </w:rPr>
              <w:t xml:space="preserve"> </w:t>
            </w:r>
          </w:p>
        </w:tc>
      </w:tr>
    </w:tbl>
    <w:p w:rsidR="00000000" w:rsidRDefault="008B747E">
      <w:pPr>
        <w:divId w:val="112750941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27509413"/>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rPr>
                <w:rFonts w:ascii="Times" w:eastAsia="Times New Roman" w:hAnsi="Times"/>
                <w:sz w:val="20"/>
                <w:szCs w:val="20"/>
              </w:rPr>
            </w:pPr>
            <w:r>
              <w:rPr>
                <w:rFonts w:ascii="Times" w:eastAsia="Times New Roman" w:hAnsi="Times"/>
                <w:color w:val="000000"/>
                <w:sz w:val="20"/>
                <w:szCs w:val="20"/>
              </w:rPr>
              <w:t>the regulatory approval process for our product candidates.</w:t>
            </w:r>
            <w:r>
              <w:rPr>
                <w:rFonts w:ascii="Times" w:eastAsia="Times New Roman" w:hAnsi="Times"/>
                <w:color w:val="000000"/>
                <w:sz w:val="20"/>
                <w:szCs w:val="20"/>
              </w:rPr>
              <w:t xml:space="preserve"> </w:t>
            </w:r>
          </w:p>
        </w:tc>
      </w:tr>
    </w:tbl>
    <w:p w:rsidR="00000000" w:rsidRDefault="008B747E">
      <w:pPr>
        <w:pStyle w:val="a3"/>
        <w:spacing w:before="0" w:beforeAutospacing="0" w:after="0" w:afterAutospacing="0"/>
        <w:ind w:firstLine="720"/>
        <w:divId w:val="1127509413"/>
        <w:rPr>
          <w:sz w:val="20"/>
          <w:szCs w:val="20"/>
        </w:rPr>
      </w:pPr>
      <w:r>
        <w:rPr>
          <w:sz w:val="20"/>
          <w:szCs w:val="20"/>
        </w:rPr>
        <w:t>We may seek to raise additional capital or obtain future funding through public or private equity offerings, debt financings or additional</w:t>
      </w:r>
      <w:r>
        <w:rPr>
          <w:sz w:val="20"/>
          <w:szCs w:val="20"/>
        </w:rPr>
        <w:t xml:space="preserve"> collaborations and licensing arrangements. We may not be able to obtain additional financing on terms favorable to us, if at all. General market conditions may make it difficult for us to seek financing from the capital markets. We may be required to reli</w:t>
      </w:r>
      <w:r>
        <w:rPr>
          <w:sz w:val="20"/>
          <w:szCs w:val="20"/>
        </w:rPr>
        <w:t>nquish rights to our technologies, product candidates or territories, or grant licenses on terms that are not favorable to us, in order to raise additional funds through collaborations or licensing arrangements. We may sequence preclinical and clinical stu</w:t>
      </w:r>
      <w:r>
        <w:rPr>
          <w:sz w:val="20"/>
          <w:szCs w:val="20"/>
        </w:rPr>
        <w:t xml:space="preserve">dies as opposed to conducting them concomitantly in order to conserve resources, or delay, reduce or eliminate one or more of our research or development programs and reduce overall overhead expenses. If we are unable to raise additional capital or obtain </w:t>
      </w:r>
      <w:r>
        <w:rPr>
          <w:sz w:val="20"/>
          <w:szCs w:val="20"/>
        </w:rPr>
        <w:t>future funding in sufficient amounts or on terms acceptable to us, we may have to make reductions in our workforce and may be prevented from continuing our discovery, development and commercialization efforts and exploiting other corporate opportunities. T</w:t>
      </w:r>
      <w:r>
        <w:rPr>
          <w:sz w:val="20"/>
          <w:szCs w:val="20"/>
        </w:rPr>
        <w:t>his would likely harm our business, prospects and financial condition and cause the price of our securities to fall.</w:t>
      </w:r>
    </w:p>
    <w:p w:rsidR="00000000" w:rsidRDefault="008B747E">
      <w:pPr>
        <w:pStyle w:val="a3"/>
        <w:spacing w:before="0" w:beforeAutospacing="0" w:after="0" w:afterAutospacing="0"/>
        <w:divId w:val="1127509413"/>
        <w:rPr>
          <w:rFonts w:ascii="Times" w:hAnsi="Times"/>
          <w:b/>
          <w:bCs/>
          <w:i/>
          <w:iCs/>
          <w:sz w:val="20"/>
          <w:szCs w:val="20"/>
        </w:rPr>
      </w:pPr>
      <w:r>
        <w:rPr>
          <w:rFonts w:ascii="Times" w:hAnsi="Times"/>
          <w:b/>
          <w:bCs/>
          <w:i/>
          <w:iCs/>
          <w:sz w:val="20"/>
          <w:szCs w:val="20"/>
        </w:rPr>
        <w:t>​</w:t>
      </w:r>
    </w:p>
    <w:p w:rsidR="00000000" w:rsidRDefault="008B747E">
      <w:pPr>
        <w:pStyle w:val="a3"/>
        <w:spacing w:before="0" w:beforeAutospacing="0" w:after="120" w:afterAutospacing="0"/>
        <w:divId w:val="1127509413"/>
        <w:rPr>
          <w:rFonts w:ascii="Times" w:hAnsi="Times"/>
          <w:b/>
          <w:bCs/>
          <w:i/>
          <w:iCs/>
          <w:sz w:val="20"/>
          <w:szCs w:val="20"/>
        </w:rPr>
      </w:pPr>
      <w:r>
        <w:rPr>
          <w:rFonts w:ascii="Times" w:hAnsi="Times"/>
          <w:b/>
          <w:bCs/>
          <w:i/>
          <w:iCs/>
          <w:sz w:val="20"/>
          <w:szCs w:val="20"/>
        </w:rPr>
        <w:t>We may seek to obtain future financing through the issuance of debt or equity, which may have an adverse effect on our shareholders or ma</w:t>
      </w:r>
      <w:r>
        <w:rPr>
          <w:rFonts w:ascii="Times" w:hAnsi="Times"/>
          <w:b/>
          <w:bCs/>
          <w:i/>
          <w:iCs/>
          <w:sz w:val="20"/>
          <w:szCs w:val="20"/>
        </w:rPr>
        <w:t>y otherwise adversely affect our business.</w:t>
      </w:r>
      <w:r>
        <w:rPr>
          <w:rFonts w:ascii="Times" w:hAnsi="Times"/>
          <w:b/>
          <w:bCs/>
          <w:i/>
          <w:iCs/>
          <w:sz w:val="20"/>
          <w:szCs w:val="20"/>
        </w:rPr>
        <w:t xml:space="preserve"> </w:t>
      </w:r>
    </w:p>
    <w:p w:rsidR="00000000" w:rsidRDefault="008B747E">
      <w:pPr>
        <w:pStyle w:val="a3"/>
        <w:spacing w:before="0" w:beforeAutospacing="0" w:after="0" w:afterAutospacing="0"/>
        <w:ind w:firstLine="720"/>
        <w:divId w:val="1127509413"/>
        <w:rPr>
          <w:sz w:val="20"/>
          <w:szCs w:val="20"/>
        </w:rPr>
      </w:pPr>
      <w:r>
        <w:rPr>
          <w:sz w:val="20"/>
          <w:szCs w:val="20"/>
        </w:rPr>
        <w:t>If we raise funds through the issuance of additional debt, including convertible debt or debt secured by some or all of our assets, or equity, any debt securities or preferred shares issued will have rights, preferences and privileges senior to those of ho</w:t>
      </w:r>
      <w:r>
        <w:rPr>
          <w:sz w:val="20"/>
          <w:szCs w:val="20"/>
        </w:rPr>
        <w:t xml:space="preserve">lders of our ordinary shares in the event of liquidation. Neither the terms of our $230.0 million of 3.25% convertible senior notes, due 2023 (the "Convertible Senior 2023 Notes") nor the terms of the Issuer’s 9.0% non-recourse notes due in or before 2033 </w:t>
      </w:r>
      <w:r>
        <w:rPr>
          <w:sz w:val="20"/>
          <w:szCs w:val="20"/>
        </w:rPr>
        <w:t>("Non-Recourse 2033 Notes") restrict our ability to issue additional debt. If additional debt is issued, there is a possibility that once all senior claims are settled, there may be no assets remaining to pay out to the holders of ordinary shares. Moreover</w:t>
      </w:r>
      <w:r>
        <w:rPr>
          <w:sz w:val="20"/>
          <w:szCs w:val="20"/>
        </w:rPr>
        <w:t>, 75% of the income from our investment in TRC, as evidenced by the Issuer Class C Units, is available only for payment of the Non-Recourse 2033 Notes and is not available to pay our other obligations or the claims of our other creditors. In addition, if w</w:t>
      </w:r>
      <w:r>
        <w:rPr>
          <w:sz w:val="20"/>
          <w:szCs w:val="20"/>
        </w:rPr>
        <w:t>e raise funds through the issuance of additional equity, whether through private placements or public offerings, such an issuance would dilute ownership of our current shareholders that do not participate in the issuance. Since our Spin-Off in June 2014, w</w:t>
      </w:r>
      <w:r>
        <w:rPr>
          <w:sz w:val="20"/>
          <w:szCs w:val="20"/>
        </w:rPr>
        <w:t>e have raised an aggregate of $583.9 million in a combination of (i) the sale of approximately 17.5 million ordinary shares, and (ii) $480.0 million aggregate principal amount of notes. If we are unable to obtain any needed additional funding, we may be re</w:t>
      </w:r>
      <w:r>
        <w:rPr>
          <w:sz w:val="20"/>
          <w:szCs w:val="20"/>
        </w:rPr>
        <w:t>quired to reduce the scope of, delay, or eliminate some or all of, our planned research, development and commercialization activities or to license to third parties the rights to develop and/or commercialize products or technologies that we would otherwise</w:t>
      </w:r>
      <w:r>
        <w:rPr>
          <w:sz w:val="20"/>
          <w:szCs w:val="20"/>
        </w:rPr>
        <w:t xml:space="preserve"> seek to develop and/or commercialize ourselves or on terms that are less attractive than they might otherwise be, any of which could materially harm our business. </w:t>
      </w:r>
    </w:p>
    <w:p w:rsidR="00000000" w:rsidRDefault="008B747E">
      <w:pPr>
        <w:pStyle w:val="a3"/>
        <w:spacing w:before="0" w:beforeAutospacing="0" w:after="0" w:afterAutospacing="0"/>
        <w:ind w:firstLine="720"/>
        <w:divId w:val="1127509413"/>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1127509413"/>
        <w:rPr>
          <w:rFonts w:ascii="Times" w:hAnsi="Times"/>
          <w:sz w:val="20"/>
          <w:szCs w:val="20"/>
        </w:rPr>
      </w:pPr>
      <w:r>
        <w:rPr>
          <w:rFonts w:ascii="Times" w:hAnsi="Times"/>
          <w:sz w:val="20"/>
          <w:szCs w:val="20"/>
        </w:rPr>
        <w:t>Furthermore, the terms of any additional debt securities we may issue in the future may i</w:t>
      </w:r>
      <w:r>
        <w:rPr>
          <w:rFonts w:ascii="Times" w:hAnsi="Times"/>
          <w:sz w:val="20"/>
          <w:szCs w:val="20"/>
        </w:rPr>
        <w:t>mpose restrictions on our operations, which may include limiting our ability to incur additional indebtedness, pay dividends on or repurchase our share capital, or make certain acquisitions or investments. In addition, we may be subject to covenants requir</w:t>
      </w:r>
      <w:r>
        <w:rPr>
          <w:rFonts w:ascii="Times" w:hAnsi="Times"/>
          <w:sz w:val="20"/>
          <w:szCs w:val="20"/>
        </w:rPr>
        <w:t>ing us to satisfy certain financial tests and ratios, and our ability to satisfy such covenants may be affected by events outside of our control.</w:t>
      </w:r>
      <w:r>
        <w:rPr>
          <w:rFonts w:ascii="Times" w:hAnsi="Times"/>
          <w:sz w:val="20"/>
          <w:szCs w:val="20"/>
        </w:rPr>
        <w:t xml:space="preserve"> </w:t>
      </w:r>
    </w:p>
    <w:p w:rsidR="00000000" w:rsidRDefault="008B747E">
      <w:pPr>
        <w:pStyle w:val="a3"/>
        <w:spacing w:before="0" w:beforeAutospacing="0" w:after="0" w:afterAutospacing="0"/>
        <w:ind w:firstLine="720"/>
        <w:divId w:val="1127509413"/>
        <w:rPr>
          <w:rFonts w:ascii="Times" w:hAnsi="Times"/>
          <w:sz w:val="20"/>
          <w:szCs w:val="20"/>
        </w:rPr>
      </w:pPr>
      <w:r>
        <w:rPr>
          <w:rFonts w:ascii="Times" w:hAnsi="Times"/>
          <w:sz w:val="20"/>
          <w:szCs w:val="20"/>
        </w:rPr>
        <w:t>​</w:t>
      </w:r>
    </w:p>
    <w:p w:rsidR="00000000" w:rsidRDefault="008B747E">
      <w:pPr>
        <w:pStyle w:val="a3"/>
        <w:spacing w:before="0" w:beforeAutospacing="0" w:after="120" w:afterAutospacing="0"/>
        <w:divId w:val="1127509413"/>
        <w:rPr>
          <w:rFonts w:ascii="Times" w:hAnsi="Times"/>
          <w:b/>
          <w:bCs/>
          <w:i/>
          <w:iCs/>
          <w:sz w:val="20"/>
          <w:szCs w:val="20"/>
        </w:rPr>
      </w:pPr>
      <w:r>
        <w:rPr>
          <w:rFonts w:ascii="Times" w:hAnsi="Times"/>
          <w:b/>
          <w:bCs/>
          <w:i/>
          <w:iCs/>
          <w:sz w:val="20"/>
          <w:szCs w:val="20"/>
        </w:rPr>
        <w:t>If our partners do not satisfy their obligations under our agreements with them, or if they terminate our p</w:t>
      </w:r>
      <w:r>
        <w:rPr>
          <w:rFonts w:ascii="Times" w:hAnsi="Times"/>
          <w:b/>
          <w:bCs/>
          <w:i/>
          <w:iCs/>
          <w:sz w:val="20"/>
          <w:szCs w:val="20"/>
        </w:rPr>
        <w:t>artnerships with them, we may not be able to develop or commercialize our partnered product candidates as planned.</w:t>
      </w:r>
      <w:r>
        <w:rPr>
          <w:rFonts w:ascii="Times" w:hAnsi="Times"/>
          <w:b/>
          <w:bCs/>
          <w:i/>
          <w:iCs/>
          <w:sz w:val="20"/>
          <w:szCs w:val="20"/>
        </w:rPr>
        <w:t xml:space="preserve"> </w:t>
      </w:r>
    </w:p>
    <w:p w:rsidR="00000000" w:rsidRDefault="008B747E">
      <w:pPr>
        <w:pStyle w:val="a3"/>
        <w:spacing w:before="0" w:beforeAutospacing="0" w:after="0" w:afterAutospacing="0"/>
        <w:ind w:firstLine="720"/>
        <w:divId w:val="1127509413"/>
        <w:rPr>
          <w:sz w:val="20"/>
          <w:szCs w:val="20"/>
        </w:rPr>
      </w:pPr>
      <w:r>
        <w:rPr>
          <w:sz w:val="20"/>
          <w:szCs w:val="20"/>
        </w:rPr>
        <w:t xml:space="preserve">We have an exclusive development and commercialization agreement with Alfasigma for velusetrag, our internally discovered 5-HT4 agonist for </w:t>
      </w:r>
      <w:r>
        <w:rPr>
          <w:sz w:val="20"/>
          <w:szCs w:val="20"/>
        </w:rPr>
        <w:t>the treatment of gastromotility disorders, under which we are transferring to Alfasigma global rights for velusetrag.</w:t>
      </w:r>
      <w:r>
        <w:rPr>
          <w:b/>
          <w:bCs/>
          <w:sz w:val="20"/>
          <w:szCs w:val="20"/>
        </w:rPr>
        <w:t xml:space="preserve"> </w:t>
      </w:r>
      <w:r>
        <w:rPr>
          <w:sz w:val="20"/>
          <w:szCs w:val="20"/>
        </w:rPr>
        <w:t>In January 2015, we entered into a collaboration agreement with Mylan for the development and commercialization of a nebulized formulation</w:t>
      </w:r>
      <w:r>
        <w:rPr>
          <w:sz w:val="20"/>
          <w:szCs w:val="20"/>
        </w:rPr>
        <w:t xml:space="preserve"> of our LAMA revefenacin, including YUPELRI. Under the terms of the </w:t>
      </w:r>
    </w:p>
    <w:p w:rsidR="00000000" w:rsidRDefault="008B747E">
      <w:pPr>
        <w:pStyle w:val="a3"/>
        <w:spacing w:before="360" w:beforeAutospacing="0" w:after="0" w:afterAutospacing="0"/>
        <w:jc w:val="center"/>
        <w:divId w:val="63576787"/>
        <w:rPr>
          <w:sz w:val="20"/>
          <w:szCs w:val="20"/>
        </w:rPr>
      </w:pPr>
      <w:r>
        <w:rPr>
          <w:sz w:val="20"/>
          <w:szCs w:val="20"/>
        </w:rPr>
        <w:t>38</w:t>
      </w:r>
    </w:p>
    <w:p w:rsidR="00000000" w:rsidRDefault="008B747E">
      <w:pPr>
        <w:pStyle w:val="a3"/>
        <w:spacing w:before="0" w:beforeAutospacing="0" w:after="600" w:afterAutospacing="0"/>
        <w:divId w:val="798885623"/>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1080710109"/>
        <w:rPr>
          <w:sz w:val="20"/>
          <w:szCs w:val="20"/>
        </w:rPr>
      </w:pPr>
      <w:r>
        <w:rPr>
          <w:sz w:val="20"/>
          <w:szCs w:val="20"/>
        </w:rPr>
        <w:t xml:space="preserve">agreement, we and Mylan will co-develop nebulized revefenacin, including YUPELRI, for COPD and other respiratory diseases. In June 2016, we </w:t>
      </w:r>
      <w:r>
        <w:rPr>
          <w:sz w:val="20"/>
          <w:szCs w:val="20"/>
        </w:rPr>
        <w:t>entered into a License and Collaboration Agreement with Millennium Pharmaceuticals,</w:t>
      </w:r>
      <w:r>
        <w:rPr>
          <w:sz w:val="20"/>
          <w:szCs w:val="20"/>
        </w:rPr>
        <w:t> </w:t>
      </w:r>
      <w:r>
        <w:rPr>
          <w:sz w:val="20"/>
          <w:szCs w:val="20"/>
        </w:rPr>
        <w:t>Inc., an indirect wholly-owned subsidiary of Takeda Pharmaceutical Company Limited (collectively with Millennium, “Takeda”) in order to establish a collaboration for the de</w:t>
      </w:r>
      <w:r>
        <w:rPr>
          <w:sz w:val="20"/>
          <w:szCs w:val="20"/>
        </w:rPr>
        <w:t>velopment and commercialization of TD-8954, a selective 5-HT4 receptor agonist in development for gastrointestinal motility disorders. Under the terms of the agreement, Takeda is responsible for worldwide development and commercialization of TD-8954. In Fe</w:t>
      </w:r>
      <w:r>
        <w:rPr>
          <w:sz w:val="20"/>
          <w:szCs w:val="20"/>
        </w:rPr>
        <w:t>bruary 2018, we announced a global co-development and commercialization agreement with Janssen for TD-1473 and related back-up compounds for inflammatory intestinal diseases, including ulcerative colitis and Crohn's disease. In connection with these agreem</w:t>
      </w:r>
      <w:r>
        <w:rPr>
          <w:sz w:val="20"/>
          <w:szCs w:val="20"/>
        </w:rPr>
        <w:t>ents, these parties have certain rights regarding the use of patents and technology with respect to the compounds in our development programs, including development and marketing rights.</w:t>
      </w:r>
      <w:r>
        <w:rPr>
          <w:sz w:val="20"/>
          <w:szCs w:val="20"/>
        </w:rPr>
        <w:t xml:space="preserve"> </w:t>
      </w:r>
    </w:p>
    <w:p w:rsidR="00000000" w:rsidRDefault="008B747E">
      <w:pPr>
        <w:pStyle w:val="a3"/>
        <w:spacing w:before="0" w:beforeAutospacing="0" w:after="0" w:afterAutospacing="0"/>
        <w:ind w:firstLine="720"/>
        <w:divId w:val="1080710109"/>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1080710109"/>
        <w:rPr>
          <w:rFonts w:ascii="Times" w:hAnsi="Times"/>
          <w:sz w:val="20"/>
          <w:szCs w:val="20"/>
        </w:rPr>
      </w:pPr>
      <w:r>
        <w:rPr>
          <w:rFonts w:ascii="Times" w:hAnsi="Times"/>
          <w:sz w:val="20"/>
          <w:szCs w:val="20"/>
        </w:rPr>
        <w:t>Our partners have in the past and may in the future not fulfill al</w:t>
      </w:r>
      <w:r>
        <w:rPr>
          <w:rFonts w:ascii="Times" w:hAnsi="Times"/>
          <w:sz w:val="20"/>
          <w:szCs w:val="20"/>
        </w:rPr>
        <w:t>l of their obligations under these agreements, and, in certain circumstances, they or we may terminate our partnership with them as</w:t>
      </w:r>
      <w:r>
        <w:rPr>
          <w:rFonts w:ascii="Times" w:hAnsi="Times"/>
          <w:sz w:val="20"/>
          <w:szCs w:val="20"/>
        </w:rPr>
        <w:t xml:space="preserve"> </w:t>
      </w:r>
      <w:r>
        <w:rPr>
          <w:rFonts w:ascii="Times" w:hAnsi="Times"/>
          <w:sz w:val="20"/>
          <w:szCs w:val="20"/>
        </w:rPr>
        <w:t>Astellas did in January 2012 with its VIBATIV agreement and as we and Clinigen did in August 2016 with the commercialization</w:t>
      </w:r>
      <w:r>
        <w:rPr>
          <w:rFonts w:ascii="Times" w:hAnsi="Times"/>
          <w:sz w:val="20"/>
          <w:szCs w:val="20"/>
        </w:rPr>
        <w:t xml:space="preserve"> agreement for VIBATIV in the EU and certain other European countries. In either event, we may be unable to assume the development and commercialization responsibilities covered by the agreements or enter into alternative arrangements with a third-party to</w:t>
      </w:r>
      <w:r>
        <w:rPr>
          <w:rFonts w:ascii="Times" w:hAnsi="Times"/>
          <w:sz w:val="20"/>
          <w:szCs w:val="20"/>
        </w:rPr>
        <w:t xml:space="preserve"> develop and commercialize such product candidates. If a partner elected to promote alternative products and product candidates such as its own products and product candidates in preference to those licensed from us, does not devote an adequate amount of t</w:t>
      </w:r>
      <w:r>
        <w:rPr>
          <w:rFonts w:ascii="Times" w:hAnsi="Times"/>
          <w:sz w:val="20"/>
          <w:szCs w:val="20"/>
        </w:rPr>
        <w:t>ime and resources to our product candidates or is otherwise unsuccessful in its efforts with respect to our products or product candidates, the development and commercialization of product candidates covered by the agreements could be delayed or terminated</w:t>
      </w:r>
      <w:r>
        <w:rPr>
          <w:rFonts w:ascii="Times" w:hAnsi="Times"/>
          <w:sz w:val="20"/>
          <w:szCs w:val="20"/>
        </w:rPr>
        <w:t>, and future payments to us could be delayed, reduced or eliminated and our business and financial condition could be materially and adversely affected. Accordingly, our ability to receive any revenue from the product candidates covered by these agreements</w:t>
      </w:r>
      <w:r>
        <w:rPr>
          <w:rFonts w:ascii="Times" w:hAnsi="Times"/>
          <w:sz w:val="20"/>
          <w:szCs w:val="20"/>
        </w:rPr>
        <w:t xml:space="preserve"> is dependent on the efforts of our partners. If a partner terminates or breaches its agreements with us, otherwise fails to complete its obligations in a timely manner or alleges that we have breached our contractual obligations under these agreements, th</w:t>
      </w:r>
      <w:r>
        <w:rPr>
          <w:rFonts w:ascii="Times" w:hAnsi="Times"/>
          <w:sz w:val="20"/>
          <w:szCs w:val="20"/>
        </w:rPr>
        <w:t>e chances of successfully developing or commercializing product candidates under the collaboration could be materially and adversely affected. In addition, effective collaboration with a partner requires coordination to achieve complex and detail-intensive</w:t>
      </w:r>
      <w:r>
        <w:rPr>
          <w:rFonts w:ascii="Times" w:hAnsi="Times"/>
          <w:sz w:val="20"/>
          <w:szCs w:val="20"/>
        </w:rPr>
        <w:t xml:space="preserve"> goals between entities that potentially have different priorities, capabilities and processes and successful navigation of the challenges such coordination entails. We could also become involved in disputes with a partner, which could lead to delays in or</w:t>
      </w:r>
      <w:r>
        <w:rPr>
          <w:rFonts w:ascii="Times" w:hAnsi="Times"/>
          <w:sz w:val="20"/>
          <w:szCs w:val="20"/>
        </w:rPr>
        <w:t xml:space="preserve"> termination of our development and commercialization programs and time-consuming and expensive litigation or arbitration. Furthermore, termination of an agreement by a partner could have an adverse effect on the price of our ordinary shares or other secur</w:t>
      </w:r>
      <w:r>
        <w:rPr>
          <w:rFonts w:ascii="Times" w:hAnsi="Times"/>
          <w:sz w:val="20"/>
          <w:szCs w:val="20"/>
        </w:rPr>
        <w:t>ities even if not material to our business.</w:t>
      </w:r>
      <w:r>
        <w:rPr>
          <w:rFonts w:ascii="Times" w:hAnsi="Times"/>
          <w:sz w:val="20"/>
          <w:szCs w:val="20"/>
        </w:rPr>
        <w:t xml:space="preserve"> </w:t>
      </w:r>
    </w:p>
    <w:p w:rsidR="00000000" w:rsidRDefault="008B747E">
      <w:pPr>
        <w:pStyle w:val="a3"/>
        <w:spacing w:before="0" w:beforeAutospacing="0" w:after="0" w:afterAutospacing="0"/>
        <w:divId w:val="1080710109"/>
        <w:rPr>
          <w:sz w:val="20"/>
          <w:szCs w:val="20"/>
        </w:rPr>
      </w:pPr>
      <w:r>
        <w:rPr>
          <w:sz w:val="20"/>
          <w:szCs w:val="20"/>
        </w:rPr>
        <w:t>​</w:t>
      </w:r>
    </w:p>
    <w:p w:rsidR="00000000" w:rsidRDefault="008B747E">
      <w:pPr>
        <w:pStyle w:val="a3"/>
        <w:spacing w:before="0" w:beforeAutospacing="0" w:after="120" w:afterAutospacing="0"/>
        <w:divId w:val="1080710109"/>
        <w:rPr>
          <w:rFonts w:ascii="Times" w:hAnsi="Times"/>
          <w:b/>
          <w:bCs/>
          <w:i/>
          <w:iCs/>
          <w:sz w:val="20"/>
          <w:szCs w:val="20"/>
        </w:rPr>
      </w:pPr>
      <w:r>
        <w:rPr>
          <w:rFonts w:ascii="Times" w:hAnsi="Times"/>
          <w:b/>
          <w:bCs/>
          <w:i/>
          <w:iCs/>
          <w:sz w:val="20"/>
          <w:szCs w:val="20"/>
        </w:rPr>
        <w:t>We do not control TRC and, in particular, have no control over the GSK-Partnered Respiratory Programs or access to non-public information regarding the development of the GSK-Partnered Respiratory Programs.</w:t>
      </w:r>
    </w:p>
    <w:p w:rsidR="00000000" w:rsidRDefault="008B747E">
      <w:pPr>
        <w:pStyle w:val="a3"/>
        <w:spacing w:before="0" w:beforeAutospacing="0" w:after="0" w:afterAutospacing="0"/>
        <w:ind w:firstLine="720"/>
        <w:divId w:val="1080710109"/>
        <w:rPr>
          <w:rFonts w:ascii="Times" w:hAnsi="Times"/>
          <w:sz w:val="20"/>
          <w:szCs w:val="20"/>
        </w:rPr>
      </w:pPr>
      <w:r>
        <w:rPr>
          <w:rFonts w:ascii="Times" w:hAnsi="Times"/>
          <w:sz w:val="20"/>
          <w:szCs w:val="20"/>
        </w:rPr>
        <w:t>In</w:t>
      </w:r>
      <w:r>
        <w:rPr>
          <w:rFonts w:ascii="Times" w:hAnsi="Times"/>
          <w:sz w:val="20"/>
          <w:szCs w:val="20"/>
        </w:rPr>
        <w:t>noviva has assigned to TRC its strategic alliance agreement with GSK and all of its rights and obligations under its LABA collaboration agreement other than with respect to RELVAR</w:t>
      </w:r>
      <w:r>
        <w:rPr>
          <w:rFonts w:ascii="Times" w:hAnsi="Times"/>
          <w:sz w:val="15"/>
          <w:szCs w:val="15"/>
          <w:vertAlign w:val="superscript"/>
        </w:rPr>
        <w:t>®</w:t>
      </w:r>
      <w:r>
        <w:rPr>
          <w:rFonts w:ascii="Times" w:hAnsi="Times"/>
          <w:sz w:val="20"/>
          <w:szCs w:val="20"/>
        </w:rPr>
        <w:t xml:space="preserve"> </w:t>
      </w:r>
      <w:r>
        <w:rPr>
          <w:rFonts w:ascii="Times" w:hAnsi="Times"/>
          <w:sz w:val="20"/>
          <w:szCs w:val="20"/>
        </w:rPr>
        <w:t>ELLIPTA</w:t>
      </w:r>
      <w:r>
        <w:rPr>
          <w:rFonts w:ascii="Times" w:hAnsi="Times"/>
          <w:sz w:val="15"/>
          <w:szCs w:val="15"/>
          <w:vertAlign w:val="superscript"/>
        </w:rPr>
        <w:t>®</w:t>
      </w:r>
      <w:r>
        <w:rPr>
          <w:rFonts w:ascii="Times" w:hAnsi="Times"/>
          <w:sz w:val="20"/>
          <w:szCs w:val="20"/>
        </w:rPr>
        <w:t>/BREO</w:t>
      </w:r>
      <w:r>
        <w:rPr>
          <w:rFonts w:ascii="Times" w:hAnsi="Times"/>
          <w:sz w:val="15"/>
          <w:szCs w:val="15"/>
          <w:vertAlign w:val="superscript"/>
        </w:rPr>
        <w:t>®</w:t>
      </w:r>
      <w:r>
        <w:rPr>
          <w:rFonts w:ascii="Times" w:hAnsi="Times"/>
          <w:sz w:val="20"/>
          <w:szCs w:val="20"/>
        </w:rPr>
        <w:t xml:space="preserve"> </w:t>
      </w:r>
      <w:r>
        <w:rPr>
          <w:rFonts w:ascii="Times" w:hAnsi="Times"/>
          <w:sz w:val="20"/>
          <w:szCs w:val="20"/>
        </w:rPr>
        <w:t>ELLIPTA</w:t>
      </w:r>
      <w:r>
        <w:rPr>
          <w:rFonts w:ascii="Times" w:hAnsi="Times"/>
          <w:sz w:val="15"/>
          <w:szCs w:val="15"/>
          <w:vertAlign w:val="superscript"/>
        </w:rPr>
        <w:t>®</w:t>
      </w:r>
      <w:r>
        <w:rPr>
          <w:rFonts w:ascii="Times" w:hAnsi="Times"/>
          <w:sz w:val="20"/>
          <w:szCs w:val="20"/>
        </w:rPr>
        <w:t>, ANORO</w:t>
      </w:r>
      <w:r>
        <w:rPr>
          <w:rFonts w:ascii="Times" w:hAnsi="Times"/>
          <w:sz w:val="15"/>
          <w:szCs w:val="15"/>
          <w:vertAlign w:val="superscript"/>
        </w:rPr>
        <w:t>®</w:t>
      </w:r>
      <w:r>
        <w:rPr>
          <w:rFonts w:ascii="Times" w:hAnsi="Times"/>
          <w:sz w:val="20"/>
          <w:szCs w:val="20"/>
        </w:rPr>
        <w:t xml:space="preserve"> </w:t>
      </w:r>
      <w:r>
        <w:rPr>
          <w:rFonts w:ascii="Times" w:hAnsi="Times"/>
          <w:sz w:val="20"/>
          <w:szCs w:val="20"/>
        </w:rPr>
        <w:t>ELLIPTA</w:t>
      </w:r>
      <w:r>
        <w:rPr>
          <w:rFonts w:ascii="Times" w:hAnsi="Times"/>
          <w:sz w:val="15"/>
          <w:szCs w:val="15"/>
          <w:vertAlign w:val="superscript"/>
        </w:rPr>
        <w:t>®</w:t>
      </w:r>
      <w:r>
        <w:rPr>
          <w:rFonts w:ascii="Times" w:hAnsi="Times"/>
          <w:sz w:val="20"/>
          <w:szCs w:val="20"/>
        </w:rPr>
        <w:t xml:space="preserve"> </w:t>
      </w:r>
      <w:r>
        <w:rPr>
          <w:rFonts w:ascii="Times" w:hAnsi="Times"/>
          <w:sz w:val="20"/>
          <w:szCs w:val="20"/>
        </w:rPr>
        <w:t>and vilanterol monotherapy. Our eq</w:t>
      </w:r>
      <w:r>
        <w:rPr>
          <w:rFonts w:ascii="Times" w:hAnsi="Times"/>
          <w:sz w:val="20"/>
          <w:szCs w:val="20"/>
        </w:rPr>
        <w:t>uity interest in TRC entitles us to an 85% economic interest in any future payments made by GSK under the strategic alliance agreement and under the portion of the collaboration agreement assigned to TRC (the</w:t>
      </w:r>
      <w:r>
        <w:rPr>
          <w:rFonts w:ascii="Times" w:hAnsi="Times"/>
          <w:sz w:val="20"/>
          <w:szCs w:val="20"/>
        </w:rPr>
        <w:t xml:space="preserve"> </w:t>
      </w:r>
      <w:r>
        <w:rPr>
          <w:rFonts w:ascii="Times" w:hAnsi="Times"/>
          <w:sz w:val="20"/>
          <w:szCs w:val="20"/>
        </w:rPr>
        <w:t>“GSK Agreements”) (net of TRC expenses paid and</w:t>
      </w:r>
      <w:r>
        <w:rPr>
          <w:rFonts w:ascii="Times" w:hAnsi="Times"/>
          <w:sz w:val="20"/>
          <w:szCs w:val="20"/>
        </w:rPr>
        <w:t xml:space="preserve"> the amount of cash, if any, expected to be used by TRC pursuant to the TRC LLC Agreement over the next four fiscal quarters), which agreements govern Innoviva’s and GSK’s respective interests in the GSK-Partnered Respiratory Programs. Our equity interest </w:t>
      </w:r>
      <w:r>
        <w:rPr>
          <w:rFonts w:ascii="Times" w:hAnsi="Times"/>
          <w:sz w:val="20"/>
          <w:szCs w:val="20"/>
        </w:rPr>
        <w:t>covers various drug programs including all</w:t>
      </w:r>
      <w:r>
        <w:rPr>
          <w:rFonts w:ascii="Times" w:hAnsi="Times"/>
          <w:sz w:val="20"/>
          <w:szCs w:val="20"/>
        </w:rPr>
        <w:t xml:space="preserve"> </w:t>
      </w:r>
      <w:r>
        <w:rPr>
          <w:rFonts w:ascii="Times" w:hAnsi="Times"/>
          <w:caps/>
          <w:sz w:val="20"/>
          <w:szCs w:val="20"/>
        </w:rPr>
        <w:t>Trelegy Ellipta</w:t>
      </w:r>
      <w:r>
        <w:rPr>
          <w:rFonts w:ascii="Times" w:hAnsi="Times"/>
          <w:sz w:val="20"/>
          <w:szCs w:val="20"/>
        </w:rPr>
        <w:t xml:space="preserve"> </w:t>
      </w:r>
      <w:r>
        <w:rPr>
          <w:rFonts w:ascii="Times" w:hAnsi="Times"/>
          <w:sz w:val="20"/>
          <w:szCs w:val="20"/>
        </w:rPr>
        <w:t>(the combination of fluticasone furoate, umeclidinium, and vilanterol in a single ELLIPTA</w:t>
      </w:r>
      <w:r>
        <w:rPr>
          <w:rFonts w:ascii="Times" w:hAnsi="Times"/>
          <w:sz w:val="15"/>
          <w:szCs w:val="15"/>
          <w:vertAlign w:val="superscript"/>
        </w:rPr>
        <w:t>®</w:t>
      </w:r>
      <w:r>
        <w:rPr>
          <w:rFonts w:ascii="Times" w:hAnsi="Times"/>
          <w:sz w:val="20"/>
          <w:szCs w:val="20"/>
        </w:rPr>
        <w:t xml:space="preserve"> </w:t>
      </w:r>
      <w:r>
        <w:rPr>
          <w:rFonts w:ascii="Times" w:hAnsi="Times"/>
          <w:sz w:val="20"/>
          <w:szCs w:val="20"/>
        </w:rPr>
        <w:t>inhaler, previously referred to as the Closed Triple) products and the MABA program, as monotherapy and in</w:t>
      </w:r>
      <w:r>
        <w:rPr>
          <w:rFonts w:ascii="Times" w:hAnsi="Times"/>
          <w:sz w:val="20"/>
          <w:szCs w:val="20"/>
        </w:rPr>
        <w:t xml:space="preserve"> combination with other therapeutically active components, such as an inhaled corticosteroid (“ICS”), and any other product or combination of products that may be discovered and developed in the future under the GSK Agreements. Our economic interest does n</w:t>
      </w:r>
      <w:r>
        <w:rPr>
          <w:rFonts w:ascii="Times" w:hAnsi="Times"/>
          <w:sz w:val="20"/>
          <w:szCs w:val="20"/>
        </w:rPr>
        <w:t>ot include any payments by GSK associated with RELVAR</w:t>
      </w:r>
      <w:r>
        <w:rPr>
          <w:rFonts w:ascii="Times" w:hAnsi="Times"/>
          <w:sz w:val="15"/>
          <w:szCs w:val="15"/>
          <w:vertAlign w:val="superscript"/>
        </w:rPr>
        <w:t>®</w:t>
      </w:r>
      <w:r>
        <w:rPr>
          <w:rFonts w:ascii="Times" w:hAnsi="Times"/>
          <w:sz w:val="20"/>
          <w:szCs w:val="20"/>
        </w:rPr>
        <w:t xml:space="preserve"> </w:t>
      </w:r>
      <w:r>
        <w:rPr>
          <w:rFonts w:ascii="Times" w:hAnsi="Times"/>
          <w:sz w:val="20"/>
          <w:szCs w:val="20"/>
        </w:rPr>
        <w:t>ELLIPTA</w:t>
      </w:r>
      <w:r>
        <w:rPr>
          <w:rFonts w:ascii="Times" w:hAnsi="Times"/>
          <w:sz w:val="15"/>
          <w:szCs w:val="15"/>
          <w:vertAlign w:val="superscript"/>
        </w:rPr>
        <w:t>®</w:t>
      </w:r>
      <w:r>
        <w:rPr>
          <w:rFonts w:ascii="Times" w:hAnsi="Times"/>
          <w:sz w:val="20"/>
          <w:szCs w:val="20"/>
        </w:rPr>
        <w:t>/BREO</w:t>
      </w:r>
      <w:r>
        <w:rPr>
          <w:rFonts w:ascii="Times" w:hAnsi="Times"/>
          <w:sz w:val="15"/>
          <w:szCs w:val="15"/>
          <w:vertAlign w:val="superscript"/>
        </w:rPr>
        <w:t>®</w:t>
      </w:r>
      <w:r>
        <w:rPr>
          <w:rFonts w:ascii="Times" w:hAnsi="Times"/>
          <w:sz w:val="20"/>
          <w:szCs w:val="20"/>
        </w:rPr>
        <w:t xml:space="preserve"> </w:t>
      </w:r>
      <w:r>
        <w:rPr>
          <w:rFonts w:ascii="Times" w:hAnsi="Times"/>
          <w:sz w:val="20"/>
          <w:szCs w:val="20"/>
        </w:rPr>
        <w:t>ELLIPTA</w:t>
      </w:r>
      <w:r>
        <w:rPr>
          <w:rFonts w:ascii="Times" w:hAnsi="Times"/>
          <w:sz w:val="15"/>
          <w:szCs w:val="15"/>
          <w:vertAlign w:val="superscript"/>
        </w:rPr>
        <w:t>®</w:t>
      </w:r>
      <w:r>
        <w:rPr>
          <w:rFonts w:ascii="Times" w:hAnsi="Times"/>
          <w:sz w:val="20"/>
          <w:szCs w:val="20"/>
        </w:rPr>
        <w:t>, ANORO</w:t>
      </w:r>
      <w:r>
        <w:rPr>
          <w:rFonts w:ascii="Times" w:hAnsi="Times"/>
          <w:sz w:val="15"/>
          <w:szCs w:val="15"/>
          <w:vertAlign w:val="superscript"/>
        </w:rPr>
        <w:t>®</w:t>
      </w:r>
      <w:r>
        <w:rPr>
          <w:rFonts w:ascii="Times" w:hAnsi="Times"/>
          <w:sz w:val="20"/>
          <w:szCs w:val="20"/>
        </w:rPr>
        <w:t xml:space="preserve"> </w:t>
      </w:r>
      <w:r>
        <w:rPr>
          <w:rFonts w:ascii="Times" w:hAnsi="Times"/>
          <w:sz w:val="20"/>
          <w:szCs w:val="20"/>
        </w:rPr>
        <w:t>ELLIPTA</w:t>
      </w:r>
      <w:r>
        <w:rPr>
          <w:rFonts w:ascii="Times" w:hAnsi="Times"/>
          <w:sz w:val="15"/>
          <w:szCs w:val="15"/>
          <w:vertAlign w:val="superscript"/>
        </w:rPr>
        <w:t>®</w:t>
      </w:r>
      <w:r>
        <w:rPr>
          <w:rFonts w:ascii="Times" w:hAnsi="Times"/>
          <w:sz w:val="20"/>
          <w:szCs w:val="20"/>
        </w:rPr>
        <w:t xml:space="preserve"> </w:t>
      </w:r>
      <w:r>
        <w:rPr>
          <w:rFonts w:ascii="Times" w:hAnsi="Times"/>
          <w:sz w:val="20"/>
          <w:szCs w:val="20"/>
        </w:rPr>
        <w:t xml:space="preserve">or vilanterol monotherapy. Innoviva controls TRC and, except for certain limited consent rights, we have no right to participate in the business and affairs of </w:t>
      </w:r>
      <w:r>
        <w:rPr>
          <w:rFonts w:ascii="Times" w:hAnsi="Times"/>
          <w:sz w:val="20"/>
          <w:szCs w:val="20"/>
        </w:rPr>
        <w:t>TRC. Innoviva has the exclusive right to appoint TRC’s manager who, among other things, is responsible for the day-to-day management of the GSK-Partnered Respiratory Programs and exercises the rights relating to the GSK-Partnered Respiratory Programs. As a</w:t>
      </w:r>
      <w:r>
        <w:rPr>
          <w:rFonts w:ascii="Times" w:hAnsi="Times"/>
          <w:sz w:val="20"/>
          <w:szCs w:val="20"/>
        </w:rPr>
        <w:t xml:space="preserve"> result, we have no rights to participate in, or access to non-public information about, the development and commercialization work GSK and Innoviva are undertaking with respect to the GSK-Partnered Respiratory Programs and no right to enforce rights under</w:t>
      </w:r>
      <w:r>
        <w:rPr>
          <w:rFonts w:ascii="Times" w:hAnsi="Times"/>
          <w:sz w:val="20"/>
          <w:szCs w:val="20"/>
        </w:rPr>
        <w:t xml:space="preserve"> the GSK Agreements assigned to TRC. Moreover, we have many of the same risks with respect to our and TRC’s dependence on GSK as we have with respect to our dependence on our own partners.</w:t>
      </w:r>
      <w:r>
        <w:rPr>
          <w:rFonts w:ascii="Times" w:hAnsi="Times"/>
          <w:sz w:val="20"/>
          <w:szCs w:val="20"/>
        </w:rPr>
        <w:t xml:space="preserve"> </w:t>
      </w:r>
    </w:p>
    <w:p w:rsidR="00000000" w:rsidRDefault="008B747E">
      <w:pPr>
        <w:pStyle w:val="a3"/>
        <w:spacing w:before="360" w:beforeAutospacing="0" w:after="0" w:afterAutospacing="0"/>
        <w:jc w:val="center"/>
        <w:divId w:val="1446002601"/>
        <w:rPr>
          <w:sz w:val="20"/>
          <w:szCs w:val="20"/>
        </w:rPr>
      </w:pPr>
      <w:r>
        <w:rPr>
          <w:sz w:val="20"/>
          <w:szCs w:val="20"/>
        </w:rPr>
        <w:t>39</w:t>
      </w:r>
    </w:p>
    <w:p w:rsidR="00000000" w:rsidRDefault="008B747E">
      <w:pPr>
        <w:pStyle w:val="a3"/>
        <w:spacing w:before="0" w:beforeAutospacing="0" w:after="600" w:afterAutospacing="0"/>
        <w:divId w:val="1372150586"/>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ind w:firstLine="720"/>
        <w:divId w:val="1265915488"/>
        <w:rPr>
          <w:rFonts w:ascii="Times" w:hAnsi="Times"/>
          <w:sz w:val="20"/>
          <w:szCs w:val="20"/>
        </w:rPr>
      </w:pPr>
      <w:r>
        <w:rPr>
          <w:rFonts w:ascii="Times" w:hAnsi="Times"/>
          <w:sz w:val="20"/>
          <w:szCs w:val="20"/>
        </w:rPr>
        <w:t>​</w:t>
      </w:r>
    </w:p>
    <w:p w:rsidR="00000000" w:rsidRDefault="008B747E">
      <w:pPr>
        <w:pStyle w:val="a3"/>
        <w:spacing w:before="0" w:beforeAutospacing="0" w:after="120" w:afterAutospacing="0"/>
        <w:divId w:val="1265915488"/>
        <w:rPr>
          <w:rFonts w:ascii="Times" w:hAnsi="Times"/>
          <w:b/>
          <w:bCs/>
          <w:i/>
          <w:iCs/>
          <w:sz w:val="20"/>
          <w:szCs w:val="20"/>
        </w:rPr>
      </w:pPr>
      <w:r>
        <w:rPr>
          <w:rFonts w:ascii="Times" w:hAnsi="Times"/>
          <w:b/>
          <w:bCs/>
          <w:i/>
          <w:iCs/>
          <w:sz w:val="20"/>
          <w:szCs w:val="20"/>
        </w:rPr>
        <w:t>If there are any adverse developments or perceived adverse developments with respect to the GSK-Partnered Respiratory Programs in which we have a substantial economic interest, including</w:t>
      </w:r>
      <w:r>
        <w:rPr>
          <w:rFonts w:ascii="Times" w:hAnsi="Times"/>
          <w:b/>
          <w:bCs/>
          <w:i/>
          <w:iCs/>
          <w:sz w:val="20"/>
          <w:szCs w:val="20"/>
        </w:rPr>
        <w:t xml:space="preserve"> </w:t>
      </w:r>
      <w:r>
        <w:rPr>
          <w:rFonts w:ascii="Times" w:hAnsi="Times"/>
          <w:b/>
          <w:bCs/>
          <w:i/>
          <w:iCs/>
          <w:caps/>
          <w:sz w:val="20"/>
          <w:szCs w:val="20"/>
        </w:rPr>
        <w:t>Trelegy Ellipta</w:t>
      </w:r>
      <w:r>
        <w:rPr>
          <w:rFonts w:ascii="Times" w:hAnsi="Times"/>
          <w:b/>
          <w:bCs/>
          <w:i/>
          <w:iCs/>
          <w:sz w:val="20"/>
          <w:szCs w:val="20"/>
        </w:rPr>
        <w:t xml:space="preserve"> </w:t>
      </w:r>
      <w:r>
        <w:rPr>
          <w:rFonts w:ascii="Times" w:hAnsi="Times"/>
          <w:b/>
          <w:bCs/>
          <w:i/>
          <w:iCs/>
          <w:sz w:val="20"/>
          <w:szCs w:val="20"/>
        </w:rPr>
        <w:t>and the MABA program, our business will be harmed, an</w:t>
      </w:r>
      <w:r>
        <w:rPr>
          <w:rFonts w:ascii="Times" w:hAnsi="Times"/>
          <w:b/>
          <w:bCs/>
          <w:i/>
          <w:iCs/>
          <w:sz w:val="20"/>
          <w:szCs w:val="20"/>
        </w:rPr>
        <w:t>d the price of our securities could fall.</w:t>
      </w:r>
      <w:r>
        <w:rPr>
          <w:rFonts w:ascii="Times" w:hAnsi="Times"/>
          <w:b/>
          <w:bCs/>
          <w:i/>
          <w:iCs/>
          <w:sz w:val="20"/>
          <w:szCs w:val="20"/>
        </w:rPr>
        <w:t xml:space="preserve"> </w:t>
      </w:r>
    </w:p>
    <w:p w:rsidR="00000000" w:rsidRDefault="008B747E">
      <w:pPr>
        <w:pStyle w:val="a3"/>
        <w:spacing w:before="0" w:beforeAutospacing="0" w:after="0" w:afterAutospacing="0"/>
        <w:ind w:firstLine="720"/>
        <w:divId w:val="1265915488"/>
        <w:rPr>
          <w:rFonts w:ascii="Times" w:hAnsi="Times"/>
          <w:sz w:val="20"/>
          <w:szCs w:val="20"/>
        </w:rPr>
      </w:pPr>
      <w:r>
        <w:rPr>
          <w:rFonts w:ascii="Times" w:hAnsi="Times"/>
          <w:sz w:val="20"/>
          <w:szCs w:val="20"/>
        </w:rPr>
        <w:t>We have no access to confidential information regarding the development progress of, or plans for, the GSK-Partnered Respiratory Programs, including</w:t>
      </w:r>
      <w:r>
        <w:rPr>
          <w:rFonts w:ascii="Times" w:hAnsi="Times"/>
          <w:sz w:val="20"/>
          <w:szCs w:val="20"/>
        </w:rPr>
        <w:t xml:space="preserve"> </w:t>
      </w:r>
      <w:r>
        <w:rPr>
          <w:rFonts w:ascii="Times" w:hAnsi="Times"/>
          <w:caps/>
          <w:sz w:val="20"/>
          <w:szCs w:val="20"/>
        </w:rPr>
        <w:t>Trelegy Ellipta</w:t>
      </w:r>
      <w:r>
        <w:rPr>
          <w:rFonts w:ascii="Times" w:hAnsi="Times"/>
          <w:sz w:val="20"/>
          <w:szCs w:val="20"/>
        </w:rPr>
        <w:t xml:space="preserve"> </w:t>
      </w:r>
      <w:r>
        <w:rPr>
          <w:rFonts w:ascii="Times" w:hAnsi="Times"/>
          <w:sz w:val="20"/>
          <w:szCs w:val="20"/>
        </w:rPr>
        <w:t>and the MABA program, and we have little, if any</w:t>
      </w:r>
      <w:r>
        <w:rPr>
          <w:rFonts w:ascii="Times" w:hAnsi="Times"/>
          <w:sz w:val="20"/>
          <w:szCs w:val="20"/>
        </w:rPr>
        <w:t>, ability to influence the progress of those programs because our interest in these programs is only through our ownership interest in TRC, which is controlled by Innoviva. However, if any of the GSK-Partnered Respiratory Programs in which we have a substa</w:t>
      </w:r>
      <w:r>
        <w:rPr>
          <w:rFonts w:ascii="Times" w:hAnsi="Times"/>
          <w:sz w:val="20"/>
          <w:szCs w:val="20"/>
        </w:rPr>
        <w:t>ntial economic interest encounter delays, do not demonstrate required quality, safety and efficacy, are terminated, or if there are any adverse developments or perceived adverse developments with respect to such programs, our business will be harmed, and t</w:t>
      </w:r>
      <w:r>
        <w:rPr>
          <w:rFonts w:ascii="Times" w:hAnsi="Times"/>
          <w:sz w:val="20"/>
          <w:szCs w:val="20"/>
        </w:rPr>
        <w:t>he price of our securities could fall. Examples of such adverse developments include, but are not limited to:</w:t>
      </w:r>
    </w:p>
    <w:p w:rsidR="00000000" w:rsidRDefault="008B747E">
      <w:pPr>
        <w:pStyle w:val="a3"/>
        <w:spacing w:before="0" w:beforeAutospacing="0" w:after="0" w:afterAutospacing="0"/>
        <w:ind w:firstLine="720"/>
        <w:divId w:val="1265915488"/>
        <w:rPr>
          <w:rFonts w:ascii="Times" w:hAnsi="Times"/>
          <w:sz w:val="20"/>
          <w:szCs w:val="20"/>
        </w:rPr>
      </w:pPr>
      <w:r>
        <w:rPr>
          <w:rFonts w:ascii="Times" w:hAnsi="Time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65915488"/>
        </w:trPr>
        <w:tc>
          <w:tcPr>
            <w:tcW w:w="720" w:type="dxa"/>
            <w:vAlign w:val="center"/>
            <w:hideMark/>
          </w:tcPr>
          <w:p w:rsidR="00000000" w:rsidRDefault="008B747E">
            <w:pPr>
              <w:rPr>
                <w:rFonts w:ascii="Times" w:hAnsi="Times"/>
                <w:sz w:val="20"/>
                <w:szCs w:val="20"/>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disappointing or lower than expected sales of</w:t>
            </w:r>
            <w:r>
              <w:rPr>
                <w:rFonts w:ascii="Times" w:eastAsia="Times New Roman" w:hAnsi="Times"/>
                <w:color w:val="000000"/>
                <w:sz w:val="20"/>
                <w:szCs w:val="20"/>
              </w:rPr>
              <w:t xml:space="preserve"> </w:t>
            </w:r>
            <w:r>
              <w:rPr>
                <w:rFonts w:ascii="Times" w:eastAsia="Times New Roman" w:hAnsi="Times"/>
                <w:caps/>
                <w:color w:val="000000"/>
                <w:sz w:val="20"/>
                <w:szCs w:val="20"/>
              </w:rPr>
              <w:t>Trelegy Ellipta</w:t>
            </w:r>
            <w:r>
              <w:rPr>
                <w:rFonts w:ascii="Times" w:eastAsia="Times New Roman" w:hAnsi="Times"/>
                <w:color w:val="000000"/>
                <w:sz w:val="20"/>
                <w:szCs w:val="20"/>
              </w:rPr>
              <w:t>;</w:t>
            </w:r>
          </w:p>
        </w:tc>
      </w:tr>
    </w:tbl>
    <w:p w:rsidR="00000000" w:rsidRDefault="008B747E">
      <w:pPr>
        <w:divId w:val="126591548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65915488"/>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any regulatory difficulty in seeking approval of an asthma indication for</w:t>
            </w:r>
            <w:r>
              <w:rPr>
                <w:rFonts w:ascii="Times" w:eastAsia="Times New Roman" w:hAnsi="Times"/>
                <w:color w:val="000000"/>
                <w:sz w:val="20"/>
                <w:szCs w:val="20"/>
              </w:rPr>
              <w:t xml:space="preserve"> </w:t>
            </w:r>
            <w:r>
              <w:rPr>
                <w:rFonts w:ascii="Times" w:eastAsia="Times New Roman" w:hAnsi="Times"/>
                <w:caps/>
                <w:color w:val="000000"/>
                <w:sz w:val="20"/>
                <w:szCs w:val="20"/>
              </w:rPr>
              <w:t>Trelegy Ellipta,</w:t>
            </w:r>
            <w:r>
              <w:rPr>
                <w:rFonts w:ascii="Times" w:eastAsia="Times New Roman" w:hAnsi="Times"/>
                <w:color w:val="000000"/>
                <w:sz w:val="20"/>
                <w:szCs w:val="20"/>
              </w:rPr>
              <w:t xml:space="preserve"> </w:t>
            </w:r>
            <w:r>
              <w:rPr>
                <w:rFonts w:ascii="Times" w:eastAsia="Times New Roman" w:hAnsi="Times"/>
                <w:color w:val="000000"/>
                <w:sz w:val="20"/>
                <w:szCs w:val="20"/>
              </w:rPr>
              <w:t>which GSK will be undertaking following its successful Phase 3 clinical program in asthma patients;</w:t>
            </w:r>
          </w:p>
        </w:tc>
      </w:tr>
    </w:tbl>
    <w:p w:rsidR="00000000" w:rsidRDefault="008B747E">
      <w:pPr>
        <w:divId w:val="126591548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65915488"/>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rPr>
                <w:rFonts w:eastAsia="Times New Roman"/>
                <w:sz w:val="20"/>
                <w:szCs w:val="20"/>
              </w:rPr>
            </w:pPr>
            <w:r>
              <w:rPr>
                <w:rFonts w:ascii="Times" w:eastAsia="Times New Roman" w:hAnsi="Times"/>
                <w:color w:val="000000"/>
                <w:sz w:val="20"/>
                <w:szCs w:val="20"/>
              </w:rPr>
              <w:t>disputes between GSK and Innoviva or between us and Innoviva</w:t>
            </w:r>
            <w:r>
              <w:rPr>
                <w:rFonts w:ascii="Times" w:eastAsia="Times New Roman" w:hAnsi="Times"/>
                <w:color w:val="000000"/>
                <w:sz w:val="20"/>
                <w:szCs w:val="20"/>
              </w:rPr>
              <w:t>, such as our current dispute with Innoviva described in Part II, Item 1</w:t>
            </w:r>
            <w:r>
              <w:rPr>
                <w:rFonts w:ascii="Times" w:eastAsia="Times New Roman" w:hAnsi="Times"/>
                <w:color w:val="000000"/>
                <w:sz w:val="20"/>
                <w:szCs w:val="20"/>
              </w:rPr>
              <w:t xml:space="preserve"> </w:t>
            </w:r>
            <w:r>
              <w:rPr>
                <w:rFonts w:ascii="Times" w:eastAsia="Times New Roman" w:hAnsi="Times"/>
                <w:color w:val="000000"/>
                <w:sz w:val="20"/>
                <w:szCs w:val="20"/>
              </w:rPr>
              <w:t>“Legal Proceedings”</w:t>
            </w:r>
            <w:r>
              <w:rPr>
                <w:rFonts w:ascii="Times" w:eastAsia="Times New Roman" w:hAnsi="Times"/>
                <w:color w:val="000000"/>
                <w:sz w:val="20"/>
                <w:szCs w:val="20"/>
              </w:rPr>
              <w:t xml:space="preserve"> </w:t>
            </w:r>
            <w:r>
              <w:rPr>
                <w:rFonts w:ascii="Times" w:eastAsia="Times New Roman" w:hAnsi="Times"/>
                <w:color w:val="000000"/>
                <w:sz w:val="20"/>
                <w:szCs w:val="20"/>
              </w:rPr>
              <w:t>concerning the withholding of royalty payments due to us under the TRC LLC Agreement;</w:t>
            </w:r>
            <w:r>
              <w:rPr>
                <w:rFonts w:ascii="Times" w:eastAsia="Times New Roman" w:hAnsi="Times"/>
                <w:color w:val="000000"/>
                <w:sz w:val="20"/>
                <w:szCs w:val="20"/>
              </w:rPr>
              <w:t xml:space="preserve"> </w:t>
            </w:r>
          </w:p>
        </w:tc>
      </w:tr>
    </w:tbl>
    <w:p w:rsidR="00000000" w:rsidRDefault="008B747E">
      <w:pPr>
        <w:pStyle w:val="a3"/>
        <w:spacing w:before="0" w:beforeAutospacing="0" w:after="0" w:afterAutospacing="0"/>
        <w:ind w:left="1080"/>
        <w:divId w:val="1265915488"/>
        <w:rPr>
          <w:sz w:val="20"/>
          <w:szCs w:val="20"/>
        </w:rPr>
      </w:pPr>
      <w:r>
        <w:rPr>
          <w:rFonts w:ascii="Times" w:hAnsi="Time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65915488"/>
        </w:trPr>
        <w:tc>
          <w:tcPr>
            <w:tcW w:w="720" w:type="dxa"/>
            <w:vAlign w:val="center"/>
            <w:hideMark/>
          </w:tcPr>
          <w:p w:rsidR="00000000" w:rsidRDefault="008B747E">
            <w:pPr>
              <w:rPr>
                <w:sz w:val="20"/>
                <w:szCs w:val="20"/>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rPr>
                <w:rFonts w:ascii="Times" w:eastAsia="Times New Roman" w:hAnsi="Times"/>
                <w:sz w:val="20"/>
                <w:szCs w:val="20"/>
              </w:rPr>
            </w:pPr>
            <w:r>
              <w:rPr>
                <w:rFonts w:ascii="Times" w:eastAsia="Times New Roman" w:hAnsi="Times"/>
                <w:color w:val="000000"/>
                <w:sz w:val="20"/>
                <w:szCs w:val="20"/>
              </w:rPr>
              <w:t>the emergence of new closed triple or other alternative therapies or a</w:t>
            </w:r>
            <w:r>
              <w:rPr>
                <w:rFonts w:ascii="Times" w:eastAsia="Times New Roman" w:hAnsi="Times"/>
                <w:color w:val="000000"/>
                <w:sz w:val="20"/>
                <w:szCs w:val="20"/>
              </w:rPr>
              <w:t>ny developments regarding these potentially competitive therapies, comparative price or efficacy of such potentially competitive therapies;</w:t>
            </w:r>
          </w:p>
        </w:tc>
      </w:tr>
    </w:tbl>
    <w:p w:rsidR="00000000" w:rsidRDefault="008B747E">
      <w:pPr>
        <w:pStyle w:val="a3"/>
        <w:spacing w:before="0" w:beforeAutospacing="0" w:after="0" w:afterAutospacing="0"/>
        <w:ind w:left="1080"/>
        <w:divId w:val="1265915488"/>
        <w:rPr>
          <w:rFonts w:ascii="Times" w:hAnsi="Times"/>
          <w:sz w:val="20"/>
          <w:szCs w:val="20"/>
        </w:rPr>
      </w:pPr>
      <w:r>
        <w:rPr>
          <w:rFonts w:ascii="Times" w:hAnsi="Time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65915488"/>
        </w:trPr>
        <w:tc>
          <w:tcPr>
            <w:tcW w:w="720" w:type="dxa"/>
            <w:vAlign w:val="center"/>
            <w:hideMark/>
          </w:tcPr>
          <w:p w:rsidR="00000000" w:rsidRDefault="008B747E">
            <w:pPr>
              <w:rPr>
                <w:rFonts w:ascii="Times" w:hAnsi="Times"/>
                <w:sz w:val="20"/>
                <w:szCs w:val="20"/>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GSK deciding to delay or halt any of the GSK-Partnered Respiratory Programs in which we have a substantial eco</w:t>
            </w:r>
            <w:r>
              <w:rPr>
                <w:rFonts w:ascii="Times" w:eastAsia="Times New Roman" w:hAnsi="Times"/>
                <w:color w:val="000000"/>
                <w:sz w:val="20"/>
                <w:szCs w:val="20"/>
              </w:rPr>
              <w:t>nomic interest;</w:t>
            </w:r>
            <w:r>
              <w:rPr>
                <w:rFonts w:ascii="Times" w:eastAsia="Times New Roman" w:hAnsi="Times"/>
                <w:color w:val="000000"/>
                <w:sz w:val="20"/>
                <w:szCs w:val="20"/>
              </w:rPr>
              <w:t xml:space="preserve"> </w:t>
            </w:r>
          </w:p>
        </w:tc>
      </w:tr>
    </w:tbl>
    <w:p w:rsidR="00000000" w:rsidRDefault="008B747E">
      <w:pPr>
        <w:divId w:val="126591548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65915488"/>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rPr>
                <w:rFonts w:ascii="Times" w:eastAsia="Times New Roman" w:hAnsi="Times"/>
                <w:sz w:val="20"/>
                <w:szCs w:val="20"/>
              </w:rPr>
            </w:pPr>
            <w:r>
              <w:rPr>
                <w:rFonts w:ascii="Times" w:eastAsia="Times New Roman" w:hAnsi="Times"/>
                <w:color w:val="000000"/>
                <w:sz w:val="20"/>
                <w:szCs w:val="20"/>
              </w:rPr>
              <w:t>the FDA and/or other national or foreign regulatory authorities determining that any of the studies under these programs do not demonstrate the required quality, safety or efficacy, or that additional non-clinical or clinical studies are required with resp</w:t>
            </w:r>
            <w:r>
              <w:rPr>
                <w:rFonts w:ascii="Times" w:eastAsia="Times New Roman" w:hAnsi="Times"/>
                <w:color w:val="000000"/>
                <w:sz w:val="20"/>
                <w:szCs w:val="20"/>
              </w:rPr>
              <w:t>ect to such programs;</w:t>
            </w:r>
            <w:r>
              <w:rPr>
                <w:rFonts w:ascii="Times" w:eastAsia="Times New Roman" w:hAnsi="Times"/>
                <w:color w:val="000000"/>
                <w:sz w:val="20"/>
                <w:szCs w:val="20"/>
              </w:rPr>
              <w:t xml:space="preserve"> </w:t>
            </w:r>
          </w:p>
        </w:tc>
      </w:tr>
    </w:tbl>
    <w:p w:rsidR="00000000" w:rsidRDefault="008B747E">
      <w:pPr>
        <w:divId w:val="126591548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65915488"/>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any safety, efficacy or other concerns regarding any of the GSK-Partnered Respiratory Programs in which we have a substantial economic interest; or</w:t>
            </w:r>
          </w:p>
        </w:tc>
      </w:tr>
    </w:tbl>
    <w:p w:rsidR="00000000" w:rsidRDefault="008B747E">
      <w:pPr>
        <w:divId w:val="126591548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265915488"/>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rPr>
                <w:rFonts w:ascii="Times" w:eastAsia="Times New Roman" w:hAnsi="Times"/>
                <w:sz w:val="20"/>
                <w:szCs w:val="20"/>
              </w:rPr>
            </w:pPr>
            <w:r>
              <w:rPr>
                <w:rFonts w:ascii="Times" w:eastAsia="Times New Roman" w:hAnsi="Times"/>
                <w:color w:val="000000"/>
                <w:sz w:val="20"/>
                <w:szCs w:val="20"/>
              </w:rPr>
              <w:t>any particular FDA requirements or changes in FDA policy or guidance regarding these programs or any particular regulatory requirements in other jurisdictions or changes in the policies or guidance adopted by foreign regulatory authorities.</w:t>
            </w:r>
          </w:p>
        </w:tc>
      </w:tr>
    </w:tbl>
    <w:p w:rsidR="00000000" w:rsidRDefault="008B747E">
      <w:pPr>
        <w:pStyle w:val="a3"/>
        <w:spacing w:before="0" w:beforeAutospacing="0" w:after="120" w:afterAutospacing="0"/>
        <w:divId w:val="1265915488"/>
        <w:rPr>
          <w:rFonts w:ascii="Times" w:hAnsi="Times"/>
          <w:b/>
          <w:bCs/>
          <w:i/>
          <w:iCs/>
          <w:sz w:val="20"/>
          <w:szCs w:val="20"/>
        </w:rPr>
      </w:pPr>
      <w:r>
        <w:rPr>
          <w:rFonts w:ascii="Times" w:hAnsi="Times"/>
          <w:b/>
          <w:bCs/>
          <w:i/>
          <w:iCs/>
          <w:sz w:val="20"/>
          <w:szCs w:val="20"/>
        </w:rPr>
        <w:t>Because GSK is</w:t>
      </w:r>
      <w:r>
        <w:rPr>
          <w:rFonts w:ascii="Times" w:hAnsi="Times"/>
          <w:b/>
          <w:bCs/>
          <w:i/>
          <w:iCs/>
          <w:sz w:val="20"/>
          <w:szCs w:val="20"/>
        </w:rPr>
        <w:t xml:space="preserve"> a strategic partner of Innoviva, a strategic partner of TRC and a significant shareholder of us, it may take actions that in certain cases are materially harmful to our business and to our other shareholders.</w:t>
      </w:r>
    </w:p>
    <w:p w:rsidR="00000000" w:rsidRDefault="008B747E">
      <w:pPr>
        <w:pStyle w:val="a3"/>
        <w:spacing w:before="0" w:beforeAutospacing="0" w:after="0" w:afterAutospacing="0"/>
        <w:ind w:firstLine="720"/>
        <w:divId w:val="1265915488"/>
        <w:rPr>
          <w:rFonts w:ascii="Times" w:hAnsi="Times"/>
          <w:sz w:val="20"/>
          <w:szCs w:val="20"/>
        </w:rPr>
      </w:pPr>
      <w:r>
        <w:rPr>
          <w:rFonts w:ascii="Times" w:hAnsi="Times"/>
          <w:sz w:val="20"/>
          <w:szCs w:val="20"/>
        </w:rPr>
        <w:t>Based on our review of publicly available fili</w:t>
      </w:r>
      <w:r>
        <w:rPr>
          <w:rFonts w:ascii="Times" w:hAnsi="Times"/>
          <w:sz w:val="20"/>
          <w:szCs w:val="20"/>
        </w:rPr>
        <w:t>ngs, as of June 30, 2019 GSK beneficially owned approximately 17.0% of our outstanding ordinary shares. GSK is also a strategic partner to Innoviva with rights and obligations under the GSK Agreements, which include the strategic alliance agreement and the</w:t>
      </w:r>
      <w:r>
        <w:rPr>
          <w:rFonts w:ascii="Times" w:hAnsi="Times"/>
          <w:sz w:val="20"/>
          <w:szCs w:val="20"/>
        </w:rPr>
        <w:t xml:space="preserve"> collaboration agreement assigned to TRC, that may cause GSK’s interests to differ from our interests and those of our other shareholders. For example, GSK’s commercialization efforts are guided by a portfolio approach across products in which we have an i</w:t>
      </w:r>
      <w:r>
        <w:rPr>
          <w:rFonts w:ascii="Times" w:hAnsi="Times"/>
          <w:sz w:val="20"/>
          <w:szCs w:val="20"/>
        </w:rPr>
        <w:t>ndirect interest through TRC and products in which we have no interest. Accordingly, GSK’s commercialization efforts may have the effect of reducing the value of our interest in TRC. Furthermore, GSK has a substantial respiratory product portfolio in addit</w:t>
      </w:r>
      <w:r>
        <w:rPr>
          <w:rFonts w:ascii="Times" w:hAnsi="Times"/>
          <w:sz w:val="20"/>
          <w:szCs w:val="20"/>
        </w:rPr>
        <w:t>ion to the products covered by the GSK Agreements. GSK may make respiratory product portfolio decisions or statements about its portfolio which may be, or may be perceived to be, harmful to the respiratory products partnered with Innoviva and TRC. For exam</w:t>
      </w:r>
      <w:r>
        <w:rPr>
          <w:rFonts w:ascii="Times" w:hAnsi="Times"/>
          <w:sz w:val="20"/>
          <w:szCs w:val="20"/>
        </w:rPr>
        <w:t>ple, GSK could promote its own respiratory products and/or delay or terminate the development or commercialization of the respiratory programs covered by the GSK Agreements. Also, given the potential</w:t>
      </w:r>
      <w:r>
        <w:rPr>
          <w:rFonts w:ascii="Times" w:hAnsi="Times"/>
          <w:sz w:val="20"/>
          <w:szCs w:val="20"/>
        </w:rPr>
        <w:t xml:space="preserve"> </w:t>
      </w:r>
      <w:r>
        <w:rPr>
          <w:rFonts w:ascii="Times" w:hAnsi="Times"/>
          <w:sz w:val="20"/>
          <w:szCs w:val="20"/>
        </w:rPr>
        <w:t>future royalty payments GSK may be obligated to pay unde</w:t>
      </w:r>
      <w:r>
        <w:rPr>
          <w:rFonts w:ascii="Times" w:hAnsi="Times"/>
          <w:sz w:val="20"/>
          <w:szCs w:val="20"/>
        </w:rPr>
        <w:t>r the GSK Agreements, GSK may seek to acquire us or acquire our interests in TRC in order to effectively reduce those payment obligations and the price at which GSK might seek to acquire us may not reflect our true value. Before 2018, the</w:t>
      </w:r>
      <w:r>
        <w:rPr>
          <w:rFonts w:ascii="Times" w:hAnsi="Times"/>
          <w:sz w:val="20"/>
          <w:szCs w:val="20"/>
        </w:rPr>
        <w:t xml:space="preserve"> </w:t>
      </w:r>
    </w:p>
    <w:p w:rsidR="00000000" w:rsidRDefault="008B747E">
      <w:pPr>
        <w:pStyle w:val="a3"/>
        <w:spacing w:before="360" w:beforeAutospacing="0" w:after="0" w:afterAutospacing="0"/>
        <w:jc w:val="center"/>
        <w:divId w:val="1161041793"/>
        <w:rPr>
          <w:sz w:val="20"/>
          <w:szCs w:val="20"/>
        </w:rPr>
      </w:pPr>
      <w:r>
        <w:rPr>
          <w:sz w:val="20"/>
          <w:szCs w:val="20"/>
        </w:rPr>
        <w:t>40</w:t>
      </w:r>
    </w:p>
    <w:p w:rsidR="00000000" w:rsidRDefault="008B747E">
      <w:pPr>
        <w:pStyle w:val="a3"/>
        <w:spacing w:before="0" w:beforeAutospacing="0" w:after="600" w:afterAutospacing="0"/>
        <w:divId w:val="217937974"/>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2079665476"/>
        <w:rPr>
          <w:rFonts w:ascii="Times" w:hAnsi="Times"/>
          <w:sz w:val="20"/>
          <w:szCs w:val="20"/>
        </w:rPr>
      </w:pPr>
      <w:r>
        <w:rPr>
          <w:rFonts w:ascii="Times" w:hAnsi="Times"/>
          <w:sz w:val="20"/>
          <w:szCs w:val="20"/>
        </w:rPr>
        <w:t>actions GSK could have taken to acquire us were limited under our governance agreement with GSK (the</w:t>
      </w:r>
      <w:r>
        <w:rPr>
          <w:rFonts w:ascii="Times" w:hAnsi="Times"/>
          <w:sz w:val="20"/>
          <w:szCs w:val="20"/>
        </w:rPr>
        <w:t xml:space="preserve"> </w:t>
      </w:r>
      <w:r>
        <w:rPr>
          <w:rFonts w:ascii="Times" w:hAnsi="Times"/>
          <w:sz w:val="20"/>
          <w:szCs w:val="20"/>
        </w:rPr>
        <w:t>“Governance Agreement”), but this agreement expired on December 31, 2017. In May 2018, our shareholders approved a resolutio</w:t>
      </w:r>
      <w:r>
        <w:rPr>
          <w:rFonts w:ascii="Times" w:hAnsi="Times"/>
          <w:sz w:val="20"/>
          <w:szCs w:val="20"/>
        </w:rPr>
        <w:t>n authorizing our board of directors to adopt a shareholder rights plan in the future which may deter GSK from acquiring more than 19.9% of our outstanding ordinary shares. However, our board of directors might not adopt such shareholder rights plan, and w</w:t>
      </w:r>
      <w:r>
        <w:rPr>
          <w:rFonts w:ascii="Times" w:hAnsi="Times"/>
          <w:sz w:val="20"/>
          <w:szCs w:val="20"/>
        </w:rPr>
        <w:t>e otherwise might not be able to respond successfully to a takeover attempt. The timing of when GSK may seek to acquire us could potentially be when it possesses information regarding the status of drug programs covered by the GSK Agreements that has not b</w:t>
      </w:r>
      <w:r>
        <w:rPr>
          <w:rFonts w:ascii="Times" w:hAnsi="Times"/>
          <w:sz w:val="20"/>
          <w:szCs w:val="20"/>
        </w:rPr>
        <w:t>een publicly disclosed and is not otherwise known to us. As a result of these differing interests, GSK may take actions that it believes are in its best interest but which might not be in the best interests of either us or our other shareholders. In additi</w:t>
      </w:r>
      <w:r>
        <w:rPr>
          <w:rFonts w:ascii="Times" w:hAnsi="Times"/>
          <w:sz w:val="20"/>
          <w:szCs w:val="20"/>
        </w:rPr>
        <w:t>on, GSK could also seek to challenge our or Innoviva’s post-Spin-Off operations as violating or allowing it to terminate the GSK Agreements, including by violating the confidentiality provisions of those agreements or the master agreement between GSK, Inno</w:t>
      </w:r>
      <w:r>
        <w:rPr>
          <w:rFonts w:ascii="Times" w:hAnsi="Times"/>
          <w:sz w:val="20"/>
          <w:szCs w:val="20"/>
        </w:rPr>
        <w:t>viva and us entered into in connection with the Spin-Off (the</w:t>
      </w:r>
      <w:r>
        <w:rPr>
          <w:rFonts w:ascii="Times" w:hAnsi="Times"/>
          <w:sz w:val="20"/>
          <w:szCs w:val="20"/>
        </w:rPr>
        <w:t xml:space="preserve"> </w:t>
      </w:r>
      <w:r>
        <w:rPr>
          <w:rFonts w:ascii="Times" w:hAnsi="Times"/>
          <w:sz w:val="20"/>
          <w:szCs w:val="20"/>
        </w:rPr>
        <w:t>“Master Agreement”), or otherwise violating its legal rights. While we believe our operations fully comply with the GSK Agreements, the Master Agreement and applicable law, there can be no assur</w:t>
      </w:r>
      <w:r>
        <w:rPr>
          <w:rFonts w:ascii="Times" w:hAnsi="Times"/>
          <w:sz w:val="20"/>
          <w:szCs w:val="20"/>
        </w:rPr>
        <w:t>ance that we or Innoviva will prevail against any such claims by GSK. Moreover, regardless of the merit of any claims by GSK, we may incur significant cost and diversion of resources in defending them. In addition, any other action or inaction by either GS</w:t>
      </w:r>
      <w:r>
        <w:rPr>
          <w:rFonts w:ascii="Times" w:hAnsi="Times"/>
          <w:sz w:val="20"/>
          <w:szCs w:val="20"/>
        </w:rPr>
        <w:t>K or Innoviva that results in a material dispute, allegation of breach, litigation, arbitration, or significant disagreement between those parties or between us and either of those parties may be interpreted negatively by the market or by our investors, co</w:t>
      </w:r>
      <w:r>
        <w:rPr>
          <w:rFonts w:ascii="Times" w:hAnsi="Times"/>
          <w:sz w:val="20"/>
          <w:szCs w:val="20"/>
        </w:rPr>
        <w:t>uld harm our business and cause the price of our securities to fall.</w:t>
      </w:r>
      <w:r>
        <w:rPr>
          <w:rFonts w:ascii="Times" w:hAnsi="Times"/>
          <w:sz w:val="20"/>
          <w:szCs w:val="20"/>
        </w:rPr>
        <w:t xml:space="preserve"> </w:t>
      </w:r>
      <w:r>
        <w:rPr>
          <w:sz w:val="20"/>
          <w:szCs w:val="20"/>
        </w:rPr>
        <w:t xml:space="preserve">See Part II, Item 1 “Legal Proceedings.” </w:t>
      </w:r>
      <w:r>
        <w:rPr>
          <w:rFonts w:ascii="Times" w:hAnsi="Times"/>
          <w:sz w:val="20"/>
          <w:szCs w:val="20"/>
        </w:rPr>
        <w:t>Other examples of these kinds of issues include but are not limited to non-performance of other contractual obligations and allegations of non-per</w:t>
      </w:r>
      <w:r>
        <w:rPr>
          <w:rFonts w:ascii="Times" w:hAnsi="Times"/>
          <w:sz w:val="20"/>
          <w:szCs w:val="20"/>
        </w:rPr>
        <w:t>formance, disagreements over the relative marketing and sales efforts for Innoviva’s partnered products and other GSK respiratory products, disputes over public statements, and similar matters. In general, any uncertainty about the respiratory programs par</w:t>
      </w:r>
      <w:r>
        <w:rPr>
          <w:rFonts w:ascii="Times" w:hAnsi="Times"/>
          <w:sz w:val="20"/>
          <w:szCs w:val="20"/>
        </w:rPr>
        <w:t>tnered with GSK, the enforceability of the GSK Agreements or the relationship/partnership between Innoviva and GSK or between us and Innoviva could result in significant reduction in the market price of our securities and other material harm to our busines</w:t>
      </w:r>
      <w:r>
        <w:rPr>
          <w:rFonts w:ascii="Times" w:hAnsi="Times"/>
          <w:sz w:val="20"/>
          <w:szCs w:val="20"/>
        </w:rPr>
        <w:t>s.</w:t>
      </w:r>
    </w:p>
    <w:p w:rsidR="00000000" w:rsidRDefault="008B747E">
      <w:pPr>
        <w:pStyle w:val="a3"/>
        <w:spacing w:before="0" w:beforeAutospacing="0" w:after="0" w:afterAutospacing="0"/>
        <w:divId w:val="2079665476"/>
        <w:rPr>
          <w:sz w:val="20"/>
          <w:szCs w:val="20"/>
        </w:rPr>
      </w:pPr>
      <w:r>
        <w:rPr>
          <w:sz w:val="20"/>
          <w:szCs w:val="20"/>
        </w:rPr>
        <w:t>​</w:t>
      </w:r>
    </w:p>
    <w:p w:rsidR="00000000" w:rsidRDefault="008B747E">
      <w:pPr>
        <w:pStyle w:val="a3"/>
        <w:spacing w:before="0" w:beforeAutospacing="0" w:after="0" w:afterAutospacing="0"/>
        <w:divId w:val="2079665476"/>
        <w:rPr>
          <w:sz w:val="20"/>
          <w:szCs w:val="20"/>
        </w:rPr>
      </w:pPr>
      <w:r>
        <w:rPr>
          <w:rFonts w:ascii="Times" w:hAnsi="Times"/>
          <w:b/>
          <w:bCs/>
          <w:i/>
          <w:iCs/>
          <w:sz w:val="20"/>
          <w:szCs w:val="20"/>
        </w:rPr>
        <w:t>We do not control the commercialization of TRELEGY ELLIPTA and the amount of royalties we receive will depend on GSK’</w:t>
      </w:r>
      <w:r>
        <w:rPr>
          <w:rFonts w:ascii="Times" w:hAnsi="Times"/>
          <w:b/>
          <w:bCs/>
          <w:i/>
          <w:iCs/>
          <w:sz w:val="20"/>
          <w:szCs w:val="20"/>
        </w:rPr>
        <w:t>s ability to further commercialize TRELEGY ELLIPTA, among other factors.</w:t>
      </w:r>
      <w:r>
        <w:rPr>
          <w:rFonts w:ascii="Times" w:hAnsi="Times"/>
          <w:b/>
          <w:bCs/>
          <w:i/>
          <w:iCs/>
          <w:sz w:val="20"/>
          <w:szCs w:val="20"/>
        </w:rPr>
        <w:t xml:space="preserve"> </w:t>
      </w:r>
    </w:p>
    <w:p w:rsidR="00000000" w:rsidRDefault="008B747E">
      <w:pPr>
        <w:pStyle w:val="a3"/>
        <w:spacing w:before="0" w:beforeAutospacing="0" w:after="0" w:afterAutospacing="0"/>
        <w:ind w:firstLine="720"/>
        <w:divId w:val="2079665476"/>
        <w:rPr>
          <w:sz w:val="20"/>
          <w:szCs w:val="20"/>
        </w:rPr>
      </w:pPr>
      <w:r>
        <w:rPr>
          <w:rFonts w:ascii="Times" w:hAnsi="Times"/>
          <w:sz w:val="10"/>
          <w:szCs w:val="10"/>
        </w:rPr>
        <w:t>​</w:t>
      </w:r>
    </w:p>
    <w:p w:rsidR="00000000" w:rsidRDefault="008B747E">
      <w:pPr>
        <w:pStyle w:val="a3"/>
        <w:spacing w:before="0" w:beforeAutospacing="0" w:after="0" w:afterAutospacing="0"/>
        <w:divId w:val="2079665476"/>
        <w:rPr>
          <w:sz w:val="20"/>
          <w:szCs w:val="20"/>
        </w:rPr>
      </w:pPr>
      <w:r>
        <w:rPr>
          <w:sz w:val="20"/>
          <w:szCs w:val="20"/>
        </w:rPr>
        <w:t>We only receive revenues from TRELEGY ELLIPTA based on the amount of sales of this product by GSK in the form of our economic interest in the royalties paid by GSK to TRC, which is</w:t>
      </w:r>
      <w:r>
        <w:rPr>
          <w:sz w:val="20"/>
          <w:szCs w:val="20"/>
        </w:rPr>
        <w:t xml:space="preserve"> managed by Innoviva. There are no required minimum future payments associated with the product and any royalties we receive will depend on GSK’s ability to commercialize the product. This involves a number of risks and uncertainties, including</w:t>
      </w:r>
      <w:r>
        <w:rPr>
          <w:sz w:val="20"/>
          <w:szCs w:val="20"/>
        </w:rPr>
        <w:t>:</w:t>
      </w:r>
    </w:p>
    <w:p w:rsidR="00000000" w:rsidRDefault="008B747E">
      <w:pPr>
        <w:pStyle w:val="a3"/>
        <w:spacing w:before="0" w:beforeAutospacing="0" w:after="0" w:afterAutospacing="0"/>
        <w:ind w:firstLine="720"/>
        <w:divId w:val="2079665476"/>
        <w:rPr>
          <w:sz w:val="20"/>
          <w:szCs w:val="20"/>
        </w:rPr>
      </w:pPr>
      <w:r>
        <w:rPr>
          <w:sz w:val="20"/>
          <w:szCs w:val="20"/>
        </w:rPr>
        <w:t>​</w:t>
      </w:r>
    </w:p>
    <w:p w:rsidR="00000000" w:rsidRDefault="008B747E">
      <w:pPr>
        <w:spacing w:after="240"/>
        <w:ind w:left="418" w:hanging="360"/>
        <w:divId w:val="1482383662"/>
        <w:rPr>
          <w:rFonts w:ascii="Times" w:eastAsia="Times New Roman" w:hAnsi="Times"/>
          <w:sz w:val="20"/>
          <w:szCs w:val="20"/>
        </w:rPr>
      </w:pPr>
      <w:r>
        <w:rPr>
          <w:rFonts w:eastAsia="Times New Roman"/>
          <w:sz w:val="20"/>
          <w:szCs w:val="20"/>
        </w:rPr>
        <w:t>●</w:t>
      </w:r>
      <w:r>
        <w:rPr>
          <w:rFonts w:ascii="Times" w:eastAsia="Times New Roman" w:hAnsi="Times"/>
          <w:sz w:val="20"/>
          <w:szCs w:val="20"/>
        </w:rPr>
        <w:t>GSK’s a</w:t>
      </w:r>
      <w:r>
        <w:rPr>
          <w:rFonts w:ascii="Times" w:eastAsia="Times New Roman" w:hAnsi="Times"/>
          <w:sz w:val="20"/>
          <w:szCs w:val="20"/>
        </w:rPr>
        <w:t>bility to have an adequate supply of their respective product;</w:t>
      </w:r>
    </w:p>
    <w:p w:rsidR="00000000" w:rsidRDefault="008B747E">
      <w:pPr>
        <w:spacing w:after="240"/>
        <w:ind w:left="418" w:hanging="360"/>
        <w:divId w:val="1445661130"/>
        <w:rPr>
          <w:rFonts w:ascii="Times" w:eastAsia="Times New Roman" w:hAnsi="Times"/>
          <w:sz w:val="20"/>
          <w:szCs w:val="20"/>
        </w:rPr>
      </w:pPr>
      <w:r>
        <w:rPr>
          <w:rFonts w:eastAsia="Times New Roman"/>
          <w:sz w:val="20"/>
          <w:szCs w:val="20"/>
        </w:rPr>
        <w:t>●</w:t>
      </w:r>
      <w:r>
        <w:rPr>
          <w:rFonts w:ascii="Times" w:eastAsia="Times New Roman" w:hAnsi="Times"/>
          <w:sz w:val="20"/>
          <w:szCs w:val="20"/>
        </w:rPr>
        <w:t>Ongoing compliance by GSK or its suppliers with the FDA’s current Good Manufacturing Practice;</w:t>
      </w:r>
    </w:p>
    <w:tbl>
      <w:tblPr>
        <w:tblW w:w="5000" w:type="pct"/>
        <w:tblCellMar>
          <w:top w:w="15" w:type="dxa"/>
          <w:left w:w="15" w:type="dxa"/>
          <w:bottom w:w="15" w:type="dxa"/>
          <w:right w:w="15" w:type="dxa"/>
        </w:tblCellMar>
        <w:tblLook w:val="04A0" w:firstRow="1" w:lastRow="0" w:firstColumn="1" w:lastColumn="0" w:noHBand="0" w:noVBand="1"/>
      </w:tblPr>
      <w:tblGrid>
        <w:gridCol w:w="418"/>
        <w:gridCol w:w="318"/>
        <w:gridCol w:w="7570"/>
      </w:tblGrid>
      <w:tr w:rsidR="00000000">
        <w:trPr>
          <w:divId w:val="2079665476"/>
        </w:trPr>
        <w:tc>
          <w:tcPr>
            <w:tcW w:w="418" w:type="dxa"/>
            <w:vAlign w:val="center"/>
            <w:hideMark/>
          </w:tcPr>
          <w:p w:rsidR="00000000" w:rsidRDefault="008B747E">
            <w:pPr>
              <w:ind w:hanging="360"/>
              <w:rPr>
                <w:rFonts w:ascii="Times" w:eastAsia="Times New Roman" w:hAnsi="Times"/>
                <w:sz w:val="20"/>
                <w:szCs w:val="20"/>
              </w:rPr>
            </w:pPr>
          </w:p>
        </w:tc>
        <w:tc>
          <w:tcPr>
            <w:tcW w:w="302"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Compliance with other applicable FDA and other regulatory requirements in the US or other fore</w:t>
            </w:r>
            <w:r>
              <w:rPr>
                <w:rFonts w:ascii="Times" w:eastAsia="Times New Roman" w:hAnsi="Times"/>
                <w:color w:val="000000"/>
                <w:sz w:val="20"/>
                <w:szCs w:val="20"/>
              </w:rPr>
              <w:t>ign jurisdictions, including those described elsewhere in this report;</w:t>
            </w:r>
          </w:p>
        </w:tc>
      </w:tr>
    </w:tbl>
    <w:p w:rsidR="00000000" w:rsidRDefault="008B747E">
      <w:pPr>
        <w:spacing w:after="240"/>
        <w:ind w:left="418" w:hanging="360"/>
        <w:divId w:val="1001738118"/>
        <w:rPr>
          <w:rFonts w:ascii="Times" w:eastAsia="Times New Roman" w:hAnsi="Times"/>
          <w:sz w:val="20"/>
          <w:szCs w:val="20"/>
        </w:rPr>
      </w:pPr>
      <w:r>
        <w:rPr>
          <w:rFonts w:eastAsia="Times New Roman"/>
          <w:sz w:val="20"/>
          <w:szCs w:val="20"/>
        </w:rPr>
        <w:t>●</w:t>
      </w:r>
      <w:r>
        <w:rPr>
          <w:rFonts w:ascii="Times" w:eastAsia="Times New Roman" w:hAnsi="Times"/>
          <w:sz w:val="20"/>
          <w:szCs w:val="20"/>
        </w:rPr>
        <w:t>Competition, whether from current competitors or new products developed by others in the future;</w:t>
      </w:r>
    </w:p>
    <w:p w:rsidR="00000000" w:rsidRDefault="008B747E">
      <w:pPr>
        <w:spacing w:after="240"/>
        <w:ind w:left="418" w:hanging="360"/>
        <w:divId w:val="1982733602"/>
        <w:rPr>
          <w:rFonts w:ascii="Times" w:eastAsia="Times New Roman" w:hAnsi="Times"/>
          <w:sz w:val="20"/>
          <w:szCs w:val="20"/>
        </w:rPr>
      </w:pPr>
      <w:r>
        <w:rPr>
          <w:rFonts w:eastAsia="Times New Roman"/>
          <w:sz w:val="20"/>
          <w:szCs w:val="20"/>
        </w:rPr>
        <w:t>●</w:t>
      </w:r>
      <w:r>
        <w:rPr>
          <w:rFonts w:ascii="Times" w:eastAsia="Times New Roman" w:hAnsi="Times"/>
          <w:sz w:val="20"/>
          <w:szCs w:val="20"/>
        </w:rPr>
        <w:t>Claims relating to intellectual property;</w:t>
      </w:r>
    </w:p>
    <w:p w:rsidR="00000000" w:rsidRDefault="008B747E">
      <w:pPr>
        <w:spacing w:after="240"/>
        <w:ind w:left="418" w:hanging="360"/>
        <w:divId w:val="550730874"/>
        <w:rPr>
          <w:rFonts w:ascii="Times" w:eastAsia="Times New Roman" w:hAnsi="Times"/>
          <w:sz w:val="20"/>
          <w:szCs w:val="20"/>
        </w:rPr>
      </w:pPr>
      <w:r>
        <w:rPr>
          <w:rFonts w:eastAsia="Times New Roman"/>
          <w:sz w:val="20"/>
          <w:szCs w:val="20"/>
        </w:rPr>
        <w:t>●</w:t>
      </w:r>
      <w:r>
        <w:rPr>
          <w:rFonts w:ascii="Times" w:eastAsia="Times New Roman" w:hAnsi="Times"/>
          <w:sz w:val="20"/>
          <w:szCs w:val="20"/>
        </w:rPr>
        <w:t>Any future disruptions in GSK’s business w</w:t>
      </w:r>
      <w:r>
        <w:rPr>
          <w:rFonts w:ascii="Times" w:eastAsia="Times New Roman" w:hAnsi="Times"/>
          <w:sz w:val="20"/>
          <w:szCs w:val="20"/>
        </w:rPr>
        <w:t>hich would affect its ability to commercialize the product;</w:t>
      </w:r>
    </w:p>
    <w:tbl>
      <w:tblPr>
        <w:tblW w:w="5000" w:type="pct"/>
        <w:tblCellMar>
          <w:top w:w="15" w:type="dxa"/>
          <w:left w:w="15" w:type="dxa"/>
          <w:bottom w:w="15" w:type="dxa"/>
          <w:right w:w="15" w:type="dxa"/>
        </w:tblCellMar>
        <w:tblLook w:val="04A0" w:firstRow="1" w:lastRow="0" w:firstColumn="1" w:lastColumn="0" w:noHBand="0" w:noVBand="1"/>
      </w:tblPr>
      <w:tblGrid>
        <w:gridCol w:w="418"/>
        <w:gridCol w:w="318"/>
        <w:gridCol w:w="7570"/>
      </w:tblGrid>
      <w:tr w:rsidR="00000000">
        <w:trPr>
          <w:divId w:val="2079665476"/>
        </w:trPr>
        <w:tc>
          <w:tcPr>
            <w:tcW w:w="418" w:type="dxa"/>
            <w:vAlign w:val="center"/>
            <w:hideMark/>
          </w:tcPr>
          <w:p w:rsidR="00000000" w:rsidRDefault="008B747E">
            <w:pPr>
              <w:ind w:hanging="360"/>
              <w:rPr>
                <w:rFonts w:ascii="Times" w:eastAsia="Times New Roman" w:hAnsi="Times"/>
                <w:sz w:val="20"/>
                <w:szCs w:val="20"/>
              </w:rPr>
            </w:pPr>
          </w:p>
        </w:tc>
        <w:tc>
          <w:tcPr>
            <w:tcW w:w="302"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The ability of TRELEGY ELLIPTA to achieve wider acceptance among physicians, patients, third-party payors, or the medical community in general;</w:t>
            </w:r>
          </w:p>
        </w:tc>
      </w:tr>
    </w:tbl>
    <w:p w:rsidR="00000000" w:rsidRDefault="008B747E">
      <w:pPr>
        <w:spacing w:after="240"/>
        <w:ind w:left="418" w:hanging="360"/>
        <w:divId w:val="1164517481"/>
        <w:rPr>
          <w:rFonts w:ascii="Times" w:eastAsia="Times New Roman" w:hAnsi="Times"/>
          <w:sz w:val="20"/>
          <w:szCs w:val="20"/>
        </w:rPr>
      </w:pPr>
      <w:r>
        <w:rPr>
          <w:rFonts w:eastAsia="Times New Roman"/>
          <w:sz w:val="20"/>
          <w:szCs w:val="20"/>
        </w:rPr>
        <w:t>●</w:t>
      </w:r>
      <w:r>
        <w:rPr>
          <w:rFonts w:ascii="Times" w:eastAsia="Times New Roman" w:hAnsi="Times"/>
          <w:sz w:val="20"/>
          <w:szCs w:val="20"/>
        </w:rPr>
        <w:t>Global economic conditions; and</w:t>
      </w:r>
    </w:p>
    <w:p w:rsidR="00000000" w:rsidRDefault="008B747E">
      <w:pPr>
        <w:ind w:left="418" w:hanging="360"/>
        <w:divId w:val="1861814819"/>
        <w:rPr>
          <w:rFonts w:ascii="Times" w:eastAsia="Times New Roman" w:hAnsi="Times"/>
          <w:sz w:val="20"/>
          <w:szCs w:val="20"/>
        </w:rPr>
      </w:pPr>
      <w:r>
        <w:rPr>
          <w:rFonts w:eastAsia="Times New Roman"/>
          <w:sz w:val="20"/>
          <w:szCs w:val="20"/>
        </w:rPr>
        <w:t>●</w:t>
      </w:r>
      <w:r>
        <w:rPr>
          <w:rFonts w:ascii="Times" w:eastAsia="Times New Roman" w:hAnsi="Times"/>
          <w:sz w:val="20"/>
          <w:szCs w:val="20"/>
        </w:rPr>
        <w:t>Any of the oth</w:t>
      </w:r>
      <w:r>
        <w:rPr>
          <w:rFonts w:ascii="Times" w:eastAsia="Times New Roman" w:hAnsi="Times"/>
          <w:sz w:val="20"/>
          <w:szCs w:val="20"/>
        </w:rPr>
        <w:t>er risks relating to commercialization of products described elsewhere in this section.</w:t>
      </w:r>
    </w:p>
    <w:p w:rsidR="00000000" w:rsidRDefault="008B747E">
      <w:pPr>
        <w:pStyle w:val="a3"/>
        <w:spacing w:before="0" w:beforeAutospacing="0" w:after="0" w:afterAutospacing="0"/>
        <w:ind w:firstLine="720"/>
        <w:divId w:val="2079665476"/>
        <w:rPr>
          <w:sz w:val="20"/>
          <w:szCs w:val="20"/>
        </w:rPr>
      </w:pPr>
      <w:r>
        <w:rPr>
          <w:sz w:val="20"/>
          <w:szCs w:val="20"/>
        </w:rPr>
        <w:t>​</w:t>
      </w:r>
    </w:p>
    <w:p w:rsidR="00000000" w:rsidRDefault="008B747E">
      <w:pPr>
        <w:pStyle w:val="a3"/>
        <w:spacing w:before="360" w:beforeAutospacing="0" w:after="0" w:afterAutospacing="0"/>
        <w:jc w:val="center"/>
        <w:divId w:val="327057069"/>
        <w:rPr>
          <w:sz w:val="20"/>
          <w:szCs w:val="20"/>
        </w:rPr>
      </w:pPr>
      <w:r>
        <w:rPr>
          <w:sz w:val="20"/>
          <w:szCs w:val="20"/>
        </w:rPr>
        <w:t>41</w:t>
      </w:r>
    </w:p>
    <w:p w:rsidR="00000000" w:rsidRDefault="008B747E">
      <w:pPr>
        <w:pStyle w:val="a3"/>
        <w:spacing w:before="0" w:beforeAutospacing="0" w:after="600" w:afterAutospacing="0"/>
        <w:divId w:val="928973362"/>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ind w:firstLine="720"/>
        <w:divId w:val="427775069"/>
        <w:rPr>
          <w:sz w:val="20"/>
          <w:szCs w:val="20"/>
        </w:rPr>
      </w:pPr>
      <w:r>
        <w:rPr>
          <w:sz w:val="20"/>
          <w:szCs w:val="20"/>
        </w:rPr>
        <w:t xml:space="preserve">If GSK is unable to address these risks and uncertainties, the amount of future royalties or other revenues we may receive from sales of TRELEGY ELLIPTA could be materially affected, which could have a material adverse effect on our future revenues, other </w:t>
      </w:r>
      <w:r>
        <w:rPr>
          <w:sz w:val="20"/>
          <w:szCs w:val="20"/>
        </w:rPr>
        <w:t>financial results and our financial position.</w:t>
      </w:r>
    </w:p>
    <w:p w:rsidR="00000000" w:rsidRDefault="008B747E">
      <w:pPr>
        <w:pStyle w:val="a3"/>
        <w:spacing w:before="0" w:beforeAutospacing="0" w:after="0" w:afterAutospacing="0"/>
        <w:divId w:val="427775069"/>
        <w:rPr>
          <w:sz w:val="20"/>
          <w:szCs w:val="20"/>
        </w:rPr>
      </w:pPr>
      <w:r>
        <w:rPr>
          <w:sz w:val="20"/>
          <w:szCs w:val="20"/>
        </w:rPr>
        <w:t>​</w:t>
      </w:r>
    </w:p>
    <w:p w:rsidR="00000000" w:rsidRDefault="008B747E">
      <w:pPr>
        <w:pStyle w:val="a3"/>
        <w:spacing w:before="0" w:beforeAutospacing="0" w:after="120" w:afterAutospacing="0"/>
        <w:divId w:val="427775069"/>
        <w:rPr>
          <w:rFonts w:ascii="Times" w:hAnsi="Times"/>
          <w:b/>
          <w:bCs/>
          <w:i/>
          <w:iCs/>
          <w:sz w:val="20"/>
          <w:szCs w:val="20"/>
        </w:rPr>
      </w:pPr>
      <w:r>
        <w:rPr>
          <w:rFonts w:ascii="Times" w:hAnsi="Times"/>
          <w:b/>
          <w:bCs/>
          <w:i/>
          <w:iCs/>
          <w:sz w:val="20"/>
          <w:szCs w:val="20"/>
        </w:rPr>
        <w:t>Our ongoing drug discovery and development efforts might not generate additional successful product candidates or approvable drugs.</w:t>
      </w:r>
      <w:r>
        <w:rPr>
          <w:rFonts w:ascii="Times" w:hAnsi="Times"/>
          <w:b/>
          <w:bCs/>
          <w:i/>
          <w:iCs/>
          <w:sz w:val="20"/>
          <w:szCs w:val="20"/>
        </w:rPr>
        <w:t xml:space="preserve"> </w:t>
      </w:r>
    </w:p>
    <w:p w:rsidR="00000000" w:rsidRDefault="008B747E">
      <w:pPr>
        <w:pStyle w:val="a3"/>
        <w:spacing w:before="0" w:beforeAutospacing="0" w:after="0" w:afterAutospacing="0"/>
        <w:ind w:firstLine="720"/>
        <w:divId w:val="427775069"/>
        <w:rPr>
          <w:rFonts w:ascii="Times" w:hAnsi="Times"/>
          <w:sz w:val="20"/>
          <w:szCs w:val="20"/>
        </w:rPr>
      </w:pPr>
      <w:r>
        <w:rPr>
          <w:rFonts w:ascii="Times" w:hAnsi="Times"/>
          <w:sz w:val="20"/>
          <w:szCs w:val="20"/>
        </w:rPr>
        <w:t>Our compounds in clinical trials and our future leads for potential drug co</w:t>
      </w:r>
      <w:r>
        <w:rPr>
          <w:rFonts w:ascii="Times" w:hAnsi="Times"/>
          <w:sz w:val="20"/>
          <w:szCs w:val="20"/>
        </w:rPr>
        <w:t>mpounds are subject to the risks and failures inherent in the development of pharmaceutical products. These risks include, but are not limited to, the inherent difficulty in selecting the right drug and drug target and avoiding unwanted side effects, as we</w:t>
      </w:r>
      <w:r>
        <w:rPr>
          <w:rFonts w:ascii="Times" w:hAnsi="Times"/>
          <w:sz w:val="20"/>
          <w:szCs w:val="20"/>
        </w:rPr>
        <w:t>ll as unanticipated problems relating to product development, testing, enrollment, obtaining regulatory approvals, maintaining regulatory compliance, manufacturing, competition and costs and expenses that may exceed current estimates.</w:t>
      </w:r>
      <w:r>
        <w:rPr>
          <w:rFonts w:ascii="Times" w:hAnsi="Times"/>
          <w:sz w:val="20"/>
          <w:szCs w:val="20"/>
        </w:rPr>
        <w:t xml:space="preserve"> </w:t>
      </w:r>
    </w:p>
    <w:p w:rsidR="00000000" w:rsidRDefault="008B747E">
      <w:pPr>
        <w:pStyle w:val="a3"/>
        <w:spacing w:before="0" w:beforeAutospacing="0" w:after="0" w:afterAutospacing="0"/>
        <w:ind w:firstLine="720"/>
        <w:divId w:val="427775069"/>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427775069"/>
        <w:rPr>
          <w:rFonts w:ascii="Times" w:hAnsi="Times"/>
          <w:sz w:val="20"/>
          <w:szCs w:val="20"/>
        </w:rPr>
      </w:pPr>
      <w:r>
        <w:rPr>
          <w:rFonts w:ascii="Times" w:hAnsi="Times"/>
          <w:sz w:val="20"/>
          <w:szCs w:val="20"/>
        </w:rPr>
        <w:t>Clinical studies i</w:t>
      </w:r>
      <w:r>
        <w:rPr>
          <w:rFonts w:ascii="Times" w:hAnsi="Times"/>
          <w:sz w:val="20"/>
          <w:szCs w:val="20"/>
        </w:rPr>
        <w:t>nvolving our product candidates may reveal that those candidates are ineffective, inferior to existing approved medicines, unacceptably toxic, or that they have other unacceptable side effects. In addition, the results of preclinical studies do not necessa</w:t>
      </w:r>
      <w:r>
        <w:rPr>
          <w:rFonts w:ascii="Times" w:hAnsi="Times"/>
          <w:sz w:val="20"/>
          <w:szCs w:val="20"/>
        </w:rPr>
        <w:t>rily predict clinical success, and larger and later-stage clinical studies may not produce the same results as earlier-stage clinical studies.</w:t>
      </w:r>
      <w:r>
        <w:rPr>
          <w:rFonts w:ascii="Times" w:hAnsi="Times"/>
          <w:sz w:val="20"/>
          <w:szCs w:val="20"/>
        </w:rPr>
        <w:t xml:space="preserve"> </w:t>
      </w:r>
    </w:p>
    <w:p w:rsidR="00000000" w:rsidRDefault="008B747E">
      <w:pPr>
        <w:pStyle w:val="a3"/>
        <w:spacing w:before="0" w:beforeAutospacing="0" w:after="0" w:afterAutospacing="0"/>
        <w:ind w:firstLine="720"/>
        <w:divId w:val="427775069"/>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427775069"/>
        <w:rPr>
          <w:rFonts w:ascii="Times" w:hAnsi="Times"/>
          <w:sz w:val="20"/>
          <w:szCs w:val="20"/>
        </w:rPr>
      </w:pPr>
      <w:r>
        <w:rPr>
          <w:rFonts w:ascii="Times" w:hAnsi="Times"/>
          <w:sz w:val="20"/>
          <w:szCs w:val="20"/>
        </w:rPr>
        <w:t>Frequently, product candidates that have shown promising results in early preclinical or clinical studies have</w:t>
      </w:r>
      <w:r>
        <w:rPr>
          <w:rFonts w:ascii="Times" w:hAnsi="Times"/>
          <w:sz w:val="20"/>
          <w:szCs w:val="20"/>
        </w:rPr>
        <w:t xml:space="preserve"> subsequently suffered significant setbacks or failed in later non-clinical or clinical studies. In some instances, there can be significant variability in safety and/or efficacy results between different trials of the same product candidate due to numerou</w:t>
      </w:r>
      <w:r>
        <w:rPr>
          <w:rFonts w:ascii="Times" w:hAnsi="Times"/>
          <w:sz w:val="20"/>
          <w:szCs w:val="20"/>
        </w:rPr>
        <w:t>s factors, including changes in trial protocols, differences in size and type of the patient populations, varying levels of adherence to the dosing regimen and other trial protocols and the rate of dropout among clinical trial participants. Clinical and no</w:t>
      </w:r>
      <w:r>
        <w:rPr>
          <w:rFonts w:ascii="Times" w:hAnsi="Times"/>
          <w:sz w:val="20"/>
          <w:szCs w:val="20"/>
        </w:rPr>
        <w:t>n-clinical studies of product candidates often reveal that it is not possible or practical to continue development efforts for these product candidates. In addition, the design of a clinical trial can determine whether its results will support regulatory a</w:t>
      </w:r>
      <w:r>
        <w:rPr>
          <w:rFonts w:ascii="Times" w:hAnsi="Times"/>
          <w:sz w:val="20"/>
          <w:szCs w:val="20"/>
        </w:rPr>
        <w:t>pproval and flaws in the design of a clinical trial may not become apparent until the clinical trial is well underway or completed. If our clinical studies for our current product candidates, such as the clinical studies for our JAK inhibitor program or am</w:t>
      </w:r>
      <w:r>
        <w:rPr>
          <w:rFonts w:ascii="Times" w:hAnsi="Times"/>
          <w:sz w:val="20"/>
          <w:szCs w:val="20"/>
        </w:rPr>
        <w:t>preloxetine in patients with nOH, are substantially delayed or suggest that any of our product candidates may not be efficacious or well tolerated, we could choose to cease development of these product candidates. In addition, our product candidates may ha</w:t>
      </w:r>
      <w:r>
        <w:rPr>
          <w:rFonts w:ascii="Times" w:hAnsi="Times"/>
          <w:sz w:val="20"/>
          <w:szCs w:val="20"/>
        </w:rPr>
        <w:t>ve undesirable side effects or other unexpected characteristics that could cause us or regulatory authorities to interrupt, delay or halt clinical trials and could result in a more restricted label or the delay or denial of regulatory approval by regulator</w:t>
      </w:r>
      <w:r>
        <w:rPr>
          <w:rFonts w:ascii="Times" w:hAnsi="Times"/>
          <w:sz w:val="20"/>
          <w:szCs w:val="20"/>
        </w:rPr>
        <w:t>y authorities.</w:t>
      </w:r>
      <w:r>
        <w:rPr>
          <w:rFonts w:ascii="Times" w:hAnsi="Times"/>
          <w:sz w:val="20"/>
          <w:szCs w:val="20"/>
        </w:rPr>
        <w:t xml:space="preserve"> </w:t>
      </w:r>
    </w:p>
    <w:p w:rsidR="00000000" w:rsidRDefault="008B747E">
      <w:pPr>
        <w:pStyle w:val="a3"/>
        <w:spacing w:before="0" w:beforeAutospacing="0" w:after="0" w:afterAutospacing="0"/>
        <w:divId w:val="427775069"/>
        <w:rPr>
          <w:sz w:val="20"/>
          <w:szCs w:val="20"/>
        </w:rPr>
      </w:pPr>
      <w:r>
        <w:rPr>
          <w:sz w:val="20"/>
          <w:szCs w:val="20"/>
        </w:rPr>
        <w:t>​</w:t>
      </w:r>
    </w:p>
    <w:p w:rsidR="00000000" w:rsidRDefault="008B747E">
      <w:pPr>
        <w:pStyle w:val="a3"/>
        <w:spacing w:before="0" w:beforeAutospacing="0" w:after="120" w:afterAutospacing="0"/>
        <w:divId w:val="427775069"/>
        <w:rPr>
          <w:rFonts w:ascii="Times" w:hAnsi="Times"/>
          <w:b/>
          <w:bCs/>
          <w:i/>
          <w:iCs/>
          <w:sz w:val="20"/>
          <w:szCs w:val="20"/>
        </w:rPr>
      </w:pPr>
      <w:r>
        <w:rPr>
          <w:rFonts w:ascii="Times" w:hAnsi="Times"/>
          <w:b/>
          <w:bCs/>
          <w:i/>
          <w:iCs/>
          <w:sz w:val="20"/>
          <w:szCs w:val="20"/>
        </w:rPr>
        <w:t>We face substantial competition from companies with more resources and experience than we have, which may result in others discovering, developing, receiving approval for or commercializing products before or more successfully than we do.</w:t>
      </w:r>
      <w:r>
        <w:rPr>
          <w:rFonts w:ascii="Times" w:hAnsi="Times"/>
          <w:b/>
          <w:bCs/>
          <w:i/>
          <w:iCs/>
          <w:sz w:val="20"/>
          <w:szCs w:val="20"/>
        </w:rPr>
        <w:t xml:space="preserve"> </w:t>
      </w:r>
    </w:p>
    <w:p w:rsidR="00000000" w:rsidRDefault="008B747E">
      <w:pPr>
        <w:pStyle w:val="a3"/>
        <w:spacing w:before="0" w:beforeAutospacing="0" w:after="0" w:afterAutospacing="0"/>
        <w:ind w:firstLine="720"/>
        <w:divId w:val="427775069"/>
        <w:rPr>
          <w:rFonts w:ascii="Times" w:hAnsi="Times"/>
          <w:sz w:val="20"/>
          <w:szCs w:val="20"/>
        </w:rPr>
      </w:pPr>
      <w:r>
        <w:rPr>
          <w:rFonts w:ascii="Times" w:hAnsi="Times"/>
          <w:sz w:val="20"/>
          <w:szCs w:val="20"/>
        </w:rPr>
        <w:t>Our ability to succeed in the future depends on our ability to demonstrate and maintain a competitive advantage with respect to our approach to the discovery, development and commercialization of medicines. Our objective is to discover, develop and comme</w:t>
      </w:r>
      <w:r>
        <w:rPr>
          <w:rFonts w:ascii="Times" w:hAnsi="Times"/>
          <w:sz w:val="20"/>
          <w:szCs w:val="20"/>
        </w:rPr>
        <w:t>rcialize new small molecule medicines with superior efficacy, convenience, tolerability and/or safety using our proprietary insight in chemistry, biology and multivalency, where applicable. We expect that any medicines that we commercialize with or without</w:t>
      </w:r>
      <w:r>
        <w:rPr>
          <w:rFonts w:ascii="Times" w:hAnsi="Times"/>
          <w:sz w:val="20"/>
          <w:szCs w:val="20"/>
        </w:rPr>
        <w:t xml:space="preserve"> our collaborative partners will compete with existing or future market-leading medicines.</w:t>
      </w:r>
      <w:r>
        <w:rPr>
          <w:rFonts w:ascii="Times" w:hAnsi="Times"/>
          <w:sz w:val="20"/>
          <w:szCs w:val="20"/>
        </w:rPr>
        <w:t xml:space="preserve"> </w:t>
      </w:r>
    </w:p>
    <w:p w:rsidR="00000000" w:rsidRDefault="008B747E">
      <w:pPr>
        <w:pStyle w:val="a3"/>
        <w:spacing w:before="0" w:beforeAutospacing="0" w:after="0" w:afterAutospacing="0"/>
        <w:divId w:val="427775069"/>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427775069"/>
        <w:rPr>
          <w:rFonts w:ascii="Times" w:hAnsi="Times"/>
          <w:sz w:val="20"/>
          <w:szCs w:val="20"/>
        </w:rPr>
      </w:pPr>
      <w:r>
        <w:rPr>
          <w:rFonts w:ascii="Times" w:hAnsi="Times"/>
          <w:sz w:val="20"/>
          <w:szCs w:val="20"/>
        </w:rPr>
        <w:t>Many of our current and potential competitors have substantially greater financial, technical and personnel resources than we have. In addition, many of these com</w:t>
      </w:r>
      <w:r>
        <w:rPr>
          <w:rFonts w:ascii="Times" w:hAnsi="Times"/>
          <w:sz w:val="20"/>
          <w:szCs w:val="20"/>
        </w:rPr>
        <w:t>petitors have significantly greater commercial infrastructures than we have. Our ability to compete successfully will depend largely on our ability to leverage our experience in drug discovery and development, and, more recently, commercialization, to:</w:t>
      </w:r>
    </w:p>
    <w:p w:rsidR="00000000" w:rsidRDefault="008B747E">
      <w:pPr>
        <w:pStyle w:val="a3"/>
        <w:spacing w:before="0" w:beforeAutospacing="0" w:after="0" w:afterAutospacing="0"/>
        <w:ind w:firstLine="720"/>
        <w:divId w:val="427775069"/>
        <w:rPr>
          <w:rFonts w:ascii="Times" w:hAnsi="Times"/>
          <w:sz w:val="20"/>
          <w:szCs w:val="20"/>
        </w:rPr>
      </w:pPr>
      <w:r>
        <w:rPr>
          <w:rFonts w:ascii="Times" w:hAnsi="Time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27775069"/>
        </w:trPr>
        <w:tc>
          <w:tcPr>
            <w:tcW w:w="720" w:type="dxa"/>
            <w:vAlign w:val="center"/>
            <w:hideMark/>
          </w:tcPr>
          <w:p w:rsidR="00000000" w:rsidRDefault="008B747E">
            <w:pPr>
              <w:rPr>
                <w:rFonts w:ascii="Times" w:hAnsi="Times"/>
                <w:sz w:val="20"/>
                <w:szCs w:val="20"/>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rPr>
                <w:rFonts w:ascii="Times" w:eastAsia="Times New Roman" w:hAnsi="Times"/>
                <w:sz w:val="20"/>
                <w:szCs w:val="20"/>
              </w:rPr>
            </w:pPr>
            <w:r>
              <w:rPr>
                <w:rFonts w:ascii="Times" w:eastAsia="Times New Roman" w:hAnsi="Times"/>
                <w:color w:val="000000"/>
                <w:sz w:val="20"/>
                <w:szCs w:val="20"/>
              </w:rPr>
              <w:t>discover and develop medicines that are superior to other products in the market;</w:t>
            </w:r>
            <w:r>
              <w:rPr>
                <w:rFonts w:ascii="Times" w:eastAsia="Times New Roman" w:hAnsi="Times"/>
                <w:color w:val="000000"/>
                <w:sz w:val="20"/>
                <w:szCs w:val="20"/>
              </w:rPr>
              <w:t xml:space="preserve"> </w:t>
            </w:r>
          </w:p>
        </w:tc>
      </w:tr>
    </w:tbl>
    <w:p w:rsidR="00000000" w:rsidRDefault="008B747E">
      <w:pPr>
        <w:divId w:val="42777506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27775069"/>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attract and retain qualified personnel;</w:t>
            </w:r>
            <w:r>
              <w:rPr>
                <w:rFonts w:ascii="Times" w:eastAsia="Times New Roman" w:hAnsi="Times"/>
                <w:color w:val="000000"/>
                <w:sz w:val="20"/>
                <w:szCs w:val="20"/>
              </w:rPr>
              <w:t xml:space="preserve"> </w:t>
            </w:r>
          </w:p>
        </w:tc>
      </w:tr>
    </w:tbl>
    <w:p w:rsidR="00000000" w:rsidRDefault="008B747E">
      <w:pPr>
        <w:divId w:val="42777506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27775069"/>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obtain and enforce patent and/or other proprietary protection for our medicines and technologies;</w:t>
            </w:r>
            <w:r>
              <w:rPr>
                <w:rFonts w:ascii="Times" w:eastAsia="Times New Roman" w:hAnsi="Times"/>
                <w:color w:val="000000"/>
                <w:sz w:val="20"/>
                <w:szCs w:val="20"/>
              </w:rPr>
              <w:t xml:space="preserve"> </w:t>
            </w:r>
          </w:p>
        </w:tc>
      </w:tr>
    </w:tbl>
    <w:p w:rsidR="00000000" w:rsidRDefault="008B747E">
      <w:pPr>
        <w:divId w:val="42777506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427775069"/>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conduct effective clinical trials and obtain required regulatory approvals;</w:t>
            </w:r>
            <w:r>
              <w:rPr>
                <w:rFonts w:ascii="Times" w:eastAsia="Times New Roman" w:hAnsi="Times"/>
                <w:color w:val="000000"/>
                <w:sz w:val="20"/>
                <w:szCs w:val="20"/>
              </w:rPr>
              <w:t xml:space="preserve"> </w:t>
            </w:r>
          </w:p>
        </w:tc>
      </w:tr>
    </w:tbl>
    <w:p w:rsidR="00000000" w:rsidRDefault="008B747E">
      <w:pPr>
        <w:pStyle w:val="a3"/>
        <w:spacing w:before="360" w:beforeAutospacing="0" w:after="0" w:afterAutospacing="0"/>
        <w:jc w:val="center"/>
        <w:divId w:val="248389289"/>
        <w:rPr>
          <w:sz w:val="20"/>
          <w:szCs w:val="20"/>
        </w:rPr>
      </w:pPr>
      <w:r>
        <w:rPr>
          <w:sz w:val="20"/>
          <w:szCs w:val="20"/>
        </w:rPr>
        <w:t>42</w:t>
      </w:r>
    </w:p>
    <w:p w:rsidR="00000000" w:rsidRDefault="008B747E">
      <w:pPr>
        <w:pStyle w:val="a3"/>
        <w:spacing w:before="0" w:beforeAutospacing="0" w:after="600" w:afterAutospacing="0"/>
        <w:divId w:val="597450512"/>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7227133"/>
        </w:trPr>
        <w:tc>
          <w:tcPr>
            <w:tcW w:w="720" w:type="dxa"/>
            <w:vAlign w:val="center"/>
            <w:hideMark/>
          </w:tcPr>
          <w:p w:rsidR="00000000" w:rsidRDefault="008B747E">
            <w:pPr>
              <w:rPr>
                <w:sz w:val="20"/>
                <w:szCs w:val="20"/>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develop and effectively implement commercialization strategies, with or without collaborative partners; and</w:t>
            </w:r>
            <w:r>
              <w:rPr>
                <w:rFonts w:ascii="Times" w:eastAsia="Times New Roman" w:hAnsi="Times"/>
                <w:color w:val="000000"/>
                <w:sz w:val="20"/>
                <w:szCs w:val="20"/>
              </w:rPr>
              <w:t xml:space="preserve"> </w:t>
            </w:r>
          </w:p>
        </w:tc>
      </w:tr>
    </w:tbl>
    <w:p w:rsidR="00000000" w:rsidRDefault="008B747E">
      <w:pPr>
        <w:divId w:val="18572271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857227133"/>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rPr>
                <w:rFonts w:ascii="Times" w:eastAsia="Times New Roman" w:hAnsi="Times"/>
                <w:sz w:val="20"/>
                <w:szCs w:val="20"/>
              </w:rPr>
            </w:pPr>
            <w:r>
              <w:rPr>
                <w:rFonts w:ascii="Times" w:eastAsia="Times New Roman" w:hAnsi="Times"/>
                <w:color w:val="000000"/>
                <w:sz w:val="20"/>
                <w:szCs w:val="20"/>
              </w:rPr>
              <w:t>successfully collaborate with pharmaceutical companies in the discovery, development and commercialization of new medicines.</w:t>
            </w:r>
            <w:r>
              <w:rPr>
                <w:rFonts w:ascii="Times" w:eastAsia="Times New Roman" w:hAnsi="Times"/>
                <w:color w:val="000000"/>
                <w:sz w:val="20"/>
                <w:szCs w:val="20"/>
              </w:rPr>
              <w:t xml:space="preserve"> </w:t>
            </w:r>
          </w:p>
        </w:tc>
      </w:tr>
    </w:tbl>
    <w:p w:rsidR="00000000" w:rsidRDefault="008B747E">
      <w:pPr>
        <w:pStyle w:val="a3"/>
        <w:spacing w:before="0" w:beforeAutospacing="0" w:after="0" w:afterAutospacing="0"/>
        <w:ind w:firstLine="720"/>
        <w:divId w:val="1857227133"/>
        <w:rPr>
          <w:rFonts w:ascii="Times" w:hAnsi="Times"/>
          <w:sz w:val="20"/>
          <w:szCs w:val="20"/>
        </w:rPr>
      </w:pPr>
      <w:r>
        <w:rPr>
          <w:rFonts w:ascii="Times" w:hAnsi="Times"/>
          <w:sz w:val="20"/>
          <w:szCs w:val="20"/>
        </w:rPr>
        <w:t>Pharmaceutical companies, including companies with which we collaborate, may invest heavily to quickly discover and develop or in</w:t>
      </w:r>
      <w:r>
        <w:rPr>
          <w:rFonts w:ascii="Times" w:hAnsi="Times"/>
          <w:sz w:val="20"/>
          <w:szCs w:val="20"/>
        </w:rPr>
        <w:t>-license novel compounds that could make our product candidates obsolete. Accordingly, our competitors may succeed in obtaining patent protection, receiving FDA or equivalent regulatory approval outside the US or discovering, developing and commercializing</w:t>
      </w:r>
      <w:r>
        <w:rPr>
          <w:rFonts w:ascii="Times" w:hAnsi="Times"/>
          <w:sz w:val="20"/>
          <w:szCs w:val="20"/>
        </w:rPr>
        <w:t xml:space="preserve"> medicines before we do. Other companies are engaged in the discovery of medicines that would compete with the product candidates that we are developing.</w:t>
      </w:r>
      <w:r>
        <w:rPr>
          <w:rFonts w:ascii="Times" w:hAnsi="Times"/>
          <w:sz w:val="20"/>
          <w:szCs w:val="20"/>
        </w:rPr>
        <w:t xml:space="preserve"> </w:t>
      </w:r>
    </w:p>
    <w:p w:rsidR="00000000" w:rsidRDefault="008B747E">
      <w:pPr>
        <w:pStyle w:val="a3"/>
        <w:spacing w:before="0" w:beforeAutospacing="0" w:after="0" w:afterAutospacing="0"/>
        <w:ind w:firstLine="720"/>
        <w:divId w:val="1857227133"/>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1857227133"/>
        <w:rPr>
          <w:rFonts w:ascii="Times" w:hAnsi="Times"/>
          <w:sz w:val="20"/>
          <w:szCs w:val="20"/>
        </w:rPr>
      </w:pPr>
      <w:r>
        <w:rPr>
          <w:rFonts w:ascii="Times" w:hAnsi="Times"/>
          <w:sz w:val="20"/>
          <w:szCs w:val="20"/>
        </w:rPr>
        <w:t>Any new medicine that competes with a generic or proprietary market leading medicine must demonstra</w:t>
      </w:r>
      <w:r>
        <w:rPr>
          <w:rFonts w:ascii="Times" w:hAnsi="Times"/>
          <w:sz w:val="20"/>
          <w:szCs w:val="20"/>
        </w:rPr>
        <w:t>te compelling advantages in efficacy, convenience, tolerability and/or safety in order to overcome severe price competition and be commercially successful. For example, YUPELRI competes predominantly with short-acting nebulized bronchodilators used three t</w:t>
      </w:r>
      <w:r>
        <w:rPr>
          <w:rFonts w:ascii="Times" w:hAnsi="Times"/>
          <w:sz w:val="20"/>
          <w:szCs w:val="20"/>
        </w:rPr>
        <w:t>o four times per day and the nebulized LAMA Lonhala</w:t>
      </w:r>
      <w:r>
        <w:rPr>
          <w:rFonts w:ascii="Times" w:hAnsi="Times"/>
          <w:sz w:val="15"/>
          <w:szCs w:val="15"/>
          <w:vertAlign w:val="superscript"/>
        </w:rPr>
        <w:t>TM</w:t>
      </w:r>
      <w:r>
        <w:rPr>
          <w:rFonts w:ascii="Times" w:hAnsi="Times"/>
          <w:sz w:val="20"/>
          <w:szCs w:val="20"/>
        </w:rPr>
        <w:t xml:space="preserve"> </w:t>
      </w:r>
      <w:r>
        <w:rPr>
          <w:rFonts w:ascii="Times" w:hAnsi="Times"/>
          <w:sz w:val="20"/>
          <w:szCs w:val="20"/>
        </w:rPr>
        <w:t>Magnair</w:t>
      </w:r>
      <w:r>
        <w:rPr>
          <w:rFonts w:ascii="Times" w:hAnsi="Times"/>
          <w:sz w:val="15"/>
          <w:szCs w:val="15"/>
          <w:vertAlign w:val="superscript"/>
        </w:rPr>
        <w:t>TM</w:t>
      </w:r>
      <w:r>
        <w:rPr>
          <w:rFonts w:ascii="Times" w:hAnsi="Times"/>
          <w:sz w:val="20"/>
          <w:szCs w:val="20"/>
        </w:rPr>
        <w:t xml:space="preserve"> </w:t>
      </w:r>
      <w:r>
        <w:rPr>
          <w:rFonts w:ascii="Times" w:hAnsi="Times"/>
          <w:sz w:val="20"/>
          <w:szCs w:val="20"/>
        </w:rPr>
        <w:t>(SUN-101/eFlow®) used twice per day. If we are not able to compete effectively against our current and future competitors, our business will not grow, our financial condition and operations wi</w:t>
      </w:r>
      <w:r>
        <w:rPr>
          <w:rFonts w:ascii="Times" w:hAnsi="Times"/>
          <w:sz w:val="20"/>
          <w:szCs w:val="20"/>
        </w:rPr>
        <w:t>ll suffer and the price of our securities could fall.</w:t>
      </w:r>
      <w:r>
        <w:rPr>
          <w:rFonts w:ascii="Times" w:hAnsi="Times"/>
          <w:sz w:val="20"/>
          <w:szCs w:val="20"/>
        </w:rPr>
        <w:t xml:space="preserve"> </w:t>
      </w:r>
    </w:p>
    <w:p w:rsidR="00000000" w:rsidRDefault="008B747E">
      <w:pPr>
        <w:pStyle w:val="a3"/>
        <w:spacing w:before="0" w:beforeAutospacing="0" w:after="0" w:afterAutospacing="0"/>
        <w:ind w:firstLine="720"/>
        <w:divId w:val="1857227133"/>
        <w:rPr>
          <w:rFonts w:ascii="Times" w:hAnsi="Times"/>
          <w:sz w:val="20"/>
          <w:szCs w:val="20"/>
        </w:rPr>
      </w:pPr>
      <w:r>
        <w:rPr>
          <w:rFonts w:ascii="Times" w:hAnsi="Times"/>
          <w:sz w:val="20"/>
          <w:szCs w:val="20"/>
        </w:rPr>
        <w:t>​</w:t>
      </w:r>
    </w:p>
    <w:p w:rsidR="00000000" w:rsidRDefault="008B747E">
      <w:pPr>
        <w:pStyle w:val="a3"/>
        <w:spacing w:before="0" w:beforeAutospacing="0" w:after="120" w:afterAutospacing="0"/>
        <w:divId w:val="1857227133"/>
        <w:rPr>
          <w:rFonts w:ascii="Times" w:hAnsi="Times"/>
          <w:b/>
          <w:bCs/>
          <w:i/>
          <w:iCs/>
          <w:sz w:val="20"/>
          <w:szCs w:val="20"/>
        </w:rPr>
      </w:pPr>
      <w:r>
        <w:rPr>
          <w:rFonts w:ascii="Times" w:hAnsi="Times"/>
          <w:b/>
          <w:bCs/>
          <w:i/>
          <w:iCs/>
          <w:sz w:val="20"/>
          <w:szCs w:val="20"/>
        </w:rPr>
        <w:t>If we are unable to enter into future collaboration arrangements or if any such collaborations with third parties are unsuccessful, we will be unable to fully develop and commercialize all of our pro</w:t>
      </w:r>
      <w:r>
        <w:rPr>
          <w:rFonts w:ascii="Times" w:hAnsi="Times"/>
          <w:b/>
          <w:bCs/>
          <w:i/>
          <w:iCs/>
          <w:sz w:val="20"/>
          <w:szCs w:val="20"/>
        </w:rPr>
        <w:t>duct candidates and our business will be adversely affected.</w:t>
      </w:r>
      <w:r>
        <w:rPr>
          <w:rFonts w:ascii="Times" w:hAnsi="Times"/>
          <w:b/>
          <w:bCs/>
          <w:i/>
          <w:iCs/>
          <w:sz w:val="20"/>
          <w:szCs w:val="20"/>
        </w:rPr>
        <w:t xml:space="preserve"> </w:t>
      </w:r>
    </w:p>
    <w:p w:rsidR="00000000" w:rsidRDefault="008B747E">
      <w:pPr>
        <w:pStyle w:val="a3"/>
        <w:spacing w:before="0" w:beforeAutospacing="0" w:after="0" w:afterAutospacing="0"/>
        <w:ind w:firstLine="720"/>
        <w:divId w:val="1857227133"/>
        <w:rPr>
          <w:rFonts w:ascii="Times" w:hAnsi="Times"/>
          <w:sz w:val="20"/>
          <w:szCs w:val="20"/>
        </w:rPr>
      </w:pPr>
      <w:r>
        <w:rPr>
          <w:rFonts w:ascii="Times" w:hAnsi="Times"/>
          <w:sz w:val="20"/>
          <w:szCs w:val="20"/>
        </w:rPr>
        <w:t>We have collaborations with a number of third parties including Janssen for TD-1473 and related back-up compounds for inflammatory intestinal diseases, including ulcerative colitis and Crohn's d</w:t>
      </w:r>
      <w:r>
        <w:rPr>
          <w:rFonts w:ascii="Times" w:hAnsi="Times"/>
          <w:sz w:val="20"/>
          <w:szCs w:val="20"/>
        </w:rPr>
        <w:t>isease and Mylan for the development and commercialization of a nebulized formulation of revefenacin, our LAMA compound (including YUPELRI). Also, through our interest in TRC we may participate economically in Innoviva’s collaborations with GSK with respec</w:t>
      </w:r>
      <w:r>
        <w:rPr>
          <w:rFonts w:ascii="Times" w:hAnsi="Times"/>
          <w:sz w:val="20"/>
          <w:szCs w:val="20"/>
        </w:rPr>
        <w:t>t to the GSK-Partnered Respiratory Programs. Additional collaborations will likely be needed to fund later-stage development of certain programs that have not been licensed to a collaborator, such as our NEP inhibitor program, and to commercialize the prod</w:t>
      </w:r>
      <w:r>
        <w:rPr>
          <w:rFonts w:ascii="Times" w:hAnsi="Times"/>
          <w:sz w:val="20"/>
          <w:szCs w:val="20"/>
        </w:rPr>
        <w:t>uct candidates in our programs if approved by the necessary regulatory authorities. We evaluate commercial strategy on a product by product basis either to engage pharmaceutical or other healthcare companies with an existing sales and marketing organizatio</w:t>
      </w:r>
      <w:r>
        <w:rPr>
          <w:rFonts w:ascii="Times" w:hAnsi="Times"/>
          <w:sz w:val="20"/>
          <w:szCs w:val="20"/>
        </w:rPr>
        <w:t>n and distribution system to market, sell and distribute our products or to commercialize a product ourselves. However, we may not be able to establish these sales and distribution relationships on acceptable terms, or at all, or may encounter difficulties</w:t>
      </w:r>
      <w:r>
        <w:rPr>
          <w:rFonts w:ascii="Times" w:hAnsi="Times"/>
          <w:sz w:val="20"/>
          <w:szCs w:val="20"/>
        </w:rPr>
        <w:t xml:space="preserve"> in commercializing a product ourselves. For any of our product candidates that receive regulatory approval in the future and are not covered by our current collaboration agreements, we will need a partner in order to commercialize such products unless we </w:t>
      </w:r>
      <w:r>
        <w:rPr>
          <w:rFonts w:ascii="Times" w:hAnsi="Times"/>
          <w:sz w:val="20"/>
          <w:szCs w:val="20"/>
        </w:rPr>
        <w:t>establish independent sales, marketing and distribution capabilities with appropriate technical expertise and supporting infrastructure.</w:t>
      </w:r>
    </w:p>
    <w:p w:rsidR="00000000" w:rsidRDefault="008B747E">
      <w:pPr>
        <w:pStyle w:val="a3"/>
        <w:spacing w:before="0" w:beforeAutospacing="0" w:after="0" w:afterAutospacing="0"/>
        <w:ind w:firstLine="720"/>
        <w:divId w:val="1857227133"/>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1857227133"/>
        <w:rPr>
          <w:rFonts w:ascii="Times" w:hAnsi="Times"/>
          <w:sz w:val="20"/>
          <w:szCs w:val="20"/>
        </w:rPr>
      </w:pPr>
      <w:r>
        <w:rPr>
          <w:rFonts w:ascii="Times" w:hAnsi="Times"/>
          <w:sz w:val="20"/>
          <w:szCs w:val="20"/>
        </w:rPr>
        <w:t>Collaborations with third parties regarding our programs may require us to relinquish material rights, including reve</w:t>
      </w:r>
      <w:r>
        <w:rPr>
          <w:rFonts w:ascii="Times" w:hAnsi="Times"/>
          <w:sz w:val="20"/>
          <w:szCs w:val="20"/>
        </w:rPr>
        <w:t>nue from commercialization of our medicines, or to assume material ongoing development obligations that we would have to fund. These collaboration arrangements are complex and time-consuming to negotiate, and if we are unable to reach agreements with third</w:t>
      </w:r>
      <w:r>
        <w:rPr>
          <w:rFonts w:ascii="Times" w:hAnsi="Times"/>
          <w:sz w:val="20"/>
          <w:szCs w:val="20"/>
        </w:rPr>
        <w:t>-party collaborators, we may fail to meet our business objectives and our financial condition may be adversely affected. We face significant competition in seeking third-party collaborators. We may be unable to find third parties to pursue product collabor</w:t>
      </w:r>
      <w:r>
        <w:rPr>
          <w:rFonts w:ascii="Times" w:hAnsi="Times"/>
          <w:sz w:val="20"/>
          <w:szCs w:val="20"/>
        </w:rPr>
        <w:t>ations on a timely basis or on acceptable terms. Furthermore, for any collaboration, we may not be able to control the amount of time and resources that our partners devote to our product candidates and our partners may choose to prioritize alternative pro</w:t>
      </w:r>
      <w:r>
        <w:rPr>
          <w:rFonts w:ascii="Times" w:hAnsi="Times"/>
          <w:sz w:val="20"/>
          <w:szCs w:val="20"/>
        </w:rPr>
        <w:t>grams or otherwise be unsuccessful in their efforts with respect to our products or product candidates. In addition, effective collaboration with a partner requires coordination to achieve complex and detail-intensive goals between entities that potentiall</w:t>
      </w:r>
      <w:r>
        <w:rPr>
          <w:rFonts w:ascii="Times" w:hAnsi="Times"/>
          <w:sz w:val="20"/>
          <w:szCs w:val="20"/>
        </w:rPr>
        <w:t xml:space="preserve">y have different priorities, capabilities and processes and successful navigation of the challenges such coordination entails. For example, Mylan has a substantial existing product portfolio and other considerations that influence its resource allocation, </w:t>
      </w:r>
      <w:r>
        <w:rPr>
          <w:rFonts w:ascii="Times" w:hAnsi="Times"/>
          <w:sz w:val="20"/>
          <w:szCs w:val="20"/>
        </w:rPr>
        <w:t>and other priorities and internal organizational processes that differ from our own. As a result of these differing interests and processes, Mylan may take actions that it believes are in its best interest but which might not be in the best interests of ei</w:t>
      </w:r>
      <w:r>
        <w:rPr>
          <w:rFonts w:ascii="Times" w:hAnsi="Times"/>
          <w:sz w:val="20"/>
          <w:szCs w:val="20"/>
        </w:rPr>
        <w:t>ther us or our other shareholders. Our inability to successfully collaborate with third parties would increase our development costs and may cause us to choose not to continue development of certain product candidates, would limit the likelihood of success</w:t>
      </w:r>
      <w:r>
        <w:rPr>
          <w:rFonts w:ascii="Times" w:hAnsi="Times"/>
          <w:sz w:val="20"/>
          <w:szCs w:val="20"/>
        </w:rPr>
        <w:t>ful commercialization of some of our product candidates, may cause us not to continue commercialization of our authorized products and could cause the price of our securities to fall.</w:t>
      </w:r>
      <w:r>
        <w:rPr>
          <w:rFonts w:ascii="Times" w:hAnsi="Times"/>
          <w:sz w:val="20"/>
          <w:szCs w:val="20"/>
        </w:rPr>
        <w:t xml:space="preserve"> </w:t>
      </w:r>
    </w:p>
    <w:p w:rsidR="00000000" w:rsidRDefault="008B747E">
      <w:pPr>
        <w:pStyle w:val="a3"/>
        <w:spacing w:before="0" w:beforeAutospacing="0" w:after="0" w:afterAutospacing="0"/>
        <w:ind w:firstLine="720"/>
        <w:divId w:val="1857227133"/>
        <w:rPr>
          <w:rFonts w:ascii="Times" w:hAnsi="Times"/>
          <w:sz w:val="20"/>
          <w:szCs w:val="20"/>
        </w:rPr>
      </w:pPr>
      <w:r>
        <w:rPr>
          <w:rFonts w:ascii="Times" w:hAnsi="Times"/>
          <w:sz w:val="20"/>
          <w:szCs w:val="20"/>
        </w:rPr>
        <w:t>​</w:t>
      </w:r>
    </w:p>
    <w:p w:rsidR="00000000" w:rsidRDefault="008B747E">
      <w:pPr>
        <w:pStyle w:val="a3"/>
        <w:spacing w:before="360" w:beforeAutospacing="0" w:after="0" w:afterAutospacing="0"/>
        <w:jc w:val="center"/>
        <w:divId w:val="36635236"/>
        <w:rPr>
          <w:sz w:val="20"/>
          <w:szCs w:val="20"/>
        </w:rPr>
      </w:pPr>
      <w:r>
        <w:rPr>
          <w:sz w:val="20"/>
          <w:szCs w:val="20"/>
        </w:rPr>
        <w:t>43</w:t>
      </w:r>
    </w:p>
    <w:p w:rsidR="00000000" w:rsidRDefault="008B747E">
      <w:pPr>
        <w:pStyle w:val="a3"/>
        <w:spacing w:before="0" w:beforeAutospacing="0" w:after="600" w:afterAutospacing="0"/>
        <w:divId w:val="279453717"/>
        <w:rPr>
          <w:sz w:val="20"/>
          <w:szCs w:val="20"/>
        </w:rPr>
      </w:pPr>
      <w:hyperlink w:anchor="TOC" w:history="1">
        <w:r>
          <w:rPr>
            <w:rStyle w:val="a4"/>
            <w:sz w:val="20"/>
            <w:szCs w:val="20"/>
          </w:rPr>
          <w:t>Table of Contents</w:t>
        </w:r>
      </w:hyperlink>
    </w:p>
    <w:p w:rsidR="00000000" w:rsidRDefault="008B747E">
      <w:pPr>
        <w:pStyle w:val="a3"/>
        <w:spacing w:before="0" w:beforeAutospacing="0" w:after="120" w:afterAutospacing="0"/>
        <w:divId w:val="376517233"/>
        <w:rPr>
          <w:rFonts w:ascii="Times" w:hAnsi="Times"/>
          <w:b/>
          <w:bCs/>
          <w:i/>
          <w:iCs/>
          <w:sz w:val="20"/>
          <w:szCs w:val="20"/>
        </w:rPr>
      </w:pPr>
      <w:r>
        <w:rPr>
          <w:rFonts w:ascii="Times" w:hAnsi="Times"/>
          <w:b/>
          <w:bCs/>
          <w:i/>
          <w:iCs/>
          <w:sz w:val="20"/>
          <w:szCs w:val="20"/>
        </w:rPr>
        <w:t>We depend on third par</w:t>
      </w:r>
      <w:r>
        <w:rPr>
          <w:rFonts w:ascii="Times" w:hAnsi="Times"/>
          <w:b/>
          <w:bCs/>
          <w:i/>
          <w:iCs/>
          <w:sz w:val="20"/>
          <w:szCs w:val="20"/>
        </w:rPr>
        <w:t>ties in the conduct of our clinical studies for our product candidates.</w:t>
      </w:r>
      <w:r>
        <w:rPr>
          <w:rFonts w:ascii="Times" w:hAnsi="Times"/>
          <w:b/>
          <w:bCs/>
          <w:i/>
          <w:iCs/>
          <w:sz w:val="20"/>
          <w:szCs w:val="20"/>
        </w:rPr>
        <w:t xml:space="preserve"> </w:t>
      </w:r>
    </w:p>
    <w:p w:rsidR="00000000" w:rsidRDefault="008B747E">
      <w:pPr>
        <w:pStyle w:val="a3"/>
        <w:spacing w:before="0" w:beforeAutospacing="0" w:after="0" w:afterAutospacing="0"/>
        <w:ind w:firstLine="720"/>
        <w:divId w:val="376517233"/>
        <w:rPr>
          <w:rFonts w:ascii="Times" w:hAnsi="Times"/>
          <w:sz w:val="20"/>
          <w:szCs w:val="20"/>
        </w:rPr>
      </w:pPr>
      <w:r>
        <w:rPr>
          <w:rFonts w:ascii="Times" w:hAnsi="Times"/>
          <w:sz w:val="20"/>
          <w:szCs w:val="20"/>
        </w:rPr>
        <w:t>We depend on independent clinical investigators, contract research and manufacturing organizations and other third-party service providers in the conduct of our non-clinical and clini</w:t>
      </w:r>
      <w:r>
        <w:rPr>
          <w:rFonts w:ascii="Times" w:hAnsi="Times"/>
          <w:sz w:val="20"/>
          <w:szCs w:val="20"/>
        </w:rPr>
        <w:t>cal studies for our product candidates. We rely heavily on these parties for execution of our non-clinical and clinical studies, and control only certain aspects of their activities. Nevertheless, we are responsible for ensuring that our clinical studies a</w:t>
      </w:r>
      <w:r>
        <w:rPr>
          <w:rFonts w:ascii="Times" w:hAnsi="Times"/>
          <w:sz w:val="20"/>
          <w:szCs w:val="20"/>
        </w:rPr>
        <w:t xml:space="preserve">re conducted in accordance with good clinical, laboratory and manufacturing practices (“GXPs”) and other regulations as required by the FDA and foreign regulatory authorities, and the applicable protocol. Failure by these parties to comply with applicable </w:t>
      </w:r>
      <w:r>
        <w:rPr>
          <w:rFonts w:ascii="Times" w:hAnsi="Times"/>
          <w:sz w:val="20"/>
          <w:szCs w:val="20"/>
        </w:rPr>
        <w:t>regulations and practices in conducting studies of our product candidates can result in a delay in our development programs or non-approval of our product candidates by regulatory authorities.</w:t>
      </w:r>
      <w:r>
        <w:rPr>
          <w:rFonts w:ascii="Times" w:hAnsi="Times"/>
          <w:sz w:val="20"/>
          <w:szCs w:val="20"/>
        </w:rPr>
        <w:t xml:space="preserve"> </w:t>
      </w:r>
    </w:p>
    <w:p w:rsidR="00000000" w:rsidRDefault="008B747E">
      <w:pPr>
        <w:pStyle w:val="a3"/>
        <w:spacing w:before="0" w:beforeAutospacing="0" w:after="0" w:afterAutospacing="0"/>
        <w:ind w:firstLine="720"/>
        <w:divId w:val="376517233"/>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376517233"/>
        <w:rPr>
          <w:rFonts w:ascii="Times" w:hAnsi="Times"/>
          <w:sz w:val="20"/>
          <w:szCs w:val="20"/>
        </w:rPr>
      </w:pPr>
      <w:r>
        <w:rPr>
          <w:rFonts w:ascii="Times" w:hAnsi="Times"/>
          <w:sz w:val="20"/>
          <w:szCs w:val="20"/>
        </w:rPr>
        <w:t>The FDA, and equivalent authorities in other countries, enforces GXPs and other regulations through periodic inspections of trial sponsors, clinical research organizations (“CROs”), principal investigators and trial sites. If we or any of the third parties</w:t>
      </w:r>
      <w:r>
        <w:rPr>
          <w:rFonts w:ascii="Times" w:hAnsi="Times"/>
          <w:sz w:val="20"/>
          <w:szCs w:val="20"/>
        </w:rPr>
        <w:t xml:space="preserve"> on which we have relied to conduct our clinical studies are determined to have failed to comply with GXPs (or other equivalent regulations outside the US), the study protocol or applicable regulations, the clinical data generated in our studies may be dee</w:t>
      </w:r>
      <w:r>
        <w:rPr>
          <w:rFonts w:ascii="Times" w:hAnsi="Times"/>
          <w:sz w:val="20"/>
          <w:szCs w:val="20"/>
        </w:rPr>
        <w:t>med unreliable. This could result in non-approval of our product candidates by the FDA, or equivalent authorities in other countries, or we, the FDA, or equivalent authorities in other countries may decide to conduct additional audits or require additional</w:t>
      </w:r>
      <w:r>
        <w:rPr>
          <w:rFonts w:ascii="Times" w:hAnsi="Times"/>
          <w:sz w:val="20"/>
          <w:szCs w:val="20"/>
        </w:rPr>
        <w:t xml:space="preserve"> clinical studies, which would delay our development programs, could result in significant additional costs and cause the price of our securities to fall.</w:t>
      </w:r>
      <w:r>
        <w:rPr>
          <w:rFonts w:ascii="Times" w:hAnsi="Times"/>
          <w:sz w:val="20"/>
          <w:szCs w:val="20"/>
        </w:rPr>
        <w:t xml:space="preserve"> </w:t>
      </w:r>
    </w:p>
    <w:p w:rsidR="00000000" w:rsidRDefault="008B747E">
      <w:pPr>
        <w:pStyle w:val="a3"/>
        <w:spacing w:before="0" w:beforeAutospacing="0" w:after="0" w:afterAutospacing="0"/>
        <w:ind w:firstLine="720"/>
        <w:divId w:val="376517233"/>
        <w:rPr>
          <w:rFonts w:ascii="Times" w:hAnsi="Times"/>
          <w:sz w:val="20"/>
          <w:szCs w:val="20"/>
        </w:rPr>
      </w:pPr>
      <w:r>
        <w:rPr>
          <w:rFonts w:ascii="Times" w:hAnsi="Times"/>
          <w:sz w:val="20"/>
          <w:szCs w:val="20"/>
        </w:rPr>
        <w:t>​</w:t>
      </w:r>
    </w:p>
    <w:p w:rsidR="00000000" w:rsidRDefault="008B747E">
      <w:pPr>
        <w:pStyle w:val="a3"/>
        <w:spacing w:before="0" w:beforeAutospacing="0" w:after="120" w:afterAutospacing="0"/>
        <w:divId w:val="376517233"/>
        <w:rPr>
          <w:rFonts w:ascii="Times" w:hAnsi="Times"/>
          <w:b/>
          <w:bCs/>
          <w:i/>
          <w:iCs/>
          <w:sz w:val="20"/>
          <w:szCs w:val="20"/>
        </w:rPr>
      </w:pPr>
      <w:r>
        <w:rPr>
          <w:rFonts w:ascii="Times" w:hAnsi="Times"/>
          <w:b/>
          <w:bCs/>
          <w:i/>
          <w:iCs/>
          <w:sz w:val="20"/>
          <w:szCs w:val="20"/>
        </w:rPr>
        <w:t>We rely on a single source of supply for a number of our product candidates, and our business will</w:t>
      </w:r>
      <w:r>
        <w:rPr>
          <w:rFonts w:ascii="Times" w:hAnsi="Times"/>
          <w:b/>
          <w:bCs/>
          <w:i/>
          <w:iCs/>
          <w:sz w:val="20"/>
          <w:szCs w:val="20"/>
        </w:rPr>
        <w:t xml:space="preserve"> be harmed if any of these single-source manufacturers are not able to satisfy demand and alternative sources are not available.</w:t>
      </w:r>
      <w:r>
        <w:rPr>
          <w:rFonts w:ascii="Times" w:hAnsi="Times"/>
          <w:b/>
          <w:bCs/>
          <w:i/>
          <w:iCs/>
          <w:sz w:val="20"/>
          <w:szCs w:val="20"/>
        </w:rPr>
        <w:t xml:space="preserve"> </w:t>
      </w:r>
    </w:p>
    <w:p w:rsidR="00000000" w:rsidRDefault="008B747E">
      <w:pPr>
        <w:pStyle w:val="a3"/>
        <w:spacing w:before="0" w:beforeAutospacing="0" w:after="0" w:afterAutospacing="0"/>
        <w:ind w:firstLine="720"/>
        <w:divId w:val="376517233"/>
        <w:rPr>
          <w:rFonts w:ascii="Times" w:hAnsi="Times"/>
          <w:sz w:val="20"/>
          <w:szCs w:val="20"/>
        </w:rPr>
      </w:pPr>
      <w:r>
        <w:rPr>
          <w:rFonts w:ascii="Times" w:hAnsi="Times"/>
          <w:sz w:val="20"/>
          <w:szCs w:val="20"/>
        </w:rPr>
        <w:t>We have limited in-house production capabilities for preclinical and clinical study purposes, and depend primarily on a number</w:t>
      </w:r>
      <w:r>
        <w:rPr>
          <w:rFonts w:ascii="Times" w:hAnsi="Times"/>
          <w:sz w:val="20"/>
          <w:szCs w:val="20"/>
        </w:rPr>
        <w:t xml:space="preserve"> of third-party Active Pharmaceutical Ingredient (“API”) and drug product manufacturers. We may not have long-term agreements with these third parties and our agreements with these parties may be terminable at will by either party at any time. If, for any </w:t>
      </w:r>
      <w:r>
        <w:rPr>
          <w:rFonts w:ascii="Times" w:hAnsi="Times"/>
          <w:sz w:val="20"/>
          <w:szCs w:val="20"/>
        </w:rPr>
        <w:t>reason, these third parties are unable or unwilling to perform, or if their performance does not meet regulatory requirements, we may not be able to locate alternative manufacturers or enter into acceptable agreements with them. Any inability to acquire su</w:t>
      </w:r>
      <w:r>
        <w:rPr>
          <w:rFonts w:ascii="Times" w:hAnsi="Times"/>
          <w:sz w:val="20"/>
          <w:szCs w:val="20"/>
        </w:rPr>
        <w:t>fficient quantities of API and drug product in a timely manner from these third parties could delay preclinical and clinical studies and prevent us from developing our product candidates in a cost-effective manner or on a timely basis. In addition, manufac</w:t>
      </w:r>
      <w:r>
        <w:rPr>
          <w:rFonts w:ascii="Times" w:hAnsi="Times"/>
          <w:sz w:val="20"/>
          <w:szCs w:val="20"/>
        </w:rPr>
        <w:t>turers of our API and drug product are subject to the FDA’s current Good Manufacturing Practice (“cGMP”) regulations and similar foreign standards and we do not have control over compliance with these regulations by our manufacturers.</w:t>
      </w:r>
      <w:r>
        <w:rPr>
          <w:rFonts w:ascii="Times" w:hAnsi="Times"/>
          <w:sz w:val="20"/>
          <w:szCs w:val="20"/>
        </w:rPr>
        <w:t xml:space="preserve"> </w:t>
      </w:r>
    </w:p>
    <w:p w:rsidR="00000000" w:rsidRDefault="008B747E">
      <w:pPr>
        <w:pStyle w:val="a3"/>
        <w:spacing w:before="0" w:beforeAutospacing="0" w:after="0" w:afterAutospacing="0"/>
        <w:ind w:firstLine="720"/>
        <w:divId w:val="376517233"/>
        <w:rPr>
          <w:rFonts w:ascii="Times" w:hAnsi="Times"/>
          <w:sz w:val="20"/>
          <w:szCs w:val="20"/>
        </w:rPr>
      </w:pPr>
      <w:r>
        <w:rPr>
          <w:rFonts w:ascii="Times" w:hAnsi="Times"/>
          <w:sz w:val="20"/>
          <w:szCs w:val="20"/>
        </w:rPr>
        <w:t>​</w:t>
      </w:r>
    </w:p>
    <w:p w:rsidR="00000000" w:rsidRDefault="008B747E">
      <w:pPr>
        <w:pStyle w:val="a3"/>
        <w:spacing w:before="0" w:beforeAutospacing="0" w:after="240" w:afterAutospacing="0"/>
        <w:ind w:firstLine="720"/>
        <w:divId w:val="376517233"/>
        <w:rPr>
          <w:rFonts w:ascii="Times" w:hAnsi="Times"/>
          <w:sz w:val="20"/>
          <w:szCs w:val="20"/>
        </w:rPr>
      </w:pPr>
      <w:r>
        <w:rPr>
          <w:rFonts w:ascii="Times" w:hAnsi="Times"/>
          <w:sz w:val="20"/>
          <w:szCs w:val="20"/>
        </w:rPr>
        <w:t xml:space="preserve">Our manufacturing </w:t>
      </w:r>
      <w:r>
        <w:rPr>
          <w:rFonts w:ascii="Times" w:hAnsi="Times"/>
          <w:sz w:val="20"/>
          <w:szCs w:val="20"/>
        </w:rPr>
        <w:t>strategy presents the following additional risks:</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76517233"/>
        </w:trPr>
        <w:tc>
          <w:tcPr>
            <w:tcW w:w="720" w:type="dxa"/>
            <w:vAlign w:val="center"/>
            <w:hideMark/>
          </w:tcPr>
          <w:p w:rsidR="00000000" w:rsidRDefault="008B747E">
            <w:pPr>
              <w:rPr>
                <w:rFonts w:ascii="Times" w:hAnsi="Times"/>
                <w:sz w:val="20"/>
                <w:szCs w:val="20"/>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because of the complex nature of many of our compounds, our manufacturers may not be able to successfully manufacture our APIs and/or drug products in a cost-effective and/or timely manner and changing m</w:t>
            </w:r>
            <w:r>
              <w:rPr>
                <w:rFonts w:ascii="Times" w:eastAsia="Times New Roman" w:hAnsi="Times"/>
                <w:color w:val="000000"/>
                <w:sz w:val="20"/>
                <w:szCs w:val="20"/>
              </w:rPr>
              <w:t>anufacturers for our APIs or drug products could involve lengthy technology transfer, validation and regulatory qualification activities for the new manufacturer;</w:t>
            </w:r>
            <w:r>
              <w:rPr>
                <w:rFonts w:ascii="Times" w:eastAsia="Times New Roman" w:hAnsi="Times"/>
                <w:color w:val="000000"/>
                <w:sz w:val="20"/>
                <w:szCs w:val="20"/>
              </w:rPr>
              <w:t xml:space="preserve"> </w:t>
            </w:r>
          </w:p>
        </w:tc>
      </w:tr>
    </w:tbl>
    <w:p w:rsidR="00000000" w:rsidRDefault="008B747E">
      <w:pPr>
        <w:divId w:val="3765172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76517233"/>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the processes required to manufacture certain of our APIs and drug products are special</w:t>
            </w:r>
            <w:r>
              <w:rPr>
                <w:rFonts w:ascii="Times" w:eastAsia="Times New Roman" w:hAnsi="Times"/>
                <w:color w:val="000000"/>
                <w:sz w:val="20"/>
                <w:szCs w:val="20"/>
              </w:rPr>
              <w:t>ized and available only from a limited number of third-party manufacturers;</w:t>
            </w:r>
            <w:r>
              <w:rPr>
                <w:rFonts w:ascii="Times" w:eastAsia="Times New Roman" w:hAnsi="Times"/>
                <w:color w:val="000000"/>
                <w:sz w:val="20"/>
                <w:szCs w:val="20"/>
              </w:rPr>
              <w:t xml:space="preserve"> </w:t>
            </w:r>
          </w:p>
        </w:tc>
      </w:tr>
    </w:tbl>
    <w:p w:rsidR="00000000" w:rsidRDefault="008B747E">
      <w:pPr>
        <w:divId w:val="3765172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76517233"/>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some of the manufacturing processes for our APIs and drug products have not been scaled to quantities needed for continued clinical studies or commercial sales, and delays in</w:t>
            </w:r>
            <w:r>
              <w:rPr>
                <w:rFonts w:ascii="Times" w:eastAsia="Times New Roman" w:hAnsi="Times"/>
                <w:color w:val="000000"/>
                <w:sz w:val="20"/>
                <w:szCs w:val="20"/>
              </w:rPr>
              <w:t xml:space="preserve"> scale-up to higher quantities could delay clinical studies, regulatory submissions and commercialization of our product candidates; and</w:t>
            </w:r>
            <w:r>
              <w:rPr>
                <w:rFonts w:ascii="Times" w:eastAsia="Times New Roman" w:hAnsi="Times"/>
                <w:color w:val="000000"/>
                <w:sz w:val="20"/>
                <w:szCs w:val="20"/>
              </w:rPr>
              <w:t xml:space="preserve"> </w:t>
            </w:r>
          </w:p>
        </w:tc>
      </w:tr>
    </w:tbl>
    <w:p w:rsidR="00000000" w:rsidRDefault="008B747E">
      <w:pPr>
        <w:divId w:val="37651723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376517233"/>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rPr>
                <w:rFonts w:ascii="Times" w:eastAsia="Times New Roman" w:hAnsi="Times"/>
                <w:sz w:val="20"/>
                <w:szCs w:val="20"/>
              </w:rPr>
            </w:pPr>
            <w:r>
              <w:rPr>
                <w:rFonts w:ascii="Times" w:eastAsia="Times New Roman" w:hAnsi="Times"/>
                <w:color w:val="000000"/>
                <w:sz w:val="20"/>
                <w:szCs w:val="20"/>
              </w:rPr>
              <w:t>because some of the third-party manufacturers are located outside of the US, there may be difficulties in importing our APIs and drug products or their components into the US as a result of, among other things, FDA import inspections, incomplete or inaccur</w:t>
            </w:r>
            <w:r>
              <w:rPr>
                <w:rFonts w:ascii="Times" w:eastAsia="Times New Roman" w:hAnsi="Times"/>
                <w:color w:val="000000"/>
                <w:sz w:val="20"/>
                <w:szCs w:val="20"/>
              </w:rPr>
              <w:t>ate import documentation or defective packaging.</w:t>
            </w:r>
            <w:r>
              <w:rPr>
                <w:rFonts w:ascii="Times" w:eastAsia="Times New Roman" w:hAnsi="Times"/>
                <w:color w:val="000000"/>
                <w:sz w:val="20"/>
                <w:szCs w:val="20"/>
              </w:rPr>
              <w:t xml:space="preserve"> </w:t>
            </w:r>
          </w:p>
        </w:tc>
      </w:tr>
    </w:tbl>
    <w:p w:rsidR="00000000" w:rsidRDefault="008B747E">
      <w:pPr>
        <w:pStyle w:val="a3"/>
        <w:spacing w:before="0" w:beforeAutospacing="0" w:after="0" w:afterAutospacing="0"/>
        <w:divId w:val="376517233"/>
        <w:rPr>
          <w:sz w:val="20"/>
          <w:szCs w:val="20"/>
        </w:rPr>
      </w:pPr>
      <w:r>
        <w:rPr>
          <w:b/>
          <w:bCs/>
          <w:i/>
          <w:iCs/>
          <w:sz w:val="20"/>
          <w:szCs w:val="20"/>
        </w:rPr>
        <w:t>We have a significant amount of debt, including our Non-Recourse 2033 Notes and Convertible Senior 2023 Notes, that are senior in capital structure and cash flow, respectively, to holders of our ordinary s</w:t>
      </w:r>
      <w:r>
        <w:rPr>
          <w:b/>
          <w:bCs/>
          <w:i/>
          <w:iCs/>
          <w:sz w:val="20"/>
          <w:szCs w:val="20"/>
        </w:rPr>
        <w:t>hares. Satisfying the obligations relating to our debt could adversely affect the amount or timing of distributions to our shareholders.</w:t>
      </w:r>
    </w:p>
    <w:p w:rsidR="00000000" w:rsidRDefault="008B747E">
      <w:pPr>
        <w:pStyle w:val="a3"/>
        <w:spacing w:before="360" w:beforeAutospacing="0" w:after="0" w:afterAutospacing="0"/>
        <w:jc w:val="center"/>
        <w:divId w:val="576745173"/>
        <w:rPr>
          <w:sz w:val="20"/>
          <w:szCs w:val="20"/>
        </w:rPr>
      </w:pPr>
      <w:r>
        <w:rPr>
          <w:sz w:val="20"/>
          <w:szCs w:val="20"/>
        </w:rPr>
        <w:t>44</w:t>
      </w:r>
    </w:p>
    <w:p w:rsidR="00000000" w:rsidRDefault="008B747E">
      <w:pPr>
        <w:pStyle w:val="a3"/>
        <w:spacing w:before="0" w:beforeAutospacing="0" w:after="600" w:afterAutospacing="0"/>
        <w:divId w:val="23483254"/>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ind w:firstLine="720"/>
        <w:divId w:val="1929120137"/>
        <w:rPr>
          <w:sz w:val="20"/>
          <w:szCs w:val="20"/>
        </w:rPr>
      </w:pPr>
      <w:r>
        <w:rPr>
          <w:sz w:val="20"/>
          <w:szCs w:val="20"/>
        </w:rPr>
        <w:t>​</w:t>
      </w:r>
    </w:p>
    <w:p w:rsidR="00000000" w:rsidRDefault="008B747E">
      <w:pPr>
        <w:pStyle w:val="a3"/>
        <w:spacing w:before="0" w:beforeAutospacing="0" w:after="0" w:afterAutospacing="0"/>
        <w:ind w:firstLine="720"/>
        <w:divId w:val="1929120137"/>
        <w:rPr>
          <w:sz w:val="20"/>
          <w:szCs w:val="20"/>
        </w:rPr>
      </w:pPr>
      <w:r>
        <w:rPr>
          <w:sz w:val="20"/>
          <w:szCs w:val="20"/>
        </w:rPr>
        <w:t xml:space="preserve">As of June 30, 2019, we had approximately $519.5 million in total long-term liabilities outstanding, comprised primarily of $237.5 million in net principal that remains outstanding under the Issuer’s Non-Recourse 2033 Notes and $230.0 million in principal </w:t>
      </w:r>
      <w:r>
        <w:rPr>
          <w:sz w:val="20"/>
          <w:szCs w:val="20"/>
        </w:rPr>
        <w:t>that remains outstanding under our Convertible Senior 2023 Notes (together with the Non-Recourse 2033 Notes, the “Notes”).</w:t>
      </w:r>
    </w:p>
    <w:p w:rsidR="00000000" w:rsidRDefault="008B747E">
      <w:pPr>
        <w:pStyle w:val="a3"/>
        <w:spacing w:before="0" w:beforeAutospacing="0" w:after="0" w:afterAutospacing="0"/>
        <w:ind w:firstLine="720"/>
        <w:divId w:val="1929120137"/>
        <w:rPr>
          <w:sz w:val="20"/>
          <w:szCs w:val="20"/>
        </w:rPr>
      </w:pPr>
      <w:r>
        <w:rPr>
          <w:sz w:val="20"/>
          <w:szCs w:val="20"/>
        </w:rPr>
        <w:t>​</w:t>
      </w:r>
    </w:p>
    <w:p w:rsidR="00000000" w:rsidRDefault="008B747E">
      <w:pPr>
        <w:pStyle w:val="a3"/>
        <w:spacing w:before="0" w:beforeAutospacing="0" w:after="0" w:afterAutospacing="0"/>
        <w:ind w:firstLine="720"/>
        <w:divId w:val="1929120137"/>
        <w:rPr>
          <w:sz w:val="20"/>
          <w:szCs w:val="20"/>
        </w:rPr>
      </w:pPr>
      <w:r>
        <w:rPr>
          <w:sz w:val="20"/>
          <w:szCs w:val="20"/>
        </w:rPr>
        <w:t>The Convertible Senior 2023 Notes are unsecured debt and are not redeemable by us prior to the maturity date except for certain cha</w:t>
      </w:r>
      <w:r>
        <w:rPr>
          <w:sz w:val="20"/>
          <w:szCs w:val="20"/>
        </w:rPr>
        <w:t>nges in tax law. Holders of the Convertible Senior 2023 Notes may require us to purchase all or any portion of their notes at 100% of their principal amount, plus any unpaid interest, upon a fundamental change such as a change of control of us or the termi</w:t>
      </w:r>
      <w:r>
        <w:rPr>
          <w:sz w:val="20"/>
          <w:szCs w:val="20"/>
        </w:rPr>
        <w:t>nation of trading of our ordinary shares in accordance with the indenture governing the Convertible Senior 2023 Notes.</w:t>
      </w:r>
    </w:p>
    <w:p w:rsidR="00000000" w:rsidRDefault="008B747E">
      <w:pPr>
        <w:pStyle w:val="a3"/>
        <w:spacing w:before="0" w:beforeAutospacing="0" w:after="0" w:afterAutospacing="0"/>
        <w:ind w:firstLine="720"/>
        <w:divId w:val="1929120137"/>
        <w:rPr>
          <w:sz w:val="20"/>
          <w:szCs w:val="20"/>
        </w:rPr>
      </w:pPr>
      <w:r>
        <w:rPr>
          <w:sz w:val="20"/>
          <w:szCs w:val="20"/>
        </w:rPr>
        <w:t>​</w:t>
      </w:r>
    </w:p>
    <w:p w:rsidR="00000000" w:rsidRDefault="008B747E">
      <w:pPr>
        <w:pStyle w:val="a3"/>
        <w:spacing w:before="0" w:beforeAutospacing="0" w:after="0" w:afterAutospacing="0"/>
        <w:ind w:firstLine="720"/>
        <w:divId w:val="1929120137"/>
        <w:rPr>
          <w:sz w:val="20"/>
          <w:szCs w:val="20"/>
        </w:rPr>
      </w:pPr>
      <w:r>
        <w:rPr>
          <w:sz w:val="20"/>
          <w:szCs w:val="20"/>
        </w:rPr>
        <w:t>Until the Non-Recourse 2033 Notes are paid in full, holders of the Non-Recourse 2033 Notes have a perfected security interest in the Is</w:t>
      </w:r>
      <w:r>
        <w:rPr>
          <w:sz w:val="20"/>
          <w:szCs w:val="20"/>
        </w:rPr>
        <w:t xml:space="preserve">suer Class C Units that represent a 63.75% economic interest in any future payments that may be made by GSK to TRC under the strategic alliance agreement and under the portion of the collaboration agreement assigned to TRC by Innoviva (net of TRC expenses </w:t>
      </w:r>
      <w:r>
        <w:rPr>
          <w:sz w:val="20"/>
          <w:szCs w:val="20"/>
        </w:rPr>
        <w:t xml:space="preserve">paid and the amount of cash, if any, expected to be used in over the next four fiscal quarters) relating to the GSK-Partnered Respiratory Programs, including the </w:t>
      </w:r>
      <w:r>
        <w:rPr>
          <w:caps/>
          <w:sz w:val="20"/>
          <w:szCs w:val="20"/>
        </w:rPr>
        <w:t>Trelegy Ellipta</w:t>
      </w:r>
      <w:r>
        <w:rPr>
          <w:sz w:val="20"/>
          <w:szCs w:val="20"/>
        </w:rPr>
        <w:t xml:space="preserve"> program.</w:t>
      </w:r>
    </w:p>
    <w:p w:rsidR="00000000" w:rsidRDefault="008B747E">
      <w:pPr>
        <w:pStyle w:val="a3"/>
        <w:spacing w:before="0" w:beforeAutospacing="0" w:after="0" w:afterAutospacing="0"/>
        <w:ind w:firstLine="720"/>
        <w:divId w:val="1929120137"/>
        <w:rPr>
          <w:sz w:val="20"/>
          <w:szCs w:val="20"/>
        </w:rPr>
      </w:pPr>
      <w:r>
        <w:rPr>
          <w:sz w:val="20"/>
          <w:szCs w:val="20"/>
        </w:rPr>
        <w:t>​</w:t>
      </w:r>
    </w:p>
    <w:p w:rsidR="00000000" w:rsidRDefault="008B747E">
      <w:pPr>
        <w:pStyle w:val="a3"/>
        <w:spacing w:before="0" w:beforeAutospacing="0" w:after="0" w:afterAutospacing="0"/>
        <w:ind w:firstLine="720"/>
        <w:divId w:val="1929120137"/>
        <w:rPr>
          <w:sz w:val="20"/>
          <w:szCs w:val="20"/>
        </w:rPr>
      </w:pPr>
      <w:r>
        <w:rPr>
          <w:sz w:val="20"/>
          <w:szCs w:val="20"/>
        </w:rPr>
        <w:t>Satisfying the obligations of these Notes could adversely affect th</w:t>
      </w:r>
      <w:r>
        <w:rPr>
          <w:sz w:val="20"/>
          <w:szCs w:val="20"/>
        </w:rPr>
        <w:t>e amount or timing of any distributions to our shareholders. We may choose to satisfy, repurchase, or refinance these Notes through public or private equity or debt financings if we deem such financings are available on favorable terms. If any or all of th</w:t>
      </w:r>
      <w:r>
        <w:rPr>
          <w:sz w:val="20"/>
          <w:szCs w:val="20"/>
        </w:rPr>
        <w:t>e Convertible Senior 2023 Notes are not converted into our ordinary shares before the maturity date, we will have to pay the holders the full aggregate principal amount of the Convertible Senior 2023 Notes then outstanding. If the Non-Recourse 2033 Notes a</w:t>
      </w:r>
      <w:r>
        <w:rPr>
          <w:sz w:val="20"/>
          <w:szCs w:val="20"/>
        </w:rPr>
        <w:t xml:space="preserve">re not refinanced or paid in full, the holders of the Non-Recourse 2033 Notes will have the right to foreclose on the Issuer Class C Units that represent a 63.75% economic interest in future royalties due on net sales of </w:t>
      </w:r>
      <w:r>
        <w:rPr>
          <w:caps/>
          <w:sz w:val="20"/>
          <w:szCs w:val="20"/>
        </w:rPr>
        <w:t>Trelegy Ellipta</w:t>
      </w:r>
      <w:r>
        <w:rPr>
          <w:sz w:val="20"/>
          <w:szCs w:val="20"/>
        </w:rPr>
        <w:t xml:space="preserve"> and related assets.</w:t>
      </w:r>
      <w:r>
        <w:rPr>
          <w:sz w:val="20"/>
          <w:szCs w:val="20"/>
        </w:rPr>
        <w:t xml:space="preserve"> If the Issuer Class C Units are foreclosed upon, we will lose any right to receive 75% of the future royalty payments made by GSK in connection with the net sales of </w:t>
      </w:r>
      <w:r>
        <w:rPr>
          <w:caps/>
          <w:sz w:val="20"/>
          <w:szCs w:val="20"/>
        </w:rPr>
        <w:t>Trelegy Ellipta</w:t>
      </w:r>
      <w:r>
        <w:rPr>
          <w:sz w:val="20"/>
          <w:szCs w:val="20"/>
        </w:rPr>
        <w:t xml:space="preserve"> and related assets. Any of the above payments could have a material adver</w:t>
      </w:r>
      <w:r>
        <w:rPr>
          <w:sz w:val="20"/>
          <w:szCs w:val="20"/>
        </w:rPr>
        <w:t>se effect on our cash position. Our failure to satisfy these obligations may result in a default under the applicable indenture governing these Notes, which could result in a default under certain of our other debt instruments, if any. Any such default wou</w:t>
      </w:r>
      <w:r>
        <w:rPr>
          <w:sz w:val="20"/>
          <w:szCs w:val="20"/>
        </w:rPr>
        <w:t>ld harm our business and the price of our securities could fall.</w:t>
      </w:r>
    </w:p>
    <w:p w:rsidR="00000000" w:rsidRDefault="008B747E">
      <w:pPr>
        <w:pStyle w:val="a3"/>
        <w:spacing w:before="0" w:beforeAutospacing="0" w:after="0" w:afterAutospacing="0"/>
        <w:ind w:firstLine="720"/>
        <w:divId w:val="1929120137"/>
        <w:rPr>
          <w:sz w:val="20"/>
          <w:szCs w:val="20"/>
        </w:rPr>
      </w:pPr>
      <w:r>
        <w:rPr>
          <w:sz w:val="20"/>
          <w:szCs w:val="20"/>
        </w:rPr>
        <w:t>​</w:t>
      </w:r>
    </w:p>
    <w:p w:rsidR="00000000" w:rsidRDefault="008B747E">
      <w:pPr>
        <w:pStyle w:val="a3"/>
        <w:spacing w:before="0" w:beforeAutospacing="0" w:after="120" w:afterAutospacing="0"/>
        <w:divId w:val="1929120137"/>
        <w:rPr>
          <w:rFonts w:ascii="Times" w:hAnsi="Times"/>
          <w:b/>
          <w:bCs/>
          <w:i/>
          <w:iCs/>
          <w:sz w:val="20"/>
          <w:szCs w:val="20"/>
        </w:rPr>
      </w:pPr>
      <w:r>
        <w:rPr>
          <w:rFonts w:ascii="Times" w:hAnsi="Times"/>
          <w:b/>
          <w:bCs/>
          <w:i/>
          <w:iCs/>
          <w:sz w:val="20"/>
          <w:szCs w:val="20"/>
        </w:rPr>
        <w:t>Servicing our Convertible Senior 2023 Notes requires a significant amount of cash, and we may not have sufficient cash flow from our business to pay our debt. Additionally, holders may requ</w:t>
      </w:r>
      <w:r>
        <w:rPr>
          <w:rFonts w:ascii="Times" w:hAnsi="Times"/>
          <w:b/>
          <w:bCs/>
          <w:i/>
          <w:iCs/>
          <w:sz w:val="20"/>
          <w:szCs w:val="20"/>
        </w:rPr>
        <w:t>ire us to repurchase our Convertible Senior 2023 Notes under certain circumstances, and we may not have sufficient cash to do so.</w:t>
      </w:r>
      <w:r>
        <w:rPr>
          <w:rFonts w:ascii="Times" w:hAnsi="Times"/>
          <w:b/>
          <w:bCs/>
          <w:i/>
          <w:iCs/>
          <w:sz w:val="20"/>
          <w:szCs w:val="20"/>
        </w:rPr>
        <w:t xml:space="preserve"> </w:t>
      </w:r>
    </w:p>
    <w:p w:rsidR="00000000" w:rsidRDefault="008B747E">
      <w:pPr>
        <w:pStyle w:val="a3"/>
        <w:spacing w:before="0" w:beforeAutospacing="0" w:after="0" w:afterAutospacing="0"/>
        <w:ind w:firstLine="720"/>
        <w:divId w:val="1929120137"/>
        <w:rPr>
          <w:sz w:val="20"/>
          <w:szCs w:val="20"/>
        </w:rPr>
      </w:pPr>
      <w:r>
        <w:rPr>
          <w:sz w:val="20"/>
          <w:szCs w:val="20"/>
        </w:rPr>
        <w:t>Our ability to make interest or principal payments when due or to refinance the Convertible Senior 2023 Notes depends on our future performance, which is subject to economic, financial, competitive and other factors beyond our control. Our business may not</w:t>
      </w:r>
      <w:r>
        <w:rPr>
          <w:sz w:val="20"/>
          <w:szCs w:val="20"/>
        </w:rPr>
        <w:t xml:space="preserve"> generate cash flow from operations sufficient to satisfy our obligations under the Convertible Senior 2023 Notes and any future indebtedness we may incur and to make necessary capital expenditures. In addition, the issuance of the Non-Recourse 2033 Notes </w:t>
      </w:r>
      <w:r>
        <w:rPr>
          <w:sz w:val="20"/>
          <w:szCs w:val="20"/>
        </w:rPr>
        <w:t>reduced the cash available for us to make interest or principal payments on, or to refinance, the Convertible Senior 2023 Notes. We may be required to adopt one or more alternatives, such as reducing or delaying investments or capital expenditures, selling</w:t>
      </w:r>
      <w:r>
        <w:rPr>
          <w:sz w:val="20"/>
          <w:szCs w:val="20"/>
        </w:rPr>
        <w:t xml:space="preserve"> assets, refinancing or obtaining additional equity capital on terms that may be onerous or highly dilutive. Our ability to refinance the Convertible Senior 2023 Notes or future indebtedness will depend on the capital markets and our financial condition at</w:t>
      </w:r>
      <w:r>
        <w:rPr>
          <w:sz w:val="20"/>
          <w:szCs w:val="20"/>
        </w:rPr>
        <w:t xml:space="preserve"> such time. We may not be able to engage in any of these activities on desirable terms or at all, which could result in a default on the Convertible Senior 2023 Notes or future indebtedness. </w:t>
      </w:r>
    </w:p>
    <w:p w:rsidR="00000000" w:rsidRDefault="008B747E">
      <w:pPr>
        <w:pStyle w:val="a3"/>
        <w:spacing w:before="0" w:beforeAutospacing="0" w:after="0" w:afterAutospacing="0"/>
        <w:ind w:firstLine="720"/>
        <w:divId w:val="1929120137"/>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1929120137"/>
        <w:rPr>
          <w:rFonts w:ascii="Times" w:hAnsi="Times"/>
          <w:sz w:val="20"/>
          <w:szCs w:val="20"/>
        </w:rPr>
      </w:pPr>
      <w:r>
        <w:rPr>
          <w:rFonts w:ascii="Times" w:hAnsi="Times"/>
          <w:sz w:val="20"/>
          <w:szCs w:val="20"/>
        </w:rPr>
        <w:t xml:space="preserve">The holders of the Convertible Senior 2023 Notes may have the </w:t>
      </w:r>
      <w:r>
        <w:rPr>
          <w:rFonts w:ascii="Times" w:hAnsi="Times"/>
          <w:sz w:val="20"/>
          <w:szCs w:val="20"/>
        </w:rPr>
        <w:t>right to require us to repurchase the Convertible Senior 2023 Notes upon the occurrence of a</w:t>
      </w:r>
      <w:r>
        <w:rPr>
          <w:rFonts w:ascii="Times" w:hAnsi="Times"/>
          <w:sz w:val="20"/>
          <w:szCs w:val="20"/>
        </w:rPr>
        <w:t xml:space="preserve"> </w:t>
      </w:r>
      <w:r>
        <w:rPr>
          <w:rFonts w:ascii="Times" w:hAnsi="Times"/>
          <w:sz w:val="20"/>
          <w:szCs w:val="20"/>
        </w:rPr>
        <w:t>“fundamental change”</w:t>
      </w:r>
      <w:r>
        <w:rPr>
          <w:rFonts w:ascii="Times" w:hAnsi="Times"/>
          <w:sz w:val="20"/>
          <w:szCs w:val="20"/>
        </w:rPr>
        <w:t xml:space="preserve"> </w:t>
      </w:r>
      <w:r>
        <w:rPr>
          <w:rFonts w:ascii="Times" w:hAnsi="Times"/>
          <w:sz w:val="20"/>
          <w:szCs w:val="20"/>
        </w:rPr>
        <w:t>such as a change of control of our Company or the termination of trading of our ordinary shares, as defined in the indenture governing the Con</w:t>
      </w:r>
      <w:r>
        <w:rPr>
          <w:rFonts w:ascii="Times" w:hAnsi="Times"/>
          <w:sz w:val="20"/>
          <w:szCs w:val="20"/>
        </w:rPr>
        <w:t>vertible Senior 2023 Notes. We may not have sufficient funds to repurchase the Convertible Senior 2023 Notes in cash or have the ability to arrange necessary financing on acceptable terms. Our failure to repurchase the Convertible Senior 2023 Notes when re</w:t>
      </w:r>
      <w:r>
        <w:rPr>
          <w:rFonts w:ascii="Times" w:hAnsi="Times"/>
          <w:sz w:val="20"/>
          <w:szCs w:val="20"/>
        </w:rPr>
        <w:t>quired would result in an event of default with respect to the Convertible Senior 2023 Notes. In addition, any acceleration of the repayment of the Convertible Senior 2023 Notes or future indebtedness after any applicable notice or grace periods could have</w:t>
      </w:r>
      <w:r>
        <w:rPr>
          <w:rFonts w:ascii="Times" w:hAnsi="Times"/>
          <w:sz w:val="20"/>
          <w:szCs w:val="20"/>
        </w:rPr>
        <w:t xml:space="preserve"> a material adverse effect on our business, results of operations and financial condition.</w:t>
      </w:r>
      <w:r>
        <w:rPr>
          <w:rFonts w:ascii="Times" w:hAnsi="Times"/>
          <w:sz w:val="20"/>
          <w:szCs w:val="20"/>
        </w:rPr>
        <w:t xml:space="preserve"> </w:t>
      </w:r>
    </w:p>
    <w:p w:rsidR="00000000" w:rsidRDefault="008B747E">
      <w:pPr>
        <w:pStyle w:val="a3"/>
        <w:spacing w:before="360" w:beforeAutospacing="0" w:after="0" w:afterAutospacing="0"/>
        <w:jc w:val="center"/>
        <w:divId w:val="1377925450"/>
        <w:rPr>
          <w:sz w:val="20"/>
          <w:szCs w:val="20"/>
        </w:rPr>
      </w:pPr>
      <w:r>
        <w:rPr>
          <w:sz w:val="20"/>
          <w:szCs w:val="20"/>
        </w:rPr>
        <w:t>45</w:t>
      </w:r>
    </w:p>
    <w:p w:rsidR="00000000" w:rsidRDefault="008B747E">
      <w:pPr>
        <w:pStyle w:val="a3"/>
        <w:spacing w:before="0" w:beforeAutospacing="0" w:after="600" w:afterAutospacing="0"/>
        <w:divId w:val="1094866053"/>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ind w:firstLine="720"/>
        <w:divId w:val="229199363"/>
        <w:rPr>
          <w:sz w:val="20"/>
          <w:szCs w:val="20"/>
        </w:rPr>
      </w:pPr>
      <w:r>
        <w:rPr>
          <w:b/>
          <w:bCs/>
          <w:sz w:val="20"/>
          <w:szCs w:val="20"/>
        </w:rPr>
        <w:t>​</w:t>
      </w:r>
    </w:p>
    <w:p w:rsidR="00000000" w:rsidRDefault="008B747E">
      <w:pPr>
        <w:pStyle w:val="a3"/>
        <w:spacing w:before="0" w:beforeAutospacing="0" w:after="120" w:afterAutospacing="0"/>
        <w:divId w:val="229199363"/>
        <w:rPr>
          <w:sz w:val="20"/>
          <w:szCs w:val="20"/>
        </w:rPr>
      </w:pPr>
      <w:r>
        <w:rPr>
          <w:rFonts w:ascii="Times" w:hAnsi="Times"/>
          <w:b/>
          <w:bCs/>
          <w:i/>
          <w:iCs/>
          <w:sz w:val="20"/>
          <w:szCs w:val="20"/>
        </w:rPr>
        <w:t xml:space="preserve">Our business and operations would suffer in the event of significant disruptions of information technology systems </w:t>
      </w:r>
      <w:r>
        <w:rPr>
          <w:rFonts w:ascii="Times" w:hAnsi="Times"/>
          <w:b/>
          <w:bCs/>
          <w:i/>
          <w:iCs/>
          <w:sz w:val="20"/>
          <w:szCs w:val="20"/>
        </w:rPr>
        <w:t>or security breaches.</w:t>
      </w:r>
      <w:r>
        <w:rPr>
          <w:rFonts w:ascii="Times" w:hAnsi="Times"/>
          <w:b/>
          <w:bCs/>
          <w:i/>
          <w:iCs/>
          <w:sz w:val="20"/>
          <w:szCs w:val="20"/>
        </w:rPr>
        <w:t xml:space="preserve"> </w:t>
      </w:r>
    </w:p>
    <w:p w:rsidR="00000000" w:rsidRDefault="008B747E">
      <w:pPr>
        <w:pStyle w:val="a3"/>
        <w:spacing w:before="0" w:beforeAutospacing="0" w:after="0" w:afterAutospacing="0"/>
        <w:ind w:firstLine="720"/>
        <w:divId w:val="229199363"/>
        <w:rPr>
          <w:sz w:val="20"/>
          <w:szCs w:val="20"/>
        </w:rPr>
      </w:pPr>
      <w:r>
        <w:rPr>
          <w:sz w:val="20"/>
          <w:szCs w:val="20"/>
        </w:rPr>
        <w:t>We rely extensively on computer systems to maintain information and manage our finances and business. In the ordinary course of business, we collect, store and transmit large amounts of confidential information (including but not lim</w:t>
      </w:r>
      <w:r>
        <w:rPr>
          <w:sz w:val="20"/>
          <w:szCs w:val="20"/>
        </w:rPr>
        <w:t>ited to trade secrets or other intellectual property, proprietary business information and personal information) and it is critical that we maintain the confidentiality and integrity of such confidential information. Although we have security measures in p</w:t>
      </w:r>
      <w:r>
        <w:rPr>
          <w:sz w:val="20"/>
          <w:szCs w:val="20"/>
        </w:rPr>
        <w:t>lace, our internal information technology systems and those of our CROs and other service providers, including cloud-based and hosted applications, data and services, are vulnerable to service interruptions and security breaches from inadvertent or intenti</w:t>
      </w:r>
      <w:r>
        <w:rPr>
          <w:sz w:val="20"/>
          <w:szCs w:val="20"/>
        </w:rPr>
        <w:t>onal actions by our employees, service providers and/or business partners, from cyber-attacks by malicious third parties, and/or from, natural disasters, terrorism, war and telecommunication and electrical failures. Cyber-attacks are increasing in their fr</w:t>
      </w:r>
      <w:r>
        <w:rPr>
          <w:sz w:val="20"/>
          <w:szCs w:val="20"/>
        </w:rPr>
        <w:t>equency, sophistication, and intensity, and have become increasingly difficult to detect. Significant disruptions of information technology systems or security breaches could adversely affect our business operations and result in financial, legal, business</w:t>
      </w:r>
      <w:r>
        <w:rPr>
          <w:sz w:val="20"/>
          <w:szCs w:val="20"/>
        </w:rPr>
        <w:t xml:space="preserve"> and reputational harm to us, including significant liability and/or significant disruption to our business. If a disruption of information technology systems or security breach results in a loss of or damage to our data or regulatory applications, unautho</w:t>
      </w:r>
      <w:r>
        <w:rPr>
          <w:sz w:val="20"/>
          <w:szCs w:val="20"/>
        </w:rPr>
        <w:t xml:space="preserve">rized access, use, or disclosure of, or the prevention of access to, confidential information, or other harm to our business, we could incur liability and reputational harm, we could be required to comply with federal and/or state breach notification laws </w:t>
      </w:r>
      <w:r>
        <w:rPr>
          <w:sz w:val="20"/>
          <w:szCs w:val="20"/>
        </w:rPr>
        <w:t>and foreign law equivalents, we may incur legal expenses to protect our confidential information, the further development of our product candidates could be delayed and the price of our securities could fall. For example, the loss of clinical trial data fr</w:t>
      </w:r>
      <w:r>
        <w:rPr>
          <w:sz w:val="20"/>
          <w:szCs w:val="20"/>
        </w:rPr>
        <w:t>om completed or ongoing clinical trials of our product candidates could result in delays in our regulatory approval efforts and significantly increase our costs to recover or reproduce the data. As another example, we may incur penalties imposed by the com</w:t>
      </w:r>
      <w:r>
        <w:rPr>
          <w:sz w:val="20"/>
          <w:szCs w:val="20"/>
        </w:rPr>
        <w:t xml:space="preserve">petent authorities in the EU Member States in case of breach of the EU rules governing the collection and processing of personal data, including unauthorized access to or disclosure of personal data. Although we have security and fraud prevention measures </w:t>
      </w:r>
      <w:r>
        <w:rPr>
          <w:sz w:val="20"/>
          <w:szCs w:val="20"/>
        </w:rPr>
        <w:t>in place, we have been subject to immaterial payment fraud activity. In 2017, we filed a lawsuit (which has since been resolved) against a former employee for misappropriation of our confidential, proprietary and trade secret information. Moreover, there c</w:t>
      </w:r>
      <w:r>
        <w:rPr>
          <w:sz w:val="20"/>
          <w:szCs w:val="20"/>
        </w:rPr>
        <w:t>an be no assurance that such security measures will prevent service interruptions or security breaches that could adversely affect our business.</w:t>
      </w:r>
    </w:p>
    <w:p w:rsidR="00000000" w:rsidRDefault="008B747E">
      <w:pPr>
        <w:pStyle w:val="a3"/>
        <w:spacing w:before="0" w:beforeAutospacing="0" w:after="0" w:afterAutospacing="0"/>
        <w:divId w:val="229199363"/>
        <w:rPr>
          <w:sz w:val="20"/>
          <w:szCs w:val="20"/>
        </w:rPr>
      </w:pPr>
      <w:r>
        <w:rPr>
          <w:sz w:val="20"/>
          <w:szCs w:val="20"/>
        </w:rPr>
        <w:t>​</w:t>
      </w:r>
    </w:p>
    <w:p w:rsidR="00000000" w:rsidRDefault="008B747E">
      <w:pPr>
        <w:pStyle w:val="a3"/>
        <w:spacing w:before="0" w:beforeAutospacing="0" w:after="120" w:afterAutospacing="0"/>
        <w:divId w:val="229199363"/>
        <w:rPr>
          <w:rFonts w:ascii="Times" w:hAnsi="Times"/>
          <w:b/>
          <w:bCs/>
          <w:i/>
          <w:iCs/>
          <w:sz w:val="20"/>
          <w:szCs w:val="20"/>
        </w:rPr>
      </w:pPr>
      <w:r>
        <w:rPr>
          <w:rFonts w:ascii="Times" w:hAnsi="Times"/>
          <w:b/>
          <w:bCs/>
          <w:i/>
          <w:iCs/>
          <w:sz w:val="20"/>
          <w:szCs w:val="20"/>
        </w:rPr>
        <w:t>If we lose key management or scientific personnel, or if we fail to attract and retain key employees, our abi</w:t>
      </w:r>
      <w:r>
        <w:rPr>
          <w:rFonts w:ascii="Times" w:hAnsi="Times"/>
          <w:b/>
          <w:bCs/>
          <w:i/>
          <w:iCs/>
          <w:sz w:val="20"/>
          <w:szCs w:val="20"/>
        </w:rPr>
        <w:t>lity to discover and develop our product candidates and commercialize our products, if any, will be impaired.</w:t>
      </w:r>
      <w:r>
        <w:rPr>
          <w:rFonts w:ascii="Times" w:hAnsi="Times"/>
          <w:b/>
          <w:bCs/>
          <w:i/>
          <w:iCs/>
          <w:sz w:val="20"/>
          <w:szCs w:val="20"/>
        </w:rPr>
        <w:t xml:space="preserve"> </w:t>
      </w:r>
    </w:p>
    <w:p w:rsidR="00000000" w:rsidRDefault="008B747E">
      <w:pPr>
        <w:pStyle w:val="a3"/>
        <w:spacing w:before="0" w:beforeAutospacing="0" w:after="0" w:afterAutospacing="0"/>
        <w:ind w:firstLine="720"/>
        <w:divId w:val="229199363"/>
        <w:rPr>
          <w:rFonts w:ascii="Times" w:hAnsi="Times"/>
          <w:sz w:val="20"/>
          <w:szCs w:val="20"/>
        </w:rPr>
      </w:pPr>
      <w:r>
        <w:rPr>
          <w:rFonts w:ascii="Times" w:hAnsi="Times"/>
          <w:sz w:val="20"/>
          <w:szCs w:val="20"/>
        </w:rPr>
        <w:t xml:space="preserve">We are highly dependent on principal members of our management team and scientific staff, and in particular, our Chief Executive Officer, Rick E </w:t>
      </w:r>
      <w:r>
        <w:rPr>
          <w:rFonts w:ascii="Times" w:hAnsi="Times"/>
          <w:sz w:val="20"/>
          <w:szCs w:val="20"/>
        </w:rPr>
        <w:t>Winningham, to operate our business. Mr. Winningham has significant pharmaceutical industry experience. The loss of Mr. Winningham’s services could impair our ability to discover, develop and commercialize new medicines.</w:t>
      </w:r>
      <w:r>
        <w:rPr>
          <w:rFonts w:ascii="Times" w:hAnsi="Times"/>
          <w:sz w:val="20"/>
          <w:szCs w:val="20"/>
        </w:rPr>
        <w:t xml:space="preserve"> </w:t>
      </w:r>
    </w:p>
    <w:p w:rsidR="00000000" w:rsidRDefault="008B747E">
      <w:pPr>
        <w:pStyle w:val="a3"/>
        <w:spacing w:before="0" w:beforeAutospacing="0" w:after="0" w:afterAutospacing="0"/>
        <w:ind w:firstLine="720"/>
        <w:divId w:val="229199363"/>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229199363"/>
        <w:rPr>
          <w:rFonts w:ascii="Times" w:hAnsi="Times"/>
          <w:sz w:val="20"/>
          <w:szCs w:val="20"/>
        </w:rPr>
      </w:pPr>
      <w:r>
        <w:rPr>
          <w:rFonts w:ascii="Times" w:hAnsi="Times"/>
          <w:sz w:val="20"/>
          <w:szCs w:val="20"/>
        </w:rPr>
        <w:t>If we fail to retain our qualifi</w:t>
      </w:r>
      <w:r>
        <w:rPr>
          <w:rFonts w:ascii="Times" w:hAnsi="Times"/>
          <w:sz w:val="20"/>
          <w:szCs w:val="20"/>
        </w:rPr>
        <w:t>ed personnel or replace them when they leave, we may be unable to continue our discovery, development and commercialization activities, which may cause the price of our securities to fall.</w:t>
      </w:r>
      <w:r>
        <w:rPr>
          <w:rFonts w:ascii="Times" w:hAnsi="Times"/>
          <w:color w:val="FF0000"/>
          <w:sz w:val="20"/>
          <w:szCs w:val="20"/>
        </w:rPr>
        <w:t xml:space="preserve"> </w:t>
      </w:r>
    </w:p>
    <w:p w:rsidR="00000000" w:rsidRDefault="008B747E">
      <w:pPr>
        <w:pStyle w:val="a3"/>
        <w:spacing w:before="0" w:beforeAutospacing="0" w:after="0" w:afterAutospacing="0"/>
        <w:ind w:firstLine="720"/>
        <w:divId w:val="229199363"/>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229199363"/>
        <w:rPr>
          <w:rFonts w:ascii="Times" w:hAnsi="Times"/>
          <w:sz w:val="20"/>
          <w:szCs w:val="20"/>
        </w:rPr>
      </w:pPr>
      <w:r>
        <w:rPr>
          <w:rFonts w:ascii="Times" w:hAnsi="Times"/>
          <w:sz w:val="20"/>
          <w:szCs w:val="20"/>
        </w:rPr>
        <w:t xml:space="preserve">In addition, our US operating subsidiary’s facility and most of </w:t>
      </w:r>
      <w:r>
        <w:rPr>
          <w:rFonts w:ascii="Times" w:hAnsi="Times"/>
          <w:sz w:val="20"/>
          <w:szCs w:val="20"/>
        </w:rPr>
        <w:t>its employees are located in northern California, headquarters to many other biotechnology and biopharmaceutical companies and many academic and research institutions. As a result, competition for certain skilled personnel in our market is intense. None of</w:t>
      </w:r>
      <w:r>
        <w:rPr>
          <w:rFonts w:ascii="Times" w:hAnsi="Times"/>
          <w:sz w:val="20"/>
          <w:szCs w:val="20"/>
        </w:rPr>
        <w:t xml:space="preserve"> our employees have employment commitments for any fixed period of time and they all may leave our employment at will. If we fail to retain our qualified personnel or replace them when they leave, we may be unable to continue our development and commercial</w:t>
      </w:r>
      <w:r>
        <w:rPr>
          <w:rFonts w:ascii="Times" w:hAnsi="Times"/>
          <w:sz w:val="20"/>
          <w:szCs w:val="20"/>
        </w:rPr>
        <w:t>ization activities and the price of our securities could fall.</w:t>
      </w:r>
      <w:r>
        <w:rPr>
          <w:rFonts w:ascii="Times" w:hAnsi="Times"/>
          <w:sz w:val="20"/>
          <w:szCs w:val="20"/>
        </w:rPr>
        <w:t xml:space="preserve"> </w:t>
      </w:r>
    </w:p>
    <w:p w:rsidR="00000000" w:rsidRDefault="008B747E">
      <w:pPr>
        <w:pStyle w:val="a3"/>
        <w:spacing w:before="0" w:beforeAutospacing="0" w:after="0" w:afterAutospacing="0"/>
        <w:ind w:firstLine="720"/>
        <w:divId w:val="229199363"/>
        <w:rPr>
          <w:rFonts w:ascii="Times" w:hAnsi="Times"/>
          <w:sz w:val="20"/>
          <w:szCs w:val="20"/>
        </w:rPr>
      </w:pPr>
      <w:r>
        <w:rPr>
          <w:rFonts w:ascii="Times" w:hAnsi="Times"/>
          <w:sz w:val="20"/>
          <w:szCs w:val="20"/>
        </w:rPr>
        <w:t>​</w:t>
      </w:r>
    </w:p>
    <w:p w:rsidR="00000000" w:rsidRDefault="008B747E">
      <w:pPr>
        <w:pStyle w:val="a3"/>
        <w:spacing w:before="0" w:beforeAutospacing="0" w:after="120" w:afterAutospacing="0"/>
        <w:divId w:val="229199363"/>
        <w:rPr>
          <w:rFonts w:ascii="Times" w:hAnsi="Times"/>
          <w:b/>
          <w:bCs/>
          <w:i/>
          <w:iCs/>
          <w:sz w:val="20"/>
          <w:szCs w:val="20"/>
        </w:rPr>
      </w:pPr>
      <w:r>
        <w:rPr>
          <w:rFonts w:ascii="Times" w:hAnsi="Times"/>
          <w:b/>
          <w:bCs/>
          <w:i/>
          <w:iCs/>
          <w:sz w:val="20"/>
          <w:szCs w:val="20"/>
        </w:rPr>
        <w:t>Global health and economic, political and social conditions may harm our ability to do business, increase our costs and negatively affect our stock price.</w:t>
      </w:r>
    </w:p>
    <w:p w:rsidR="00000000" w:rsidRDefault="008B747E">
      <w:pPr>
        <w:pStyle w:val="a3"/>
        <w:spacing w:before="0" w:beforeAutospacing="0" w:after="0" w:afterAutospacing="0"/>
        <w:ind w:firstLine="720"/>
        <w:divId w:val="229199363"/>
        <w:rPr>
          <w:rFonts w:ascii="Times" w:hAnsi="Times"/>
          <w:sz w:val="20"/>
          <w:szCs w:val="20"/>
        </w:rPr>
      </w:pPr>
      <w:r>
        <w:rPr>
          <w:rFonts w:ascii="Times" w:hAnsi="Times"/>
          <w:sz w:val="20"/>
          <w:szCs w:val="20"/>
        </w:rPr>
        <w:t>Worldwide economic conditions remai</w:t>
      </w:r>
      <w:r>
        <w:rPr>
          <w:rFonts w:ascii="Times" w:hAnsi="Times"/>
          <w:sz w:val="20"/>
          <w:szCs w:val="20"/>
        </w:rPr>
        <w:t>n uncertain due to the decision by the United Kingdom to initiate the formal procedure of withdrawal from the EU (often referred to as</w:t>
      </w:r>
      <w:r>
        <w:rPr>
          <w:rFonts w:ascii="Times" w:hAnsi="Times"/>
          <w:sz w:val="20"/>
          <w:szCs w:val="20"/>
        </w:rPr>
        <w:t xml:space="preserve"> </w:t>
      </w:r>
      <w:r>
        <w:rPr>
          <w:rFonts w:ascii="Times" w:hAnsi="Times"/>
          <w:sz w:val="20"/>
          <w:szCs w:val="20"/>
        </w:rPr>
        <w:t>“Brexit”), current economic challenges in Asia and other disruptions to global and regional economies and markets.</w:t>
      </w:r>
      <w:r>
        <w:rPr>
          <w:rFonts w:ascii="Times" w:hAnsi="Times"/>
          <w:sz w:val="20"/>
          <w:szCs w:val="20"/>
        </w:rPr>
        <w:t xml:space="preserve"> </w:t>
      </w:r>
    </w:p>
    <w:p w:rsidR="00000000" w:rsidRDefault="008B747E">
      <w:pPr>
        <w:pStyle w:val="a3"/>
        <w:spacing w:before="0" w:beforeAutospacing="0" w:after="0" w:afterAutospacing="0"/>
        <w:ind w:firstLine="720"/>
        <w:divId w:val="229199363"/>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229199363"/>
        <w:rPr>
          <w:sz w:val="20"/>
          <w:szCs w:val="20"/>
        </w:rPr>
      </w:pPr>
      <w:r>
        <w:rPr>
          <w:rFonts w:ascii="Times" w:hAnsi="Times"/>
          <w:sz w:val="20"/>
          <w:szCs w:val="20"/>
        </w:rPr>
        <w:t>Bre</w:t>
      </w:r>
      <w:r>
        <w:rPr>
          <w:rFonts w:ascii="Times" w:hAnsi="Times"/>
          <w:sz w:val="20"/>
          <w:szCs w:val="20"/>
        </w:rPr>
        <w:t>xit has created significant uncertainty about the future relationship between the United Kingdom and the EU, including with respect to the laws and regulations that will apply as the United Kingdom determines which EU laws to</w:t>
      </w:r>
      <w:r>
        <w:rPr>
          <w:rFonts w:ascii="Times" w:hAnsi="Times"/>
          <w:sz w:val="20"/>
          <w:szCs w:val="20"/>
        </w:rPr>
        <w:t xml:space="preserve"> </w:t>
      </w:r>
    </w:p>
    <w:p w:rsidR="00000000" w:rsidRDefault="008B747E">
      <w:pPr>
        <w:pStyle w:val="a3"/>
        <w:spacing w:before="360" w:beforeAutospacing="0" w:after="0" w:afterAutospacing="0"/>
        <w:jc w:val="center"/>
        <w:divId w:val="1553276015"/>
        <w:rPr>
          <w:sz w:val="20"/>
          <w:szCs w:val="20"/>
        </w:rPr>
      </w:pPr>
      <w:r>
        <w:rPr>
          <w:sz w:val="20"/>
          <w:szCs w:val="20"/>
        </w:rPr>
        <w:t>46</w:t>
      </w:r>
    </w:p>
    <w:p w:rsidR="00000000" w:rsidRDefault="008B747E">
      <w:pPr>
        <w:pStyle w:val="a3"/>
        <w:spacing w:before="0" w:beforeAutospacing="0" w:after="600" w:afterAutospacing="0"/>
        <w:divId w:val="1289043544"/>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1101923343"/>
        <w:rPr>
          <w:sz w:val="20"/>
          <w:szCs w:val="20"/>
        </w:rPr>
      </w:pPr>
      <w:r>
        <w:rPr>
          <w:rFonts w:ascii="Times" w:hAnsi="Times"/>
          <w:sz w:val="20"/>
          <w:szCs w:val="20"/>
        </w:rPr>
        <w:t>replace or replicate in the event of a withdrawal. From a regulatory perspective, the United Kingdom's withdrawal could bear significant complexity and risks. In addition, the exact terms of the United Kingdom's withdrawal and the laws an</w:t>
      </w:r>
      <w:r>
        <w:rPr>
          <w:rFonts w:ascii="Times" w:hAnsi="Times"/>
          <w:sz w:val="20"/>
          <w:szCs w:val="20"/>
        </w:rPr>
        <w:t>d regulations that will apply after the United Kingdom withdraws from the EU would affect manufacturing sites that hold an EU manufacturing authorization issued by the United Kingdom competent authorities. The referendum could also give rise to calls for t</w:t>
      </w:r>
      <w:r>
        <w:rPr>
          <w:rFonts w:ascii="Times" w:hAnsi="Times"/>
          <w:sz w:val="20"/>
          <w:szCs w:val="20"/>
        </w:rPr>
        <w:t>he governments of other EU Member States to consider withdrawal from the EU.</w:t>
      </w:r>
      <w:r>
        <w:rPr>
          <w:rFonts w:ascii="Times" w:hAnsi="Times"/>
          <w:sz w:val="20"/>
          <w:szCs w:val="20"/>
        </w:rPr>
        <w:t xml:space="preserve"> </w:t>
      </w:r>
    </w:p>
    <w:p w:rsidR="00000000" w:rsidRDefault="008B747E">
      <w:pPr>
        <w:pStyle w:val="a3"/>
        <w:spacing w:before="0" w:beforeAutospacing="0" w:after="0" w:afterAutospacing="0"/>
        <w:ind w:firstLine="720"/>
        <w:divId w:val="1101923343"/>
        <w:rPr>
          <w:sz w:val="20"/>
          <w:szCs w:val="20"/>
        </w:rPr>
      </w:pPr>
      <w:r>
        <w:rPr>
          <w:rFonts w:ascii="Times" w:hAnsi="Times"/>
          <w:sz w:val="20"/>
          <w:szCs w:val="20"/>
        </w:rPr>
        <w:t>​</w:t>
      </w:r>
    </w:p>
    <w:p w:rsidR="00000000" w:rsidRDefault="008B747E">
      <w:pPr>
        <w:pStyle w:val="a3"/>
        <w:spacing w:before="0" w:beforeAutospacing="0" w:after="0" w:afterAutospacing="0"/>
        <w:ind w:firstLine="720"/>
        <w:divId w:val="1101923343"/>
        <w:rPr>
          <w:sz w:val="20"/>
          <w:szCs w:val="20"/>
        </w:rPr>
      </w:pPr>
      <w:r>
        <w:rPr>
          <w:rFonts w:ascii="Times" w:hAnsi="Times"/>
          <w:sz w:val="20"/>
          <w:szCs w:val="20"/>
        </w:rPr>
        <w:t>Further, development of our product candidates and/or regulatory approval may be delayed for other political events beyond our control. For example, a US federal government shutdown or budget sequestration, such as ones that occurred during 2013, 2018, and</w:t>
      </w:r>
      <w:r>
        <w:rPr>
          <w:rFonts w:ascii="Times" w:hAnsi="Times"/>
          <w:sz w:val="20"/>
          <w:szCs w:val="20"/>
        </w:rPr>
        <w:t xml:space="preserve"> 2019, may result in significant reductions to the FDA’s budget, employees and operations, which may lead to slower response times and longer review periods, potentially affecting our ability to progress development of our product candidates or obtain regu</w:t>
      </w:r>
      <w:r>
        <w:rPr>
          <w:rFonts w:ascii="Times" w:hAnsi="Times"/>
          <w:sz w:val="20"/>
          <w:szCs w:val="20"/>
        </w:rPr>
        <w:t>latory approval for our product candidates. Further, future government shutdowns could impact our ability to access the public markets and obtain necessary capital in order to properly capitalize and continue our operations.</w:t>
      </w:r>
    </w:p>
    <w:p w:rsidR="00000000" w:rsidRDefault="008B747E">
      <w:pPr>
        <w:pStyle w:val="a3"/>
        <w:spacing w:before="0" w:beforeAutospacing="0" w:after="0" w:afterAutospacing="0"/>
        <w:divId w:val="1101923343"/>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1101923343"/>
        <w:rPr>
          <w:rFonts w:ascii="Times" w:hAnsi="Times"/>
          <w:sz w:val="20"/>
          <w:szCs w:val="20"/>
        </w:rPr>
      </w:pPr>
      <w:r>
        <w:rPr>
          <w:rFonts w:ascii="Times" w:hAnsi="Times"/>
          <w:sz w:val="20"/>
          <w:szCs w:val="20"/>
        </w:rPr>
        <w:t>Our operations also depend up</w:t>
      </w:r>
      <w:r>
        <w:rPr>
          <w:rFonts w:ascii="Times" w:hAnsi="Times"/>
          <w:sz w:val="20"/>
          <w:szCs w:val="20"/>
        </w:rPr>
        <w:t>on favorable trade relations between the US and those foreign countries in which our materials suppliers have operations. A protectionist trade environment in either the US or those foreign countries in which we do business, such as a change in the current</w:t>
      </w:r>
      <w:r>
        <w:rPr>
          <w:rFonts w:ascii="Times" w:hAnsi="Times"/>
          <w:sz w:val="20"/>
          <w:szCs w:val="20"/>
        </w:rPr>
        <w:t xml:space="preserve"> tariff structures, export compliance or other trade policies, may materially and adversely affect our operations. External factors, such as potential terrorist attacks, acts of war, geopolitical and social turmoil or epidemics and other similar outbreaks </w:t>
      </w:r>
      <w:r>
        <w:rPr>
          <w:rFonts w:ascii="Times" w:hAnsi="Times"/>
          <w:sz w:val="20"/>
          <w:szCs w:val="20"/>
        </w:rPr>
        <w:t>in many parts of the world, could also prevent or hinder our ability to do business, increase our costs and negatively affect our stock price. These geopolitical, social and economic conditions could harm our business.</w:t>
      </w:r>
      <w:r>
        <w:rPr>
          <w:rFonts w:ascii="Times" w:hAnsi="Times"/>
          <w:sz w:val="20"/>
          <w:szCs w:val="20"/>
        </w:rPr>
        <w:t xml:space="preserve"> </w:t>
      </w:r>
    </w:p>
    <w:p w:rsidR="00000000" w:rsidRDefault="008B747E">
      <w:pPr>
        <w:pStyle w:val="a3"/>
        <w:spacing w:before="0" w:beforeAutospacing="0" w:after="0" w:afterAutospacing="0"/>
        <w:ind w:firstLine="720"/>
        <w:divId w:val="1101923343"/>
        <w:rPr>
          <w:rFonts w:ascii="Times" w:hAnsi="Times"/>
          <w:sz w:val="20"/>
          <w:szCs w:val="20"/>
        </w:rPr>
      </w:pPr>
      <w:r>
        <w:rPr>
          <w:rFonts w:ascii="Times" w:hAnsi="Times"/>
          <w:sz w:val="20"/>
          <w:szCs w:val="20"/>
        </w:rPr>
        <w:t>​</w:t>
      </w:r>
    </w:p>
    <w:p w:rsidR="00000000" w:rsidRDefault="008B747E">
      <w:pPr>
        <w:pStyle w:val="a3"/>
        <w:spacing w:before="0" w:beforeAutospacing="0" w:after="120" w:afterAutospacing="0"/>
        <w:divId w:val="1101923343"/>
        <w:rPr>
          <w:rFonts w:ascii="Times" w:hAnsi="Times"/>
          <w:b/>
          <w:bCs/>
          <w:i/>
          <w:iCs/>
          <w:sz w:val="20"/>
          <w:szCs w:val="20"/>
        </w:rPr>
      </w:pPr>
      <w:r>
        <w:rPr>
          <w:rFonts w:ascii="Times" w:hAnsi="Times"/>
          <w:b/>
          <w:bCs/>
          <w:i/>
          <w:iCs/>
          <w:sz w:val="20"/>
          <w:szCs w:val="20"/>
        </w:rPr>
        <w:t>Our US operating subsidiary’s faci</w:t>
      </w:r>
      <w:r>
        <w:rPr>
          <w:rFonts w:ascii="Times" w:hAnsi="Times"/>
          <w:b/>
          <w:bCs/>
          <w:i/>
          <w:iCs/>
          <w:sz w:val="20"/>
          <w:szCs w:val="20"/>
        </w:rPr>
        <w:t>lity is located near known earthquake fault zones, and the occurrence of an earthquake, extremist attack or other catastrophic disaster could cause damage to our facilities and equipment, which could require us to cease or curtail operations.</w:t>
      </w:r>
      <w:r>
        <w:rPr>
          <w:rFonts w:ascii="Times" w:hAnsi="Times"/>
          <w:b/>
          <w:bCs/>
          <w:i/>
          <w:iCs/>
          <w:sz w:val="20"/>
          <w:szCs w:val="20"/>
        </w:rPr>
        <w:t xml:space="preserve"> </w:t>
      </w:r>
    </w:p>
    <w:p w:rsidR="00000000" w:rsidRDefault="008B747E">
      <w:pPr>
        <w:pStyle w:val="a3"/>
        <w:spacing w:before="0" w:beforeAutospacing="0" w:after="0" w:afterAutospacing="0"/>
        <w:ind w:firstLine="720"/>
        <w:divId w:val="1101923343"/>
        <w:rPr>
          <w:rFonts w:ascii="Times" w:hAnsi="Times"/>
          <w:sz w:val="20"/>
          <w:szCs w:val="20"/>
        </w:rPr>
      </w:pPr>
      <w:r>
        <w:rPr>
          <w:rFonts w:ascii="Times" w:hAnsi="Times"/>
          <w:sz w:val="20"/>
          <w:szCs w:val="20"/>
        </w:rPr>
        <w:t>Our US opera</w:t>
      </w:r>
      <w:r>
        <w:rPr>
          <w:rFonts w:ascii="Times" w:hAnsi="Times"/>
          <w:sz w:val="20"/>
          <w:szCs w:val="20"/>
        </w:rPr>
        <w:t>ting subsidiary’s facility is located in the San Francisco Bay Area near known earthquake fault zones and therefore will be vulnerable to damage from earthquakes. In October 1989, a major earthquake struck this area and caused significant property damage a</w:t>
      </w:r>
      <w:r>
        <w:rPr>
          <w:rFonts w:ascii="Times" w:hAnsi="Times"/>
          <w:sz w:val="20"/>
          <w:szCs w:val="20"/>
        </w:rPr>
        <w:t>nd a number of fatalities. We are also vulnerable to damage from other types of disasters, including power loss, attacks from extremist organizations, fire, floods, communications failures and similar events. If any disaster were to occur, our ability to o</w:t>
      </w:r>
      <w:r>
        <w:rPr>
          <w:rFonts w:ascii="Times" w:hAnsi="Times"/>
          <w:sz w:val="20"/>
          <w:szCs w:val="20"/>
        </w:rPr>
        <w:t>perate our business could be seriously impaired. In addition, the unique nature of our research activities and of much of our equipment could make it difficult and costly for us to recover from this type of disaster. We may not have adequate insurance to c</w:t>
      </w:r>
      <w:r>
        <w:rPr>
          <w:rFonts w:ascii="Times" w:hAnsi="Times"/>
          <w:sz w:val="20"/>
          <w:szCs w:val="20"/>
        </w:rPr>
        <w:t>over our losses resulting from disasters or other similar significant business interruptions and we do not plan to purchase additional insurance to cover such losses due to the cost of obtaining such coverage. Any significant losses that are not recoverabl</w:t>
      </w:r>
      <w:r>
        <w:rPr>
          <w:rFonts w:ascii="Times" w:hAnsi="Times"/>
          <w:sz w:val="20"/>
          <w:szCs w:val="20"/>
        </w:rPr>
        <w:t>e under our insurance policies could seriously impair our business and financial condition, which could cause the price of our securities to fall.</w:t>
      </w:r>
      <w:r>
        <w:rPr>
          <w:rFonts w:ascii="Times" w:hAnsi="Times"/>
          <w:sz w:val="20"/>
          <w:szCs w:val="20"/>
        </w:rPr>
        <w:t xml:space="preserve"> </w:t>
      </w:r>
    </w:p>
    <w:p w:rsidR="00000000" w:rsidRDefault="008B747E">
      <w:pPr>
        <w:pStyle w:val="a3"/>
        <w:spacing w:before="0" w:beforeAutospacing="0" w:after="0" w:afterAutospacing="0"/>
        <w:divId w:val="1101923343"/>
        <w:rPr>
          <w:sz w:val="20"/>
          <w:szCs w:val="20"/>
        </w:rPr>
      </w:pPr>
      <w:r>
        <w:rPr>
          <w:sz w:val="20"/>
          <w:szCs w:val="20"/>
        </w:rPr>
        <w:t>​</w:t>
      </w:r>
    </w:p>
    <w:p w:rsidR="00000000" w:rsidRDefault="008B747E">
      <w:pPr>
        <w:pStyle w:val="a3"/>
        <w:spacing w:before="0" w:beforeAutospacing="0" w:after="120" w:afterAutospacing="0"/>
        <w:divId w:val="1101923343"/>
        <w:rPr>
          <w:sz w:val="20"/>
          <w:szCs w:val="20"/>
        </w:rPr>
      </w:pPr>
      <w:r>
        <w:rPr>
          <w:b/>
          <w:bCs/>
          <w:i/>
          <w:iCs/>
          <w:sz w:val="20"/>
          <w:szCs w:val="20"/>
        </w:rPr>
        <w:t>If YUPELRI is not broadly accepted by physicians, patients, third-party payors, or the medical community i</w:t>
      </w:r>
      <w:r>
        <w:rPr>
          <w:b/>
          <w:bCs/>
          <w:i/>
          <w:iCs/>
          <w:sz w:val="20"/>
          <w:szCs w:val="20"/>
        </w:rPr>
        <w:t xml:space="preserve">n general, we may never receive significant revenues from sales of this product. </w:t>
      </w:r>
    </w:p>
    <w:p w:rsidR="00000000" w:rsidRDefault="008B747E">
      <w:pPr>
        <w:pStyle w:val="a3"/>
        <w:spacing w:before="0" w:beforeAutospacing="0" w:after="0" w:afterAutospacing="0"/>
        <w:ind w:firstLine="720"/>
        <w:divId w:val="1101923343"/>
        <w:rPr>
          <w:rFonts w:ascii="Times" w:hAnsi="Times"/>
          <w:sz w:val="20"/>
          <w:szCs w:val="20"/>
        </w:rPr>
      </w:pPr>
      <w:r>
        <w:rPr>
          <w:rFonts w:ascii="Times" w:hAnsi="Times"/>
          <w:sz w:val="20"/>
          <w:szCs w:val="20"/>
        </w:rPr>
        <w:t>The commercial success of YUPELRI depends upon its acceptance by physicians, patients, third-party payors and the medical community in general. YUPELRI may not be sufficientl</w:t>
      </w:r>
      <w:r>
        <w:rPr>
          <w:rFonts w:ascii="Times" w:hAnsi="Times"/>
          <w:sz w:val="20"/>
          <w:szCs w:val="20"/>
        </w:rPr>
        <w:t>y accepted by these parties. YUPELRI competes with predominantly with short-acting nebulized bronchodilators used three to four times per day and the nebulized LAMA Lonhala</w:t>
      </w:r>
      <w:r>
        <w:rPr>
          <w:rFonts w:ascii="Times" w:hAnsi="Times"/>
          <w:sz w:val="15"/>
          <w:szCs w:val="15"/>
          <w:vertAlign w:val="superscript"/>
        </w:rPr>
        <w:t>TM</w:t>
      </w:r>
      <w:r>
        <w:rPr>
          <w:rFonts w:ascii="Times" w:hAnsi="Times"/>
          <w:sz w:val="20"/>
          <w:szCs w:val="20"/>
        </w:rPr>
        <w:t xml:space="preserve"> </w:t>
      </w:r>
      <w:r>
        <w:rPr>
          <w:rFonts w:ascii="Times" w:hAnsi="Times"/>
          <w:sz w:val="20"/>
          <w:szCs w:val="20"/>
        </w:rPr>
        <w:t>Magnair</w:t>
      </w:r>
      <w:r>
        <w:rPr>
          <w:rFonts w:ascii="Times" w:hAnsi="Times"/>
          <w:sz w:val="15"/>
          <w:szCs w:val="15"/>
          <w:vertAlign w:val="superscript"/>
        </w:rPr>
        <w:t>TM</w:t>
      </w:r>
      <w:r>
        <w:rPr>
          <w:rFonts w:ascii="Times" w:hAnsi="Times"/>
          <w:sz w:val="20"/>
          <w:szCs w:val="20"/>
        </w:rPr>
        <w:t xml:space="preserve"> </w:t>
      </w:r>
      <w:r>
        <w:rPr>
          <w:rFonts w:ascii="Times" w:hAnsi="Times"/>
          <w:sz w:val="20"/>
          <w:szCs w:val="20"/>
        </w:rPr>
        <w:t>(SUN-101/eFlow®) used twice per day. If YUPELRI is not widely accepted,</w:t>
      </w:r>
      <w:r>
        <w:rPr>
          <w:rFonts w:ascii="Times" w:hAnsi="Times"/>
          <w:sz w:val="20"/>
          <w:szCs w:val="20"/>
        </w:rPr>
        <w:t xml:space="preserve"> our business and financial results could be materially harmed.</w:t>
      </w:r>
    </w:p>
    <w:p w:rsidR="00000000" w:rsidRDefault="008B747E">
      <w:pPr>
        <w:pStyle w:val="a3"/>
        <w:spacing w:before="0" w:beforeAutospacing="0" w:after="0" w:afterAutospacing="0"/>
        <w:ind w:firstLine="720"/>
        <w:divId w:val="1101923343"/>
        <w:rPr>
          <w:rFonts w:ascii="Times" w:hAnsi="Times"/>
          <w:sz w:val="20"/>
          <w:szCs w:val="20"/>
        </w:rPr>
      </w:pPr>
      <w:r>
        <w:rPr>
          <w:rFonts w:ascii="Times" w:hAnsi="Times"/>
          <w:sz w:val="20"/>
          <w:szCs w:val="20"/>
        </w:rPr>
        <w:t>​</w:t>
      </w:r>
    </w:p>
    <w:p w:rsidR="00000000" w:rsidRDefault="008B747E">
      <w:pPr>
        <w:pStyle w:val="a3"/>
        <w:spacing w:before="0" w:beforeAutospacing="0" w:after="120" w:afterAutospacing="0"/>
        <w:divId w:val="1101923343"/>
        <w:rPr>
          <w:rFonts w:ascii="Times" w:hAnsi="Times"/>
          <w:b/>
          <w:bCs/>
          <w:i/>
          <w:iCs/>
          <w:sz w:val="20"/>
          <w:szCs w:val="20"/>
        </w:rPr>
      </w:pPr>
      <w:r>
        <w:rPr>
          <w:rFonts w:ascii="Times" w:hAnsi="Times"/>
          <w:b/>
          <w:bCs/>
          <w:i/>
          <w:iCs/>
          <w:sz w:val="20"/>
          <w:szCs w:val="20"/>
        </w:rPr>
        <w:t>In collaboration with Mylan, we are responsible for marketing and sales of YUPELRI in the US, which subjects us to certain risks.</w:t>
      </w:r>
      <w:r>
        <w:rPr>
          <w:rFonts w:ascii="Times" w:hAnsi="Times"/>
          <w:b/>
          <w:bCs/>
          <w:i/>
          <w:iCs/>
          <w:sz w:val="20"/>
          <w:szCs w:val="20"/>
        </w:rPr>
        <w:t xml:space="preserve"> </w:t>
      </w:r>
    </w:p>
    <w:p w:rsidR="00000000" w:rsidRDefault="008B747E">
      <w:pPr>
        <w:pStyle w:val="a3"/>
        <w:spacing w:before="0" w:beforeAutospacing="0" w:after="0" w:afterAutospacing="0"/>
        <w:ind w:firstLine="720"/>
        <w:divId w:val="1101923343"/>
        <w:rPr>
          <w:rFonts w:ascii="Times" w:hAnsi="Times"/>
          <w:sz w:val="20"/>
          <w:szCs w:val="20"/>
        </w:rPr>
      </w:pPr>
      <w:r>
        <w:rPr>
          <w:rFonts w:ascii="Times" w:hAnsi="Times"/>
          <w:sz w:val="20"/>
          <w:szCs w:val="20"/>
        </w:rPr>
        <w:t>We currently maintain a sales force in the US and plan to c</w:t>
      </w:r>
      <w:r>
        <w:rPr>
          <w:rFonts w:ascii="Times" w:hAnsi="Times"/>
          <w:sz w:val="20"/>
          <w:szCs w:val="20"/>
        </w:rPr>
        <w:t>ontinue to augment our sales and marketing personnel to support our co-promotion obligations for YUPELRI under our agreement with Mylan. The risks of fulfilling our US co-promotion obligations to Mylan include:</w:t>
      </w:r>
    </w:p>
    <w:p w:rsidR="00000000" w:rsidRDefault="008B747E">
      <w:pPr>
        <w:pStyle w:val="a3"/>
        <w:spacing w:before="0" w:beforeAutospacing="0" w:after="0" w:afterAutospacing="0"/>
        <w:ind w:firstLine="720"/>
        <w:divId w:val="1101923343"/>
        <w:rPr>
          <w:rFonts w:ascii="Times" w:hAnsi="Times"/>
          <w:sz w:val="20"/>
          <w:szCs w:val="20"/>
        </w:rPr>
      </w:pPr>
      <w:r>
        <w:rPr>
          <w:rFonts w:ascii="Times" w:hAnsi="Time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01923343"/>
        </w:trPr>
        <w:tc>
          <w:tcPr>
            <w:tcW w:w="720" w:type="dxa"/>
            <w:vAlign w:val="center"/>
            <w:hideMark/>
          </w:tcPr>
          <w:p w:rsidR="00000000" w:rsidRDefault="008B747E">
            <w:pPr>
              <w:rPr>
                <w:rFonts w:ascii="Times" w:hAnsi="Times"/>
                <w:sz w:val="20"/>
                <w:szCs w:val="20"/>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costs and expenses associated with creat</w:t>
            </w:r>
            <w:r>
              <w:rPr>
                <w:rFonts w:ascii="Times" w:eastAsia="Times New Roman" w:hAnsi="Times"/>
                <w:color w:val="000000"/>
                <w:sz w:val="20"/>
                <w:szCs w:val="20"/>
              </w:rPr>
              <w:t>ing and maintaining an independent sales and marketing organization with appropriate technical expertise and supporting infrastructure, including third-party vendor logistics and</w:t>
            </w:r>
            <w:r>
              <w:rPr>
                <w:rFonts w:ascii="Times" w:eastAsia="Times New Roman" w:hAnsi="Times"/>
                <w:color w:val="000000"/>
                <w:sz w:val="20"/>
                <w:szCs w:val="20"/>
              </w:rPr>
              <w:t xml:space="preserve"> </w:t>
            </w:r>
          </w:p>
        </w:tc>
      </w:tr>
    </w:tbl>
    <w:p w:rsidR="00000000" w:rsidRDefault="008B747E">
      <w:pPr>
        <w:pStyle w:val="a3"/>
        <w:spacing w:before="360" w:beforeAutospacing="0" w:after="0" w:afterAutospacing="0"/>
        <w:jc w:val="center"/>
        <w:divId w:val="1267730234"/>
        <w:rPr>
          <w:sz w:val="20"/>
          <w:szCs w:val="20"/>
        </w:rPr>
      </w:pPr>
      <w:r>
        <w:rPr>
          <w:sz w:val="20"/>
          <w:szCs w:val="20"/>
        </w:rPr>
        <w:t>47</w:t>
      </w:r>
    </w:p>
    <w:p w:rsidR="00000000" w:rsidRDefault="008B747E">
      <w:pPr>
        <w:pStyle w:val="a3"/>
        <w:spacing w:before="0" w:beforeAutospacing="0" w:after="600" w:afterAutospacing="0"/>
        <w:divId w:val="1062290138"/>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68"/>
        <w:gridCol w:w="7218"/>
      </w:tblGrid>
      <w:tr w:rsidR="00000000">
        <w:trPr>
          <w:divId w:val="720129760"/>
        </w:trPr>
        <w:tc>
          <w:tcPr>
            <w:tcW w:w="720" w:type="dxa"/>
            <w:vAlign w:val="center"/>
            <w:hideMark/>
          </w:tcPr>
          <w:p w:rsidR="00000000" w:rsidRDefault="008B747E">
            <w:pPr>
              <w:rPr>
                <w:sz w:val="20"/>
                <w:szCs w:val="20"/>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consultant support, which costs and expenses could, depending on the scope and method of the marketing effort, exceed any product revenue for several years;</w:t>
            </w:r>
            <w:r>
              <w:rPr>
                <w:rFonts w:ascii="Times" w:eastAsia="Times New Roman" w:hAnsi="Times"/>
                <w:color w:val="000000"/>
                <w:sz w:val="20"/>
                <w:szCs w:val="20"/>
              </w:rPr>
              <w:t xml:space="preserve"> </w:t>
            </w:r>
          </w:p>
        </w:tc>
      </w:tr>
    </w:tbl>
    <w:p w:rsidR="00000000" w:rsidRDefault="008B747E">
      <w:pPr>
        <w:divId w:val="7201297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0129760"/>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our ability to retain effective sales and marketing personnel and medical science liaisons in</w:t>
            </w:r>
            <w:r>
              <w:rPr>
                <w:rFonts w:ascii="Times" w:eastAsia="Times New Roman" w:hAnsi="Times"/>
                <w:color w:val="000000"/>
                <w:sz w:val="20"/>
                <w:szCs w:val="20"/>
              </w:rPr>
              <w:t xml:space="preserve"> the US;</w:t>
            </w:r>
            <w:r>
              <w:rPr>
                <w:rFonts w:ascii="Times" w:eastAsia="Times New Roman" w:hAnsi="Times"/>
                <w:color w:val="000000"/>
                <w:sz w:val="20"/>
                <w:szCs w:val="20"/>
              </w:rPr>
              <w:t xml:space="preserve"> </w:t>
            </w:r>
          </w:p>
        </w:tc>
      </w:tr>
    </w:tbl>
    <w:p w:rsidR="00000000" w:rsidRDefault="008B747E">
      <w:pPr>
        <w:divId w:val="7201297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0129760"/>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the ability of our sales and marketing personnel to obtain access to and educate adequate numbers of physicians about prescribing YUPELRI, in appropriate clinical situations; and</w:t>
            </w:r>
          </w:p>
        </w:tc>
      </w:tr>
    </w:tbl>
    <w:p w:rsidR="00000000" w:rsidRDefault="008B747E">
      <w:pPr>
        <w:divId w:val="72012976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20129760"/>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rPr>
                <w:rFonts w:ascii="Times" w:eastAsia="Times New Roman" w:hAnsi="Times"/>
                <w:sz w:val="20"/>
                <w:szCs w:val="20"/>
              </w:rPr>
            </w:pPr>
            <w:r>
              <w:rPr>
                <w:rFonts w:ascii="Times" w:eastAsia="Times New Roman" w:hAnsi="Times"/>
                <w:color w:val="000000"/>
                <w:sz w:val="20"/>
                <w:szCs w:val="20"/>
              </w:rPr>
              <w:t>the lack of complementary products to be offered by sales</w:t>
            </w:r>
            <w:r>
              <w:rPr>
                <w:rFonts w:ascii="Times" w:eastAsia="Times New Roman" w:hAnsi="Times"/>
                <w:color w:val="000000"/>
                <w:sz w:val="20"/>
                <w:szCs w:val="20"/>
              </w:rPr>
              <w:t xml:space="preserve"> personnel, which may put us at a competitive disadvantage relative to companies with more extensive product lines.</w:t>
            </w:r>
          </w:p>
        </w:tc>
      </w:tr>
    </w:tbl>
    <w:p w:rsidR="00000000" w:rsidRDefault="008B747E">
      <w:pPr>
        <w:pStyle w:val="a3"/>
        <w:spacing w:before="0" w:beforeAutospacing="0" w:after="240" w:afterAutospacing="0"/>
        <w:ind w:firstLine="720"/>
        <w:divId w:val="720129760"/>
        <w:rPr>
          <w:sz w:val="20"/>
          <w:szCs w:val="20"/>
        </w:rPr>
      </w:pPr>
      <w:r>
        <w:rPr>
          <w:sz w:val="20"/>
          <w:szCs w:val="20"/>
        </w:rPr>
        <w:t>If we are not successful in maintaining an internal sales and marketing organization with appropriate experience, technical expertise, supp</w:t>
      </w:r>
      <w:r>
        <w:rPr>
          <w:sz w:val="20"/>
          <w:szCs w:val="20"/>
        </w:rPr>
        <w:t>orting infrastructure and the ability to obtain access to and educate adequate numbers of physicians about prescribing YUPELRI in appropriate clinical situations, we will have difficulty commercializing YUPELRI, which would adversely affect our business an</w:t>
      </w:r>
      <w:r>
        <w:rPr>
          <w:sz w:val="20"/>
          <w:szCs w:val="20"/>
        </w:rPr>
        <w:t xml:space="preserve">d financial condition and the price of our securities could fall. </w:t>
      </w:r>
    </w:p>
    <w:p w:rsidR="00000000" w:rsidRDefault="008B747E">
      <w:pPr>
        <w:pStyle w:val="a3"/>
        <w:spacing w:before="0" w:beforeAutospacing="0" w:after="120" w:afterAutospacing="0"/>
        <w:divId w:val="720129760"/>
        <w:rPr>
          <w:rFonts w:ascii="Times" w:hAnsi="Times"/>
          <w:b/>
          <w:bCs/>
          <w:i/>
          <w:iCs/>
          <w:sz w:val="20"/>
          <w:szCs w:val="20"/>
        </w:rPr>
      </w:pPr>
      <w:r>
        <w:rPr>
          <w:rFonts w:ascii="Times" w:hAnsi="Times"/>
          <w:b/>
          <w:bCs/>
          <w:i/>
          <w:iCs/>
          <w:sz w:val="20"/>
          <w:szCs w:val="20"/>
        </w:rPr>
        <w:t>We are subject to extensive and ongoing regulation, oversight and other requirements by the FDA and failure to comply with these regulations and requirements may subject us to penalties that may adversely affect our financial condition or our ability to co</w:t>
      </w:r>
      <w:r>
        <w:rPr>
          <w:rFonts w:ascii="Times" w:hAnsi="Times"/>
          <w:b/>
          <w:bCs/>
          <w:i/>
          <w:iCs/>
          <w:sz w:val="20"/>
          <w:szCs w:val="20"/>
        </w:rPr>
        <w:t>mmercialize any approved products.</w:t>
      </w:r>
      <w:r>
        <w:rPr>
          <w:rFonts w:ascii="Times" w:hAnsi="Times"/>
          <w:b/>
          <w:bCs/>
          <w:i/>
          <w:iCs/>
          <w:sz w:val="20"/>
          <w:szCs w:val="20"/>
        </w:rPr>
        <w:t xml:space="preserve"> </w:t>
      </w:r>
    </w:p>
    <w:p w:rsidR="00000000" w:rsidRDefault="008B747E">
      <w:pPr>
        <w:pStyle w:val="a3"/>
        <w:spacing w:before="0" w:beforeAutospacing="0" w:after="0" w:afterAutospacing="0"/>
        <w:ind w:firstLine="720"/>
        <w:divId w:val="720129760"/>
        <w:rPr>
          <w:rFonts w:ascii="Times" w:hAnsi="Times"/>
          <w:sz w:val="20"/>
          <w:szCs w:val="20"/>
        </w:rPr>
      </w:pPr>
      <w:r>
        <w:rPr>
          <w:rFonts w:ascii="Times" w:hAnsi="Times"/>
          <w:sz w:val="20"/>
          <w:szCs w:val="20"/>
        </w:rPr>
        <w:t>Prescription drug advertising and promotion are closely scrutinized by the FDA, including substantiation of promotional claims, disclosure of risks and safety information, and the use of themes and imagery in advertising</w:t>
      </w:r>
      <w:r>
        <w:rPr>
          <w:rFonts w:ascii="Times" w:hAnsi="Times"/>
          <w:sz w:val="20"/>
          <w:szCs w:val="20"/>
        </w:rPr>
        <w:t xml:space="preserve"> and promotional materials. As with all companies selling and marketing products regulated by the FDA in the US, we are prohibited from promoting any uses of an approved product, such as YUPELRI, that are outside the scope of those uses that have been expr</w:t>
      </w:r>
      <w:r>
        <w:rPr>
          <w:rFonts w:ascii="Times" w:hAnsi="Times"/>
          <w:sz w:val="20"/>
          <w:szCs w:val="20"/>
        </w:rPr>
        <w:t>essly approved by the FDA as safe and effective on the product’s label.</w:t>
      </w:r>
      <w:r>
        <w:rPr>
          <w:rFonts w:ascii="Times" w:hAnsi="Times"/>
          <w:sz w:val="20"/>
          <w:szCs w:val="20"/>
        </w:rPr>
        <w:t xml:space="preserve"> </w:t>
      </w:r>
    </w:p>
    <w:p w:rsidR="00000000" w:rsidRDefault="008B747E">
      <w:pPr>
        <w:pStyle w:val="a3"/>
        <w:spacing w:before="0" w:beforeAutospacing="0" w:after="0" w:afterAutospacing="0"/>
        <w:divId w:val="720129760"/>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720129760"/>
        <w:rPr>
          <w:rFonts w:ascii="Times" w:hAnsi="Times"/>
          <w:sz w:val="20"/>
          <w:szCs w:val="20"/>
        </w:rPr>
      </w:pPr>
      <w:r>
        <w:rPr>
          <w:rFonts w:ascii="Times" w:hAnsi="Times"/>
          <w:sz w:val="20"/>
          <w:szCs w:val="20"/>
        </w:rPr>
        <w:t xml:space="preserve">The manufacturing, labeling, packaging, adverse event reporting, advertising, promotion and recordkeeping for an approved product remain subject to extensive and ongoing regulatory </w:t>
      </w:r>
      <w:r>
        <w:rPr>
          <w:rFonts w:ascii="Times" w:hAnsi="Times"/>
          <w:sz w:val="20"/>
          <w:szCs w:val="20"/>
        </w:rPr>
        <w:t>requirements. If we become aware of previously unknown problems with an approved product in the US or overseas or at a contract manufacturer’s facilities, a regulatory authority may impose restrictions on the product, the contract manufacturers or on us, i</w:t>
      </w:r>
      <w:r>
        <w:rPr>
          <w:rFonts w:ascii="Times" w:hAnsi="Times"/>
          <w:sz w:val="20"/>
          <w:szCs w:val="20"/>
        </w:rPr>
        <w:t>ncluding requiring us to reformulate the product, conduct additional clinical studies, change the labeling of the product, withdraw the product from the market or require the contract manufacturer to implement changes to its facilities.</w:t>
      </w:r>
      <w:r>
        <w:rPr>
          <w:rFonts w:ascii="Times" w:hAnsi="Times"/>
          <w:sz w:val="20"/>
          <w:szCs w:val="20"/>
        </w:rPr>
        <w:t xml:space="preserve"> </w:t>
      </w:r>
    </w:p>
    <w:p w:rsidR="00000000" w:rsidRDefault="008B747E">
      <w:pPr>
        <w:pStyle w:val="a3"/>
        <w:spacing w:before="0" w:beforeAutospacing="0" w:after="0" w:afterAutospacing="0"/>
        <w:ind w:firstLine="720"/>
        <w:divId w:val="720129760"/>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720129760"/>
        <w:rPr>
          <w:rFonts w:ascii="Times" w:hAnsi="Times"/>
          <w:sz w:val="20"/>
          <w:szCs w:val="20"/>
        </w:rPr>
      </w:pPr>
      <w:r>
        <w:rPr>
          <w:rFonts w:ascii="Times" w:hAnsi="Times"/>
          <w:sz w:val="20"/>
          <w:szCs w:val="20"/>
        </w:rPr>
        <w:t>We are also subj</w:t>
      </w:r>
      <w:r>
        <w:rPr>
          <w:rFonts w:ascii="Times" w:hAnsi="Times"/>
          <w:sz w:val="20"/>
          <w:szCs w:val="20"/>
        </w:rPr>
        <w:t>ect to regulation by regional, national, state and local agencies, including the Department of Justice, the Federal Trade Commission, the Office of Inspector General of the US Department of Health and Human Services (“OIG”) and other regulatory bodies with</w:t>
      </w:r>
      <w:r>
        <w:rPr>
          <w:rFonts w:ascii="Times" w:hAnsi="Times"/>
          <w:sz w:val="20"/>
          <w:szCs w:val="20"/>
        </w:rPr>
        <w:t xml:space="preserve"> respect to any approved product, such as YUPELRI, as well as governmental authorities in those foreign countries in which any product is approved for commercialization. The Federal Food, Drug, and Cosmetic Act, the Public Health Service Act and other fede</w:t>
      </w:r>
      <w:r>
        <w:rPr>
          <w:rFonts w:ascii="Times" w:hAnsi="Times"/>
          <w:sz w:val="20"/>
          <w:szCs w:val="20"/>
        </w:rPr>
        <w:t>ral and state statutes and regulations govern to varying degrees the research, development, manufacturing and commercial activities relating to prescription pharmaceutical products, including non-clinical and clinical testing, approval, production, labelin</w:t>
      </w:r>
      <w:r>
        <w:rPr>
          <w:rFonts w:ascii="Times" w:hAnsi="Times"/>
          <w:sz w:val="20"/>
          <w:szCs w:val="20"/>
        </w:rPr>
        <w:t>g, sale, distribution, import, export, post-market surveillance, advertising, dissemination of information and promotion. If we or any third parties that provide these services for us are unable to comply, we may be subject to regulatory or civil actions o</w:t>
      </w:r>
      <w:r>
        <w:rPr>
          <w:rFonts w:ascii="Times" w:hAnsi="Times"/>
          <w:sz w:val="20"/>
          <w:szCs w:val="20"/>
        </w:rPr>
        <w:t>r penalties that could significantly and adversely affect our business.</w:t>
      </w:r>
      <w:r>
        <w:rPr>
          <w:rFonts w:ascii="Times" w:hAnsi="Times"/>
          <w:sz w:val="20"/>
          <w:szCs w:val="20"/>
        </w:rPr>
        <w:t xml:space="preserve"> </w:t>
      </w:r>
    </w:p>
    <w:p w:rsidR="00000000" w:rsidRDefault="008B747E">
      <w:pPr>
        <w:pStyle w:val="a3"/>
        <w:spacing w:before="0" w:beforeAutospacing="0" w:after="0" w:afterAutospacing="0"/>
        <w:ind w:firstLine="720"/>
        <w:divId w:val="720129760"/>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720129760"/>
        <w:rPr>
          <w:rFonts w:ascii="Times" w:hAnsi="Times"/>
          <w:sz w:val="20"/>
          <w:szCs w:val="20"/>
        </w:rPr>
      </w:pPr>
      <w:r>
        <w:rPr>
          <w:rFonts w:ascii="Times" w:hAnsi="Times"/>
          <w:sz w:val="20"/>
          <w:szCs w:val="20"/>
        </w:rPr>
        <w:t>Regulatory approval for our product candidates, if any, may include similar or other limitations on the indicated uses for which we can market our medicines or the patient populatio</w:t>
      </w:r>
      <w:r>
        <w:rPr>
          <w:rFonts w:ascii="Times" w:hAnsi="Times"/>
          <w:sz w:val="20"/>
          <w:szCs w:val="20"/>
        </w:rPr>
        <w:t>n that may utilize our medicines, which may limit the market for our medicines or put us at a competitive disadvantage relative to alternative therapies.</w:t>
      </w:r>
      <w:r>
        <w:rPr>
          <w:rFonts w:ascii="Times" w:hAnsi="Times"/>
          <w:sz w:val="20"/>
          <w:szCs w:val="20"/>
        </w:rPr>
        <w:t xml:space="preserve"> </w:t>
      </w:r>
    </w:p>
    <w:p w:rsidR="00000000" w:rsidRDefault="008B747E">
      <w:pPr>
        <w:pStyle w:val="a3"/>
        <w:spacing w:before="0" w:beforeAutospacing="0" w:after="0" w:afterAutospacing="0"/>
        <w:ind w:firstLine="720"/>
        <w:divId w:val="720129760"/>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720129760"/>
        <w:rPr>
          <w:rFonts w:ascii="Times" w:hAnsi="Times"/>
          <w:sz w:val="20"/>
          <w:szCs w:val="20"/>
        </w:rPr>
      </w:pPr>
      <w:r>
        <w:rPr>
          <w:rFonts w:ascii="Times" w:hAnsi="Times"/>
          <w:sz w:val="20"/>
          <w:szCs w:val="20"/>
        </w:rPr>
        <w:t>Failure to satisfy required post-approval requirements and/or commitments may have implications for</w:t>
      </w:r>
      <w:r>
        <w:rPr>
          <w:rFonts w:ascii="Times" w:hAnsi="Times"/>
          <w:sz w:val="20"/>
          <w:szCs w:val="20"/>
        </w:rPr>
        <w:t xml:space="preserve"> a product’s approval and may carry civil monetary penalties. Any failure to maintain regulatory approval will materially limit the ability to commercialize a product or any future product candidates and if we fail to comply with FDA regulations and requir</w:t>
      </w:r>
      <w:r>
        <w:rPr>
          <w:rFonts w:ascii="Times" w:hAnsi="Times"/>
          <w:sz w:val="20"/>
          <w:szCs w:val="20"/>
        </w:rPr>
        <w:t>ements, the FDA could potentially take a number of enforcement actions against us, including the issuance of untitled letters, warning letters, preventing the introduction or delivery of the product into interstate commerce in the US, misbranding charges,</w:t>
      </w:r>
      <w:r>
        <w:rPr>
          <w:rFonts w:ascii="Times" w:hAnsi="Times"/>
          <w:sz w:val="20"/>
          <w:szCs w:val="20"/>
        </w:rPr>
        <w:t xml:space="preserve"> </w:t>
      </w:r>
    </w:p>
    <w:p w:rsidR="00000000" w:rsidRDefault="008B747E">
      <w:pPr>
        <w:pStyle w:val="a3"/>
        <w:spacing w:before="360" w:beforeAutospacing="0" w:after="0" w:afterAutospacing="0"/>
        <w:jc w:val="center"/>
        <w:divId w:val="292368784"/>
        <w:rPr>
          <w:sz w:val="20"/>
          <w:szCs w:val="20"/>
        </w:rPr>
      </w:pPr>
      <w:r>
        <w:rPr>
          <w:sz w:val="20"/>
          <w:szCs w:val="20"/>
        </w:rPr>
        <w:t>48</w:t>
      </w:r>
    </w:p>
    <w:p w:rsidR="00000000" w:rsidRDefault="008B747E">
      <w:pPr>
        <w:pStyle w:val="a3"/>
        <w:spacing w:before="0" w:beforeAutospacing="0" w:after="600" w:afterAutospacing="0"/>
        <w:divId w:val="1665039282"/>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250890026"/>
        <w:rPr>
          <w:rFonts w:ascii="Times" w:hAnsi="Times"/>
          <w:sz w:val="20"/>
          <w:szCs w:val="20"/>
        </w:rPr>
      </w:pPr>
      <w:r>
        <w:rPr>
          <w:rFonts w:ascii="Times" w:hAnsi="Times"/>
          <w:sz w:val="20"/>
          <w:szCs w:val="20"/>
        </w:rPr>
        <w:t>product seizures, injunctions, and civil monetary penalties, which would materially and adversely affect our business and financial condition and may cause the price of our securities to fall.</w:t>
      </w:r>
      <w:r>
        <w:rPr>
          <w:rFonts w:ascii="Times" w:hAnsi="Times"/>
          <w:sz w:val="20"/>
          <w:szCs w:val="20"/>
        </w:rPr>
        <w:t xml:space="preserve"> </w:t>
      </w:r>
    </w:p>
    <w:p w:rsidR="00000000" w:rsidRDefault="008B747E">
      <w:pPr>
        <w:pStyle w:val="a3"/>
        <w:spacing w:before="0" w:beforeAutospacing="0" w:after="0" w:afterAutospacing="0"/>
        <w:ind w:firstLine="720"/>
        <w:divId w:val="250890026"/>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250890026"/>
        <w:rPr>
          <w:rFonts w:ascii="Times" w:hAnsi="Times"/>
          <w:sz w:val="20"/>
          <w:szCs w:val="20"/>
        </w:rPr>
      </w:pPr>
      <w:r>
        <w:rPr>
          <w:rFonts w:ascii="Times" w:hAnsi="Times"/>
          <w:sz w:val="20"/>
          <w:szCs w:val="20"/>
        </w:rPr>
        <w:t>The risks id</w:t>
      </w:r>
      <w:r>
        <w:rPr>
          <w:rFonts w:ascii="Times" w:hAnsi="Times"/>
          <w:sz w:val="20"/>
          <w:szCs w:val="20"/>
        </w:rPr>
        <w:t>entified in this risk factor relating to regulatory actions and oversight by agencies in the US and throughout the world also apply to the commercialization of any partnered products by our collaboration partners and those commercializing products with res</w:t>
      </w:r>
      <w:r>
        <w:rPr>
          <w:rFonts w:ascii="Times" w:hAnsi="Times"/>
          <w:sz w:val="20"/>
          <w:szCs w:val="20"/>
        </w:rPr>
        <w:t>pect to which we have an economic interest or right to receive royalties, including GSK and Cumberland, and such regulatory actions and oversight may limit those parties’</w:t>
      </w:r>
      <w:r>
        <w:rPr>
          <w:rFonts w:ascii="Times" w:hAnsi="Times"/>
          <w:sz w:val="20"/>
          <w:szCs w:val="20"/>
        </w:rPr>
        <w:t xml:space="preserve"> </w:t>
      </w:r>
      <w:r>
        <w:rPr>
          <w:rFonts w:ascii="Times" w:hAnsi="Times"/>
          <w:sz w:val="20"/>
          <w:szCs w:val="20"/>
        </w:rPr>
        <w:t>ability to commercialize such products, which could materially and adversely affect o</w:t>
      </w:r>
      <w:r>
        <w:rPr>
          <w:rFonts w:ascii="Times" w:hAnsi="Times"/>
          <w:sz w:val="20"/>
          <w:szCs w:val="20"/>
        </w:rPr>
        <w:t>ur business and financial condition, and which may cause the price of our securities to fall.</w:t>
      </w:r>
      <w:r>
        <w:rPr>
          <w:rFonts w:ascii="Times" w:hAnsi="Times"/>
          <w:sz w:val="20"/>
          <w:szCs w:val="20"/>
        </w:rPr>
        <w:t xml:space="preserve"> </w:t>
      </w:r>
    </w:p>
    <w:p w:rsidR="00000000" w:rsidRDefault="008B747E">
      <w:pPr>
        <w:pStyle w:val="a3"/>
        <w:spacing w:before="0" w:beforeAutospacing="0" w:after="0" w:afterAutospacing="0"/>
        <w:ind w:firstLine="720"/>
        <w:divId w:val="250890026"/>
        <w:rPr>
          <w:rFonts w:ascii="Times" w:hAnsi="Times"/>
          <w:sz w:val="20"/>
          <w:szCs w:val="20"/>
        </w:rPr>
      </w:pPr>
      <w:r>
        <w:rPr>
          <w:rFonts w:ascii="Times" w:hAnsi="Times"/>
          <w:sz w:val="20"/>
          <w:szCs w:val="20"/>
        </w:rPr>
        <w:t>​</w:t>
      </w:r>
    </w:p>
    <w:p w:rsidR="00000000" w:rsidRDefault="008B747E">
      <w:pPr>
        <w:pStyle w:val="a3"/>
        <w:spacing w:before="0" w:beforeAutospacing="0" w:after="120" w:afterAutospacing="0"/>
        <w:divId w:val="250890026"/>
        <w:rPr>
          <w:rFonts w:ascii="Times" w:hAnsi="Times"/>
          <w:b/>
          <w:bCs/>
          <w:i/>
          <w:iCs/>
          <w:sz w:val="20"/>
          <w:szCs w:val="20"/>
        </w:rPr>
      </w:pPr>
      <w:r>
        <w:rPr>
          <w:rFonts w:ascii="Times" w:hAnsi="Times"/>
          <w:b/>
          <w:bCs/>
          <w:i/>
          <w:iCs/>
          <w:sz w:val="20"/>
          <w:szCs w:val="20"/>
        </w:rPr>
        <w:t>We and/or our collaboration partners and those commercializing products with respect to which we have an economic interest or right to receive royalties may fa</w:t>
      </w:r>
      <w:r>
        <w:rPr>
          <w:rFonts w:ascii="Times" w:hAnsi="Times"/>
          <w:b/>
          <w:bCs/>
          <w:i/>
          <w:iCs/>
          <w:sz w:val="20"/>
          <w:szCs w:val="20"/>
        </w:rPr>
        <w:t>ce competition from companies seeking to market generic versions of any approved products in which we have an interest, such as TRELEGY ELLIPTA or YUPELRI.</w:t>
      </w:r>
      <w:r>
        <w:rPr>
          <w:rFonts w:ascii="Times" w:hAnsi="Times"/>
          <w:b/>
          <w:bCs/>
          <w:i/>
          <w:iCs/>
          <w:sz w:val="20"/>
          <w:szCs w:val="20"/>
        </w:rPr>
        <w:t xml:space="preserve"> </w:t>
      </w:r>
    </w:p>
    <w:p w:rsidR="00000000" w:rsidRDefault="008B747E">
      <w:pPr>
        <w:pStyle w:val="a3"/>
        <w:spacing w:before="0" w:beforeAutospacing="0" w:after="0" w:afterAutospacing="0"/>
        <w:ind w:firstLine="720"/>
        <w:divId w:val="250890026"/>
        <w:rPr>
          <w:rFonts w:ascii="Times" w:hAnsi="Times"/>
          <w:sz w:val="20"/>
          <w:szCs w:val="20"/>
        </w:rPr>
      </w:pPr>
      <w:r>
        <w:rPr>
          <w:rFonts w:ascii="Times" w:hAnsi="Times"/>
          <w:sz w:val="20"/>
          <w:szCs w:val="20"/>
        </w:rPr>
        <w:t>Under the Drug Price Competition and Patent Term Restoration Act of 1984, a company may submit an a</w:t>
      </w:r>
      <w:r>
        <w:rPr>
          <w:rFonts w:ascii="Times" w:hAnsi="Times"/>
          <w:sz w:val="20"/>
          <w:szCs w:val="20"/>
        </w:rPr>
        <w:t>bbreviated new drug application (“ANDA”) under section 505(j) of the Federal Food, Drug, and Cosmetic Act to market a generic version of an approved drug. Because a generic applicant does not conduct its own clinical studies, but instead relies on the FDA’</w:t>
      </w:r>
      <w:r>
        <w:rPr>
          <w:rFonts w:ascii="Times" w:hAnsi="Times"/>
          <w:sz w:val="20"/>
          <w:szCs w:val="20"/>
        </w:rPr>
        <w:t xml:space="preserve">s finding of safety and effectiveness for the approved drug, it is able to introduce a competing product into the market at a cost significantly below that of the original drug. Although we have multiple patents protecting YUPELRI until at least 2025 that </w:t>
      </w:r>
      <w:r>
        <w:rPr>
          <w:rFonts w:ascii="Times" w:hAnsi="Times"/>
          <w:sz w:val="20"/>
          <w:szCs w:val="20"/>
        </w:rPr>
        <w:t>are listed in the FDA’s Approved Drug Products with Therapeutic Equivalence Evaluations, commonly known as the Orange Book, and those commercializing products with respect to which we have an economic interest or right to receive royalties similarly have p</w:t>
      </w:r>
      <w:r>
        <w:rPr>
          <w:rFonts w:ascii="Times" w:hAnsi="Times"/>
          <w:sz w:val="20"/>
          <w:szCs w:val="20"/>
        </w:rPr>
        <w:t>atents protecting their products, such as TRELEGY ELLIPTA and VIBATIV, generic applicants could potentially submit</w:t>
      </w:r>
      <w:r>
        <w:rPr>
          <w:rFonts w:ascii="Times" w:hAnsi="Times"/>
          <w:sz w:val="20"/>
          <w:szCs w:val="20"/>
        </w:rPr>
        <w:t xml:space="preserve"> </w:t>
      </w:r>
      <w:r>
        <w:rPr>
          <w:rFonts w:ascii="Times" w:hAnsi="Times"/>
          <w:sz w:val="20"/>
          <w:szCs w:val="20"/>
        </w:rPr>
        <w:t>“paragraph IV certifications”</w:t>
      </w:r>
      <w:r>
        <w:rPr>
          <w:rFonts w:ascii="Times" w:hAnsi="Times"/>
          <w:sz w:val="20"/>
          <w:szCs w:val="20"/>
        </w:rPr>
        <w:t xml:space="preserve"> </w:t>
      </w:r>
      <w:r>
        <w:rPr>
          <w:rFonts w:ascii="Times" w:hAnsi="Times"/>
          <w:sz w:val="20"/>
          <w:szCs w:val="20"/>
        </w:rPr>
        <w:t>to FDA stating that such patents are invalid or will not be infringed by the applicant’s product. We have not r</w:t>
      </w:r>
      <w:r>
        <w:rPr>
          <w:rFonts w:ascii="Times" w:hAnsi="Times"/>
          <w:sz w:val="20"/>
          <w:szCs w:val="20"/>
        </w:rPr>
        <w:t>eceived any such paragraph IV notifications nor are we aware of any with respect to products in which we have an economic interest or right to receive royalties, but if any competitors successfully challenge the patents related to these products, we and/or</w:t>
      </w:r>
      <w:r>
        <w:rPr>
          <w:rFonts w:ascii="Times" w:hAnsi="Times"/>
          <w:sz w:val="20"/>
          <w:szCs w:val="20"/>
        </w:rPr>
        <w:t xml:space="preserve"> our collaboration partners and those commercializing products with respect to which we have an economic interest or right to receive royalties would face substantial competition. If we are not able to compete effectively against such future competition, o</w:t>
      </w:r>
      <w:r>
        <w:rPr>
          <w:rFonts w:ascii="Times" w:hAnsi="Times"/>
          <w:sz w:val="20"/>
          <w:szCs w:val="20"/>
        </w:rPr>
        <w:t>ur business will not grow, our financial condition and operations will suffer and the price of our securities could fall.</w:t>
      </w:r>
      <w:r>
        <w:rPr>
          <w:rFonts w:ascii="Times" w:hAnsi="Times"/>
          <w:sz w:val="20"/>
          <w:szCs w:val="20"/>
        </w:rPr>
        <w:t xml:space="preserve"> </w:t>
      </w:r>
    </w:p>
    <w:p w:rsidR="00000000" w:rsidRDefault="008B747E">
      <w:pPr>
        <w:pStyle w:val="a3"/>
        <w:spacing w:before="0" w:beforeAutospacing="0" w:after="0" w:afterAutospacing="0"/>
        <w:divId w:val="250890026"/>
        <w:rPr>
          <w:sz w:val="20"/>
          <w:szCs w:val="20"/>
        </w:rPr>
      </w:pPr>
      <w:r>
        <w:rPr>
          <w:sz w:val="20"/>
          <w:szCs w:val="20"/>
        </w:rPr>
        <w:t>​</w:t>
      </w:r>
    </w:p>
    <w:p w:rsidR="00000000" w:rsidRDefault="008B747E">
      <w:pPr>
        <w:pStyle w:val="a3"/>
        <w:spacing w:before="0" w:beforeAutospacing="0" w:after="240" w:afterAutospacing="0"/>
        <w:ind w:firstLine="720"/>
        <w:divId w:val="250890026"/>
        <w:rPr>
          <w:rFonts w:ascii="Times" w:hAnsi="Times"/>
          <w:sz w:val="20"/>
          <w:szCs w:val="20"/>
        </w:rPr>
      </w:pPr>
      <w:r>
        <w:rPr>
          <w:rFonts w:ascii="Times" w:hAnsi="Times"/>
          <w:sz w:val="20"/>
          <w:szCs w:val="20"/>
        </w:rPr>
        <w:t>For additional discussion of the risk of generic competition to YUPELRI, please see the following risk factor below</w:t>
      </w:r>
      <w:r>
        <w:rPr>
          <w:rFonts w:ascii="Times" w:hAnsi="Times"/>
          <w:sz w:val="20"/>
          <w:szCs w:val="20"/>
        </w:rPr>
        <w:t xml:space="preserve"> </w:t>
      </w:r>
      <w:r>
        <w:rPr>
          <w:rFonts w:ascii="Times" w:hAnsi="Times"/>
          <w:sz w:val="20"/>
          <w:szCs w:val="20"/>
        </w:rPr>
        <w:t>“</w:t>
      </w:r>
      <w:r>
        <w:rPr>
          <w:rFonts w:ascii="Times" w:hAnsi="Times"/>
          <w:i/>
          <w:iCs/>
          <w:sz w:val="20"/>
          <w:szCs w:val="20"/>
        </w:rPr>
        <w:t>If our efforts</w:t>
      </w:r>
      <w:r>
        <w:rPr>
          <w:rFonts w:ascii="Times" w:hAnsi="Times"/>
          <w:i/>
          <w:iCs/>
          <w:sz w:val="20"/>
          <w:szCs w:val="20"/>
        </w:rPr>
        <w:t xml:space="preserve"> to protect the proprietary nature of the intellectual property related to our technologies are not adequate, we may not be able to compete effectively in our current or future markets</w:t>
      </w:r>
      <w:r>
        <w:rPr>
          <w:rFonts w:ascii="Times" w:hAnsi="Times"/>
          <w:sz w:val="20"/>
          <w:szCs w:val="20"/>
        </w:rPr>
        <w:t>.”</w:t>
      </w:r>
      <w:r>
        <w:rPr>
          <w:rFonts w:ascii="Times" w:hAnsi="Times"/>
          <w:sz w:val="20"/>
          <w:szCs w:val="20"/>
        </w:rPr>
        <w:t xml:space="preserve"> </w:t>
      </w:r>
    </w:p>
    <w:p w:rsidR="00000000" w:rsidRDefault="008B747E">
      <w:pPr>
        <w:pStyle w:val="a3"/>
        <w:spacing w:before="0" w:beforeAutospacing="0" w:after="120" w:afterAutospacing="0"/>
        <w:divId w:val="250890026"/>
        <w:rPr>
          <w:rFonts w:ascii="Times" w:hAnsi="Times"/>
          <w:b/>
          <w:bCs/>
          <w:i/>
          <w:iCs/>
          <w:sz w:val="20"/>
          <w:szCs w:val="20"/>
        </w:rPr>
      </w:pPr>
      <w:r>
        <w:rPr>
          <w:rFonts w:ascii="Times" w:hAnsi="Times"/>
          <w:b/>
          <w:bCs/>
          <w:i/>
          <w:iCs/>
          <w:sz w:val="20"/>
          <w:szCs w:val="20"/>
        </w:rPr>
        <w:t>We may be treated as a US corporation for US federal income tax purp</w:t>
      </w:r>
      <w:r>
        <w:rPr>
          <w:rFonts w:ascii="Times" w:hAnsi="Times"/>
          <w:b/>
          <w:bCs/>
          <w:i/>
          <w:iCs/>
          <w:sz w:val="20"/>
          <w:szCs w:val="20"/>
        </w:rPr>
        <w:t>oses.</w:t>
      </w:r>
      <w:r>
        <w:rPr>
          <w:rFonts w:ascii="Times" w:hAnsi="Times"/>
          <w:b/>
          <w:bCs/>
          <w:i/>
          <w:iCs/>
          <w:sz w:val="20"/>
          <w:szCs w:val="20"/>
        </w:rPr>
        <w:t xml:space="preserve"> </w:t>
      </w:r>
    </w:p>
    <w:p w:rsidR="00000000" w:rsidRDefault="008B747E">
      <w:pPr>
        <w:pStyle w:val="a3"/>
        <w:spacing w:before="0" w:beforeAutospacing="0" w:after="0" w:afterAutospacing="0"/>
        <w:ind w:firstLine="720"/>
        <w:divId w:val="250890026"/>
        <w:rPr>
          <w:rFonts w:ascii="Times" w:hAnsi="Times"/>
          <w:sz w:val="20"/>
          <w:szCs w:val="20"/>
        </w:rPr>
      </w:pPr>
      <w:r>
        <w:rPr>
          <w:rFonts w:ascii="Times" w:hAnsi="Times"/>
          <w:sz w:val="20"/>
          <w:szCs w:val="20"/>
        </w:rPr>
        <w:t xml:space="preserve">For US federal income tax purposes, a corporation generally is considered tax resident in the place of its incorporation. Theravance Biopharma is incorporated under Cayman Islands law and established tax residency in Ireland effective July 1, 2015. </w:t>
      </w:r>
      <w:r>
        <w:rPr>
          <w:rFonts w:ascii="Times" w:hAnsi="Times"/>
          <w:sz w:val="20"/>
          <w:szCs w:val="20"/>
        </w:rPr>
        <w:t>Therefore, it should be a non-US corporation under this general rule. However, Section 7874 of the Internal Revenue Code of 1986, as amended (the</w:t>
      </w:r>
      <w:r>
        <w:rPr>
          <w:rFonts w:ascii="Times" w:hAnsi="Times"/>
          <w:sz w:val="20"/>
          <w:szCs w:val="20"/>
        </w:rPr>
        <w:t xml:space="preserve"> </w:t>
      </w:r>
      <w:r>
        <w:rPr>
          <w:rFonts w:ascii="Times" w:hAnsi="Times"/>
          <w:sz w:val="20"/>
          <w:szCs w:val="20"/>
        </w:rPr>
        <w:t>“Code”), contains rules that may result in a foreign corporation being treated as a US corporation for US fede</w:t>
      </w:r>
      <w:r>
        <w:rPr>
          <w:rFonts w:ascii="Times" w:hAnsi="Times"/>
          <w:sz w:val="20"/>
          <w:szCs w:val="20"/>
        </w:rPr>
        <w:t>ral income tax purposes. The application of these rules is complex and there is little guidance regarding certain aspects of their application.</w:t>
      </w:r>
      <w:r>
        <w:rPr>
          <w:rFonts w:ascii="Times" w:hAnsi="Times"/>
          <w:sz w:val="20"/>
          <w:szCs w:val="20"/>
        </w:rPr>
        <w:t xml:space="preserve"> </w:t>
      </w:r>
    </w:p>
    <w:p w:rsidR="00000000" w:rsidRDefault="008B747E">
      <w:pPr>
        <w:pStyle w:val="a3"/>
        <w:spacing w:before="0" w:beforeAutospacing="0" w:after="0" w:afterAutospacing="0"/>
        <w:ind w:firstLine="720"/>
        <w:divId w:val="250890026"/>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250890026"/>
        <w:rPr>
          <w:rFonts w:ascii="Times" w:hAnsi="Times"/>
          <w:sz w:val="20"/>
          <w:szCs w:val="20"/>
        </w:rPr>
      </w:pPr>
      <w:r>
        <w:rPr>
          <w:rFonts w:ascii="Times" w:hAnsi="Times"/>
          <w:sz w:val="20"/>
          <w:szCs w:val="20"/>
        </w:rPr>
        <w:t>Under Section </w:t>
      </w:r>
      <w:r>
        <w:rPr>
          <w:rFonts w:ascii="Times" w:hAnsi="Times"/>
          <w:sz w:val="20"/>
          <w:szCs w:val="20"/>
        </w:rPr>
        <w:t>7874 of the Code, a corporation created or organized outside the US will be treated as a US</w:t>
      </w:r>
      <w:r>
        <w:rPr>
          <w:rFonts w:ascii="Times" w:hAnsi="Times"/>
          <w:sz w:val="20"/>
          <w:szCs w:val="20"/>
        </w:rPr>
        <w:t xml:space="preserve"> </w:t>
      </w:r>
      <w:r>
        <w:rPr>
          <w:rFonts w:ascii="Times" w:hAnsi="Times"/>
          <w:sz w:val="20"/>
          <w:szCs w:val="20"/>
        </w:rPr>
        <w:t>corporation for US federal tax purposes if (i) the foreign corporation directly or indirectly acquires substantially all of the properties held directly or indirect</w:t>
      </w:r>
      <w:r>
        <w:rPr>
          <w:rFonts w:ascii="Times" w:hAnsi="Times"/>
          <w:sz w:val="20"/>
          <w:szCs w:val="20"/>
        </w:rPr>
        <w:t>ly by a US corporation, (ii) the former shareholders of the acquired US corporation hold at least 80% of the vote or value of the shares of the foreign acquiring corporation by reason of holding stock in the US acquired corporation, and (iii) the foreign c</w:t>
      </w:r>
      <w:r>
        <w:rPr>
          <w:rFonts w:ascii="Times" w:hAnsi="Times"/>
          <w:sz w:val="20"/>
          <w:szCs w:val="20"/>
        </w:rPr>
        <w:t>orporation’s</w:t>
      </w:r>
      <w:r>
        <w:rPr>
          <w:rFonts w:ascii="Times" w:hAnsi="Times"/>
          <w:sz w:val="20"/>
          <w:szCs w:val="20"/>
        </w:rPr>
        <w:t xml:space="preserve"> </w:t>
      </w:r>
      <w:r>
        <w:rPr>
          <w:rFonts w:ascii="Times" w:hAnsi="Times"/>
          <w:sz w:val="20"/>
          <w:szCs w:val="20"/>
        </w:rPr>
        <w:t>“expanded affiliated group”</w:t>
      </w:r>
      <w:r>
        <w:rPr>
          <w:rFonts w:ascii="Times" w:hAnsi="Times"/>
          <w:sz w:val="20"/>
          <w:szCs w:val="20"/>
        </w:rPr>
        <w:t xml:space="preserve"> </w:t>
      </w:r>
      <w:r>
        <w:rPr>
          <w:rFonts w:ascii="Times" w:hAnsi="Times"/>
          <w:sz w:val="20"/>
          <w:szCs w:val="20"/>
        </w:rPr>
        <w:t>does not have</w:t>
      </w:r>
      <w:r>
        <w:rPr>
          <w:rFonts w:ascii="Times" w:hAnsi="Times"/>
          <w:sz w:val="20"/>
          <w:szCs w:val="20"/>
        </w:rPr>
        <w:t xml:space="preserve"> </w:t>
      </w:r>
      <w:r>
        <w:rPr>
          <w:rFonts w:ascii="Times" w:hAnsi="Times"/>
          <w:sz w:val="20"/>
          <w:szCs w:val="20"/>
        </w:rPr>
        <w:t>“substantial business activities”</w:t>
      </w:r>
      <w:r>
        <w:rPr>
          <w:rFonts w:ascii="Times" w:hAnsi="Times"/>
          <w:sz w:val="20"/>
          <w:szCs w:val="20"/>
        </w:rPr>
        <w:t xml:space="preserve"> </w:t>
      </w:r>
      <w:r>
        <w:rPr>
          <w:rFonts w:ascii="Times" w:hAnsi="Times"/>
          <w:sz w:val="20"/>
          <w:szCs w:val="20"/>
        </w:rPr>
        <w:t>in the foreign corporation’s country of incorporation relative to its expanded affiliated group’s worldwide activities. For this purpose,</w:t>
      </w:r>
      <w:r>
        <w:rPr>
          <w:rFonts w:ascii="Times" w:hAnsi="Times"/>
          <w:sz w:val="20"/>
          <w:szCs w:val="20"/>
        </w:rPr>
        <w:t xml:space="preserve"> </w:t>
      </w:r>
      <w:r>
        <w:rPr>
          <w:rFonts w:ascii="Times" w:hAnsi="Times"/>
          <w:sz w:val="20"/>
          <w:szCs w:val="20"/>
        </w:rPr>
        <w:t>“expanded affiliated group”</w:t>
      </w:r>
      <w:r>
        <w:rPr>
          <w:rFonts w:ascii="Times" w:hAnsi="Times"/>
          <w:sz w:val="20"/>
          <w:szCs w:val="20"/>
        </w:rPr>
        <w:t xml:space="preserve"> </w:t>
      </w:r>
      <w:r>
        <w:rPr>
          <w:rFonts w:ascii="Times" w:hAnsi="Times"/>
          <w:sz w:val="20"/>
          <w:szCs w:val="20"/>
        </w:rPr>
        <w:t>g</w:t>
      </w:r>
      <w:r>
        <w:rPr>
          <w:rFonts w:ascii="Times" w:hAnsi="Times"/>
          <w:sz w:val="20"/>
          <w:szCs w:val="20"/>
        </w:rPr>
        <w:t>enerally means the foreign corporation and all subsidiaries in which the foreign corporation, directly or indirectly, owns more than 50% of the stock by vote and value, and</w:t>
      </w:r>
      <w:r>
        <w:rPr>
          <w:rFonts w:ascii="Times" w:hAnsi="Times"/>
          <w:sz w:val="20"/>
          <w:szCs w:val="20"/>
        </w:rPr>
        <w:t xml:space="preserve"> </w:t>
      </w:r>
      <w:r>
        <w:rPr>
          <w:rFonts w:ascii="Times" w:hAnsi="Times"/>
          <w:sz w:val="20"/>
          <w:szCs w:val="20"/>
        </w:rPr>
        <w:t>“substantial business activities”</w:t>
      </w:r>
      <w:r>
        <w:rPr>
          <w:rFonts w:ascii="Times" w:hAnsi="Times"/>
          <w:sz w:val="20"/>
          <w:szCs w:val="20"/>
        </w:rPr>
        <w:t xml:space="preserve"> </w:t>
      </w:r>
      <w:r>
        <w:rPr>
          <w:rFonts w:ascii="Times" w:hAnsi="Times"/>
          <w:sz w:val="20"/>
          <w:szCs w:val="20"/>
        </w:rPr>
        <w:t>generally means at least 25% of employees (by num</w:t>
      </w:r>
      <w:r>
        <w:rPr>
          <w:rFonts w:ascii="Times" w:hAnsi="Times"/>
          <w:sz w:val="20"/>
          <w:szCs w:val="20"/>
        </w:rPr>
        <w:t>ber and compensation), assets and gross income of our expanded affiliated group are based, located and derived, respectively, in the country of incorporation.</w:t>
      </w:r>
      <w:r>
        <w:rPr>
          <w:rFonts w:ascii="Times" w:hAnsi="Times"/>
          <w:sz w:val="20"/>
          <w:szCs w:val="20"/>
        </w:rPr>
        <w:t xml:space="preserve"> </w:t>
      </w:r>
    </w:p>
    <w:p w:rsidR="00000000" w:rsidRDefault="008B747E">
      <w:pPr>
        <w:pStyle w:val="a3"/>
        <w:spacing w:before="0" w:beforeAutospacing="0" w:after="0" w:afterAutospacing="0"/>
        <w:ind w:firstLine="720"/>
        <w:divId w:val="250890026"/>
        <w:rPr>
          <w:rFonts w:ascii="Times" w:hAnsi="Times"/>
          <w:sz w:val="20"/>
          <w:szCs w:val="20"/>
        </w:rPr>
      </w:pPr>
      <w:r>
        <w:rPr>
          <w:rFonts w:ascii="Times" w:hAnsi="Times"/>
          <w:sz w:val="20"/>
          <w:szCs w:val="20"/>
        </w:rPr>
        <w:t>​</w:t>
      </w:r>
    </w:p>
    <w:p w:rsidR="00000000" w:rsidRDefault="008B747E">
      <w:pPr>
        <w:pStyle w:val="a3"/>
        <w:spacing w:before="360" w:beforeAutospacing="0" w:after="0" w:afterAutospacing="0"/>
        <w:jc w:val="center"/>
        <w:divId w:val="1030571932"/>
        <w:rPr>
          <w:sz w:val="20"/>
          <w:szCs w:val="20"/>
        </w:rPr>
      </w:pPr>
      <w:r>
        <w:rPr>
          <w:sz w:val="20"/>
          <w:szCs w:val="20"/>
        </w:rPr>
        <w:t>49</w:t>
      </w:r>
    </w:p>
    <w:p w:rsidR="00000000" w:rsidRDefault="008B747E">
      <w:pPr>
        <w:pStyle w:val="a3"/>
        <w:spacing w:before="0" w:beforeAutospacing="0" w:after="600" w:afterAutospacing="0"/>
        <w:divId w:val="1716810459"/>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ind w:firstLine="720"/>
        <w:divId w:val="1756702823"/>
        <w:rPr>
          <w:rFonts w:ascii="Times" w:hAnsi="Times"/>
          <w:sz w:val="20"/>
          <w:szCs w:val="20"/>
        </w:rPr>
      </w:pPr>
      <w:r>
        <w:rPr>
          <w:rFonts w:ascii="Times" w:hAnsi="Times"/>
          <w:sz w:val="20"/>
          <w:szCs w:val="20"/>
        </w:rPr>
        <w:t>We do not expect to be treated as a US corporat</w:t>
      </w:r>
      <w:r>
        <w:rPr>
          <w:rFonts w:ascii="Times" w:hAnsi="Times"/>
          <w:sz w:val="20"/>
          <w:szCs w:val="20"/>
        </w:rPr>
        <w:t>ion under Section 7874 of the Code, because we do not believe that the assets contributed to us by Innoviva constituted</w:t>
      </w:r>
      <w:r>
        <w:rPr>
          <w:rFonts w:ascii="Times" w:hAnsi="Times"/>
          <w:sz w:val="20"/>
          <w:szCs w:val="20"/>
        </w:rPr>
        <w:t xml:space="preserve"> </w:t>
      </w:r>
      <w:r>
        <w:rPr>
          <w:rFonts w:ascii="Times" w:hAnsi="Times"/>
          <w:sz w:val="20"/>
          <w:szCs w:val="20"/>
        </w:rPr>
        <w:t>“substantially all”</w:t>
      </w:r>
      <w:r>
        <w:rPr>
          <w:rFonts w:ascii="Times" w:hAnsi="Times"/>
          <w:sz w:val="20"/>
          <w:szCs w:val="20"/>
        </w:rPr>
        <w:t xml:space="preserve"> </w:t>
      </w:r>
      <w:r>
        <w:rPr>
          <w:rFonts w:ascii="Times" w:hAnsi="Times"/>
          <w:sz w:val="20"/>
          <w:szCs w:val="20"/>
        </w:rPr>
        <w:t>of the properties of Innoviva (as determined on both a gross and net fair market value basis). However, the Internal</w:t>
      </w:r>
      <w:r>
        <w:rPr>
          <w:rFonts w:ascii="Times" w:hAnsi="Times"/>
          <w:sz w:val="20"/>
          <w:szCs w:val="20"/>
        </w:rPr>
        <w:t xml:space="preserve"> Revenue Service may disagree with our conclusion on this point and assert that, in its view, the assets contributed to us by Innoviva did constitute</w:t>
      </w:r>
      <w:r>
        <w:rPr>
          <w:rFonts w:ascii="Times" w:hAnsi="Times"/>
          <w:sz w:val="20"/>
          <w:szCs w:val="20"/>
        </w:rPr>
        <w:t xml:space="preserve"> </w:t>
      </w:r>
      <w:r>
        <w:rPr>
          <w:rFonts w:ascii="Times" w:hAnsi="Times"/>
          <w:sz w:val="20"/>
          <w:szCs w:val="20"/>
        </w:rPr>
        <w:t>“substantially all”</w:t>
      </w:r>
      <w:r>
        <w:rPr>
          <w:rFonts w:ascii="Times" w:hAnsi="Times"/>
          <w:sz w:val="20"/>
          <w:szCs w:val="20"/>
        </w:rPr>
        <w:t xml:space="preserve"> </w:t>
      </w:r>
      <w:r>
        <w:rPr>
          <w:rFonts w:ascii="Times" w:hAnsi="Times"/>
          <w:sz w:val="20"/>
          <w:szCs w:val="20"/>
        </w:rPr>
        <w:t>of the properties of Innoviva. In addition, there could be legislative proposals to ex</w:t>
      </w:r>
      <w:r>
        <w:rPr>
          <w:rFonts w:ascii="Times" w:hAnsi="Times"/>
          <w:sz w:val="20"/>
          <w:szCs w:val="20"/>
        </w:rPr>
        <w:t>pand the scope of US corporate tax residence and there could be changes to Section 7874 of the Code or the Treasury Regulations promulgated thereunder that could apply retroactively and could result in Theravance Biopharma being treated as a US corporation</w:t>
      </w:r>
      <w:r>
        <w:rPr>
          <w:rFonts w:ascii="Times" w:hAnsi="Times"/>
          <w:sz w:val="20"/>
          <w:szCs w:val="20"/>
        </w:rPr>
        <w:t>.</w:t>
      </w:r>
      <w:r>
        <w:rPr>
          <w:rFonts w:ascii="Times" w:hAnsi="Times"/>
          <w:sz w:val="20"/>
          <w:szCs w:val="20"/>
        </w:rPr>
        <w:t xml:space="preserve"> </w:t>
      </w:r>
    </w:p>
    <w:p w:rsidR="00000000" w:rsidRDefault="008B747E">
      <w:pPr>
        <w:pStyle w:val="a3"/>
        <w:spacing w:before="0" w:beforeAutospacing="0" w:after="0" w:afterAutospacing="0"/>
        <w:ind w:firstLine="720"/>
        <w:divId w:val="1756702823"/>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1756702823"/>
        <w:rPr>
          <w:rFonts w:ascii="Times" w:hAnsi="Times"/>
          <w:sz w:val="20"/>
          <w:szCs w:val="20"/>
        </w:rPr>
      </w:pPr>
      <w:r>
        <w:rPr>
          <w:rFonts w:ascii="Times" w:hAnsi="Times"/>
          <w:sz w:val="20"/>
          <w:szCs w:val="20"/>
        </w:rPr>
        <w:t>If it were determined that we should be treated as a US corporation for US federal income tax purposes, we could be liable for substantial additional US federal income tax on our post-Spin-Off taxable income. In addition, though we have no current pla</w:t>
      </w:r>
      <w:r>
        <w:rPr>
          <w:rFonts w:ascii="Times" w:hAnsi="Times"/>
          <w:sz w:val="20"/>
          <w:szCs w:val="20"/>
        </w:rPr>
        <w:t>ns to pay any dividends, payments of any dividends to non-US holders may be subject to US withholding tax.</w:t>
      </w:r>
      <w:r>
        <w:rPr>
          <w:rFonts w:ascii="Times" w:hAnsi="Times"/>
          <w:sz w:val="20"/>
          <w:szCs w:val="20"/>
        </w:rPr>
        <w:t xml:space="preserve"> </w:t>
      </w:r>
    </w:p>
    <w:p w:rsidR="00000000" w:rsidRDefault="008B747E">
      <w:pPr>
        <w:pStyle w:val="a3"/>
        <w:spacing w:before="0" w:beforeAutospacing="0" w:after="0" w:afterAutospacing="0"/>
        <w:divId w:val="1756702823"/>
        <w:rPr>
          <w:rFonts w:ascii="Times" w:hAnsi="Times"/>
          <w:sz w:val="20"/>
          <w:szCs w:val="20"/>
        </w:rPr>
      </w:pPr>
      <w:r>
        <w:rPr>
          <w:rFonts w:ascii="Times" w:hAnsi="Times"/>
          <w:sz w:val="20"/>
          <w:szCs w:val="20"/>
        </w:rPr>
        <w:t>​</w:t>
      </w:r>
    </w:p>
    <w:p w:rsidR="00000000" w:rsidRDefault="008B747E">
      <w:pPr>
        <w:pStyle w:val="a3"/>
        <w:spacing w:before="0" w:beforeAutospacing="0" w:after="120" w:afterAutospacing="0"/>
        <w:divId w:val="1756702823"/>
        <w:rPr>
          <w:rFonts w:ascii="Times" w:hAnsi="Times"/>
          <w:b/>
          <w:bCs/>
          <w:i/>
          <w:iCs/>
          <w:sz w:val="20"/>
          <w:szCs w:val="20"/>
        </w:rPr>
      </w:pPr>
      <w:r>
        <w:rPr>
          <w:rFonts w:ascii="Times" w:hAnsi="Times"/>
          <w:b/>
          <w:bCs/>
          <w:i/>
          <w:iCs/>
          <w:sz w:val="20"/>
          <w:szCs w:val="20"/>
        </w:rPr>
        <w:t>Taxing authorities may challenge our structure and transfer pricing arrangements.</w:t>
      </w:r>
    </w:p>
    <w:p w:rsidR="00000000" w:rsidRDefault="008B747E">
      <w:pPr>
        <w:pStyle w:val="a3"/>
        <w:spacing w:before="0" w:beforeAutospacing="0" w:after="0" w:afterAutospacing="0"/>
        <w:ind w:firstLine="720"/>
        <w:divId w:val="1756702823"/>
        <w:rPr>
          <w:sz w:val="20"/>
          <w:szCs w:val="20"/>
        </w:rPr>
      </w:pPr>
      <w:r>
        <w:rPr>
          <w:sz w:val="20"/>
          <w:szCs w:val="20"/>
        </w:rPr>
        <w:t>We are incorporated in the Cayman Islands, maintain subsidiaries</w:t>
      </w:r>
      <w:r>
        <w:rPr>
          <w:sz w:val="20"/>
          <w:szCs w:val="20"/>
        </w:rPr>
        <w:t xml:space="preserve"> in the Cayman Islands, the US, the United Kingdom and Ireland, and effective July 1, 2015, we migrated our tax residency from the Cayman Islands to Ireland. Due to economic and political conditions, various countries are actively considering changes to ex</w:t>
      </w:r>
      <w:r>
        <w:rPr>
          <w:sz w:val="20"/>
          <w:szCs w:val="20"/>
        </w:rPr>
        <w:t>isting tax laws. We cannot predict the form or timing of potential legislative changes that could have a material adverse impact on our results of operations.</w:t>
      </w:r>
      <w:r>
        <w:rPr>
          <w:i/>
          <w:iCs/>
          <w:sz w:val="20"/>
          <w:szCs w:val="20"/>
        </w:rPr>
        <w:t xml:space="preserve"> </w:t>
      </w:r>
      <w:r>
        <w:rPr>
          <w:sz w:val="20"/>
          <w:szCs w:val="20"/>
        </w:rPr>
        <w:t>We are aware that Ireland has implemented certain tax law changes and is expected to implement ad</w:t>
      </w:r>
      <w:r>
        <w:rPr>
          <w:sz w:val="20"/>
          <w:szCs w:val="20"/>
        </w:rPr>
        <w:t>ditional tax law changes to comply with the European Union Anti-Tax Avoidance Directives. These changes include the first ever Irish controlled foreign company (“CFC”) rules which came into effect on January 1, 2019. It is also expected that Ireland will i</w:t>
      </w:r>
      <w:r>
        <w:rPr>
          <w:sz w:val="20"/>
          <w:szCs w:val="20"/>
        </w:rPr>
        <w:t xml:space="preserve">mplement certain transfer pricing rule changes, most likely with effect from 2020. We are continuing to evaluate and monitor the applicability of the CFC rules published in </w:t>
      </w:r>
      <w:r>
        <w:rPr>
          <w:i/>
          <w:iCs/>
          <w:sz w:val="20"/>
          <w:szCs w:val="20"/>
        </w:rPr>
        <w:t>Finance Act 2018</w:t>
      </w:r>
      <w:r>
        <w:rPr>
          <w:sz w:val="20"/>
          <w:szCs w:val="20"/>
        </w:rPr>
        <w:t>, but our current assessment, based on the rules and guidance publi</w:t>
      </w:r>
      <w:r>
        <w:rPr>
          <w:sz w:val="20"/>
          <w:szCs w:val="20"/>
        </w:rPr>
        <w:t>shed to date, is that the rules are unlikely to have a material impact on our operations. Proposed statutory language has not yet been provided for transfer pricing rule changes and, as a result, we have not yet been able to determine the impact, if any, o</w:t>
      </w:r>
      <w:r>
        <w:rPr>
          <w:sz w:val="20"/>
          <w:szCs w:val="20"/>
        </w:rPr>
        <w:t xml:space="preserve">f such future legislation on our operations. </w:t>
      </w:r>
      <w:r>
        <w:rPr>
          <w:rFonts w:ascii="Times" w:hAnsi="Times"/>
          <w:sz w:val="20"/>
          <w:szCs w:val="20"/>
        </w:rPr>
        <w:t>New United Kingdom tax legislation was introduced by the</w:t>
      </w:r>
      <w:r>
        <w:rPr>
          <w:rFonts w:ascii="Times" w:hAnsi="Times"/>
          <w:sz w:val="20"/>
          <w:szCs w:val="20"/>
        </w:rPr>
        <w:t xml:space="preserve"> </w:t>
      </w:r>
      <w:r>
        <w:rPr>
          <w:rFonts w:ascii="Times" w:hAnsi="Times"/>
          <w:i/>
          <w:iCs/>
          <w:sz w:val="20"/>
          <w:szCs w:val="20"/>
        </w:rPr>
        <w:t>Finance Act 2019</w:t>
      </w:r>
      <w:r>
        <w:rPr>
          <w:rFonts w:ascii="Times" w:hAnsi="Times"/>
          <w:sz w:val="20"/>
          <w:szCs w:val="20"/>
        </w:rPr>
        <w:t> (“FA 2019”) that imposes a tax related to offshore receipts in respect of intangible property held in low tax jurisdictions and became ef</w:t>
      </w:r>
      <w:r>
        <w:rPr>
          <w:rFonts w:ascii="Times" w:hAnsi="Times"/>
          <w:sz w:val="20"/>
          <w:szCs w:val="20"/>
        </w:rPr>
        <w:t>fective in April 2019. FA 2019 also included a power for amendments to the ORIP legislation to be made by regulation by December 31, 2019. On May 24, 2019, the UK published further draft guidance and regulations intended to facilitate the administration of</w:t>
      </w:r>
      <w:r>
        <w:rPr>
          <w:rFonts w:ascii="Times" w:hAnsi="Times"/>
          <w:sz w:val="20"/>
          <w:szCs w:val="20"/>
        </w:rPr>
        <w:t xml:space="preserve"> the ORIP regime, however a number of issues and areas of uncertainty remain. We expect that additional regulations or guidance may be issued this year, which may impact our assessment of the legislation on our business, operating results, or financial con</w:t>
      </w:r>
      <w:r>
        <w:rPr>
          <w:rFonts w:ascii="Times" w:hAnsi="Times"/>
          <w:sz w:val="20"/>
          <w:szCs w:val="20"/>
        </w:rPr>
        <w:t>dition. </w:t>
      </w:r>
    </w:p>
    <w:p w:rsidR="00000000" w:rsidRDefault="008B747E">
      <w:pPr>
        <w:pStyle w:val="a3"/>
        <w:spacing w:before="0" w:beforeAutospacing="0" w:after="0" w:afterAutospacing="0"/>
        <w:divId w:val="1756702823"/>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1756702823"/>
        <w:rPr>
          <w:rFonts w:ascii="Times" w:hAnsi="Times"/>
          <w:sz w:val="20"/>
          <w:szCs w:val="20"/>
        </w:rPr>
      </w:pPr>
      <w:r>
        <w:rPr>
          <w:rFonts w:ascii="Times" w:hAnsi="Times"/>
          <w:sz w:val="20"/>
          <w:szCs w:val="20"/>
        </w:rPr>
        <w:t>In addition, significant judgment is required in determining our worldwide provision for income taxes. Various factors may have favorable or unfavorable effects on our income tax rate including, but not limited to the performance of certain functions and o</w:t>
      </w:r>
      <w:r>
        <w:rPr>
          <w:rFonts w:ascii="Times" w:hAnsi="Times"/>
          <w:sz w:val="20"/>
          <w:szCs w:val="20"/>
        </w:rPr>
        <w:t>wnership of certain assets in tax-efficient jurisdictions such as the Cayman Islands and Ireland, together with intra-group transfer pricing agreements. Taxing authorities may challenge our structure and transfer pricing arrangements through an audit or la</w:t>
      </w:r>
      <w:r>
        <w:rPr>
          <w:rFonts w:ascii="Times" w:hAnsi="Times"/>
          <w:sz w:val="20"/>
          <w:szCs w:val="20"/>
        </w:rPr>
        <w:t>wsuit. Responding to or defending such a challenge could be expensive and consume time and other resources, and divert management’s time and focus from operating our business. We cannot predict whether taxing authorities will conduct an audit or file a law</w:t>
      </w:r>
      <w:r>
        <w:rPr>
          <w:rFonts w:ascii="Times" w:hAnsi="Times"/>
          <w:sz w:val="20"/>
          <w:szCs w:val="20"/>
        </w:rPr>
        <w:t xml:space="preserve">suit challenging this structure, the cost involved in responding to any such audit or lawsuit, or the outcome. We may be required to pay taxes for prior periods, interest, fines or penalties, and may be obligated to pay increased taxes in the future which </w:t>
      </w:r>
      <w:r>
        <w:rPr>
          <w:rFonts w:ascii="Times" w:hAnsi="Times"/>
          <w:sz w:val="20"/>
          <w:szCs w:val="20"/>
        </w:rPr>
        <w:t>could result in reduced cash flows and have a material adverse effect on our business, financial condition and growth prospects.</w:t>
      </w:r>
      <w:r>
        <w:rPr>
          <w:rFonts w:ascii="Times" w:hAnsi="Times"/>
          <w:sz w:val="20"/>
          <w:szCs w:val="20"/>
        </w:rPr>
        <w:t xml:space="preserve"> </w:t>
      </w:r>
    </w:p>
    <w:p w:rsidR="00000000" w:rsidRDefault="008B747E">
      <w:pPr>
        <w:pStyle w:val="a3"/>
        <w:spacing w:before="0" w:beforeAutospacing="0" w:after="0" w:afterAutospacing="0"/>
        <w:divId w:val="1756702823"/>
        <w:rPr>
          <w:sz w:val="20"/>
          <w:szCs w:val="20"/>
        </w:rPr>
      </w:pPr>
      <w:r>
        <w:rPr>
          <w:sz w:val="20"/>
          <w:szCs w:val="20"/>
        </w:rPr>
        <w:t>​</w:t>
      </w:r>
    </w:p>
    <w:p w:rsidR="00000000" w:rsidRDefault="008B747E">
      <w:pPr>
        <w:pStyle w:val="a3"/>
        <w:spacing w:before="0" w:beforeAutospacing="0" w:after="120" w:afterAutospacing="0"/>
        <w:divId w:val="1756702823"/>
        <w:rPr>
          <w:rFonts w:ascii="Times" w:hAnsi="Times"/>
          <w:b/>
          <w:bCs/>
          <w:i/>
          <w:iCs/>
          <w:sz w:val="20"/>
          <w:szCs w:val="20"/>
        </w:rPr>
      </w:pPr>
      <w:r>
        <w:rPr>
          <w:rFonts w:ascii="Times" w:hAnsi="Times"/>
          <w:b/>
          <w:bCs/>
          <w:i/>
          <w:iCs/>
          <w:sz w:val="20"/>
          <w:szCs w:val="20"/>
        </w:rPr>
        <w:t>We were a passive foreign investment company, or</w:t>
      </w:r>
      <w:r>
        <w:rPr>
          <w:rFonts w:ascii="Times" w:hAnsi="Times"/>
          <w:b/>
          <w:bCs/>
          <w:i/>
          <w:iCs/>
          <w:sz w:val="20"/>
          <w:szCs w:val="20"/>
        </w:rPr>
        <w:t xml:space="preserve"> </w:t>
      </w:r>
      <w:r>
        <w:rPr>
          <w:rFonts w:ascii="Times" w:hAnsi="Times"/>
          <w:b/>
          <w:bCs/>
          <w:i/>
          <w:iCs/>
          <w:sz w:val="20"/>
          <w:szCs w:val="20"/>
        </w:rPr>
        <w:t>“PFIC,”</w:t>
      </w:r>
      <w:r>
        <w:rPr>
          <w:rFonts w:ascii="Times" w:hAnsi="Times"/>
          <w:b/>
          <w:bCs/>
          <w:i/>
          <w:iCs/>
          <w:sz w:val="20"/>
          <w:szCs w:val="20"/>
        </w:rPr>
        <w:t xml:space="preserve"> </w:t>
      </w:r>
      <w:r>
        <w:rPr>
          <w:rFonts w:ascii="Times" w:hAnsi="Times"/>
          <w:b/>
          <w:bCs/>
          <w:i/>
          <w:iCs/>
          <w:sz w:val="20"/>
          <w:szCs w:val="20"/>
        </w:rPr>
        <w:t xml:space="preserve">for 2014, but we were not a PFIC from 2015 through 2018, and we do </w:t>
      </w:r>
      <w:r>
        <w:rPr>
          <w:rFonts w:ascii="Times" w:hAnsi="Times"/>
          <w:b/>
          <w:bCs/>
          <w:i/>
          <w:iCs/>
          <w:sz w:val="20"/>
          <w:szCs w:val="20"/>
        </w:rPr>
        <w:t>not expect to be a PFIC for the foreseeable future.</w:t>
      </w:r>
      <w:r>
        <w:rPr>
          <w:rFonts w:ascii="Times" w:hAnsi="Times"/>
          <w:b/>
          <w:bCs/>
          <w:i/>
          <w:iCs/>
          <w:sz w:val="20"/>
          <w:szCs w:val="20"/>
        </w:rPr>
        <w:t xml:space="preserve"> </w:t>
      </w:r>
    </w:p>
    <w:p w:rsidR="00000000" w:rsidRDefault="008B747E">
      <w:pPr>
        <w:pStyle w:val="a3"/>
        <w:spacing w:before="0" w:beforeAutospacing="0" w:after="0" w:afterAutospacing="0"/>
        <w:ind w:firstLine="720"/>
        <w:divId w:val="1756702823"/>
        <w:rPr>
          <w:rFonts w:ascii="Times" w:hAnsi="Times"/>
          <w:sz w:val="20"/>
          <w:szCs w:val="20"/>
        </w:rPr>
      </w:pPr>
      <w:r>
        <w:rPr>
          <w:rFonts w:ascii="Times" w:hAnsi="Times"/>
          <w:sz w:val="20"/>
          <w:szCs w:val="20"/>
        </w:rPr>
        <w:t>For US federal income tax purposes, we generally would be classified as a PFIC for any taxable year if either (i) 75% or more of our gross income (including gross income of certain 25% or more owned corp</w:t>
      </w:r>
      <w:r>
        <w:rPr>
          <w:rFonts w:ascii="Times" w:hAnsi="Times"/>
          <w:sz w:val="20"/>
          <w:szCs w:val="20"/>
        </w:rPr>
        <w:t>orate subsidiaries) is</w:t>
      </w:r>
      <w:r>
        <w:rPr>
          <w:rFonts w:ascii="Times" w:hAnsi="Times"/>
          <w:sz w:val="20"/>
          <w:szCs w:val="20"/>
        </w:rPr>
        <w:t xml:space="preserve"> </w:t>
      </w:r>
      <w:r>
        <w:rPr>
          <w:rFonts w:ascii="Times" w:hAnsi="Times"/>
          <w:sz w:val="20"/>
          <w:szCs w:val="20"/>
        </w:rPr>
        <w:t>“passive income”</w:t>
      </w:r>
      <w:r>
        <w:rPr>
          <w:rFonts w:ascii="Times" w:hAnsi="Times"/>
          <w:sz w:val="20"/>
          <w:szCs w:val="20"/>
        </w:rPr>
        <w:t xml:space="preserve"> </w:t>
      </w:r>
      <w:r>
        <w:rPr>
          <w:rFonts w:ascii="Times" w:hAnsi="Times"/>
          <w:sz w:val="20"/>
          <w:szCs w:val="20"/>
        </w:rPr>
        <w:t>(as defined for such purposes) or (ii) the average percentage of our assets (including the assets of certain 25% or more owned corporate subsidiaries) that produce passive income or that are held for the production o</w:t>
      </w:r>
      <w:r>
        <w:rPr>
          <w:rFonts w:ascii="Times" w:hAnsi="Times"/>
          <w:sz w:val="20"/>
          <w:szCs w:val="20"/>
        </w:rPr>
        <w:t>f passive income is at least 50%. In addition, whether our Company will be a PFIC for any taxable year depends on our assets and income over the course of each such taxable year and, as a result, cannot be predicted with certainty until after the end of th</w:t>
      </w:r>
      <w:r>
        <w:rPr>
          <w:rFonts w:ascii="Times" w:hAnsi="Times"/>
          <w:sz w:val="20"/>
          <w:szCs w:val="20"/>
        </w:rPr>
        <w:t>e year.</w:t>
      </w:r>
      <w:r>
        <w:rPr>
          <w:rFonts w:ascii="Times" w:hAnsi="Times"/>
          <w:sz w:val="20"/>
          <w:szCs w:val="20"/>
        </w:rPr>
        <w:t xml:space="preserve"> </w:t>
      </w:r>
    </w:p>
    <w:p w:rsidR="00000000" w:rsidRDefault="008B747E">
      <w:pPr>
        <w:pStyle w:val="a3"/>
        <w:spacing w:before="0" w:beforeAutospacing="0" w:after="0" w:afterAutospacing="0"/>
        <w:ind w:firstLine="720"/>
        <w:divId w:val="1756702823"/>
        <w:rPr>
          <w:rFonts w:ascii="Times" w:hAnsi="Times"/>
          <w:sz w:val="20"/>
          <w:szCs w:val="20"/>
        </w:rPr>
      </w:pPr>
      <w:r>
        <w:rPr>
          <w:rFonts w:ascii="Times" w:hAnsi="Times"/>
          <w:sz w:val="20"/>
          <w:szCs w:val="20"/>
        </w:rPr>
        <w:t>​</w:t>
      </w:r>
    </w:p>
    <w:p w:rsidR="00000000" w:rsidRDefault="008B747E">
      <w:pPr>
        <w:pStyle w:val="a3"/>
        <w:spacing w:before="360" w:beforeAutospacing="0" w:after="0" w:afterAutospacing="0"/>
        <w:jc w:val="center"/>
        <w:divId w:val="2142308246"/>
        <w:rPr>
          <w:sz w:val="20"/>
          <w:szCs w:val="20"/>
        </w:rPr>
      </w:pPr>
      <w:r>
        <w:rPr>
          <w:sz w:val="20"/>
          <w:szCs w:val="20"/>
        </w:rPr>
        <w:t>50</w:t>
      </w:r>
    </w:p>
    <w:p w:rsidR="00000000" w:rsidRDefault="008B747E">
      <w:pPr>
        <w:pStyle w:val="a3"/>
        <w:spacing w:before="0" w:beforeAutospacing="0" w:after="600" w:afterAutospacing="0"/>
        <w:divId w:val="1280409507"/>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ind w:firstLine="720"/>
        <w:divId w:val="1093280836"/>
        <w:rPr>
          <w:rFonts w:ascii="Times" w:hAnsi="Times"/>
          <w:sz w:val="20"/>
          <w:szCs w:val="20"/>
        </w:rPr>
      </w:pPr>
      <w:r>
        <w:rPr>
          <w:rFonts w:ascii="Times" w:hAnsi="Times"/>
          <w:sz w:val="20"/>
          <w:szCs w:val="20"/>
        </w:rPr>
        <w:t xml:space="preserve">Based upon our assets and income during the course of 2014, we believe that our Company and one of our Company’s wholly-owned subsidiaries, Theravance Biopharma R&amp;D, Inc. was a PFIC for 2014. Based </w:t>
      </w:r>
      <w:r>
        <w:rPr>
          <w:rFonts w:ascii="Times" w:hAnsi="Times"/>
          <w:sz w:val="20"/>
          <w:szCs w:val="20"/>
        </w:rPr>
        <w:t>upon our assets and income from 2015 through 2018, we do not believe that our company is a PFIC during these four years. We do not expect to be a PFIC for the foreseeable future based on our current business plans and current business model. For any taxabl</w:t>
      </w:r>
      <w:r>
        <w:rPr>
          <w:rFonts w:ascii="Times" w:hAnsi="Times"/>
          <w:sz w:val="20"/>
          <w:szCs w:val="20"/>
        </w:rPr>
        <w:t>e year (or portion thereof) in which our Company is a PFIC that is included in the holding period of a US holder, the US holder is generally subject to additional US federal income taxes plus an interest charge with respect to certain distributions from Th</w:t>
      </w:r>
      <w:r>
        <w:rPr>
          <w:rFonts w:ascii="Times" w:hAnsi="Times"/>
          <w:sz w:val="20"/>
          <w:szCs w:val="20"/>
        </w:rPr>
        <w:t>eravance Biopharma or gain recognized on a sale of Theravance Biopharma shares. Similar rules would apply with respect to distributions from or gain recognized on an indirect sale of Theravance Biopharma Ireland Limited. US holders of our ordinary shares m</w:t>
      </w:r>
      <w:r>
        <w:rPr>
          <w:rFonts w:ascii="Times" w:hAnsi="Times"/>
          <w:sz w:val="20"/>
          <w:szCs w:val="20"/>
        </w:rPr>
        <w:t>ay have filed an election with respect to Company shares held at any time during 2014 to be treated as owning an interest in a</w:t>
      </w:r>
      <w:r>
        <w:rPr>
          <w:rFonts w:ascii="Times" w:hAnsi="Times"/>
          <w:sz w:val="20"/>
          <w:szCs w:val="20"/>
        </w:rPr>
        <w:t xml:space="preserve"> </w:t>
      </w:r>
      <w:r>
        <w:rPr>
          <w:rFonts w:ascii="Times" w:hAnsi="Times"/>
          <w:sz w:val="20"/>
          <w:szCs w:val="20"/>
        </w:rPr>
        <w:t>“qualified electing fund”</w:t>
      </w:r>
      <w:r>
        <w:rPr>
          <w:rFonts w:ascii="Times" w:hAnsi="Times"/>
          <w:sz w:val="20"/>
          <w:szCs w:val="20"/>
        </w:rPr>
        <w:t xml:space="preserve"> </w:t>
      </w:r>
      <w:r>
        <w:rPr>
          <w:rFonts w:ascii="Times" w:hAnsi="Times"/>
          <w:sz w:val="20"/>
          <w:szCs w:val="20"/>
        </w:rPr>
        <w:t>(“QEF”) or to</w:t>
      </w:r>
      <w:r>
        <w:rPr>
          <w:rFonts w:ascii="Times" w:hAnsi="Times"/>
          <w:sz w:val="20"/>
          <w:szCs w:val="20"/>
        </w:rPr>
        <w:t xml:space="preserve"> </w:t>
      </w:r>
      <w:r>
        <w:rPr>
          <w:rFonts w:ascii="Times" w:hAnsi="Times"/>
          <w:sz w:val="20"/>
          <w:szCs w:val="20"/>
        </w:rPr>
        <w:t>“mark to market”</w:t>
      </w:r>
      <w:r>
        <w:rPr>
          <w:rFonts w:ascii="Times" w:hAnsi="Times"/>
          <w:sz w:val="20"/>
          <w:szCs w:val="20"/>
        </w:rPr>
        <w:t xml:space="preserve"> </w:t>
      </w:r>
      <w:r>
        <w:rPr>
          <w:rFonts w:ascii="Times" w:hAnsi="Times"/>
          <w:sz w:val="20"/>
          <w:szCs w:val="20"/>
        </w:rPr>
        <w:t xml:space="preserve">their ordinary shares to avoid the otherwise applicable interest charge </w:t>
      </w:r>
      <w:r>
        <w:rPr>
          <w:rFonts w:ascii="Times" w:hAnsi="Times"/>
          <w:sz w:val="20"/>
          <w:szCs w:val="20"/>
        </w:rPr>
        <w:t xml:space="preserve">consequences of PFIC treatment with respect to our ordinary shares. A foreign corporation will not be treated as a QEF for any taxable year in which such foreign corporation is not treated as a PFIC. QEF and mark to market elections generally apply to the </w:t>
      </w:r>
      <w:r>
        <w:rPr>
          <w:rFonts w:ascii="Times" w:hAnsi="Times"/>
          <w:sz w:val="20"/>
          <w:szCs w:val="20"/>
        </w:rPr>
        <w:t>taxable year for which the election is made and all subsequent taxable years unless the election is revoked with consent of the Secretary of Treasury. US holders of our ordinary shares should consult their tax advisers regarding the tax reporting implicati</w:t>
      </w:r>
      <w:r>
        <w:rPr>
          <w:rFonts w:ascii="Times" w:hAnsi="Times"/>
          <w:sz w:val="20"/>
          <w:szCs w:val="20"/>
        </w:rPr>
        <w:t>ons with respect to any QEF and mark to market elections made with respect to our company and with respect to their indirect interests in Theravance Biopharma R&amp;D, Inc.</w:t>
      </w:r>
      <w:r>
        <w:rPr>
          <w:rFonts w:ascii="Times" w:hAnsi="Times"/>
          <w:sz w:val="20"/>
          <w:szCs w:val="20"/>
        </w:rPr>
        <w:t xml:space="preserve"> </w:t>
      </w:r>
    </w:p>
    <w:p w:rsidR="00000000" w:rsidRDefault="008B747E">
      <w:pPr>
        <w:pStyle w:val="a3"/>
        <w:spacing w:before="0" w:beforeAutospacing="0" w:after="0" w:afterAutospacing="0"/>
        <w:divId w:val="1093280836"/>
        <w:rPr>
          <w:sz w:val="20"/>
          <w:szCs w:val="20"/>
        </w:rPr>
      </w:pPr>
      <w:r>
        <w:rPr>
          <w:sz w:val="20"/>
          <w:szCs w:val="20"/>
        </w:rPr>
        <w:t>​</w:t>
      </w:r>
    </w:p>
    <w:p w:rsidR="00000000" w:rsidRDefault="008B747E">
      <w:pPr>
        <w:pStyle w:val="a3"/>
        <w:spacing w:before="0" w:beforeAutospacing="0" w:after="120" w:afterAutospacing="0"/>
        <w:divId w:val="1093280836"/>
        <w:rPr>
          <w:rFonts w:ascii="Times" w:hAnsi="Times"/>
          <w:b/>
          <w:bCs/>
          <w:i/>
          <w:iCs/>
          <w:sz w:val="20"/>
          <w:szCs w:val="20"/>
        </w:rPr>
      </w:pPr>
      <w:r>
        <w:rPr>
          <w:rFonts w:ascii="Times" w:hAnsi="Times"/>
          <w:b/>
          <w:bCs/>
          <w:i/>
          <w:iCs/>
          <w:sz w:val="20"/>
          <w:szCs w:val="20"/>
        </w:rPr>
        <w:t>If we are unable to maintain effective internal controls, our business, financial po</w:t>
      </w:r>
      <w:r>
        <w:rPr>
          <w:rFonts w:ascii="Times" w:hAnsi="Times"/>
          <w:b/>
          <w:bCs/>
          <w:i/>
          <w:iCs/>
          <w:sz w:val="20"/>
          <w:szCs w:val="20"/>
        </w:rPr>
        <w:t>sition and results of operations could be adversely affected.</w:t>
      </w:r>
      <w:r>
        <w:rPr>
          <w:rFonts w:ascii="Times" w:hAnsi="Times"/>
          <w:b/>
          <w:bCs/>
          <w:i/>
          <w:iCs/>
          <w:sz w:val="20"/>
          <w:szCs w:val="20"/>
        </w:rPr>
        <w:t xml:space="preserve"> </w:t>
      </w:r>
    </w:p>
    <w:p w:rsidR="00000000" w:rsidRDefault="008B747E">
      <w:pPr>
        <w:pStyle w:val="a3"/>
        <w:spacing w:before="0" w:beforeAutospacing="0" w:after="0" w:afterAutospacing="0"/>
        <w:ind w:firstLine="720"/>
        <w:divId w:val="1093280836"/>
        <w:rPr>
          <w:rFonts w:ascii="Times" w:hAnsi="Times"/>
          <w:sz w:val="20"/>
          <w:szCs w:val="20"/>
        </w:rPr>
      </w:pPr>
      <w:r>
        <w:rPr>
          <w:rFonts w:ascii="Times" w:hAnsi="Times"/>
          <w:sz w:val="20"/>
          <w:szCs w:val="20"/>
        </w:rPr>
        <w:t>If we are unable to maintain effective internal controls, our business, financial position and results of operations could be adversely affected. We are subject to the reporting and other oblig</w:t>
      </w:r>
      <w:r>
        <w:rPr>
          <w:rFonts w:ascii="Times" w:hAnsi="Times"/>
          <w:sz w:val="20"/>
          <w:szCs w:val="20"/>
        </w:rPr>
        <w:t>ations under the Exchange Act, including the requirements of Section 404 of the Sarbanes-Oxley Act of 2002, which require annual management assessments of the effectiveness of our internal control over financial reporting. Our management is responsible for</w:t>
      </w:r>
      <w:r>
        <w:rPr>
          <w:rFonts w:ascii="Times" w:hAnsi="Times"/>
          <w:sz w:val="20"/>
          <w:szCs w:val="20"/>
        </w:rPr>
        <w:t xml:space="preserve"> establishing and maintaining adequate internal control over financial reporting as defined in Rules 13a-15(f) under the Exchange Act. Our internal control over financial reporting is a process designed to provide reasonable assurance regarding the reliabi</w:t>
      </w:r>
      <w:r>
        <w:rPr>
          <w:rFonts w:ascii="Times" w:hAnsi="Times"/>
          <w:sz w:val="20"/>
          <w:szCs w:val="20"/>
        </w:rPr>
        <w:t>lity of financial reporting and the preparation of financial statements for external purposes in accordance with accounting principles generally accepted in the US. Any failure to achieve and maintain effective internal controls could have an adverse effec</w:t>
      </w:r>
      <w:r>
        <w:rPr>
          <w:rFonts w:ascii="Times" w:hAnsi="Times"/>
          <w:sz w:val="20"/>
          <w:szCs w:val="20"/>
        </w:rPr>
        <w:t>t on our business, financial position and results of operations. In addition, our independent registered public accounting firm is required to attest to the effectiveness of our internal control over financial reporting annually. If our independent registe</w:t>
      </w:r>
      <w:r>
        <w:rPr>
          <w:rFonts w:ascii="Times" w:hAnsi="Times"/>
          <w:sz w:val="20"/>
          <w:szCs w:val="20"/>
        </w:rPr>
        <w:t>red public accounting firm is unable to attest to the effectiveness of our internal control over financial reporting, investor confidence in our reported results will be harmed and the price of our securities may fall. These reporting and other obligations</w:t>
      </w:r>
      <w:r>
        <w:rPr>
          <w:rFonts w:ascii="Times" w:hAnsi="Times"/>
          <w:sz w:val="20"/>
          <w:szCs w:val="20"/>
        </w:rPr>
        <w:t xml:space="preserve"> place significant demands on our management and administrative and operational resources, including accounting resources.</w:t>
      </w:r>
      <w:r>
        <w:rPr>
          <w:rFonts w:ascii="Times" w:hAnsi="Times"/>
          <w:sz w:val="20"/>
          <w:szCs w:val="20"/>
        </w:rPr>
        <w:t xml:space="preserve"> </w:t>
      </w:r>
    </w:p>
    <w:p w:rsidR="00000000" w:rsidRDefault="008B747E">
      <w:pPr>
        <w:pStyle w:val="a3"/>
        <w:spacing w:before="0" w:beforeAutospacing="0" w:after="0" w:afterAutospacing="0"/>
        <w:ind w:firstLine="720"/>
        <w:divId w:val="1093280836"/>
        <w:rPr>
          <w:rFonts w:ascii="Times" w:hAnsi="Times"/>
          <w:sz w:val="20"/>
          <w:szCs w:val="20"/>
        </w:rPr>
      </w:pPr>
      <w:r>
        <w:rPr>
          <w:rFonts w:ascii="Times" w:hAnsi="Times"/>
          <w:sz w:val="20"/>
          <w:szCs w:val="20"/>
        </w:rPr>
        <w:t>​</w:t>
      </w:r>
    </w:p>
    <w:p w:rsidR="00000000" w:rsidRDefault="008B747E">
      <w:pPr>
        <w:pStyle w:val="a3"/>
        <w:spacing w:before="0" w:beforeAutospacing="0" w:after="120" w:afterAutospacing="0"/>
        <w:divId w:val="1093280836"/>
        <w:rPr>
          <w:rFonts w:ascii="Times" w:hAnsi="Times"/>
          <w:b/>
          <w:bCs/>
          <w:i/>
          <w:iCs/>
          <w:sz w:val="20"/>
          <w:szCs w:val="20"/>
        </w:rPr>
      </w:pPr>
      <w:r>
        <w:rPr>
          <w:rFonts w:ascii="Times" w:hAnsi="Times"/>
          <w:b/>
          <w:bCs/>
          <w:i/>
          <w:iCs/>
          <w:sz w:val="20"/>
          <w:szCs w:val="20"/>
        </w:rPr>
        <w:t>Agreements entered into with or for the benefit of GSK in connection with the Spin-Off may significantly restrict our business and affairs.</w:t>
      </w:r>
      <w:r>
        <w:rPr>
          <w:rFonts w:ascii="Times" w:hAnsi="Times"/>
          <w:b/>
          <w:bCs/>
          <w:i/>
          <w:iCs/>
          <w:sz w:val="20"/>
          <w:szCs w:val="20"/>
        </w:rPr>
        <w:t xml:space="preserve"> </w:t>
      </w:r>
    </w:p>
    <w:p w:rsidR="00000000" w:rsidRDefault="008B747E">
      <w:pPr>
        <w:pStyle w:val="a3"/>
        <w:spacing w:before="0" w:beforeAutospacing="0" w:after="0" w:afterAutospacing="0"/>
        <w:ind w:firstLine="720"/>
        <w:divId w:val="1093280836"/>
        <w:rPr>
          <w:rFonts w:ascii="Times" w:hAnsi="Times"/>
          <w:sz w:val="20"/>
          <w:szCs w:val="20"/>
        </w:rPr>
      </w:pPr>
      <w:r>
        <w:rPr>
          <w:rFonts w:ascii="Times" w:hAnsi="Times"/>
          <w:sz w:val="20"/>
          <w:szCs w:val="20"/>
        </w:rPr>
        <w:t>On March 3, 2014, in connection with the Spin-Off, we, Innoviva and GSK entered into a number of agreements that ma</w:t>
      </w:r>
      <w:r>
        <w:rPr>
          <w:rFonts w:ascii="Times" w:hAnsi="Times"/>
          <w:sz w:val="20"/>
          <w:szCs w:val="20"/>
        </w:rPr>
        <w:t>y significantly restrict our business and affairs. In particular, we, Innoviva and GSK entered into the Master Agreement which, among other things, requires GSK’s consent to make any changes to (i) a Separation and Distribution Agreement and ancillary agre</w:t>
      </w:r>
      <w:r>
        <w:rPr>
          <w:rFonts w:ascii="Times" w:hAnsi="Times"/>
          <w:sz w:val="20"/>
          <w:szCs w:val="20"/>
        </w:rPr>
        <w:t>ements that would, individually or in the aggregate, reasonably be expected to adversely affect GSK in any material respect or (ii) the TRC LLC Agreement, which consent is not to be unreasonably withheld, conditioned or delayed, provided that GSK may withh</w:t>
      </w:r>
      <w:r>
        <w:rPr>
          <w:rFonts w:ascii="Times" w:hAnsi="Times"/>
          <w:sz w:val="20"/>
          <w:szCs w:val="20"/>
        </w:rPr>
        <w:t>old, condition or delay such consent in its sole discretion with respect to certain sections of the TRC LLC Agreement and any changes to the governance structure of TRC, the confidentiality restrictions, the consent rights, and the transfer restrictions in</w:t>
      </w:r>
      <w:r>
        <w:rPr>
          <w:rFonts w:ascii="Times" w:hAnsi="Times"/>
          <w:sz w:val="20"/>
          <w:szCs w:val="20"/>
        </w:rPr>
        <w:t xml:space="preserve"> the TRC LLC Agreement. We and GSK also entered into (i) the Governance Agreement that expired on December 31, 2017, (ii) a registration rights agreement that gives GSK certain registration rights with respect to our ordinary shares held by GSK and (iii) a</w:t>
      </w:r>
      <w:r>
        <w:rPr>
          <w:rFonts w:ascii="Times" w:hAnsi="Times"/>
          <w:sz w:val="20"/>
          <w:szCs w:val="20"/>
        </w:rPr>
        <w:t xml:space="preserve">n extension agreement that extends to us certain restrictive covenants similar to those applicable to Innoviva under the GSK Agreements. There can be no assurance that these restrictions will not materially harm our business, particularly given that GSK’s </w:t>
      </w:r>
      <w:r>
        <w:rPr>
          <w:rFonts w:ascii="Times" w:hAnsi="Times"/>
          <w:sz w:val="20"/>
          <w:szCs w:val="20"/>
        </w:rPr>
        <w:t>interests may not be aligned with the interests of our business or our other shareholders.</w:t>
      </w:r>
      <w:r>
        <w:rPr>
          <w:rFonts w:ascii="Times" w:hAnsi="Times"/>
          <w:sz w:val="20"/>
          <w:szCs w:val="20"/>
        </w:rPr>
        <w:t xml:space="preserve"> </w:t>
      </w:r>
    </w:p>
    <w:p w:rsidR="00000000" w:rsidRDefault="008B747E">
      <w:pPr>
        <w:pStyle w:val="a3"/>
        <w:spacing w:before="0" w:beforeAutospacing="0" w:after="0" w:afterAutospacing="0"/>
        <w:ind w:firstLine="720"/>
        <w:divId w:val="1093280836"/>
        <w:rPr>
          <w:rFonts w:ascii="Times" w:hAnsi="Times"/>
          <w:sz w:val="20"/>
          <w:szCs w:val="20"/>
        </w:rPr>
      </w:pPr>
      <w:r>
        <w:rPr>
          <w:rFonts w:ascii="Times" w:hAnsi="Times"/>
          <w:sz w:val="20"/>
          <w:szCs w:val="20"/>
        </w:rPr>
        <w:t>​</w:t>
      </w:r>
    </w:p>
    <w:p w:rsidR="00000000" w:rsidRDefault="008B747E">
      <w:pPr>
        <w:pStyle w:val="a3"/>
        <w:spacing w:before="360" w:beforeAutospacing="0" w:after="0" w:afterAutospacing="0"/>
        <w:jc w:val="center"/>
        <w:divId w:val="1574664142"/>
        <w:rPr>
          <w:sz w:val="20"/>
          <w:szCs w:val="20"/>
        </w:rPr>
      </w:pPr>
      <w:r>
        <w:rPr>
          <w:sz w:val="20"/>
          <w:szCs w:val="20"/>
        </w:rPr>
        <w:t>51</w:t>
      </w:r>
    </w:p>
    <w:p w:rsidR="00000000" w:rsidRDefault="008B747E">
      <w:pPr>
        <w:pStyle w:val="a3"/>
        <w:spacing w:before="0" w:beforeAutospacing="0" w:after="600" w:afterAutospacing="0"/>
        <w:divId w:val="532575533"/>
        <w:rPr>
          <w:sz w:val="20"/>
          <w:szCs w:val="20"/>
        </w:rPr>
      </w:pPr>
      <w:hyperlink w:anchor="TOC" w:history="1">
        <w:r>
          <w:rPr>
            <w:rStyle w:val="a4"/>
            <w:sz w:val="20"/>
            <w:szCs w:val="20"/>
          </w:rPr>
          <w:t>Table of Contents</w:t>
        </w:r>
      </w:hyperlink>
    </w:p>
    <w:p w:rsidR="00000000" w:rsidRDefault="008B747E">
      <w:pPr>
        <w:pStyle w:val="a3"/>
        <w:spacing w:before="0" w:beforeAutospacing="0" w:after="120" w:afterAutospacing="0"/>
        <w:divId w:val="1870411924"/>
        <w:rPr>
          <w:rFonts w:ascii="Times" w:hAnsi="Times"/>
          <w:b/>
          <w:bCs/>
          <w:i/>
          <w:iCs/>
          <w:sz w:val="20"/>
          <w:szCs w:val="20"/>
        </w:rPr>
      </w:pPr>
      <w:r>
        <w:rPr>
          <w:rFonts w:ascii="Times" w:hAnsi="Times"/>
          <w:b/>
          <w:bCs/>
          <w:i/>
          <w:iCs/>
          <w:sz w:val="20"/>
          <w:szCs w:val="20"/>
        </w:rPr>
        <w:t>Certain of our directors and officers may have actual or potential conflicts of interest because of their equity ow</w:t>
      </w:r>
      <w:r>
        <w:rPr>
          <w:rFonts w:ascii="Times" w:hAnsi="Times"/>
          <w:b/>
          <w:bCs/>
          <w:i/>
          <w:iCs/>
          <w:sz w:val="20"/>
          <w:szCs w:val="20"/>
        </w:rPr>
        <w:t>nership in Innoviva, which actual or potential conflicts may harm our business, prospects and financial condition and result in the diversion of corporate opportunities to Innoviva.</w:t>
      </w:r>
      <w:r>
        <w:rPr>
          <w:rFonts w:ascii="Times" w:hAnsi="Times"/>
          <w:b/>
          <w:bCs/>
          <w:i/>
          <w:iCs/>
          <w:sz w:val="20"/>
          <w:szCs w:val="20"/>
        </w:rPr>
        <w:t xml:space="preserve"> </w:t>
      </w:r>
    </w:p>
    <w:p w:rsidR="00000000" w:rsidRDefault="008B747E">
      <w:pPr>
        <w:pStyle w:val="a3"/>
        <w:spacing w:before="0" w:beforeAutospacing="0" w:after="0" w:afterAutospacing="0"/>
        <w:ind w:firstLine="720"/>
        <w:divId w:val="1870411924"/>
        <w:rPr>
          <w:rFonts w:ascii="Times" w:hAnsi="Times"/>
          <w:sz w:val="20"/>
          <w:szCs w:val="20"/>
        </w:rPr>
      </w:pPr>
      <w:r>
        <w:rPr>
          <w:rFonts w:ascii="Times" w:hAnsi="Times"/>
          <w:sz w:val="20"/>
          <w:szCs w:val="20"/>
        </w:rPr>
        <w:t>Certain of our directors and executive officers hold shares of Innoviva’s</w:t>
      </w:r>
      <w:r>
        <w:rPr>
          <w:rFonts w:ascii="Times" w:hAnsi="Times"/>
          <w:sz w:val="20"/>
          <w:szCs w:val="20"/>
        </w:rPr>
        <w:t xml:space="preserve"> common stock or rights to acquire such shares, and these holdings may be significant for some of these individuals compared to their total assets. This ownership of Innoviva common stock by certain of our officers and directors may create, or may create t</w:t>
      </w:r>
      <w:r>
        <w:rPr>
          <w:rFonts w:ascii="Times" w:hAnsi="Times"/>
          <w:sz w:val="20"/>
          <w:szCs w:val="20"/>
        </w:rPr>
        <w:t>he appearance of, conflicts of interest when these directors and officers are faced with decisions that could have different implications for Innoviva and for us. For example, potential or actual conflicts could arise relating to: our relationship with Inn</w:t>
      </w:r>
      <w:r>
        <w:rPr>
          <w:rFonts w:ascii="Times" w:hAnsi="Times"/>
          <w:sz w:val="20"/>
          <w:szCs w:val="20"/>
        </w:rPr>
        <w:t>oviva, including Innoviva’s and our respective rights and obligations under agreements entered into in connection with the Spin-Off; Innoviva’s management of TRC, particularly given that we and Innoviva have different economic interests in TRC; and corpora</w:t>
      </w:r>
      <w:r>
        <w:rPr>
          <w:rFonts w:ascii="Times" w:hAnsi="Times"/>
          <w:sz w:val="20"/>
          <w:szCs w:val="20"/>
        </w:rPr>
        <w:t>te opportunities that may be available to both companies in the future. Although we and Innoviva have implemented policies and procedures to identify and properly address such potential and actual conflicts of interest, there can be no assurance that, when</w:t>
      </w:r>
      <w:r>
        <w:rPr>
          <w:rFonts w:ascii="Times" w:hAnsi="Times"/>
          <w:sz w:val="20"/>
          <w:szCs w:val="20"/>
        </w:rPr>
        <w:t xml:space="preserve"> such conflicts are resolved in accordance with applicable laws, such conflicts of interest will not harm our business, prospects and financial condition and result in the diversion of corporate opportunities to Innoviva.</w:t>
      </w:r>
      <w:r>
        <w:rPr>
          <w:rFonts w:ascii="Times" w:hAnsi="Times"/>
          <w:sz w:val="20"/>
          <w:szCs w:val="20"/>
        </w:rPr>
        <w:t xml:space="preserve"> </w:t>
      </w:r>
    </w:p>
    <w:p w:rsidR="00000000" w:rsidRDefault="008B747E">
      <w:pPr>
        <w:pStyle w:val="a3"/>
        <w:spacing w:before="0" w:beforeAutospacing="0" w:after="0" w:afterAutospacing="0"/>
        <w:divId w:val="1870411924"/>
        <w:rPr>
          <w:sz w:val="20"/>
          <w:szCs w:val="20"/>
        </w:rPr>
      </w:pPr>
      <w:r>
        <w:rPr>
          <w:sz w:val="20"/>
          <w:szCs w:val="20"/>
        </w:rPr>
        <w:t>​</w:t>
      </w:r>
    </w:p>
    <w:p w:rsidR="00000000" w:rsidRDefault="008B747E">
      <w:pPr>
        <w:pStyle w:val="a3"/>
        <w:spacing w:before="0" w:beforeAutospacing="0" w:after="120" w:afterAutospacing="0"/>
        <w:divId w:val="1870411924"/>
        <w:rPr>
          <w:rFonts w:ascii="Times" w:hAnsi="Times"/>
          <w:b/>
          <w:bCs/>
          <w:i/>
          <w:iCs/>
          <w:sz w:val="20"/>
          <w:szCs w:val="20"/>
        </w:rPr>
      </w:pPr>
      <w:r>
        <w:rPr>
          <w:rFonts w:ascii="Times" w:hAnsi="Times"/>
          <w:b/>
          <w:bCs/>
          <w:i/>
          <w:iCs/>
          <w:sz w:val="20"/>
          <w:szCs w:val="20"/>
        </w:rPr>
        <w:t>If we are required to indemnify</w:t>
      </w:r>
      <w:r>
        <w:rPr>
          <w:rFonts w:ascii="Times" w:hAnsi="Times"/>
          <w:b/>
          <w:bCs/>
          <w:i/>
          <w:iCs/>
          <w:sz w:val="20"/>
          <w:szCs w:val="20"/>
        </w:rPr>
        <w:t xml:space="preserve"> Innoviva or Cumberland, or if we are not able to enforce our indemnification rights against Innoviva or Cumberland, our business prospects and financial condition may be harmed.</w:t>
      </w:r>
      <w:r>
        <w:rPr>
          <w:rFonts w:ascii="Times" w:hAnsi="Times"/>
          <w:b/>
          <w:bCs/>
          <w:i/>
          <w:iCs/>
          <w:sz w:val="20"/>
          <w:szCs w:val="20"/>
        </w:rPr>
        <w:t xml:space="preserve"> </w:t>
      </w:r>
    </w:p>
    <w:p w:rsidR="00000000" w:rsidRDefault="008B747E">
      <w:pPr>
        <w:pStyle w:val="a3"/>
        <w:spacing w:before="0" w:beforeAutospacing="0" w:after="0" w:afterAutospacing="0"/>
        <w:ind w:firstLine="720"/>
        <w:divId w:val="1870411924"/>
        <w:rPr>
          <w:rFonts w:ascii="Times" w:hAnsi="Times"/>
          <w:sz w:val="20"/>
          <w:szCs w:val="20"/>
        </w:rPr>
      </w:pPr>
      <w:r>
        <w:rPr>
          <w:rFonts w:ascii="Times" w:hAnsi="Times"/>
          <w:sz w:val="20"/>
          <w:szCs w:val="20"/>
        </w:rPr>
        <w:t xml:space="preserve">We agreed to indemnify Innoviva from and after the Spin-Off with respect to </w:t>
      </w:r>
      <w:r>
        <w:rPr>
          <w:rFonts w:ascii="Times" w:hAnsi="Times"/>
          <w:sz w:val="20"/>
          <w:szCs w:val="20"/>
        </w:rPr>
        <w:t>(i) all debts, liabilities and obligations transferred to us in connection with the Spin-Off (including our failure to pay, perform or otherwise promptly discharge any such debts, liabilities or obligations after the Spin-Off), (ii) any misstatement or omi</w:t>
      </w:r>
      <w:r>
        <w:rPr>
          <w:rFonts w:ascii="Times" w:hAnsi="Times"/>
          <w:sz w:val="20"/>
          <w:szCs w:val="20"/>
        </w:rPr>
        <w:t>ssion of a material fact resulting in a misleading statement in our Information Statement distributed to Innoviva stockholders in connection with the Spin-Off and (iii) any breach by us of certain agreements entered into with Innoviva in connection with th</w:t>
      </w:r>
      <w:r>
        <w:rPr>
          <w:rFonts w:ascii="Times" w:hAnsi="Times"/>
          <w:sz w:val="20"/>
          <w:szCs w:val="20"/>
        </w:rPr>
        <w:t>e Spin-Off (namely, the Separation and Distribution Agreement, a Transition Services Agreement, an Employee Matters Agreement, a Tax Matters Agreement, and a Facility Sublease Agreement). We are not aware of any existing indemnification obligations at this</w:t>
      </w:r>
      <w:r>
        <w:rPr>
          <w:rFonts w:ascii="Times" w:hAnsi="Times"/>
          <w:sz w:val="20"/>
          <w:szCs w:val="20"/>
        </w:rPr>
        <w:t xml:space="preserve"> time, but any such indemnification obligations that may arise could be significant. Under the terms of the Separation and Distribution Agreement, Innoviva agreed to indemnify us from and after the Spin-Off with respect to (i) all debts, liabilities and ob</w:t>
      </w:r>
      <w:r>
        <w:rPr>
          <w:rFonts w:ascii="Times" w:hAnsi="Times"/>
          <w:sz w:val="20"/>
          <w:szCs w:val="20"/>
        </w:rPr>
        <w:t>ligations retained by Innoviva after the Spin-Off (including its failure to pay, perform or otherwise promptly discharge any such debts, liabilities or obligations after the Spin-Off) and (ii) any breach by Innoviva of the Separation and Distribution Agree</w:t>
      </w:r>
      <w:r>
        <w:rPr>
          <w:rFonts w:ascii="Times" w:hAnsi="Times"/>
          <w:sz w:val="20"/>
          <w:szCs w:val="20"/>
        </w:rPr>
        <w:t>ment, the Transition Services Agreement, the Employee Matters Agreement, the Tax Matters Agreement, and the Facility Sublease Agreement. Our and Innoviva’s ability to satisfy these indemnities, if called upon to do so, will depend upon our and Innoviva’s f</w:t>
      </w:r>
      <w:r>
        <w:rPr>
          <w:rFonts w:ascii="Times" w:hAnsi="Times"/>
          <w:sz w:val="20"/>
          <w:szCs w:val="20"/>
        </w:rPr>
        <w:t>uture financial strength. If we are required to indemnify Innoviva, or if we are not able to enforce our indemnification rights against Innoviva, our business prospects and financial condition may be harmed.</w:t>
      </w:r>
      <w:r>
        <w:rPr>
          <w:rFonts w:ascii="Times" w:hAnsi="Times"/>
          <w:sz w:val="20"/>
          <w:szCs w:val="20"/>
        </w:rPr>
        <w:t xml:space="preserve"> </w:t>
      </w:r>
    </w:p>
    <w:p w:rsidR="00000000" w:rsidRDefault="008B747E">
      <w:pPr>
        <w:pStyle w:val="a3"/>
        <w:spacing w:before="0" w:beforeAutospacing="0" w:after="0" w:afterAutospacing="0"/>
        <w:ind w:firstLine="720"/>
        <w:divId w:val="1870411924"/>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1870411924"/>
        <w:rPr>
          <w:rFonts w:ascii="Times" w:hAnsi="Times"/>
          <w:sz w:val="20"/>
          <w:szCs w:val="20"/>
        </w:rPr>
      </w:pPr>
      <w:r>
        <w:rPr>
          <w:rFonts w:ascii="Times" w:hAnsi="Times"/>
          <w:sz w:val="20"/>
          <w:szCs w:val="20"/>
        </w:rPr>
        <w:t>In addition, the agreement relating to the sa</w:t>
      </w:r>
      <w:r>
        <w:rPr>
          <w:rFonts w:ascii="Times" w:hAnsi="Times"/>
          <w:sz w:val="20"/>
          <w:szCs w:val="20"/>
        </w:rPr>
        <w:t>le of VIBATIV to Cumberland contains indemnification obligations of both us and Cumberland.</w:t>
      </w:r>
      <w:r>
        <w:rPr>
          <w:rFonts w:ascii="Times" w:hAnsi="Times"/>
          <w:sz w:val="20"/>
          <w:szCs w:val="20"/>
        </w:rPr>
        <w:t xml:space="preserve"> </w:t>
      </w:r>
      <w:r>
        <w:rPr>
          <w:rFonts w:ascii="Times" w:hAnsi="Times"/>
          <w:sz w:val="20"/>
          <w:szCs w:val="20"/>
        </w:rPr>
        <w:t>If we are required to indemnify Cumberland or if we are unable to enforce our indemnification rights against Cumberland for any reason, our business and financial c</w:t>
      </w:r>
      <w:r>
        <w:rPr>
          <w:rFonts w:ascii="Times" w:hAnsi="Times"/>
          <w:sz w:val="20"/>
          <w:szCs w:val="20"/>
        </w:rPr>
        <w:t>ondition may be harmed.</w:t>
      </w:r>
      <w:r>
        <w:rPr>
          <w:rFonts w:ascii="Times" w:hAnsi="Times"/>
          <w:sz w:val="20"/>
          <w:szCs w:val="20"/>
        </w:rPr>
        <w:t xml:space="preserve"> </w:t>
      </w:r>
    </w:p>
    <w:p w:rsidR="00000000" w:rsidRDefault="008B747E">
      <w:pPr>
        <w:pStyle w:val="a3"/>
        <w:spacing w:before="0" w:beforeAutospacing="0" w:after="0" w:afterAutospacing="0"/>
        <w:ind w:firstLine="720"/>
        <w:divId w:val="1870411924"/>
        <w:rPr>
          <w:rFonts w:ascii="Times" w:hAnsi="Times"/>
          <w:sz w:val="20"/>
          <w:szCs w:val="20"/>
        </w:rPr>
      </w:pPr>
      <w:r>
        <w:rPr>
          <w:rFonts w:ascii="Times" w:hAnsi="Times"/>
          <w:sz w:val="20"/>
          <w:szCs w:val="20"/>
        </w:rPr>
        <w:t>​</w:t>
      </w:r>
    </w:p>
    <w:p w:rsidR="00000000" w:rsidRDefault="008B747E">
      <w:pPr>
        <w:pStyle w:val="a3"/>
        <w:spacing w:before="0" w:beforeAutospacing="0" w:after="0" w:afterAutospacing="0"/>
        <w:divId w:val="1870411924"/>
        <w:rPr>
          <w:sz w:val="20"/>
          <w:szCs w:val="20"/>
        </w:rPr>
      </w:pPr>
      <w:r>
        <w:rPr>
          <w:b/>
          <w:bCs/>
          <w:i/>
          <w:iCs/>
          <w:sz w:val="20"/>
          <w:szCs w:val="20"/>
        </w:rPr>
        <w:t>We commenced a workforce restructuring during the first quarter of 2019 to focus our efforts on our key programs. Even after giving effect to this restructuring, we will not have sufficient cash to fully execute on our key progra</w:t>
      </w:r>
      <w:r>
        <w:rPr>
          <w:b/>
          <w:bCs/>
          <w:i/>
          <w:iCs/>
          <w:sz w:val="20"/>
          <w:szCs w:val="20"/>
        </w:rPr>
        <w:t>ms, and the restructuring may impact our ability to execute our business plan.</w:t>
      </w:r>
    </w:p>
    <w:p w:rsidR="00000000" w:rsidRDefault="008B747E">
      <w:pPr>
        <w:pStyle w:val="a3"/>
        <w:spacing w:before="0" w:beforeAutospacing="0" w:after="0" w:afterAutospacing="0"/>
        <w:divId w:val="1870411924"/>
        <w:rPr>
          <w:sz w:val="10"/>
          <w:szCs w:val="10"/>
        </w:rPr>
      </w:pPr>
      <w:r>
        <w:rPr>
          <w:sz w:val="10"/>
          <w:szCs w:val="10"/>
        </w:rPr>
        <w:t> </w:t>
      </w:r>
    </w:p>
    <w:p w:rsidR="00000000" w:rsidRDefault="008B747E">
      <w:pPr>
        <w:pStyle w:val="a3"/>
        <w:spacing w:before="0" w:beforeAutospacing="0" w:after="0" w:afterAutospacing="0"/>
        <w:ind w:firstLine="720"/>
        <w:divId w:val="1870411924"/>
        <w:rPr>
          <w:sz w:val="20"/>
          <w:szCs w:val="20"/>
        </w:rPr>
      </w:pPr>
      <w:r>
        <w:rPr>
          <w:sz w:val="20"/>
          <w:szCs w:val="20"/>
        </w:rPr>
        <w:t>During the first quarter of 2019, we commenced a workforce restructuring involving the reduction of our overall headcount by approximately 50 individuals, with affected employ</w:t>
      </w:r>
      <w:r>
        <w:rPr>
          <w:sz w:val="20"/>
          <w:szCs w:val="20"/>
        </w:rPr>
        <w:t>ees primarily focused on early research or the infrastructure in support of VIBATIV. There can be no assurance that we will be able to reduce spending as planned or that unanticipated costs will not occur. Our restructuring efforts to focus on key programs</w:t>
      </w:r>
      <w:r>
        <w:rPr>
          <w:sz w:val="20"/>
          <w:szCs w:val="20"/>
        </w:rPr>
        <w:t xml:space="preserve"> may not prove successful due to a variety of factors, including, without limitation, risks that a smaller workforce may have difficulty achieving our goals. In addition, we may in the future decide to restructure operations and reduce expenses further by </w:t>
      </w:r>
      <w:r>
        <w:rPr>
          <w:sz w:val="20"/>
          <w:szCs w:val="20"/>
        </w:rPr>
        <w:t>taking such measures as additional reductions in our workforce and program spending. Any restructuring places a substantial strain on remaining management and employees and on operational resources and there is a risk that our business will be adversely af</w:t>
      </w:r>
      <w:r>
        <w:rPr>
          <w:sz w:val="20"/>
          <w:szCs w:val="20"/>
        </w:rPr>
        <w:t xml:space="preserve">fected by the diversion of management time to the restructuring efforts. </w:t>
      </w:r>
    </w:p>
    <w:p w:rsidR="00000000" w:rsidRDefault="008B747E">
      <w:pPr>
        <w:pStyle w:val="a3"/>
        <w:spacing w:before="0" w:beforeAutospacing="0" w:after="0" w:afterAutospacing="0"/>
        <w:divId w:val="1870411924"/>
        <w:rPr>
          <w:sz w:val="20"/>
          <w:szCs w:val="20"/>
        </w:rPr>
      </w:pPr>
      <w:r>
        <w:rPr>
          <w:rFonts w:ascii="Times" w:hAnsi="Times"/>
          <w:b/>
          <w:bCs/>
          <w:sz w:val="20"/>
          <w:szCs w:val="20"/>
        </w:rPr>
        <w:t>​</w:t>
      </w:r>
    </w:p>
    <w:p w:rsidR="00000000" w:rsidRDefault="008B747E">
      <w:pPr>
        <w:pStyle w:val="a3"/>
        <w:spacing w:before="360" w:beforeAutospacing="0" w:after="0" w:afterAutospacing="0"/>
        <w:jc w:val="center"/>
        <w:divId w:val="652875348"/>
        <w:rPr>
          <w:sz w:val="20"/>
          <w:szCs w:val="20"/>
        </w:rPr>
      </w:pPr>
      <w:r>
        <w:rPr>
          <w:sz w:val="20"/>
          <w:szCs w:val="20"/>
        </w:rPr>
        <w:t>52</w:t>
      </w:r>
    </w:p>
    <w:p w:rsidR="00000000" w:rsidRDefault="008B747E">
      <w:pPr>
        <w:pStyle w:val="a3"/>
        <w:spacing w:before="0" w:beforeAutospacing="0" w:after="600" w:afterAutospacing="0"/>
        <w:divId w:val="1711416248"/>
        <w:rPr>
          <w:sz w:val="20"/>
          <w:szCs w:val="20"/>
        </w:rPr>
      </w:pPr>
      <w:hyperlink w:anchor="TOC" w:history="1">
        <w:r>
          <w:rPr>
            <w:rStyle w:val="a4"/>
            <w:sz w:val="20"/>
            <w:szCs w:val="20"/>
          </w:rPr>
          <w:t>Table of Contents</w:t>
        </w:r>
      </w:hyperlink>
    </w:p>
    <w:p w:rsidR="00000000" w:rsidRDefault="008B747E">
      <w:pPr>
        <w:pStyle w:val="a3"/>
        <w:spacing w:before="0" w:beforeAutospacing="0" w:after="240" w:afterAutospacing="0"/>
        <w:ind w:hanging="202"/>
        <w:divId w:val="1373378923"/>
        <w:rPr>
          <w:sz w:val="20"/>
          <w:szCs w:val="20"/>
        </w:rPr>
      </w:pPr>
      <w:r>
        <w:rPr>
          <w:rFonts w:ascii="Times" w:hAnsi="Times"/>
          <w:b/>
          <w:bCs/>
          <w:sz w:val="20"/>
          <w:szCs w:val="20"/>
        </w:rPr>
        <w:t>RISKS RELATED TO LEGAL AND REGULATORY UNCERTAINTY</w:t>
      </w:r>
      <w:r>
        <w:rPr>
          <w:rFonts w:ascii="Times" w:hAnsi="Times"/>
          <w:b/>
          <w:bCs/>
          <w:sz w:val="20"/>
          <w:szCs w:val="20"/>
        </w:rPr>
        <w:t xml:space="preserve"> </w:t>
      </w:r>
    </w:p>
    <w:p w:rsidR="00000000" w:rsidRDefault="008B747E">
      <w:pPr>
        <w:pStyle w:val="a3"/>
        <w:spacing w:before="0" w:beforeAutospacing="0" w:after="120" w:afterAutospacing="0"/>
        <w:divId w:val="1373378923"/>
        <w:rPr>
          <w:rFonts w:ascii="Times" w:hAnsi="Times"/>
          <w:b/>
          <w:bCs/>
          <w:i/>
          <w:iCs/>
          <w:sz w:val="20"/>
          <w:szCs w:val="20"/>
        </w:rPr>
      </w:pPr>
      <w:r>
        <w:rPr>
          <w:rFonts w:ascii="Times" w:hAnsi="Times"/>
          <w:b/>
          <w:bCs/>
          <w:i/>
          <w:iCs/>
          <w:sz w:val="20"/>
          <w:szCs w:val="20"/>
        </w:rPr>
        <w:t>If our efforts to protect the proprietary nature of the intellectual property rela</w:t>
      </w:r>
      <w:r>
        <w:rPr>
          <w:rFonts w:ascii="Times" w:hAnsi="Times"/>
          <w:b/>
          <w:bCs/>
          <w:i/>
          <w:iCs/>
          <w:sz w:val="20"/>
          <w:szCs w:val="20"/>
        </w:rPr>
        <w:t>ted to our technologies are not adequate, we may not be able to compete effectively in our current or future markets.</w:t>
      </w:r>
      <w:r>
        <w:rPr>
          <w:rFonts w:ascii="Times" w:hAnsi="Times"/>
          <w:b/>
          <w:bCs/>
          <w:i/>
          <w:iCs/>
          <w:sz w:val="20"/>
          <w:szCs w:val="20"/>
        </w:rPr>
        <w:t xml:space="preserve"> </w:t>
      </w:r>
    </w:p>
    <w:p w:rsidR="00000000" w:rsidRDefault="008B747E">
      <w:pPr>
        <w:pStyle w:val="a3"/>
        <w:spacing w:before="0" w:beforeAutospacing="0" w:after="0" w:afterAutospacing="0"/>
        <w:ind w:firstLine="720"/>
        <w:divId w:val="1373378923"/>
        <w:rPr>
          <w:rFonts w:ascii="Times" w:hAnsi="Times"/>
          <w:sz w:val="20"/>
          <w:szCs w:val="20"/>
        </w:rPr>
      </w:pPr>
      <w:r>
        <w:rPr>
          <w:rFonts w:ascii="Times" w:hAnsi="Times"/>
          <w:sz w:val="20"/>
          <w:szCs w:val="20"/>
        </w:rPr>
        <w:t xml:space="preserve">We rely upon a combination of patents, patent applications, trade secret protection and confidentiality agreements to protect the intellectual property related to our technologies. Any involuntary disclosure to or misappropriation by third parties of this </w:t>
      </w:r>
      <w:r>
        <w:rPr>
          <w:rFonts w:ascii="Times" w:hAnsi="Times"/>
          <w:sz w:val="20"/>
          <w:szCs w:val="20"/>
        </w:rPr>
        <w:t>proprietary information could enable competitors to quickly duplicate or surpass our technological achievements, thus eroding our competitive position in our market. The status of patents in the biotechnology and pharmaceutical field involves complex legal</w:t>
      </w:r>
      <w:r>
        <w:rPr>
          <w:rFonts w:ascii="Times" w:hAnsi="Times"/>
          <w:sz w:val="20"/>
          <w:szCs w:val="20"/>
        </w:rPr>
        <w:t xml:space="preserve"> and scientific questions and is very uncertain. As of June 30, 2019, we owned 430 issued US patents and 1,529 granted foreign patents, as well as additional pending US and foreign patent applications. Our patent applications may be challenged or fail to r</w:t>
      </w:r>
      <w:r>
        <w:rPr>
          <w:rFonts w:ascii="Times" w:hAnsi="Times"/>
          <w:sz w:val="20"/>
          <w:szCs w:val="20"/>
        </w:rPr>
        <w:t>esult in issued patents and our existing or future patents may be invalidated or be too narrow to prevent third parties from developing or designing around these patents. If the sufficiency of the breadth or strength of protection provided by our patents w</w:t>
      </w:r>
      <w:r>
        <w:rPr>
          <w:rFonts w:ascii="Times" w:hAnsi="Times"/>
          <w:sz w:val="20"/>
          <w:szCs w:val="20"/>
        </w:rPr>
        <w:t>ith respect to a product candidate is threatened, it could dissuade companies from collaborating with us to develop product candidates and threaten our ability to commercialize products. Further, if we encounter delays in our clinical trials or in obtainin</w:t>
      </w:r>
      <w:r>
        <w:rPr>
          <w:rFonts w:ascii="Times" w:hAnsi="Times"/>
          <w:sz w:val="20"/>
          <w:szCs w:val="20"/>
        </w:rPr>
        <w:t>g regulatory approval of our product candidates, the patent lives of the related product candidates would be reduced.</w:t>
      </w:r>
      <w:r>
        <w:rPr>
          <w:rFonts w:ascii="Times" w:hAnsi="Times"/>
          <w:sz w:val="20"/>
          <w:szCs w:val="20"/>
        </w:rPr>
        <w:t xml:space="preserve"> </w:t>
      </w:r>
    </w:p>
    <w:p w:rsidR="00000000" w:rsidRDefault="008B747E">
      <w:pPr>
        <w:pStyle w:val="a3"/>
        <w:spacing w:before="0" w:beforeAutospacing="0" w:after="0" w:afterAutospacing="0"/>
        <w:ind w:firstLine="720"/>
        <w:divId w:val="1373378923"/>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1373378923"/>
        <w:rPr>
          <w:rFonts w:ascii="Times" w:hAnsi="Times"/>
          <w:sz w:val="20"/>
          <w:szCs w:val="20"/>
        </w:rPr>
      </w:pPr>
      <w:r>
        <w:rPr>
          <w:rFonts w:ascii="Times" w:hAnsi="Times"/>
          <w:sz w:val="20"/>
          <w:szCs w:val="20"/>
        </w:rPr>
        <w:t xml:space="preserve">In addition, we rely on trade secret protection and confidentiality agreements to protect proprietary know-how that is not patentable, </w:t>
      </w:r>
      <w:r>
        <w:rPr>
          <w:rFonts w:ascii="Times" w:hAnsi="Times"/>
          <w:sz w:val="20"/>
          <w:szCs w:val="20"/>
        </w:rPr>
        <w:t>for processes for which patents are difficult to enforce and for any other elements of our drug discovery and development processes that involve proprietary know-how, information and technology that is not covered by patent applications. Although we requir</w:t>
      </w:r>
      <w:r>
        <w:rPr>
          <w:rFonts w:ascii="Times" w:hAnsi="Times"/>
          <w:sz w:val="20"/>
          <w:szCs w:val="20"/>
        </w:rPr>
        <w:t>e our employees, consultants, advisors and any third parties who have access to our proprietary know-how, information and technology to enter into confidentiality agreements, we cannot be certain that this know-how, information and technology will not be m</w:t>
      </w:r>
      <w:r>
        <w:rPr>
          <w:rFonts w:ascii="Times" w:hAnsi="Times"/>
          <w:sz w:val="20"/>
          <w:szCs w:val="20"/>
        </w:rPr>
        <w:t>isappropriated, disclosed or used for unauthorized purposes or that competitors will not otherwise gain access to our trade secrets or independently develop substantially equivalent information and techniques. Further, the laws of some foreign countries do</w:t>
      </w:r>
      <w:r>
        <w:rPr>
          <w:rFonts w:ascii="Times" w:hAnsi="Times"/>
          <w:sz w:val="20"/>
          <w:szCs w:val="20"/>
        </w:rPr>
        <w:t xml:space="preserve"> not protect proprietary rights to the same extent as the laws of the US. As a result, we may encounter significant problems in protecting and defending our intellectual property both in the US and abroad. If we are unable to prevent material disclosure of</w:t>
      </w:r>
      <w:r>
        <w:rPr>
          <w:rFonts w:ascii="Times" w:hAnsi="Times"/>
          <w:sz w:val="20"/>
          <w:szCs w:val="20"/>
        </w:rPr>
        <w:t xml:space="preserve"> the intellectual property related to our technologies to third parties, we will not be able to establish or, if established, maintain a competitive advantage in our market, which could materially adversely affect our business, financial condition and resu</w:t>
      </w:r>
      <w:r>
        <w:rPr>
          <w:rFonts w:ascii="Times" w:hAnsi="Times"/>
          <w:sz w:val="20"/>
          <w:szCs w:val="20"/>
        </w:rPr>
        <w:t>lts of operations, which could cause the price of our securities to fall.</w:t>
      </w:r>
      <w:r>
        <w:rPr>
          <w:rFonts w:ascii="Times" w:hAnsi="Times"/>
          <w:sz w:val="20"/>
          <w:szCs w:val="20"/>
        </w:rPr>
        <w:t xml:space="preserve"> </w:t>
      </w:r>
    </w:p>
    <w:p w:rsidR="00000000" w:rsidRDefault="008B747E">
      <w:pPr>
        <w:pStyle w:val="a3"/>
        <w:spacing w:before="0" w:beforeAutospacing="0" w:after="0" w:afterAutospacing="0"/>
        <w:divId w:val="1373378923"/>
        <w:rPr>
          <w:rFonts w:ascii="Times" w:hAnsi="Times"/>
          <w:sz w:val="20"/>
          <w:szCs w:val="20"/>
        </w:rPr>
      </w:pPr>
      <w:r>
        <w:rPr>
          <w:rFonts w:ascii="Times" w:hAnsi="Times"/>
          <w:sz w:val="20"/>
          <w:szCs w:val="20"/>
        </w:rPr>
        <w:t>​</w:t>
      </w:r>
    </w:p>
    <w:p w:rsidR="00000000" w:rsidRDefault="008B747E">
      <w:pPr>
        <w:pStyle w:val="a3"/>
        <w:spacing w:before="0" w:beforeAutospacing="0" w:after="120" w:afterAutospacing="0"/>
        <w:divId w:val="1373378923"/>
        <w:rPr>
          <w:rFonts w:ascii="Times" w:hAnsi="Times"/>
          <w:b/>
          <w:bCs/>
          <w:i/>
          <w:iCs/>
          <w:sz w:val="20"/>
          <w:szCs w:val="20"/>
        </w:rPr>
      </w:pPr>
      <w:r>
        <w:rPr>
          <w:rFonts w:ascii="Times" w:hAnsi="Times"/>
          <w:b/>
          <w:bCs/>
          <w:i/>
          <w:iCs/>
          <w:sz w:val="20"/>
          <w:szCs w:val="20"/>
        </w:rPr>
        <w:t>Litigation to protect or defend our intellectual property or third-party claims of intellectual property infringement would require us to divert resources and may prevent or delay</w:t>
      </w:r>
      <w:r>
        <w:rPr>
          <w:rFonts w:ascii="Times" w:hAnsi="Times"/>
          <w:b/>
          <w:bCs/>
          <w:i/>
          <w:iCs/>
          <w:sz w:val="20"/>
          <w:szCs w:val="20"/>
        </w:rPr>
        <w:t xml:space="preserve"> our drug discovery and development efforts.</w:t>
      </w:r>
      <w:r>
        <w:rPr>
          <w:rFonts w:ascii="Times" w:hAnsi="Times"/>
          <w:b/>
          <w:bCs/>
          <w:i/>
          <w:iCs/>
          <w:sz w:val="20"/>
          <w:szCs w:val="20"/>
        </w:rPr>
        <w:t xml:space="preserve"> </w:t>
      </w:r>
    </w:p>
    <w:p w:rsidR="00000000" w:rsidRDefault="008B747E">
      <w:pPr>
        <w:pStyle w:val="a3"/>
        <w:spacing w:before="0" w:beforeAutospacing="0" w:after="0" w:afterAutospacing="0"/>
        <w:ind w:firstLine="720"/>
        <w:divId w:val="1373378923"/>
        <w:rPr>
          <w:rFonts w:ascii="Times" w:hAnsi="Times"/>
          <w:sz w:val="20"/>
          <w:szCs w:val="20"/>
        </w:rPr>
      </w:pPr>
      <w:r>
        <w:rPr>
          <w:rFonts w:ascii="Times" w:hAnsi="Times"/>
          <w:sz w:val="20"/>
          <w:szCs w:val="20"/>
        </w:rPr>
        <w:t>Our commercial success depends in part on us and our partners not infringing the patents and proprietary rights of third parties. Third parties may assert that we or our partners are using their proprietary rig</w:t>
      </w:r>
      <w:r>
        <w:rPr>
          <w:rFonts w:ascii="Times" w:hAnsi="Times"/>
          <w:sz w:val="20"/>
          <w:szCs w:val="20"/>
        </w:rPr>
        <w:t>hts without authorization. There are third-party patents that may cover materials or methods for treatment related to our product candidates. At present, we are not aware of any patent infringement claims with merit that would adversely and materially affe</w:t>
      </w:r>
      <w:r>
        <w:rPr>
          <w:rFonts w:ascii="Times" w:hAnsi="Times"/>
          <w:sz w:val="20"/>
          <w:szCs w:val="20"/>
        </w:rPr>
        <w:t>ct our ability to develop our product candidates, but nevertheless the possibility of third-party allegations cannot be ruled out. In addition, third parties may obtain patents in the future and claim that use of our technologies infringes upon these paten</w:t>
      </w:r>
      <w:r>
        <w:rPr>
          <w:rFonts w:ascii="Times" w:hAnsi="Times"/>
          <w:sz w:val="20"/>
          <w:szCs w:val="20"/>
        </w:rPr>
        <w:t>ts. Furthermore, parties making claims against us or our partners may obtain injunctive or other equitable relief, which could effectively block our ability to further develop and commercialize one or more of our product candidates. Defense against these c</w:t>
      </w:r>
      <w:r>
        <w:rPr>
          <w:rFonts w:ascii="Times" w:hAnsi="Times"/>
          <w:sz w:val="20"/>
          <w:szCs w:val="20"/>
        </w:rPr>
        <w:t>laims, regardless of their merit, would involve substantial litigation expense and would be a substantial diversion of employee resources from our business.</w:t>
      </w:r>
      <w:r>
        <w:rPr>
          <w:rFonts w:ascii="Times" w:hAnsi="Times"/>
          <w:sz w:val="20"/>
          <w:szCs w:val="20"/>
        </w:rPr>
        <w:t xml:space="preserve"> </w:t>
      </w:r>
    </w:p>
    <w:p w:rsidR="00000000" w:rsidRDefault="008B747E">
      <w:pPr>
        <w:pStyle w:val="a3"/>
        <w:spacing w:before="0" w:beforeAutospacing="0" w:after="0" w:afterAutospacing="0"/>
        <w:ind w:firstLine="720"/>
        <w:divId w:val="1373378923"/>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1373378923"/>
        <w:rPr>
          <w:rFonts w:ascii="Times" w:hAnsi="Times"/>
          <w:sz w:val="20"/>
          <w:szCs w:val="20"/>
        </w:rPr>
      </w:pPr>
      <w:r>
        <w:rPr>
          <w:rFonts w:ascii="Times" w:hAnsi="Times"/>
          <w:sz w:val="20"/>
          <w:szCs w:val="20"/>
        </w:rPr>
        <w:t>In the event of a successful claim of infringement against us, we may have to pay substantial da</w:t>
      </w:r>
      <w:r>
        <w:rPr>
          <w:rFonts w:ascii="Times" w:hAnsi="Times"/>
          <w:sz w:val="20"/>
          <w:szCs w:val="20"/>
        </w:rPr>
        <w:t>mages, obtain one or more licenses from third parties or pay royalties. In addition, even in the absence of litigation, we may need to obtain licenses from third parties to advance our research or allow commercialization of our product candidates, and we h</w:t>
      </w:r>
      <w:r>
        <w:rPr>
          <w:rFonts w:ascii="Times" w:hAnsi="Times"/>
          <w:sz w:val="20"/>
          <w:szCs w:val="20"/>
        </w:rPr>
        <w:t>ave done so from time to time. We may fail to obtain any of these licenses at a reasonable cost or on reasonable terms, if at all. In that event, we would be unable to further develop and commercialize one or more of our product candidates, which could har</w:t>
      </w:r>
      <w:r>
        <w:rPr>
          <w:rFonts w:ascii="Times" w:hAnsi="Times"/>
          <w:sz w:val="20"/>
          <w:szCs w:val="20"/>
        </w:rPr>
        <w:t>m our business significantly.</w:t>
      </w:r>
      <w:r>
        <w:rPr>
          <w:rFonts w:ascii="Times" w:hAnsi="Times"/>
          <w:sz w:val="20"/>
          <w:szCs w:val="20"/>
        </w:rPr>
        <w:t xml:space="preserve"> </w:t>
      </w:r>
    </w:p>
    <w:p w:rsidR="00000000" w:rsidRDefault="008B747E">
      <w:pPr>
        <w:pStyle w:val="a3"/>
        <w:spacing w:before="0" w:beforeAutospacing="0" w:after="0" w:afterAutospacing="0"/>
        <w:ind w:firstLine="720"/>
        <w:divId w:val="1373378923"/>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1373378923"/>
        <w:rPr>
          <w:rFonts w:ascii="Times" w:hAnsi="Times"/>
          <w:sz w:val="20"/>
          <w:szCs w:val="20"/>
        </w:rPr>
      </w:pPr>
      <w:r>
        <w:rPr>
          <w:rFonts w:ascii="Times" w:hAnsi="Times"/>
          <w:sz w:val="20"/>
          <w:szCs w:val="20"/>
        </w:rPr>
        <w:t>In addition, in the future we could be required to initiate litigation to enforce our proprietary rights against infringement by third parties, prevent the unauthorized use or disclosure of our trade secrets and confidentia</w:t>
      </w:r>
      <w:r>
        <w:rPr>
          <w:rFonts w:ascii="Times" w:hAnsi="Times"/>
          <w:sz w:val="20"/>
          <w:szCs w:val="20"/>
        </w:rPr>
        <w:t>l information, or</w:t>
      </w:r>
      <w:r>
        <w:rPr>
          <w:rFonts w:ascii="Times" w:hAnsi="Times"/>
          <w:sz w:val="20"/>
          <w:szCs w:val="20"/>
        </w:rPr>
        <w:t xml:space="preserve"> </w:t>
      </w:r>
    </w:p>
    <w:p w:rsidR="00000000" w:rsidRDefault="008B747E">
      <w:pPr>
        <w:pStyle w:val="a3"/>
        <w:spacing w:before="360" w:beforeAutospacing="0" w:after="0" w:afterAutospacing="0"/>
        <w:jc w:val="center"/>
        <w:divId w:val="950626219"/>
        <w:rPr>
          <w:sz w:val="20"/>
          <w:szCs w:val="20"/>
        </w:rPr>
      </w:pPr>
      <w:r>
        <w:rPr>
          <w:sz w:val="20"/>
          <w:szCs w:val="20"/>
        </w:rPr>
        <w:t>53</w:t>
      </w:r>
    </w:p>
    <w:p w:rsidR="00000000" w:rsidRDefault="008B747E">
      <w:pPr>
        <w:pStyle w:val="a3"/>
        <w:spacing w:before="0" w:beforeAutospacing="0" w:after="600" w:afterAutospacing="0"/>
        <w:divId w:val="679936848"/>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783888267"/>
        <w:rPr>
          <w:rFonts w:ascii="Times" w:hAnsi="Times"/>
          <w:sz w:val="20"/>
          <w:szCs w:val="20"/>
        </w:rPr>
      </w:pPr>
      <w:r>
        <w:rPr>
          <w:rFonts w:ascii="Times" w:hAnsi="Times"/>
          <w:sz w:val="20"/>
          <w:szCs w:val="20"/>
        </w:rPr>
        <w:t>defend the validity of our patents. For example, in 2017, we filed a lawsuit against a former employee for misappropriation of certain of our confidential, proprietary and trade secret infor</w:t>
      </w:r>
      <w:r>
        <w:rPr>
          <w:rFonts w:ascii="Times" w:hAnsi="Times"/>
          <w:sz w:val="20"/>
          <w:szCs w:val="20"/>
        </w:rPr>
        <w:t>mation. While this litigation has since been resolved, prosecution of claims to enforce or defend our rights against others involve substantial litigation expenses and divert substantial employee resources from our business but may not result in adequate r</w:t>
      </w:r>
      <w:r>
        <w:rPr>
          <w:rFonts w:ascii="Times" w:hAnsi="Times"/>
          <w:sz w:val="20"/>
          <w:szCs w:val="20"/>
        </w:rPr>
        <w:t>emedy to us or sufficiently mitigate the harm to our business caused by any intellectual property infringement, unauthorized access, use or disclosure of trade secrets. If we fail to effectively enforce our proprietary rights against others, our business w</w:t>
      </w:r>
      <w:r>
        <w:rPr>
          <w:rFonts w:ascii="Times" w:hAnsi="Times"/>
          <w:sz w:val="20"/>
          <w:szCs w:val="20"/>
        </w:rPr>
        <w:t>ill be harmed and the price of our securities could fall.</w:t>
      </w:r>
      <w:r>
        <w:rPr>
          <w:rFonts w:ascii="Times" w:hAnsi="Times"/>
          <w:sz w:val="20"/>
          <w:szCs w:val="20"/>
        </w:rPr>
        <w:t xml:space="preserve"> </w:t>
      </w:r>
    </w:p>
    <w:p w:rsidR="00000000" w:rsidRDefault="008B747E">
      <w:pPr>
        <w:pStyle w:val="a3"/>
        <w:spacing w:before="0" w:beforeAutospacing="0" w:after="0" w:afterAutospacing="0"/>
        <w:divId w:val="783888267"/>
        <w:rPr>
          <w:sz w:val="20"/>
          <w:szCs w:val="20"/>
        </w:rPr>
      </w:pPr>
      <w:r>
        <w:rPr>
          <w:sz w:val="20"/>
          <w:szCs w:val="20"/>
        </w:rPr>
        <w:t>​</w:t>
      </w:r>
    </w:p>
    <w:p w:rsidR="00000000" w:rsidRDefault="008B747E">
      <w:pPr>
        <w:pStyle w:val="a3"/>
        <w:spacing w:before="0" w:beforeAutospacing="0" w:after="120" w:afterAutospacing="0"/>
        <w:divId w:val="783888267"/>
        <w:rPr>
          <w:sz w:val="20"/>
          <w:szCs w:val="20"/>
        </w:rPr>
      </w:pPr>
      <w:r>
        <w:rPr>
          <w:rFonts w:ascii="Times" w:hAnsi="Times"/>
          <w:b/>
          <w:bCs/>
          <w:i/>
          <w:iCs/>
          <w:sz w:val="20"/>
          <w:szCs w:val="20"/>
        </w:rPr>
        <w:t xml:space="preserve">If the efforts of our partners or future partners to protect the proprietary nature of the intellectual property related to collaboration assets are not adequate, the future commercialization of </w:t>
      </w:r>
      <w:r>
        <w:rPr>
          <w:rFonts w:ascii="Times" w:hAnsi="Times"/>
          <w:b/>
          <w:bCs/>
          <w:i/>
          <w:iCs/>
          <w:sz w:val="20"/>
          <w:szCs w:val="20"/>
        </w:rPr>
        <w:t>any medicines resulting from collaborations could be delayed or prevented, which would materially harm our business and could cause the price of our securities to fall.</w:t>
      </w:r>
      <w:r>
        <w:rPr>
          <w:rFonts w:ascii="Times" w:hAnsi="Times"/>
          <w:b/>
          <w:bCs/>
          <w:i/>
          <w:iCs/>
          <w:sz w:val="20"/>
          <w:szCs w:val="20"/>
        </w:rPr>
        <w:t xml:space="preserve"> </w:t>
      </w:r>
    </w:p>
    <w:p w:rsidR="00000000" w:rsidRDefault="008B747E">
      <w:pPr>
        <w:pStyle w:val="a3"/>
        <w:spacing w:before="0" w:beforeAutospacing="0" w:after="0" w:afterAutospacing="0"/>
        <w:ind w:firstLine="720"/>
        <w:divId w:val="783888267"/>
        <w:rPr>
          <w:rFonts w:ascii="Times" w:hAnsi="Times"/>
          <w:sz w:val="20"/>
          <w:szCs w:val="20"/>
        </w:rPr>
      </w:pPr>
      <w:r>
        <w:rPr>
          <w:rFonts w:ascii="Times" w:hAnsi="Times"/>
          <w:sz w:val="20"/>
          <w:szCs w:val="20"/>
        </w:rPr>
        <w:t>The risks identified in the two preceding risk factors may also apply to the intellect</w:t>
      </w:r>
      <w:r>
        <w:rPr>
          <w:rFonts w:ascii="Times" w:hAnsi="Times"/>
          <w:sz w:val="20"/>
          <w:szCs w:val="20"/>
        </w:rPr>
        <w:t>ual property protection efforts of our partners or future partners and to GSK with respect to the GSK-Partnered Respiratory Programs in which we hold an economic interest. To the extent the intellectual property protection of any partnered assets are succe</w:t>
      </w:r>
      <w:r>
        <w:rPr>
          <w:rFonts w:ascii="Times" w:hAnsi="Times"/>
          <w:sz w:val="20"/>
          <w:szCs w:val="20"/>
        </w:rPr>
        <w:t>ssfully challenged or encounter problems with the US Patent and Trademark Office or other comparable agencies throughout the world, the future commercialization of these potential medicines could be delayed or prevented. Any challenge to the intellectual p</w:t>
      </w:r>
      <w:r>
        <w:rPr>
          <w:rFonts w:ascii="Times" w:hAnsi="Times"/>
          <w:sz w:val="20"/>
          <w:szCs w:val="20"/>
        </w:rPr>
        <w:t>roperty protection of a late-stage development asset, particularly those of the GSK-Partnered Respiratory Programs in which we hold an economic interest, could harm our business and cause the price of our securities to fall.</w:t>
      </w:r>
      <w:r>
        <w:rPr>
          <w:rFonts w:ascii="Times" w:hAnsi="Times"/>
          <w:sz w:val="20"/>
          <w:szCs w:val="20"/>
        </w:rPr>
        <w:t xml:space="preserve"> </w:t>
      </w:r>
    </w:p>
    <w:p w:rsidR="00000000" w:rsidRDefault="008B747E">
      <w:pPr>
        <w:pStyle w:val="a3"/>
        <w:spacing w:before="0" w:beforeAutospacing="0" w:after="0" w:afterAutospacing="0"/>
        <w:divId w:val="783888267"/>
        <w:rPr>
          <w:sz w:val="20"/>
          <w:szCs w:val="20"/>
        </w:rPr>
      </w:pPr>
      <w:r>
        <w:rPr>
          <w:sz w:val="20"/>
          <w:szCs w:val="20"/>
        </w:rPr>
        <w:t>​</w:t>
      </w:r>
    </w:p>
    <w:p w:rsidR="00000000" w:rsidRDefault="008B747E">
      <w:pPr>
        <w:pStyle w:val="a3"/>
        <w:spacing w:before="0" w:beforeAutospacing="0" w:after="120" w:afterAutospacing="0"/>
        <w:divId w:val="783888267"/>
        <w:rPr>
          <w:rFonts w:ascii="Times" w:hAnsi="Times"/>
          <w:b/>
          <w:bCs/>
          <w:i/>
          <w:iCs/>
          <w:sz w:val="20"/>
          <w:szCs w:val="20"/>
        </w:rPr>
      </w:pPr>
      <w:r>
        <w:rPr>
          <w:rFonts w:ascii="Times" w:hAnsi="Times"/>
          <w:b/>
          <w:bCs/>
          <w:i/>
          <w:iCs/>
          <w:sz w:val="20"/>
          <w:szCs w:val="20"/>
        </w:rPr>
        <w:t xml:space="preserve">Product liability and other </w:t>
      </w:r>
      <w:r>
        <w:rPr>
          <w:rFonts w:ascii="Times" w:hAnsi="Times"/>
          <w:b/>
          <w:bCs/>
          <w:i/>
          <w:iCs/>
          <w:sz w:val="20"/>
          <w:szCs w:val="20"/>
        </w:rPr>
        <w:t>lawsuits could divert our resources, result in substantial liabilities and reduce the commercial potential of our medicines.</w:t>
      </w:r>
      <w:r>
        <w:rPr>
          <w:rFonts w:ascii="Times" w:hAnsi="Times"/>
          <w:b/>
          <w:bCs/>
          <w:i/>
          <w:iCs/>
          <w:sz w:val="20"/>
          <w:szCs w:val="20"/>
        </w:rPr>
        <w:t xml:space="preserve"> </w:t>
      </w:r>
    </w:p>
    <w:p w:rsidR="00000000" w:rsidRDefault="008B747E">
      <w:pPr>
        <w:pStyle w:val="a3"/>
        <w:spacing w:before="0" w:beforeAutospacing="0" w:after="0" w:afterAutospacing="0"/>
        <w:ind w:firstLine="720"/>
        <w:divId w:val="783888267"/>
        <w:rPr>
          <w:rFonts w:ascii="Times" w:hAnsi="Times"/>
          <w:sz w:val="18"/>
          <w:szCs w:val="18"/>
        </w:rPr>
      </w:pPr>
      <w:r>
        <w:rPr>
          <w:rFonts w:ascii="Times" w:hAnsi="Times"/>
          <w:sz w:val="20"/>
          <w:szCs w:val="20"/>
        </w:rPr>
        <w:t>The risk that we may be sued on product liability claims is inherent in the development and commercialization of pharmaceutical pr</w:t>
      </w:r>
      <w:r>
        <w:rPr>
          <w:rFonts w:ascii="Times" w:hAnsi="Times"/>
          <w:sz w:val="20"/>
          <w:szCs w:val="20"/>
        </w:rPr>
        <w:t>oducts. Side effects of, or manufacturing defects in, products that we or our partners develop or commercialize could result in the deterioration of a patient’s condition, injury or even death. Once a product is approved for sale and commercialized, the li</w:t>
      </w:r>
      <w:r>
        <w:rPr>
          <w:rFonts w:ascii="Times" w:hAnsi="Times"/>
          <w:sz w:val="20"/>
          <w:szCs w:val="20"/>
        </w:rPr>
        <w:t>kelihood of product liability lawsuits tends to increase. Claims may be brought by individuals seeking relief for themselves or by individuals or groups seeking to represent a class, asserting injuries based both on potential adverse effects described in t</w:t>
      </w:r>
      <w:r>
        <w:rPr>
          <w:rFonts w:ascii="Times" w:hAnsi="Times"/>
          <w:sz w:val="20"/>
          <w:szCs w:val="20"/>
        </w:rPr>
        <w:t>he label as well as adverse events not yet observed. We also face</w:t>
      </w:r>
      <w:r>
        <w:rPr>
          <w:rFonts w:ascii="Times" w:hAnsi="Times"/>
          <w:sz w:val="20"/>
          <w:szCs w:val="20"/>
        </w:rPr>
        <w:t xml:space="preserve"> </w:t>
      </w:r>
      <w:r>
        <w:rPr>
          <w:sz w:val="19"/>
          <w:szCs w:val="19"/>
        </w:rPr>
        <w:t>an inherent risk of product liability exposure related to the testing of our product candidates in human clinical trials. In addition</w:t>
      </w:r>
      <w:r>
        <w:rPr>
          <w:rFonts w:ascii="Times" w:hAnsi="Times"/>
          <w:sz w:val="20"/>
          <w:szCs w:val="20"/>
        </w:rPr>
        <w:t>, changes in laws outside the US are expanding our potent</w:t>
      </w:r>
      <w:r>
        <w:rPr>
          <w:rFonts w:ascii="Times" w:hAnsi="Times"/>
          <w:sz w:val="20"/>
          <w:szCs w:val="20"/>
        </w:rPr>
        <w:t>ial liability for injuries that occur during clinical trials. Product liability claims could harm our reputation, regardless of the merit or ultimate success of the claim, which may adversely affect our and our partners’</w:t>
      </w:r>
      <w:r>
        <w:rPr>
          <w:rFonts w:ascii="Times" w:hAnsi="Times"/>
          <w:sz w:val="20"/>
          <w:szCs w:val="20"/>
        </w:rPr>
        <w:t xml:space="preserve"> </w:t>
      </w:r>
      <w:r>
        <w:rPr>
          <w:rFonts w:ascii="Times" w:hAnsi="Times"/>
          <w:sz w:val="20"/>
          <w:szCs w:val="20"/>
        </w:rPr>
        <w:t>ability to commercialize our produc</w:t>
      </w:r>
      <w:r>
        <w:rPr>
          <w:rFonts w:ascii="Times" w:hAnsi="Times"/>
          <w:sz w:val="20"/>
          <w:szCs w:val="20"/>
        </w:rPr>
        <w:t>ts and cause the price of our securities to fall. These lawsuits may divert our management from pursuing our business strategy and may be costly to defend. In addition, if we are held liable in any of these lawsuits, we may incur substantial liabilities an</w:t>
      </w:r>
      <w:r>
        <w:rPr>
          <w:rFonts w:ascii="Times" w:hAnsi="Times"/>
          <w:sz w:val="20"/>
          <w:szCs w:val="20"/>
        </w:rPr>
        <w:t>d may be forced to limit or forgo further commercialization of the applicable products.</w:t>
      </w:r>
      <w:r>
        <w:rPr>
          <w:rFonts w:ascii="Times" w:hAnsi="Times"/>
          <w:sz w:val="20"/>
          <w:szCs w:val="20"/>
        </w:rPr>
        <w:t xml:space="preserve"> </w:t>
      </w:r>
    </w:p>
    <w:p w:rsidR="00000000" w:rsidRDefault="008B747E">
      <w:pPr>
        <w:pStyle w:val="a3"/>
        <w:spacing w:before="0" w:beforeAutospacing="0" w:after="0" w:afterAutospacing="0"/>
        <w:ind w:firstLine="720"/>
        <w:divId w:val="783888267"/>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783888267"/>
        <w:rPr>
          <w:rFonts w:ascii="Times" w:hAnsi="Times"/>
          <w:sz w:val="20"/>
          <w:szCs w:val="20"/>
        </w:rPr>
      </w:pPr>
      <w:r>
        <w:rPr>
          <w:rFonts w:ascii="Times" w:hAnsi="Times"/>
          <w:sz w:val="20"/>
          <w:szCs w:val="20"/>
        </w:rPr>
        <w:t>Although we maintain general liability and product liability insurance, this insurance may not fully cover potential liabilities and we cannot be sure that our insur</w:t>
      </w:r>
      <w:r>
        <w:rPr>
          <w:rFonts w:ascii="Times" w:hAnsi="Times"/>
          <w:sz w:val="20"/>
          <w:szCs w:val="20"/>
        </w:rPr>
        <w:t xml:space="preserve">er will not disclaim coverage as to a future claim. In addition, inability to obtain or maintain sufficient insurance coverage at an acceptable cost or to otherwise protect against potential product liability claims could prevent or inhibit the commercial </w:t>
      </w:r>
      <w:r>
        <w:rPr>
          <w:rFonts w:ascii="Times" w:hAnsi="Times"/>
          <w:sz w:val="20"/>
          <w:szCs w:val="20"/>
        </w:rPr>
        <w:t>production and sale of our products, which could adversely affect our business.</w:t>
      </w:r>
      <w:r>
        <w:rPr>
          <w:rFonts w:ascii="Times" w:hAnsi="Times"/>
          <w:sz w:val="20"/>
          <w:szCs w:val="20"/>
        </w:rPr>
        <w:t xml:space="preserve"> </w:t>
      </w:r>
    </w:p>
    <w:p w:rsidR="00000000" w:rsidRDefault="008B747E">
      <w:pPr>
        <w:pStyle w:val="a3"/>
        <w:spacing w:before="0" w:beforeAutospacing="0" w:after="0" w:afterAutospacing="0"/>
        <w:ind w:firstLine="720"/>
        <w:divId w:val="783888267"/>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783888267"/>
        <w:rPr>
          <w:rFonts w:ascii="Times" w:hAnsi="Times"/>
          <w:sz w:val="20"/>
          <w:szCs w:val="20"/>
        </w:rPr>
      </w:pPr>
      <w:r>
        <w:rPr>
          <w:rFonts w:ascii="Times" w:hAnsi="Times"/>
          <w:sz w:val="20"/>
          <w:szCs w:val="20"/>
        </w:rPr>
        <w:t>We may also be required to prosecute or defend general commercial, intellectual property, securities and other lawsuits. Litigation typically involves substantial expenses a</w:t>
      </w:r>
      <w:r>
        <w:rPr>
          <w:rFonts w:ascii="Times" w:hAnsi="Times"/>
          <w:sz w:val="20"/>
          <w:szCs w:val="20"/>
        </w:rPr>
        <w:t>nd diverts substantial employee resources from our business. The cost of defending any product liability litigation or engaging in any other legal proceeding, even if resolved in our favor, could be substantial and uncertainties resulting from the initiati</w:t>
      </w:r>
      <w:r>
        <w:rPr>
          <w:rFonts w:ascii="Times" w:hAnsi="Times"/>
          <w:sz w:val="20"/>
          <w:szCs w:val="20"/>
        </w:rPr>
        <w:t>on and continuation of the litigation or other proceedings could have a material adverse effect on our ability to compete in the marketplace and achieve our business goals.</w:t>
      </w:r>
      <w:r>
        <w:rPr>
          <w:rFonts w:ascii="Times" w:hAnsi="Times"/>
          <w:sz w:val="20"/>
          <w:szCs w:val="20"/>
        </w:rPr>
        <w:t xml:space="preserve"> </w:t>
      </w:r>
    </w:p>
    <w:p w:rsidR="00000000" w:rsidRDefault="008B747E">
      <w:pPr>
        <w:pStyle w:val="a3"/>
        <w:spacing w:before="0" w:beforeAutospacing="0" w:after="0" w:afterAutospacing="0"/>
        <w:ind w:firstLine="720"/>
        <w:divId w:val="783888267"/>
        <w:rPr>
          <w:rFonts w:ascii="Times" w:hAnsi="Times"/>
          <w:sz w:val="20"/>
          <w:szCs w:val="20"/>
        </w:rPr>
      </w:pPr>
      <w:r>
        <w:rPr>
          <w:rFonts w:ascii="Times" w:hAnsi="Times"/>
          <w:sz w:val="20"/>
          <w:szCs w:val="20"/>
        </w:rPr>
        <w:t>​</w:t>
      </w:r>
    </w:p>
    <w:p w:rsidR="00000000" w:rsidRDefault="008B747E">
      <w:pPr>
        <w:pStyle w:val="a3"/>
        <w:spacing w:before="0" w:beforeAutospacing="0" w:after="120" w:afterAutospacing="0"/>
        <w:divId w:val="783888267"/>
        <w:rPr>
          <w:rFonts w:ascii="Times" w:hAnsi="Times"/>
          <w:b/>
          <w:bCs/>
          <w:i/>
          <w:iCs/>
          <w:sz w:val="20"/>
          <w:szCs w:val="20"/>
        </w:rPr>
      </w:pPr>
      <w:r>
        <w:rPr>
          <w:rFonts w:ascii="Times" w:hAnsi="Times"/>
          <w:b/>
          <w:bCs/>
          <w:i/>
          <w:iCs/>
          <w:sz w:val="20"/>
          <w:szCs w:val="20"/>
        </w:rPr>
        <w:t>If we fail to comply with data protection laws and regulations, we could be subject to government enforcement actions (which could include civil or criminal penalties), private litigation and/or adverse publicity, which could negatively affect our operatin</w:t>
      </w:r>
      <w:r>
        <w:rPr>
          <w:rFonts w:ascii="Times" w:hAnsi="Times"/>
          <w:b/>
          <w:bCs/>
          <w:i/>
          <w:iCs/>
          <w:sz w:val="20"/>
          <w:szCs w:val="20"/>
        </w:rPr>
        <w:t>g results and business.</w:t>
      </w:r>
      <w:r>
        <w:rPr>
          <w:rFonts w:ascii="Times" w:hAnsi="Times"/>
          <w:b/>
          <w:bCs/>
          <w:i/>
          <w:iCs/>
          <w:sz w:val="20"/>
          <w:szCs w:val="20"/>
        </w:rPr>
        <w:t xml:space="preserve"> </w:t>
      </w:r>
    </w:p>
    <w:p w:rsidR="00000000" w:rsidRDefault="008B747E">
      <w:pPr>
        <w:pStyle w:val="a3"/>
        <w:spacing w:before="0" w:beforeAutospacing="0" w:after="0" w:afterAutospacing="0"/>
        <w:ind w:firstLine="720"/>
        <w:divId w:val="783888267"/>
        <w:rPr>
          <w:rFonts w:ascii="Times" w:hAnsi="Times"/>
          <w:sz w:val="20"/>
          <w:szCs w:val="20"/>
        </w:rPr>
      </w:pPr>
      <w:r>
        <w:rPr>
          <w:rFonts w:ascii="Times" w:hAnsi="Times"/>
          <w:sz w:val="20"/>
          <w:szCs w:val="20"/>
        </w:rPr>
        <w:t xml:space="preserve">We are subject to data protection laws and regulations (i.e., laws and regulations that address privacy and data security). In the US, numerous federal and state laws and regulations, including state data breach notification laws, </w:t>
      </w:r>
      <w:r>
        <w:rPr>
          <w:rFonts w:ascii="Times" w:hAnsi="Times"/>
          <w:sz w:val="20"/>
          <w:szCs w:val="20"/>
        </w:rPr>
        <w:t>state health information privacy laws, and federal and state consumer protection laws (e.g., Section 5 of the FTC Act), govern the collection, use, disclosure, and protection of health-related and other personal information. Failure to comply with data</w:t>
      </w:r>
      <w:r>
        <w:rPr>
          <w:rFonts w:ascii="Times" w:hAnsi="Times"/>
          <w:sz w:val="20"/>
          <w:szCs w:val="20"/>
        </w:rPr>
        <w:t xml:space="preserve"> </w:t>
      </w:r>
    </w:p>
    <w:p w:rsidR="00000000" w:rsidRDefault="008B747E">
      <w:pPr>
        <w:pStyle w:val="a3"/>
        <w:spacing w:before="360" w:beforeAutospacing="0" w:after="0" w:afterAutospacing="0"/>
        <w:jc w:val="center"/>
        <w:divId w:val="226040542"/>
        <w:rPr>
          <w:sz w:val="20"/>
          <w:szCs w:val="20"/>
        </w:rPr>
      </w:pPr>
      <w:r>
        <w:rPr>
          <w:sz w:val="20"/>
          <w:szCs w:val="20"/>
        </w:rPr>
        <w:t>54</w:t>
      </w:r>
    </w:p>
    <w:p w:rsidR="00000000" w:rsidRDefault="008B747E">
      <w:pPr>
        <w:pStyle w:val="a3"/>
        <w:spacing w:before="0" w:beforeAutospacing="0" w:after="600" w:afterAutospacing="0"/>
        <w:divId w:val="1891064714"/>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1432818264"/>
        <w:rPr>
          <w:rFonts w:ascii="Times" w:hAnsi="Times"/>
          <w:sz w:val="20"/>
          <w:szCs w:val="20"/>
        </w:rPr>
      </w:pPr>
      <w:r>
        <w:rPr>
          <w:rFonts w:ascii="Times" w:hAnsi="Times"/>
          <w:sz w:val="20"/>
          <w:szCs w:val="20"/>
        </w:rPr>
        <w:t>protection laws and regulations could result in government enforcement actions and create liability for us (which could include civil and/or criminal penalties), private litigation and/or adverse publicity that could negatively affect our operating results</w:t>
      </w:r>
      <w:r>
        <w:rPr>
          <w:rFonts w:ascii="Times" w:hAnsi="Times"/>
          <w:sz w:val="20"/>
          <w:szCs w:val="20"/>
        </w:rPr>
        <w:t xml:space="preserve"> and business. In addition, we may obtain health information from third parties (e.g., healthcare providers who prescribe our products) that are subject to privacy and security requirements under the Health Insurance Portability and Accountability Act of 1</w:t>
      </w:r>
      <w:r>
        <w:rPr>
          <w:rFonts w:ascii="Times" w:hAnsi="Times"/>
          <w:sz w:val="20"/>
          <w:szCs w:val="20"/>
        </w:rPr>
        <w:t>996, as amended by the Health Information Technology for Economic and Clinical Health Act (“HIPAA”). Although we are not directly subject to HIPAA—other than with respect to providing certain employee benefits—we could be subject to criminal penalties if w</w:t>
      </w:r>
      <w:r>
        <w:rPr>
          <w:rFonts w:ascii="Times" w:hAnsi="Times"/>
          <w:sz w:val="20"/>
          <w:szCs w:val="20"/>
        </w:rPr>
        <w:t>e knowingly obtain or disclose individually identifiable health information maintained by a HIPAA-covered</w:t>
      </w:r>
      <w:r>
        <w:rPr>
          <w:rFonts w:ascii="Times" w:hAnsi="Times"/>
          <w:sz w:val="20"/>
          <w:szCs w:val="20"/>
        </w:rPr>
        <w:t xml:space="preserve"> </w:t>
      </w:r>
      <w:r>
        <w:rPr>
          <w:rFonts w:ascii="Times" w:hAnsi="Times"/>
          <w:sz w:val="20"/>
          <w:szCs w:val="20"/>
        </w:rPr>
        <w:t xml:space="preserve">entity in a manner that is not authorized or permitted by HIPAA. HIPAA generally requires that healthcare providers and other covered entities obtain </w:t>
      </w:r>
      <w:r>
        <w:rPr>
          <w:rFonts w:ascii="Times" w:hAnsi="Times"/>
          <w:sz w:val="20"/>
          <w:szCs w:val="20"/>
        </w:rPr>
        <w:t>written authorizations from patients prior to disclosing protected health information of the patient (unless an exception to the authorization requirement applies). If authorization is required and the patient fails to execute an authorization or the autho</w:t>
      </w:r>
      <w:r>
        <w:rPr>
          <w:rFonts w:ascii="Times" w:hAnsi="Times"/>
          <w:sz w:val="20"/>
          <w:szCs w:val="20"/>
        </w:rPr>
        <w:t>rization fails to contain all required provisions, then we may not be allowed access to and use of the patient’s information and our research efforts could be impaired or delayed. Furthermore, use of protected health information that is provided to us purs</w:t>
      </w:r>
      <w:r>
        <w:rPr>
          <w:rFonts w:ascii="Times" w:hAnsi="Times"/>
          <w:sz w:val="20"/>
          <w:szCs w:val="20"/>
        </w:rPr>
        <w:t xml:space="preserve">uant to a valid patient authorization is subject to the limits set forth in the authorization (e.g., for use in research and in submissions to regulatory authorities for product approvals). In addition, HIPAA does not replace federal, state, international </w:t>
      </w:r>
      <w:r>
        <w:rPr>
          <w:rFonts w:ascii="Times" w:hAnsi="Times"/>
          <w:sz w:val="20"/>
          <w:szCs w:val="20"/>
        </w:rPr>
        <w:t>or other laws that may grant individuals even greater privacy protections.</w:t>
      </w:r>
      <w:r>
        <w:rPr>
          <w:rFonts w:ascii="Times" w:hAnsi="Times"/>
          <w:sz w:val="20"/>
          <w:szCs w:val="20"/>
        </w:rPr>
        <w:t xml:space="preserve"> </w:t>
      </w:r>
    </w:p>
    <w:p w:rsidR="00000000" w:rsidRDefault="008B747E">
      <w:pPr>
        <w:pStyle w:val="a3"/>
        <w:spacing w:before="0" w:beforeAutospacing="0" w:after="0" w:afterAutospacing="0"/>
        <w:ind w:firstLine="720"/>
        <w:divId w:val="1432818264"/>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1432818264"/>
        <w:rPr>
          <w:sz w:val="20"/>
          <w:szCs w:val="20"/>
        </w:rPr>
      </w:pPr>
      <w:r>
        <w:rPr>
          <w:sz w:val="20"/>
          <w:szCs w:val="20"/>
        </w:rPr>
        <w:t>EU Member States and other jurisdictions where we operate have adopted data protection laws and regulations, which impose significant compliance obligations. For example, the Gen</w:t>
      </w:r>
      <w:r>
        <w:rPr>
          <w:sz w:val="20"/>
          <w:szCs w:val="20"/>
        </w:rPr>
        <w:t>eral Data Protection Regulation (“GDPR”) which become applicable on May 25, 2018, replacing the EU Data Protection Directive, imposes strict obligations and restrictions on the ability to collect, analyze and transfer personal data, including health data f</w:t>
      </w:r>
      <w:r>
        <w:rPr>
          <w:sz w:val="20"/>
          <w:szCs w:val="20"/>
        </w:rPr>
        <w:t xml:space="preserve">rom clinical trials and adverse event reporting. </w:t>
      </w:r>
    </w:p>
    <w:p w:rsidR="00000000" w:rsidRDefault="008B747E">
      <w:pPr>
        <w:pStyle w:val="a3"/>
        <w:spacing w:before="0" w:beforeAutospacing="0" w:after="0" w:afterAutospacing="0"/>
        <w:ind w:firstLine="720"/>
        <w:divId w:val="1432818264"/>
        <w:rPr>
          <w:sz w:val="20"/>
          <w:szCs w:val="20"/>
        </w:rPr>
      </w:pPr>
      <w:r>
        <w:rPr>
          <w:sz w:val="20"/>
          <w:szCs w:val="20"/>
        </w:rPr>
        <w:t>​</w:t>
      </w:r>
    </w:p>
    <w:p w:rsidR="00000000" w:rsidRDefault="008B747E">
      <w:pPr>
        <w:pStyle w:val="a3"/>
        <w:spacing w:before="0" w:beforeAutospacing="0" w:after="0" w:afterAutospacing="0"/>
        <w:ind w:firstLine="720"/>
        <w:divId w:val="1432818264"/>
        <w:rPr>
          <w:sz w:val="20"/>
          <w:szCs w:val="20"/>
        </w:rPr>
      </w:pPr>
      <w:r>
        <w:rPr>
          <w:sz w:val="20"/>
          <w:szCs w:val="20"/>
        </w:rPr>
        <w:t>Switzerland has adopted similar restrictions. These obligations and restrictions concern, in particular, the consent of the individuals to whom the personal data relate, the information provided to the in</w:t>
      </w:r>
      <w:r>
        <w:rPr>
          <w:sz w:val="20"/>
          <w:szCs w:val="20"/>
        </w:rPr>
        <w:t xml:space="preserve">dividuals, the transfer of personal data out of the European Economic Area (“EEA”) or Switzerland, security breach notifications, security and confidentiality of the personal data, as well as substantial potential fines for breaches of the data protection </w:t>
      </w:r>
      <w:r>
        <w:rPr>
          <w:sz w:val="20"/>
          <w:szCs w:val="20"/>
        </w:rPr>
        <w:t>obligations. Data protection authorities from the different EU Member States may interpret the GDPR and applicable related national laws differently and impose requirements additional to those provided in the GDPR. In addition, guidance on implementation a</w:t>
      </w:r>
      <w:r>
        <w:rPr>
          <w:sz w:val="20"/>
          <w:szCs w:val="20"/>
        </w:rPr>
        <w:t>nd compliance practices may be updated or otherwise revised, which adds to the complexity of processing personal data in the EU. When processing personal data of subjects in the EU, we have to comply with the applicable data protection laws. In particular,</w:t>
      </w:r>
      <w:r>
        <w:rPr>
          <w:sz w:val="20"/>
          <w:szCs w:val="20"/>
        </w:rPr>
        <w:t xml:space="preserve"> as we rely on services providers processing personal data of subjects in the EU, we have to enter into suitable contract terms with such providers and receive sufficient guarantees that such providers meet the requirements of the applicable data protectio</w:t>
      </w:r>
      <w:r>
        <w:rPr>
          <w:sz w:val="20"/>
          <w:szCs w:val="20"/>
        </w:rPr>
        <w:t>n laws, particularly the GDPR which imposes specific and relevant obligations.</w:t>
      </w:r>
    </w:p>
    <w:p w:rsidR="00000000" w:rsidRDefault="008B747E">
      <w:pPr>
        <w:pStyle w:val="a3"/>
        <w:spacing w:before="0" w:beforeAutospacing="0" w:after="0" w:afterAutospacing="0"/>
        <w:ind w:firstLine="720"/>
        <w:divId w:val="1432818264"/>
        <w:rPr>
          <w:sz w:val="20"/>
          <w:szCs w:val="20"/>
        </w:rPr>
      </w:pPr>
      <w:r>
        <w:rPr>
          <w:sz w:val="20"/>
          <w:szCs w:val="20"/>
        </w:rPr>
        <w:t>​</w:t>
      </w:r>
    </w:p>
    <w:p w:rsidR="00000000" w:rsidRDefault="008B747E">
      <w:pPr>
        <w:pStyle w:val="a3"/>
        <w:spacing w:before="0" w:beforeAutospacing="0" w:after="0" w:afterAutospacing="0"/>
        <w:ind w:firstLine="720"/>
        <w:divId w:val="1432818264"/>
        <w:rPr>
          <w:sz w:val="20"/>
          <w:szCs w:val="20"/>
        </w:rPr>
      </w:pPr>
      <w:r>
        <w:rPr>
          <w:sz w:val="20"/>
          <w:szCs w:val="20"/>
        </w:rPr>
        <w:t>Although there are legal mechanisms to allow for the transfer of personal data from the EEA to the US, a decision of the European Court of Justice in the Schrems case (Case C-</w:t>
      </w:r>
      <w:r>
        <w:rPr>
          <w:sz w:val="20"/>
          <w:szCs w:val="20"/>
        </w:rPr>
        <w:t xml:space="preserve">362/14 Maximillian Schrems v. Data Protection Commissioner) that invalidated the safe harbor framework has increased uncertainty around compliance with EU privacy law requirements. As a result of the decision, it was no longer possible to rely on the safe </w:t>
      </w:r>
      <w:r>
        <w:rPr>
          <w:sz w:val="20"/>
          <w:szCs w:val="20"/>
        </w:rPr>
        <w:t>harbor certification as a legal basis for the transfer of personal data from the EU to entities in the US. On February 29, 2016, however, the European Commission announced an agreement with the US Department of Commerce (“DOC”) to replace the invalidated S</w:t>
      </w:r>
      <w:r>
        <w:rPr>
          <w:sz w:val="20"/>
          <w:szCs w:val="20"/>
        </w:rPr>
        <w:t>afe Harbor framework with a new EU-US “Privacy Shield.” On July 12, 2016, the European Commission adopted a decision on the adequacy of the protection provided by the Privacy Shield. The Privacy Shield is intended to address the requirements set out by the</w:t>
      </w:r>
      <w:r>
        <w:rPr>
          <w:sz w:val="20"/>
          <w:szCs w:val="20"/>
        </w:rPr>
        <w:t xml:space="preserve"> European Court of Justice in its ruling by imposing more stringent obligations on companies, providing stronger monitoring and enforcement by the DOC and Federal Trade Commission, and making commitments on the part of public authorities regarding access t</w:t>
      </w:r>
      <w:r>
        <w:rPr>
          <w:sz w:val="20"/>
          <w:szCs w:val="20"/>
        </w:rPr>
        <w:t xml:space="preserve">o information. US companies have been able to certify to the US Department of Commerce their compliance with the privacy principles of the Privacy Shield since August 1, 2016. </w:t>
      </w:r>
    </w:p>
    <w:p w:rsidR="00000000" w:rsidRDefault="008B747E">
      <w:pPr>
        <w:pStyle w:val="a3"/>
        <w:spacing w:before="0" w:beforeAutospacing="0" w:after="0" w:afterAutospacing="0"/>
        <w:ind w:firstLine="720"/>
        <w:divId w:val="1432818264"/>
        <w:rPr>
          <w:sz w:val="20"/>
          <w:szCs w:val="20"/>
        </w:rPr>
      </w:pPr>
      <w:r>
        <w:rPr>
          <w:sz w:val="20"/>
          <w:szCs w:val="20"/>
        </w:rPr>
        <w:t>​</w:t>
      </w:r>
    </w:p>
    <w:p w:rsidR="00000000" w:rsidRDefault="008B747E">
      <w:pPr>
        <w:pStyle w:val="a3"/>
        <w:spacing w:before="0" w:beforeAutospacing="0" w:after="0" w:afterAutospacing="0"/>
        <w:ind w:firstLine="720"/>
        <w:divId w:val="1432818264"/>
        <w:rPr>
          <w:sz w:val="20"/>
          <w:szCs w:val="20"/>
        </w:rPr>
      </w:pPr>
      <w:r>
        <w:rPr>
          <w:sz w:val="20"/>
          <w:szCs w:val="20"/>
        </w:rPr>
        <w:t xml:space="preserve">On September 16, 2016, an Irish privacy advocacy group brought an action for </w:t>
      </w:r>
      <w:r>
        <w:rPr>
          <w:sz w:val="20"/>
          <w:szCs w:val="20"/>
        </w:rPr>
        <w:t>annulment of the European Commission decision on the adequacy of the Privacy Shield before the European Court of Justice (Case T-670/16). In October 2016, a further action for annulment was brought by three French digital rights advocacy groups (Case T-738</w:t>
      </w:r>
      <w:r>
        <w:rPr>
          <w:sz w:val="20"/>
          <w:szCs w:val="20"/>
        </w:rPr>
        <w:t>/16). Case T-670/16 was declared inadmissible and Case T-738/16 is still pending before the European Court of Justice. The US was admitted as an intervener in the action on September 4, 2018. If the European Court of Justice invalidates the Privacy Shield,</w:t>
      </w:r>
      <w:r>
        <w:rPr>
          <w:sz w:val="20"/>
          <w:szCs w:val="20"/>
        </w:rPr>
        <w:t xml:space="preserve"> it will no longer be possible to rely on the Privacy Shield certification to support transfer of personal data from the </w:t>
      </w:r>
    </w:p>
    <w:p w:rsidR="00000000" w:rsidRDefault="008B747E">
      <w:pPr>
        <w:pStyle w:val="a3"/>
        <w:spacing w:before="360" w:beforeAutospacing="0" w:after="0" w:afterAutospacing="0"/>
        <w:jc w:val="center"/>
        <w:divId w:val="1279920241"/>
        <w:rPr>
          <w:sz w:val="20"/>
          <w:szCs w:val="20"/>
        </w:rPr>
      </w:pPr>
      <w:r>
        <w:rPr>
          <w:sz w:val="20"/>
          <w:szCs w:val="20"/>
        </w:rPr>
        <w:t>55</w:t>
      </w:r>
    </w:p>
    <w:p w:rsidR="00000000" w:rsidRDefault="008B747E">
      <w:pPr>
        <w:pStyle w:val="a3"/>
        <w:spacing w:before="0" w:beforeAutospacing="0" w:after="600" w:afterAutospacing="0"/>
        <w:divId w:val="1729037745"/>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617639648"/>
        <w:rPr>
          <w:sz w:val="20"/>
          <w:szCs w:val="20"/>
        </w:rPr>
      </w:pPr>
      <w:r>
        <w:rPr>
          <w:sz w:val="20"/>
          <w:szCs w:val="20"/>
        </w:rPr>
        <w:t>EU to entities in the US. Adherence to the Privacy Shield is not, however, mandatory. U</w:t>
      </w:r>
      <w:r>
        <w:rPr>
          <w:sz w:val="20"/>
          <w:szCs w:val="20"/>
        </w:rPr>
        <w:t>S-based companies are permitted to rely either on their adherence to the Privacy Shield or on the other authorized means and procedures to transfer personal data provided by the GDPR. If we or our vendors fail to comply with applicable data privacy laws, o</w:t>
      </w:r>
      <w:r>
        <w:rPr>
          <w:sz w:val="20"/>
          <w:szCs w:val="20"/>
        </w:rPr>
        <w:t>r if the legal mechanisms we or our vendors rely upon to allow for the transfer of personal data from the EEA or Switzerland to the US (or other countries not considered by the European Commission to provide an adequate level of data protection) are not co</w:t>
      </w:r>
      <w:r>
        <w:rPr>
          <w:sz w:val="20"/>
          <w:szCs w:val="20"/>
        </w:rPr>
        <w:t>nsidered adequate, we could be subject to government enforcement actions and significant penalties against us, and our business could be adversely impacted if our ability to transfer personal data outside of the EEA or Switzerland is restricted, which coul</w:t>
      </w:r>
      <w:r>
        <w:rPr>
          <w:sz w:val="20"/>
          <w:szCs w:val="20"/>
        </w:rPr>
        <w:t xml:space="preserve">d adversely impact our operating results. </w:t>
      </w:r>
    </w:p>
    <w:p w:rsidR="00000000" w:rsidRDefault="008B747E">
      <w:pPr>
        <w:pStyle w:val="a3"/>
        <w:spacing w:before="0" w:beforeAutospacing="0" w:after="0" w:afterAutospacing="0"/>
        <w:divId w:val="617639648"/>
        <w:rPr>
          <w:sz w:val="20"/>
          <w:szCs w:val="20"/>
        </w:rPr>
      </w:pPr>
      <w:r>
        <w:rPr>
          <w:sz w:val="20"/>
          <w:szCs w:val="20"/>
        </w:rPr>
        <w:t>​</w:t>
      </w:r>
    </w:p>
    <w:p w:rsidR="00000000" w:rsidRDefault="008B747E">
      <w:pPr>
        <w:pStyle w:val="a3"/>
        <w:spacing w:before="0" w:beforeAutospacing="0" w:after="120" w:afterAutospacing="0"/>
        <w:divId w:val="617639648"/>
        <w:rPr>
          <w:rFonts w:ascii="Times" w:hAnsi="Times"/>
          <w:b/>
          <w:bCs/>
          <w:i/>
          <w:iCs/>
          <w:sz w:val="20"/>
          <w:szCs w:val="20"/>
        </w:rPr>
      </w:pPr>
      <w:r>
        <w:rPr>
          <w:rFonts w:ascii="Times" w:hAnsi="Times"/>
          <w:b/>
          <w:bCs/>
          <w:i/>
          <w:iCs/>
          <w:sz w:val="20"/>
          <w:szCs w:val="20"/>
        </w:rPr>
        <w:t>Changes in healthcare law and implementing regulations, including government restrictions on pricing and reimbursement, as well as healthcare policy and other healthcare payor cost-containment initiatives, may n</w:t>
      </w:r>
      <w:r>
        <w:rPr>
          <w:rFonts w:ascii="Times" w:hAnsi="Times"/>
          <w:b/>
          <w:bCs/>
          <w:i/>
          <w:iCs/>
          <w:sz w:val="20"/>
          <w:szCs w:val="20"/>
        </w:rPr>
        <w:t>egatively impact us, our collaboration partners, or those commercializing products with respect to which we have an economic interest or right to receive royalties.</w:t>
      </w:r>
      <w:r>
        <w:rPr>
          <w:rFonts w:ascii="Times" w:hAnsi="Times"/>
          <w:b/>
          <w:bCs/>
          <w:i/>
          <w:iCs/>
          <w:sz w:val="20"/>
          <w:szCs w:val="20"/>
        </w:rPr>
        <w:t xml:space="preserve"> </w:t>
      </w:r>
    </w:p>
    <w:p w:rsidR="00000000" w:rsidRDefault="008B747E">
      <w:pPr>
        <w:pStyle w:val="a3"/>
        <w:spacing w:before="0" w:beforeAutospacing="0" w:after="0" w:afterAutospacing="0"/>
        <w:ind w:firstLine="720"/>
        <w:divId w:val="617639648"/>
        <w:rPr>
          <w:rFonts w:ascii="Times" w:hAnsi="Times"/>
          <w:sz w:val="20"/>
          <w:szCs w:val="20"/>
        </w:rPr>
      </w:pPr>
      <w:r>
        <w:rPr>
          <w:rFonts w:ascii="Times" w:hAnsi="Times"/>
          <w:sz w:val="20"/>
          <w:szCs w:val="20"/>
        </w:rPr>
        <w:t xml:space="preserve">The continuing efforts of the government, insurance companies, managed care organizations </w:t>
      </w:r>
      <w:r>
        <w:rPr>
          <w:rFonts w:ascii="Times" w:hAnsi="Times"/>
          <w:sz w:val="20"/>
          <w:szCs w:val="20"/>
        </w:rPr>
        <w:t>and other payors of health care costs to contain or reduce costs of health care may adversely affect us, our collaboration partners, or those commercializing products with respect to which we have an economic interest or right to receive royalties in regar</w:t>
      </w:r>
      <w:r>
        <w:rPr>
          <w:rFonts w:ascii="Times" w:hAnsi="Times"/>
          <w:sz w:val="20"/>
          <w:szCs w:val="20"/>
        </w:rPr>
        <w:t>d to one or more of the following:</w:t>
      </w:r>
    </w:p>
    <w:p w:rsidR="00000000" w:rsidRDefault="008B747E">
      <w:pPr>
        <w:pStyle w:val="a3"/>
        <w:spacing w:before="0" w:beforeAutospacing="0" w:after="0" w:afterAutospacing="0"/>
        <w:ind w:firstLine="720"/>
        <w:divId w:val="617639648"/>
        <w:rPr>
          <w:rFonts w:ascii="Times" w:hAnsi="Times"/>
          <w:sz w:val="20"/>
          <w:szCs w:val="20"/>
        </w:rPr>
      </w:pPr>
      <w:r>
        <w:rPr>
          <w:rFonts w:ascii="Times" w:hAnsi="Time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17639648"/>
        </w:trPr>
        <w:tc>
          <w:tcPr>
            <w:tcW w:w="720" w:type="dxa"/>
            <w:vAlign w:val="center"/>
            <w:hideMark/>
          </w:tcPr>
          <w:p w:rsidR="00000000" w:rsidRDefault="008B747E">
            <w:pPr>
              <w:rPr>
                <w:rFonts w:ascii="Times" w:hAnsi="Times"/>
                <w:sz w:val="20"/>
                <w:szCs w:val="20"/>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the ability to set and collect a price believed to be reasonable for products;</w:t>
            </w:r>
            <w:r>
              <w:rPr>
                <w:rFonts w:ascii="Times" w:eastAsia="Times New Roman" w:hAnsi="Times"/>
                <w:color w:val="000000"/>
                <w:sz w:val="20"/>
                <w:szCs w:val="20"/>
              </w:rPr>
              <w:t xml:space="preserve"> </w:t>
            </w:r>
          </w:p>
        </w:tc>
      </w:tr>
    </w:tbl>
    <w:p w:rsidR="00000000" w:rsidRDefault="008B747E">
      <w:pPr>
        <w:divId w:val="61763964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17639648"/>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the ability to generate revenues and achieve profitability; and</w:t>
            </w:r>
            <w:r>
              <w:rPr>
                <w:rFonts w:ascii="Times" w:eastAsia="Times New Roman" w:hAnsi="Times"/>
                <w:color w:val="000000"/>
                <w:sz w:val="20"/>
                <w:szCs w:val="20"/>
              </w:rPr>
              <w:t xml:space="preserve"> </w:t>
            </w:r>
          </w:p>
        </w:tc>
      </w:tr>
    </w:tbl>
    <w:p w:rsidR="00000000" w:rsidRDefault="008B747E">
      <w:pPr>
        <w:divId w:val="617639648"/>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617639648"/>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rPr>
                <w:rFonts w:ascii="Times" w:eastAsia="Times New Roman" w:hAnsi="Times"/>
                <w:sz w:val="20"/>
                <w:szCs w:val="20"/>
              </w:rPr>
            </w:pPr>
            <w:r>
              <w:rPr>
                <w:rFonts w:ascii="Times" w:eastAsia="Times New Roman" w:hAnsi="Times"/>
                <w:color w:val="000000"/>
                <w:sz w:val="20"/>
                <w:szCs w:val="20"/>
              </w:rPr>
              <w:t>the availability of capital.</w:t>
            </w:r>
            <w:r>
              <w:rPr>
                <w:rFonts w:ascii="Times" w:eastAsia="Times New Roman" w:hAnsi="Times"/>
                <w:color w:val="000000"/>
                <w:sz w:val="20"/>
                <w:szCs w:val="20"/>
              </w:rPr>
              <w:t xml:space="preserve"> </w:t>
            </w:r>
          </w:p>
        </w:tc>
      </w:tr>
    </w:tbl>
    <w:p w:rsidR="00000000" w:rsidRDefault="008B747E">
      <w:pPr>
        <w:pStyle w:val="a3"/>
        <w:spacing w:before="0" w:beforeAutospacing="0" w:after="0" w:afterAutospacing="0"/>
        <w:ind w:firstLine="720"/>
        <w:divId w:val="617639648"/>
        <w:rPr>
          <w:rFonts w:ascii="Times" w:hAnsi="Times"/>
          <w:sz w:val="20"/>
          <w:szCs w:val="20"/>
        </w:rPr>
      </w:pPr>
      <w:r>
        <w:rPr>
          <w:rFonts w:ascii="Times" w:hAnsi="Times"/>
          <w:sz w:val="20"/>
          <w:szCs w:val="20"/>
        </w:rPr>
        <w:t>The pricing and reimbursement environment for products may change in the future and become more challenging due to, among other reasons, policies advanced by the current or new presidential administrations, federal agencies, new healthcare legislation pass</w:t>
      </w:r>
      <w:r>
        <w:rPr>
          <w:rFonts w:ascii="Times" w:hAnsi="Times"/>
          <w:sz w:val="20"/>
          <w:szCs w:val="20"/>
        </w:rPr>
        <w:t xml:space="preserve">ed by Congress or fiscal challenges faced by all levels of government health administration authorities. Among policy makers and payors in the US and elsewhere, there is significant interest in promoting changes in healthcare systems with the stated goals </w:t>
      </w:r>
      <w:r>
        <w:rPr>
          <w:rFonts w:ascii="Times" w:hAnsi="Times"/>
          <w:sz w:val="20"/>
          <w:szCs w:val="20"/>
        </w:rPr>
        <w:t>of containing healthcare costs, improving quality and expanding access to healthcare. In the US, the pharmaceutical industry has been a particular focus of these efforts and has been and may in the future be significantly affected by major legislative init</w:t>
      </w:r>
      <w:r>
        <w:rPr>
          <w:rFonts w:ascii="Times" w:hAnsi="Times"/>
          <w:sz w:val="20"/>
          <w:szCs w:val="20"/>
        </w:rPr>
        <w:t>iatives. For instance, in the fourth quarter of 2018, the Centers for Medicare</w:t>
      </w:r>
      <w:r>
        <w:rPr>
          <w:rFonts w:ascii="Times" w:hAnsi="Times"/>
          <w:sz w:val="20"/>
          <w:szCs w:val="20"/>
        </w:rPr>
        <w:t xml:space="preserve"> </w:t>
      </w:r>
      <w:r>
        <w:rPr>
          <w:rFonts w:ascii="Times" w:hAnsi="Times"/>
          <w:sz w:val="20"/>
          <w:szCs w:val="20"/>
        </w:rPr>
        <w:t>&amp;</w:t>
      </w:r>
      <w:r>
        <w:rPr>
          <w:rFonts w:ascii="Times" w:hAnsi="Times"/>
          <w:sz w:val="20"/>
          <w:szCs w:val="20"/>
        </w:rPr>
        <w:t xml:space="preserve"> </w:t>
      </w:r>
      <w:r>
        <w:rPr>
          <w:rFonts w:ascii="Times" w:hAnsi="Times"/>
          <w:sz w:val="20"/>
          <w:szCs w:val="20"/>
        </w:rPr>
        <w:t xml:space="preserve">Medicaid Services (“CMS”), the federal agency that administers the Medicare and Medicaid programs, released an advance notice of proposed rule-making to solicit feedback on a </w:t>
      </w:r>
      <w:r>
        <w:rPr>
          <w:rFonts w:ascii="Times" w:hAnsi="Times"/>
          <w:sz w:val="20"/>
          <w:szCs w:val="20"/>
        </w:rPr>
        <w:t xml:space="preserve">potential change in the way Medicare Part B pays for certain physician-administered drugs. Under Part B’s current reimbursement policy, Medicare pays providers the average sales price of the drug plus 6% (reduced to 4.3% as a result of sequestration). CMS </w:t>
      </w:r>
      <w:r>
        <w:rPr>
          <w:rFonts w:ascii="Times" w:hAnsi="Times"/>
          <w:sz w:val="20"/>
          <w:szCs w:val="20"/>
        </w:rPr>
        <w:t>is considering a proposal that would more closely align payment for these drugs with prices in certain countries (such as Canada, the United Kingdom, Japan, and Germany), allow private-sector vendors to negotiate prices, and pay providers a flat add-on pay</w:t>
      </w:r>
      <w:r>
        <w:rPr>
          <w:rFonts w:ascii="Times" w:hAnsi="Times"/>
          <w:sz w:val="20"/>
          <w:szCs w:val="20"/>
        </w:rPr>
        <w:t>ment not tied to the price of the drug. We expect we, our collaboration partners or those commercializing products with respect to which we have an economic interest or right to receive royalties may experience pricing pressures in connection with the sale</w:t>
      </w:r>
      <w:r>
        <w:rPr>
          <w:rFonts w:ascii="Times" w:hAnsi="Times"/>
          <w:sz w:val="20"/>
          <w:szCs w:val="20"/>
        </w:rPr>
        <w:t xml:space="preserve"> of drug products, due to the trend toward managed healthcare, the increasing influence of health maintenance organizations and additional legislative enactments.</w:t>
      </w:r>
      <w:r>
        <w:rPr>
          <w:rFonts w:ascii="Times" w:hAnsi="Times"/>
          <w:sz w:val="20"/>
          <w:szCs w:val="20"/>
        </w:rPr>
        <w:t xml:space="preserve"> </w:t>
      </w:r>
    </w:p>
    <w:p w:rsidR="00000000" w:rsidRDefault="008B747E">
      <w:pPr>
        <w:pStyle w:val="a3"/>
        <w:spacing w:before="0" w:beforeAutospacing="0" w:after="0" w:afterAutospacing="0"/>
        <w:ind w:firstLine="720"/>
        <w:divId w:val="617639648"/>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617639648"/>
        <w:rPr>
          <w:rFonts w:ascii="Times" w:hAnsi="Times"/>
          <w:sz w:val="20"/>
          <w:szCs w:val="20"/>
        </w:rPr>
      </w:pPr>
      <w:r>
        <w:rPr>
          <w:rFonts w:ascii="Times" w:hAnsi="Times"/>
          <w:sz w:val="20"/>
          <w:szCs w:val="20"/>
        </w:rPr>
        <w:t>The Patient Protection and Affordable Care Act, as amended by the Health Care and Educatio</w:t>
      </w:r>
      <w:r>
        <w:rPr>
          <w:rFonts w:ascii="Times" w:hAnsi="Times"/>
          <w:sz w:val="20"/>
          <w:szCs w:val="20"/>
        </w:rPr>
        <w:t>n Reconciliation Act of 2010 (together the</w:t>
      </w:r>
      <w:r>
        <w:rPr>
          <w:rFonts w:ascii="Times" w:hAnsi="Times"/>
          <w:sz w:val="20"/>
          <w:szCs w:val="20"/>
        </w:rPr>
        <w:t xml:space="preserve"> </w:t>
      </w:r>
      <w:r>
        <w:rPr>
          <w:rFonts w:ascii="Times" w:hAnsi="Times"/>
          <w:sz w:val="20"/>
          <w:szCs w:val="20"/>
        </w:rPr>
        <w:t>“Healthcare Reform Act”), is a sweeping measure intended to expand healthcare coverage within the US, primarily through the imposition of health insurance mandates on employers and individuals and expansion of the</w:t>
      </w:r>
      <w:r>
        <w:rPr>
          <w:rFonts w:ascii="Times" w:hAnsi="Times"/>
          <w:sz w:val="20"/>
          <w:szCs w:val="20"/>
        </w:rPr>
        <w:t xml:space="preserve"> Medicaid program. This law has substantially changed the way healthcare is financed by both governmental and private insurers, and significantly impacts the pharmaceutical industry. The Healthcare Reform Act contains a number of provisions that impact our</w:t>
      </w:r>
      <w:r>
        <w:rPr>
          <w:rFonts w:ascii="Times" w:hAnsi="Times"/>
          <w:sz w:val="20"/>
          <w:szCs w:val="20"/>
        </w:rPr>
        <w:t xml:space="preserve"> business and operations, including those governing enrollment in federal healthcare programs, reimbursement changes, benefits for patients within a coverage gap in the Medicare Part D prescription drug program (commonly known as the</w:t>
      </w:r>
      <w:r>
        <w:rPr>
          <w:rFonts w:ascii="Times" w:hAnsi="Times"/>
          <w:sz w:val="20"/>
          <w:szCs w:val="20"/>
        </w:rPr>
        <w:t xml:space="preserve"> </w:t>
      </w:r>
      <w:r>
        <w:rPr>
          <w:rFonts w:ascii="Times" w:hAnsi="Times"/>
          <w:sz w:val="20"/>
          <w:szCs w:val="20"/>
        </w:rPr>
        <w:t>“donut hole”), rules r</w:t>
      </w:r>
      <w:r>
        <w:rPr>
          <w:rFonts w:ascii="Times" w:hAnsi="Times"/>
          <w:sz w:val="20"/>
          <w:szCs w:val="20"/>
        </w:rPr>
        <w:t>egarding prescription drug benefits under the health insurance exchanges, changes to the Medicare Drug Rebate program, expansion of the Public Health Service’s 340B drug pricing program, fraud and abuse and enforcement. These changes have impacted previous</w:t>
      </w:r>
      <w:r>
        <w:rPr>
          <w:rFonts w:ascii="Times" w:hAnsi="Times"/>
          <w:sz w:val="20"/>
          <w:szCs w:val="20"/>
        </w:rPr>
        <w:t>ly existing government healthcare programs and have resulted in the</w:t>
      </w:r>
      <w:r>
        <w:rPr>
          <w:rFonts w:ascii="Times" w:hAnsi="Times"/>
          <w:sz w:val="20"/>
          <w:szCs w:val="20"/>
        </w:rPr>
        <w:t xml:space="preserve"> </w:t>
      </w:r>
    </w:p>
    <w:p w:rsidR="00000000" w:rsidRDefault="008B747E">
      <w:pPr>
        <w:pStyle w:val="a3"/>
        <w:spacing w:before="360" w:beforeAutospacing="0" w:after="0" w:afterAutospacing="0"/>
        <w:jc w:val="center"/>
        <w:divId w:val="1009410303"/>
        <w:rPr>
          <w:sz w:val="20"/>
          <w:szCs w:val="20"/>
        </w:rPr>
      </w:pPr>
      <w:r>
        <w:rPr>
          <w:sz w:val="20"/>
          <w:szCs w:val="20"/>
        </w:rPr>
        <w:t>56</w:t>
      </w:r>
    </w:p>
    <w:p w:rsidR="00000000" w:rsidRDefault="008B747E">
      <w:pPr>
        <w:pStyle w:val="a3"/>
        <w:spacing w:before="0" w:beforeAutospacing="0" w:after="600" w:afterAutospacing="0"/>
        <w:divId w:val="435714184"/>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885800166"/>
        <w:rPr>
          <w:rFonts w:ascii="Times" w:hAnsi="Times"/>
          <w:sz w:val="20"/>
          <w:szCs w:val="20"/>
        </w:rPr>
      </w:pPr>
      <w:r>
        <w:rPr>
          <w:rFonts w:ascii="Times" w:hAnsi="Times"/>
          <w:sz w:val="20"/>
          <w:szCs w:val="20"/>
        </w:rPr>
        <w:t>development of new programs, including Medicare payment for performance initiatives and improvements to the physician quality reporting syst</w:t>
      </w:r>
      <w:r>
        <w:rPr>
          <w:rFonts w:ascii="Times" w:hAnsi="Times"/>
          <w:sz w:val="20"/>
          <w:szCs w:val="20"/>
        </w:rPr>
        <w:t>em and feedback program.</w:t>
      </w:r>
      <w:r>
        <w:rPr>
          <w:rFonts w:ascii="Times" w:hAnsi="Times"/>
          <w:sz w:val="20"/>
          <w:szCs w:val="20"/>
        </w:rPr>
        <w:t xml:space="preserve"> </w:t>
      </w:r>
    </w:p>
    <w:p w:rsidR="00000000" w:rsidRDefault="008B747E">
      <w:pPr>
        <w:pStyle w:val="a3"/>
        <w:spacing w:before="0" w:beforeAutospacing="0" w:after="0" w:afterAutospacing="0"/>
        <w:ind w:firstLine="720"/>
        <w:divId w:val="885800166"/>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885800166"/>
        <w:rPr>
          <w:rFonts w:ascii="Times" w:hAnsi="Times"/>
          <w:sz w:val="20"/>
          <w:szCs w:val="20"/>
        </w:rPr>
      </w:pPr>
      <w:r>
        <w:rPr>
          <w:rFonts w:ascii="Times" w:hAnsi="Times"/>
          <w:sz w:val="20"/>
          <w:szCs w:val="20"/>
        </w:rPr>
        <w:t>In particular, CMS issued final regulations to implement the changes to the Medicaid Drug Rebate program under the Healthcare Reform Act. These regulations became effective on April 1, 2016. Congress could enact additional legislation that further increase</w:t>
      </w:r>
      <w:r>
        <w:rPr>
          <w:rFonts w:ascii="Times" w:hAnsi="Times"/>
          <w:sz w:val="20"/>
          <w:szCs w:val="20"/>
        </w:rPr>
        <w:t>s Medicaid drug rebates or other costs and charges associated with participating in the Medicaid Drug Rebate program. The issuance of regulations and coverage expansion by various governmental agencies relating to the Medicaid Drug Rebate program has and w</w:t>
      </w:r>
      <w:r>
        <w:rPr>
          <w:rFonts w:ascii="Times" w:hAnsi="Times"/>
          <w:sz w:val="20"/>
          <w:szCs w:val="20"/>
        </w:rPr>
        <w:t>ill continue to increase the costs and the complexity of compliance, has been and will be time-consuming, and could have a material adverse effect on results of operations for us, our collaboration partners, or those commercializing products with respect t</w:t>
      </w:r>
      <w:r>
        <w:rPr>
          <w:rFonts w:ascii="Times" w:hAnsi="Times"/>
          <w:sz w:val="20"/>
          <w:szCs w:val="20"/>
        </w:rPr>
        <w:t>o which we have an economic interest or right to receive royalties.</w:t>
      </w:r>
      <w:r>
        <w:rPr>
          <w:rFonts w:ascii="Times" w:hAnsi="Times"/>
          <w:sz w:val="20"/>
          <w:szCs w:val="20"/>
        </w:rPr>
        <w:t xml:space="preserve"> </w:t>
      </w:r>
    </w:p>
    <w:p w:rsidR="00000000" w:rsidRDefault="008B747E">
      <w:pPr>
        <w:pStyle w:val="a3"/>
        <w:spacing w:before="0" w:beforeAutospacing="0" w:after="0" w:afterAutospacing="0"/>
        <w:ind w:firstLine="720"/>
        <w:divId w:val="885800166"/>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885800166"/>
        <w:rPr>
          <w:rFonts w:ascii="Times" w:hAnsi="Times"/>
          <w:sz w:val="20"/>
          <w:szCs w:val="20"/>
        </w:rPr>
      </w:pPr>
      <w:r>
        <w:rPr>
          <w:rFonts w:ascii="Times" w:hAnsi="Times"/>
          <w:sz w:val="20"/>
          <w:szCs w:val="20"/>
        </w:rPr>
        <w:t>Some states have elected not to expand their Medicaid programs by raising the income limit to 133% of the federal poverty level, as is permitted under the Healthcare Reform Act. For eac</w:t>
      </w:r>
      <w:r>
        <w:rPr>
          <w:rFonts w:ascii="Times" w:hAnsi="Times"/>
          <w:sz w:val="20"/>
          <w:szCs w:val="20"/>
        </w:rPr>
        <w:t>h state that does not choose to expand its Medicaid program, there may be fewer insured patients overall, which could impact the sales, business and financial condition of us, our collaboration partners, or those commercializing products with respect to wh</w:t>
      </w:r>
      <w:r>
        <w:rPr>
          <w:rFonts w:ascii="Times" w:hAnsi="Times"/>
          <w:sz w:val="20"/>
          <w:szCs w:val="20"/>
        </w:rPr>
        <w:t>ich we have an economic interest or right to receive royalties. Where Medicaid patients receive insurance coverage under any of the new options made available through the Healthcare Reform Act, manufacturers may be required to pay Medicaid rebates on drugs</w:t>
      </w:r>
      <w:r>
        <w:rPr>
          <w:rFonts w:ascii="Times" w:hAnsi="Times"/>
          <w:sz w:val="20"/>
          <w:szCs w:val="20"/>
        </w:rPr>
        <w:t xml:space="preserve"> used under these circumstances, which could impact manufacturer revenues. In addition, there have been delays in the implementation of key provisions of the Healthcare Reform Act.</w:t>
      </w:r>
      <w:r>
        <w:rPr>
          <w:rFonts w:ascii="Times" w:hAnsi="Times"/>
          <w:sz w:val="20"/>
          <w:szCs w:val="20"/>
        </w:rPr>
        <w:t xml:space="preserve"> </w:t>
      </w:r>
    </w:p>
    <w:p w:rsidR="00000000" w:rsidRDefault="008B747E">
      <w:pPr>
        <w:pStyle w:val="a3"/>
        <w:spacing w:before="0" w:beforeAutospacing="0" w:after="0" w:afterAutospacing="0"/>
        <w:ind w:firstLine="720"/>
        <w:divId w:val="885800166"/>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885800166"/>
        <w:rPr>
          <w:rFonts w:ascii="Times" w:hAnsi="Times"/>
          <w:sz w:val="20"/>
          <w:szCs w:val="20"/>
        </w:rPr>
      </w:pPr>
      <w:r>
        <w:rPr>
          <w:rFonts w:ascii="Times" w:hAnsi="Times"/>
          <w:sz w:val="20"/>
          <w:szCs w:val="20"/>
        </w:rPr>
        <w:t>Moreover, certain legislative changes to and regulatory changes under th</w:t>
      </w:r>
      <w:r>
        <w:rPr>
          <w:rFonts w:ascii="Times" w:hAnsi="Times"/>
          <w:sz w:val="20"/>
          <w:szCs w:val="20"/>
        </w:rPr>
        <w:t>e Healthcare Reform Act have occurred in the 115th US Congress and under the Trump Administration. For example, the Tax Cuts and Jobs Act enacted on December 22, 2017, eliminated the shared responsibility payment for individuals who fail to maintain minimu</w:t>
      </w:r>
      <w:r>
        <w:rPr>
          <w:rFonts w:ascii="Times" w:hAnsi="Times"/>
          <w:sz w:val="20"/>
          <w:szCs w:val="20"/>
        </w:rPr>
        <w:t>m essential coverage under section 5000A of the Internal Revenue Code of 1986, commonly referred to as the individual mandate, effective January 1, 2019. Additional legislative changes to and regulatory changes under the Healthcare Reform Act remain possib</w:t>
      </w:r>
      <w:r>
        <w:rPr>
          <w:rFonts w:ascii="Times" w:hAnsi="Times"/>
          <w:sz w:val="20"/>
          <w:szCs w:val="20"/>
        </w:rPr>
        <w:t>le, but the nature and extent of such potential additional changes are uncertain at this tim</w:t>
      </w:r>
      <w:r>
        <w:rPr>
          <w:rFonts w:ascii="Times" w:hAnsi="Times"/>
          <w:sz w:val="20"/>
          <w:szCs w:val="20"/>
        </w:rPr>
        <w:t>e</w:t>
      </w:r>
      <w:r>
        <w:rPr>
          <w:rFonts w:ascii="Times" w:hAnsi="Times"/>
          <w:sz w:val="20"/>
          <w:szCs w:val="20"/>
        </w:rPr>
        <w:t>. We expect that the Healthcare Reform Act, as currently enacted or as it may be amended in the future, and other healthcare reform measures that may be adopted in</w:t>
      </w:r>
      <w:r>
        <w:rPr>
          <w:rFonts w:ascii="Times" w:hAnsi="Times"/>
          <w:sz w:val="20"/>
          <w:szCs w:val="20"/>
        </w:rPr>
        <w:t xml:space="preserve"> the future, could have a material adverse effect on our industry generally and on the ability of us, our collaboration partners, or those commercializing products with respect to which we have an economic interest or right to receive royalties to maintain</w:t>
      </w:r>
      <w:r>
        <w:rPr>
          <w:rFonts w:ascii="Times" w:hAnsi="Times"/>
          <w:sz w:val="20"/>
          <w:szCs w:val="20"/>
        </w:rPr>
        <w:t xml:space="preserve"> or increase sales of existing products or to successfully commercialize product candidates, if approved.</w:t>
      </w:r>
      <w:r>
        <w:rPr>
          <w:rFonts w:ascii="Times" w:hAnsi="Times"/>
          <w:sz w:val="20"/>
          <w:szCs w:val="20"/>
        </w:rPr>
        <w:t xml:space="preserve"> </w:t>
      </w:r>
    </w:p>
    <w:p w:rsidR="00000000" w:rsidRDefault="008B747E">
      <w:pPr>
        <w:pStyle w:val="a3"/>
        <w:spacing w:before="0" w:beforeAutospacing="0" w:after="0" w:afterAutospacing="0"/>
        <w:ind w:firstLine="720"/>
        <w:divId w:val="885800166"/>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885800166"/>
        <w:rPr>
          <w:rFonts w:ascii="Times" w:hAnsi="Times"/>
          <w:sz w:val="20"/>
          <w:szCs w:val="20"/>
        </w:rPr>
      </w:pPr>
      <w:r>
        <w:rPr>
          <w:rFonts w:ascii="Times" w:hAnsi="Times"/>
          <w:sz w:val="20"/>
          <w:szCs w:val="20"/>
        </w:rPr>
        <w:t>In addition, there have been proposals to impose federal rebates on Medicare Part D drugs, requiring federally-mandated rebates on all drugs dispen</w:t>
      </w:r>
      <w:r>
        <w:rPr>
          <w:rFonts w:ascii="Times" w:hAnsi="Times"/>
          <w:sz w:val="20"/>
          <w:szCs w:val="20"/>
        </w:rPr>
        <w:t>sed to Medicare Part D enrollees or on only those drugs dispensed to certain groups of lower income beneficiaries. If any of these proposals are adopted and result in additional rebates, this could have a negative impact on revenues for our collaboration p</w:t>
      </w:r>
      <w:r>
        <w:rPr>
          <w:rFonts w:ascii="Times" w:hAnsi="Times"/>
          <w:sz w:val="20"/>
          <w:szCs w:val="20"/>
        </w:rPr>
        <w:t>artners, or those commercializing products with respect to which we have an economic interest or right to receive royalties, which could impact our revenues.</w:t>
      </w:r>
      <w:r>
        <w:rPr>
          <w:rFonts w:ascii="Times" w:hAnsi="Times"/>
          <w:sz w:val="20"/>
          <w:szCs w:val="20"/>
        </w:rPr>
        <w:t xml:space="preserve"> </w:t>
      </w:r>
    </w:p>
    <w:p w:rsidR="00000000" w:rsidRDefault="008B747E">
      <w:pPr>
        <w:pStyle w:val="a3"/>
        <w:spacing w:before="0" w:beforeAutospacing="0" w:after="0" w:afterAutospacing="0"/>
        <w:ind w:firstLine="720"/>
        <w:divId w:val="885800166"/>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885800166"/>
        <w:rPr>
          <w:rFonts w:ascii="Times" w:hAnsi="Times"/>
          <w:sz w:val="20"/>
          <w:szCs w:val="20"/>
        </w:rPr>
      </w:pPr>
      <w:r>
        <w:rPr>
          <w:rFonts w:ascii="Times" w:hAnsi="Times"/>
          <w:sz w:val="20"/>
          <w:szCs w:val="20"/>
        </w:rPr>
        <w:t>Beginning on April 1, 2013, Medicare payments for all items and services under Part A and B, in</w:t>
      </w:r>
      <w:r>
        <w:rPr>
          <w:rFonts w:ascii="Times" w:hAnsi="Times"/>
          <w:sz w:val="20"/>
          <w:szCs w:val="20"/>
        </w:rPr>
        <w:t>cluding drugs and biologicals, were reduced by 2% under the sequestration (i.e., automatic spending reductions) as required by federal law, which requires sequestration for most federal programs, excluding Medicaid, Social Security, and certain other progr</w:t>
      </w:r>
      <w:r>
        <w:rPr>
          <w:rFonts w:ascii="Times" w:hAnsi="Times"/>
          <w:sz w:val="20"/>
          <w:szCs w:val="20"/>
        </w:rPr>
        <w:t>ams. The law caps the cuts to Medicare payments for items and services at 2% and this will continue to 2027. As long as these cuts remain in effect, they could adversely impact payment for any products that are reimbursed under Medicare. We expect that add</w:t>
      </w:r>
      <w:r>
        <w:rPr>
          <w:rFonts w:ascii="Times" w:hAnsi="Times"/>
          <w:sz w:val="20"/>
          <w:szCs w:val="20"/>
        </w:rPr>
        <w:t>itional state and federal healthcare reform measures will be adopted in the future, any of which could limit the amounts that federal and state governments will pay for healthcare products and services, which could result in reduced demand for product or a</w:t>
      </w:r>
      <w:r>
        <w:rPr>
          <w:rFonts w:ascii="Times" w:hAnsi="Times"/>
          <w:sz w:val="20"/>
          <w:szCs w:val="20"/>
        </w:rPr>
        <w:t>dditional pricing pressures for our collaboration partners, or those commercializing products with respect to which we have an economic interest or right to receive royalties, which could impact our revenues.</w:t>
      </w:r>
      <w:r>
        <w:rPr>
          <w:rFonts w:ascii="Times" w:hAnsi="Times"/>
          <w:sz w:val="20"/>
          <w:szCs w:val="20"/>
        </w:rPr>
        <w:t xml:space="preserve"> </w:t>
      </w:r>
    </w:p>
    <w:p w:rsidR="00000000" w:rsidRDefault="008B747E">
      <w:pPr>
        <w:pStyle w:val="a3"/>
        <w:spacing w:before="0" w:beforeAutospacing="0" w:after="0" w:afterAutospacing="0"/>
        <w:divId w:val="885800166"/>
        <w:rPr>
          <w:sz w:val="20"/>
          <w:szCs w:val="20"/>
        </w:rPr>
      </w:pPr>
      <w:r>
        <w:rPr>
          <w:sz w:val="20"/>
          <w:szCs w:val="20"/>
        </w:rPr>
        <w:t>​</w:t>
      </w:r>
    </w:p>
    <w:p w:rsidR="00000000" w:rsidRDefault="008B747E">
      <w:pPr>
        <w:pStyle w:val="a3"/>
        <w:spacing w:before="0" w:beforeAutospacing="0" w:after="120" w:afterAutospacing="0"/>
        <w:divId w:val="885800166"/>
        <w:rPr>
          <w:rFonts w:ascii="Times" w:hAnsi="Times"/>
          <w:b/>
          <w:bCs/>
          <w:i/>
          <w:iCs/>
          <w:sz w:val="20"/>
          <w:szCs w:val="20"/>
        </w:rPr>
      </w:pPr>
      <w:r>
        <w:rPr>
          <w:rFonts w:ascii="Times" w:hAnsi="Times"/>
          <w:b/>
          <w:bCs/>
          <w:i/>
          <w:iCs/>
          <w:sz w:val="20"/>
          <w:szCs w:val="20"/>
        </w:rPr>
        <w:t>If we failed to comply with our reporting an</w:t>
      </w:r>
      <w:r>
        <w:rPr>
          <w:rFonts w:ascii="Times" w:hAnsi="Times"/>
          <w:b/>
          <w:bCs/>
          <w:i/>
          <w:iCs/>
          <w:sz w:val="20"/>
          <w:szCs w:val="20"/>
        </w:rPr>
        <w:t>d payment obligations under the Medicaid Drug Rebate program or other governmental pricing programs, we could be subject to additional reimbursement requirements, penalties, sanctions and fines, which could have a material adverse effect on our business, f</w:t>
      </w:r>
      <w:r>
        <w:rPr>
          <w:rFonts w:ascii="Times" w:hAnsi="Times"/>
          <w:b/>
          <w:bCs/>
          <w:i/>
          <w:iCs/>
          <w:sz w:val="20"/>
          <w:szCs w:val="20"/>
        </w:rPr>
        <w:t>inancial condition, results of operations and growth prospects.</w:t>
      </w:r>
      <w:r>
        <w:rPr>
          <w:rFonts w:ascii="Times" w:hAnsi="Times"/>
          <w:b/>
          <w:bCs/>
          <w:i/>
          <w:iCs/>
          <w:sz w:val="20"/>
          <w:szCs w:val="20"/>
        </w:rPr>
        <w:t xml:space="preserve"> </w:t>
      </w:r>
    </w:p>
    <w:p w:rsidR="00000000" w:rsidRDefault="008B747E">
      <w:pPr>
        <w:pStyle w:val="a3"/>
        <w:spacing w:before="0" w:beforeAutospacing="0" w:after="0" w:afterAutospacing="0"/>
        <w:ind w:firstLine="720"/>
        <w:divId w:val="885800166"/>
        <w:rPr>
          <w:sz w:val="20"/>
          <w:szCs w:val="20"/>
        </w:rPr>
      </w:pPr>
      <w:r>
        <w:rPr>
          <w:sz w:val="20"/>
          <w:szCs w:val="20"/>
        </w:rPr>
        <w:t>Prior to the sale of VIBATIV to Cumberland, we had certain price reporting obligations to the Medicaid Drug Rebate program and other governmental pricing programs, and we had obligations to r</w:t>
      </w:r>
      <w:r>
        <w:rPr>
          <w:sz w:val="20"/>
          <w:szCs w:val="20"/>
        </w:rPr>
        <w:t xml:space="preserve">eport average sales price under the Medicare program. Following the consummation of the transaction with Cumberland, our price reporting obligations related </w:t>
      </w:r>
    </w:p>
    <w:p w:rsidR="00000000" w:rsidRDefault="008B747E">
      <w:pPr>
        <w:pStyle w:val="a3"/>
        <w:spacing w:before="360" w:beforeAutospacing="0" w:after="0" w:afterAutospacing="0"/>
        <w:jc w:val="center"/>
        <w:divId w:val="1751538237"/>
        <w:rPr>
          <w:sz w:val="20"/>
          <w:szCs w:val="20"/>
        </w:rPr>
      </w:pPr>
      <w:r>
        <w:rPr>
          <w:sz w:val="20"/>
          <w:szCs w:val="20"/>
        </w:rPr>
        <w:t>57</w:t>
      </w:r>
    </w:p>
    <w:p w:rsidR="00000000" w:rsidRDefault="008B747E">
      <w:pPr>
        <w:pStyle w:val="a3"/>
        <w:spacing w:before="0" w:beforeAutospacing="0" w:after="600" w:afterAutospacing="0"/>
        <w:divId w:val="504903271"/>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798887942"/>
        <w:rPr>
          <w:sz w:val="20"/>
          <w:szCs w:val="20"/>
        </w:rPr>
      </w:pPr>
      <w:r>
        <w:rPr>
          <w:sz w:val="20"/>
          <w:szCs w:val="20"/>
        </w:rPr>
        <w:t>to VIBATIV have been transitioned to Cumberland, an</w:t>
      </w:r>
      <w:r>
        <w:rPr>
          <w:sz w:val="20"/>
          <w:szCs w:val="20"/>
        </w:rPr>
        <w:t xml:space="preserve">d price reporting obligations for YUPELRI reside with Mylan. However, we retain liability related to price reporting for VIBATIV for historic periods. </w:t>
      </w:r>
    </w:p>
    <w:p w:rsidR="00000000" w:rsidRDefault="008B747E">
      <w:pPr>
        <w:pStyle w:val="a3"/>
        <w:spacing w:before="0" w:beforeAutospacing="0" w:after="0" w:afterAutospacing="0"/>
        <w:ind w:firstLine="720"/>
        <w:divId w:val="798887942"/>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798887942"/>
        <w:rPr>
          <w:sz w:val="20"/>
          <w:szCs w:val="20"/>
        </w:rPr>
      </w:pPr>
      <w:r>
        <w:rPr>
          <w:sz w:val="20"/>
          <w:szCs w:val="20"/>
        </w:rPr>
        <w:t>Under the Medicaid Drug Rebate program, a manufacturer is required to pay a rebate to each state Medic</w:t>
      </w:r>
      <w:r>
        <w:rPr>
          <w:sz w:val="20"/>
          <w:szCs w:val="20"/>
        </w:rPr>
        <w:t>aid program for its covered outpatient drugs that are dispensed to Medicaid beneficiaries and paid for by a state Medicaid program as a condition of having federal funds being made available to the states for our drugs under Medicaid and Medicare Part B. T</w:t>
      </w:r>
      <w:r>
        <w:rPr>
          <w:sz w:val="20"/>
          <w:szCs w:val="20"/>
        </w:rPr>
        <w:t>hose rebates are based on pricing data reported by the manufacturer on a monthly and quarterly basis to CMS, the federal agency that administers the Medicaid Drug Rebate program. These data include the average manufacturer price and, in the case of innovat</w:t>
      </w:r>
      <w:r>
        <w:rPr>
          <w:sz w:val="20"/>
          <w:szCs w:val="20"/>
        </w:rPr>
        <w:t>or products, the best price for each drug which, in general, represents the lowest price available from the manufacturer to any entity in the US in any pricing structure, calculated to include all sales and associated rebates, discounts and other price con</w:t>
      </w:r>
      <w:r>
        <w:rPr>
          <w:sz w:val="20"/>
          <w:szCs w:val="20"/>
        </w:rPr>
        <w:t xml:space="preserve">cessions. </w:t>
      </w:r>
    </w:p>
    <w:p w:rsidR="00000000" w:rsidRDefault="008B747E">
      <w:pPr>
        <w:pStyle w:val="a3"/>
        <w:spacing w:before="0" w:beforeAutospacing="0" w:after="0" w:afterAutospacing="0"/>
        <w:divId w:val="798887942"/>
        <w:rPr>
          <w:sz w:val="20"/>
          <w:szCs w:val="20"/>
        </w:rPr>
      </w:pPr>
      <w:r>
        <w:rPr>
          <w:sz w:val="20"/>
          <w:szCs w:val="20"/>
        </w:rPr>
        <w:t>​</w:t>
      </w:r>
    </w:p>
    <w:p w:rsidR="00000000" w:rsidRDefault="008B747E">
      <w:pPr>
        <w:pStyle w:val="a3"/>
        <w:spacing w:before="0" w:beforeAutospacing="0" w:after="0" w:afterAutospacing="0"/>
        <w:ind w:firstLine="720"/>
        <w:divId w:val="798887942"/>
        <w:rPr>
          <w:rFonts w:ascii="Times" w:hAnsi="Times"/>
          <w:sz w:val="20"/>
          <w:szCs w:val="20"/>
        </w:rPr>
      </w:pPr>
      <w:r>
        <w:rPr>
          <w:rFonts w:ascii="Times" w:hAnsi="Times"/>
          <w:sz w:val="20"/>
          <w:szCs w:val="20"/>
        </w:rPr>
        <w:t>Federal law requires that any company that participates in the Medicaid Drug Rebate program also participate in the Public Health Service’s 340B drug pricing program in order for federal funds to be available for the manufacturer’s drugs under</w:t>
      </w:r>
      <w:r>
        <w:rPr>
          <w:rFonts w:ascii="Times" w:hAnsi="Times"/>
          <w:sz w:val="20"/>
          <w:szCs w:val="20"/>
        </w:rPr>
        <w:t xml:space="preserve"> Medicaid and Medicare Part B. The 340B program requires participating manufacturers to agree to charge no more than the 340B</w:t>
      </w:r>
      <w:r>
        <w:rPr>
          <w:rFonts w:ascii="Times" w:hAnsi="Times"/>
          <w:sz w:val="20"/>
          <w:szCs w:val="20"/>
        </w:rPr>
        <w:t xml:space="preserve"> </w:t>
      </w:r>
      <w:r>
        <w:rPr>
          <w:rFonts w:ascii="Times" w:hAnsi="Times"/>
          <w:sz w:val="20"/>
          <w:szCs w:val="20"/>
        </w:rPr>
        <w:t>“ceiling price”</w:t>
      </w:r>
      <w:r>
        <w:rPr>
          <w:rFonts w:ascii="Times" w:hAnsi="Times"/>
          <w:sz w:val="20"/>
          <w:szCs w:val="20"/>
        </w:rPr>
        <w:t xml:space="preserve"> </w:t>
      </w:r>
      <w:r>
        <w:rPr>
          <w:rFonts w:ascii="Times" w:hAnsi="Times"/>
          <w:sz w:val="20"/>
          <w:szCs w:val="20"/>
        </w:rPr>
        <w:t>for the manufacturer’s covered outpatient drugs to a variety of community health clinics and other entities that r</w:t>
      </w:r>
      <w:r>
        <w:rPr>
          <w:rFonts w:ascii="Times" w:hAnsi="Times"/>
          <w:sz w:val="20"/>
          <w:szCs w:val="20"/>
        </w:rPr>
        <w:t>eceive health services grants from the Public Health Service, as well as hospitals that serve a disproportionate share of low-income patients. A final regulation regarding the calculation of the 340B ceiling price and the imposition of civil monetary penal</w:t>
      </w:r>
      <w:r>
        <w:rPr>
          <w:rFonts w:ascii="Times" w:hAnsi="Times"/>
          <w:sz w:val="20"/>
          <w:szCs w:val="20"/>
        </w:rPr>
        <w:t>ties on manufacturers that knowingly and intentionally overcharge covered entities became effective on January 1, 2019.</w:t>
      </w:r>
      <w:r>
        <w:rPr>
          <w:rFonts w:ascii="Times" w:hAnsi="Times"/>
          <w:sz w:val="20"/>
          <w:szCs w:val="20"/>
        </w:rPr>
        <w:t xml:space="preserve"> </w:t>
      </w:r>
    </w:p>
    <w:p w:rsidR="00000000" w:rsidRDefault="008B747E">
      <w:pPr>
        <w:pStyle w:val="a3"/>
        <w:spacing w:before="0" w:beforeAutospacing="0" w:after="0" w:afterAutospacing="0"/>
        <w:ind w:firstLine="720"/>
        <w:divId w:val="798887942"/>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798887942"/>
        <w:rPr>
          <w:rFonts w:ascii="Times" w:hAnsi="Times"/>
          <w:sz w:val="20"/>
          <w:szCs w:val="20"/>
        </w:rPr>
      </w:pPr>
      <w:r>
        <w:rPr>
          <w:rFonts w:ascii="Times" w:hAnsi="Times"/>
          <w:sz w:val="20"/>
          <w:szCs w:val="20"/>
        </w:rPr>
        <w:t>Federal law also requires that a company that participates in the Medicaid Drug Rebate program report average sales price information</w:t>
      </w:r>
      <w:r>
        <w:rPr>
          <w:rFonts w:ascii="Times" w:hAnsi="Times"/>
          <w:sz w:val="20"/>
          <w:szCs w:val="20"/>
        </w:rPr>
        <w:t xml:space="preserve"> each quarter to CMS for certain categories of drugs that are paid under the Medicare Part B program. Manufacturers calculate the average sales price based on a statutorily defined formula as well as regulations and interpretations of the statute by CMS. C</w:t>
      </w:r>
      <w:r>
        <w:rPr>
          <w:rFonts w:ascii="Times" w:hAnsi="Times"/>
          <w:sz w:val="20"/>
          <w:szCs w:val="20"/>
        </w:rPr>
        <w:t>MS uses these submissions to determine payment rates for drugs under Medicare Part B.</w:t>
      </w:r>
      <w:r>
        <w:rPr>
          <w:rFonts w:ascii="Times" w:hAnsi="Times"/>
          <w:sz w:val="20"/>
          <w:szCs w:val="20"/>
        </w:rPr>
        <w:t xml:space="preserve"> </w:t>
      </w:r>
    </w:p>
    <w:p w:rsidR="00000000" w:rsidRDefault="008B747E">
      <w:pPr>
        <w:pStyle w:val="a3"/>
        <w:spacing w:before="0" w:beforeAutospacing="0" w:after="0" w:afterAutospacing="0"/>
        <w:ind w:firstLine="720"/>
        <w:divId w:val="798887942"/>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798887942"/>
        <w:rPr>
          <w:rFonts w:ascii="Times" w:hAnsi="Times"/>
          <w:sz w:val="20"/>
          <w:szCs w:val="20"/>
        </w:rPr>
      </w:pPr>
      <w:r>
        <w:rPr>
          <w:rFonts w:ascii="Times" w:hAnsi="Times"/>
          <w:sz w:val="20"/>
          <w:szCs w:val="20"/>
        </w:rPr>
        <w:t>Pricing and rebate calculations vary across products and programs, are complex, and are often subject to interpretation by the manufacturer, governmental or regulatory</w:t>
      </w:r>
      <w:r>
        <w:rPr>
          <w:rFonts w:ascii="Times" w:hAnsi="Times"/>
          <w:sz w:val="20"/>
          <w:szCs w:val="20"/>
        </w:rPr>
        <w:t xml:space="preserve"> agencies and the courts. A manufacturer that becomes aware that its Medicaid reporting for a prior quarter was incorrect, or has changed as a result of recalculation of the pricing data, is are obligated to resubmit the corrected data for up to three year</w:t>
      </w:r>
      <w:r>
        <w:rPr>
          <w:rFonts w:ascii="Times" w:hAnsi="Times"/>
          <w:sz w:val="20"/>
          <w:szCs w:val="20"/>
        </w:rPr>
        <w:t>s after those data originally were due. Such restatements and recalculations increase the costs for complying with the laws and regulations governing the Medicaid Drug Rebate program and could result in an overage or underage in our rebate liability for pa</w:t>
      </w:r>
      <w:r>
        <w:rPr>
          <w:rFonts w:ascii="Times" w:hAnsi="Times"/>
          <w:sz w:val="20"/>
          <w:szCs w:val="20"/>
        </w:rPr>
        <w:t>st quarters. Price recalculations also may affect the 340B ceiling price.</w:t>
      </w:r>
      <w:r>
        <w:rPr>
          <w:rFonts w:ascii="Times" w:hAnsi="Times"/>
          <w:sz w:val="20"/>
          <w:szCs w:val="20"/>
        </w:rPr>
        <w:t xml:space="preserve"> </w:t>
      </w:r>
    </w:p>
    <w:p w:rsidR="00000000" w:rsidRDefault="008B747E">
      <w:pPr>
        <w:pStyle w:val="a3"/>
        <w:spacing w:before="0" w:beforeAutospacing="0" w:after="0" w:afterAutospacing="0"/>
        <w:ind w:firstLine="720"/>
        <w:divId w:val="798887942"/>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798887942"/>
        <w:rPr>
          <w:rFonts w:ascii="Times" w:hAnsi="Times"/>
          <w:sz w:val="20"/>
          <w:szCs w:val="20"/>
        </w:rPr>
      </w:pPr>
      <w:r>
        <w:rPr>
          <w:rFonts w:ascii="Times" w:hAnsi="Times"/>
          <w:sz w:val="20"/>
          <w:szCs w:val="20"/>
        </w:rPr>
        <w:t>We are liable for errors associated with our submission of pricing data. In addition to retroactive rebates and the potential for 340B program refunds, if we are found to have knowingly submitted any false price information to the government, we may be lia</w:t>
      </w:r>
      <w:r>
        <w:rPr>
          <w:rFonts w:ascii="Times" w:hAnsi="Times"/>
          <w:sz w:val="20"/>
          <w:szCs w:val="20"/>
        </w:rPr>
        <w:t>ble for significant civil monetary penalties per item of false information. If we are found to have made a misrepresentation in the reporting of our average sales price, the Medicare statute provides for significant civil monetary penalties for each misrep</w:t>
      </w:r>
      <w:r>
        <w:rPr>
          <w:rFonts w:ascii="Times" w:hAnsi="Times"/>
          <w:sz w:val="20"/>
          <w:szCs w:val="20"/>
        </w:rPr>
        <w:t>resentation for each day in which the misrepresentation was applied. Our failure to submit the required price data on a timely basis could result in a significant civil monetary penalty per day for each day the information is late beyond the due date. Such</w:t>
      </w:r>
      <w:r>
        <w:rPr>
          <w:rFonts w:ascii="Times" w:hAnsi="Times"/>
          <w:sz w:val="20"/>
          <w:szCs w:val="20"/>
        </w:rPr>
        <w:t xml:space="preserve"> failure also could be grounds for CMS to terminate our Medicaid drug rebate agreement, pursuant to which we participate in the Medicaid program. In the event that CMS terminates our rebate agreement, federal payments may not be available under Medicaid or</w:t>
      </w:r>
      <w:r>
        <w:rPr>
          <w:rFonts w:ascii="Times" w:hAnsi="Times"/>
          <w:sz w:val="20"/>
          <w:szCs w:val="20"/>
        </w:rPr>
        <w:t xml:space="preserve"> Medicare Part B for our covered outpatient drugs.</w:t>
      </w:r>
      <w:r>
        <w:rPr>
          <w:rFonts w:ascii="Times" w:hAnsi="Times"/>
          <w:sz w:val="20"/>
          <w:szCs w:val="20"/>
        </w:rPr>
        <w:t xml:space="preserve"> </w:t>
      </w:r>
    </w:p>
    <w:p w:rsidR="00000000" w:rsidRDefault="008B747E">
      <w:pPr>
        <w:pStyle w:val="a3"/>
        <w:spacing w:before="0" w:beforeAutospacing="0" w:after="0" w:afterAutospacing="0"/>
        <w:ind w:firstLine="720"/>
        <w:divId w:val="798887942"/>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798887942"/>
        <w:rPr>
          <w:rFonts w:ascii="Times" w:hAnsi="Times"/>
          <w:sz w:val="20"/>
          <w:szCs w:val="20"/>
        </w:rPr>
      </w:pPr>
      <w:r>
        <w:rPr>
          <w:rFonts w:ascii="Times" w:hAnsi="Times"/>
          <w:sz w:val="20"/>
          <w:szCs w:val="20"/>
        </w:rPr>
        <w:t>In order to be eligible to have its products paid for with federal funds under the Medicaid and Medicare Part B programs and purchased by the Department of Veterans Affairs (“VA”), Department of Defense</w:t>
      </w:r>
      <w:r>
        <w:rPr>
          <w:rFonts w:ascii="Times" w:hAnsi="Times"/>
          <w:sz w:val="20"/>
          <w:szCs w:val="20"/>
        </w:rPr>
        <w:t xml:space="preserve"> (“DoD”), Public Health Service, and Coast Guard (the</w:t>
      </w:r>
      <w:r>
        <w:rPr>
          <w:rFonts w:ascii="Times" w:hAnsi="Times"/>
          <w:sz w:val="20"/>
          <w:szCs w:val="20"/>
        </w:rPr>
        <w:t xml:space="preserve"> </w:t>
      </w:r>
      <w:r>
        <w:rPr>
          <w:rFonts w:ascii="Times" w:hAnsi="Times"/>
          <w:sz w:val="20"/>
          <w:szCs w:val="20"/>
        </w:rPr>
        <w:t>“Big Four agencies”) and certain federal grantees, a manufacturer is required to participate in the VA Federal Supply Schedule (“FSS”) pricing program, established under Section 603 of the Veterans Heal</w:t>
      </w:r>
      <w:r>
        <w:rPr>
          <w:rFonts w:ascii="Times" w:hAnsi="Times"/>
          <w:sz w:val="20"/>
          <w:szCs w:val="20"/>
        </w:rPr>
        <w:t>th Care Act of 1992. Under this program, the manufacturer is obligated to make its covered drugs available for procurement on an FSS contract and charge a price to the Big Four agencies that is no higher than the Federal Ceiling Price (“FCP”), which is a p</w:t>
      </w:r>
      <w:r>
        <w:rPr>
          <w:rFonts w:ascii="Times" w:hAnsi="Times"/>
          <w:sz w:val="20"/>
          <w:szCs w:val="20"/>
        </w:rPr>
        <w:t>rice calculated pursuant to a statutory formula. The FCP is derived from a calculated price point called the</w:t>
      </w:r>
      <w:r>
        <w:rPr>
          <w:rFonts w:ascii="Times" w:hAnsi="Times"/>
          <w:sz w:val="20"/>
          <w:szCs w:val="20"/>
        </w:rPr>
        <w:t xml:space="preserve"> </w:t>
      </w:r>
      <w:r>
        <w:rPr>
          <w:rFonts w:ascii="Times" w:hAnsi="Times"/>
          <w:sz w:val="20"/>
          <w:szCs w:val="20"/>
        </w:rPr>
        <w:t>“non-federal average manufacturer price”</w:t>
      </w:r>
      <w:r>
        <w:rPr>
          <w:rFonts w:ascii="Times" w:hAnsi="Times"/>
          <w:sz w:val="20"/>
          <w:szCs w:val="20"/>
        </w:rPr>
        <w:t xml:space="preserve"> </w:t>
      </w:r>
      <w:r>
        <w:rPr>
          <w:rFonts w:ascii="Times" w:hAnsi="Times"/>
          <w:sz w:val="20"/>
          <w:szCs w:val="20"/>
        </w:rPr>
        <w:t>(“Non-FAMP”), which the manufacturer calculates and reports to the VA on a quarterly and annual basis. Pur</w:t>
      </w:r>
      <w:r>
        <w:rPr>
          <w:rFonts w:ascii="Times" w:hAnsi="Times"/>
          <w:sz w:val="20"/>
          <w:szCs w:val="20"/>
        </w:rPr>
        <w:t>suant to applicable law, knowing provision of false information in connection with a Non-FAMP filing can subject</w:t>
      </w:r>
      <w:r>
        <w:rPr>
          <w:rFonts w:ascii="Times" w:hAnsi="Times"/>
          <w:sz w:val="20"/>
          <w:szCs w:val="20"/>
        </w:rPr>
        <w:t xml:space="preserve"> </w:t>
      </w:r>
    </w:p>
    <w:p w:rsidR="00000000" w:rsidRDefault="008B747E">
      <w:pPr>
        <w:pStyle w:val="a3"/>
        <w:spacing w:before="360" w:beforeAutospacing="0" w:after="0" w:afterAutospacing="0"/>
        <w:jc w:val="center"/>
        <w:divId w:val="993486592"/>
        <w:rPr>
          <w:sz w:val="20"/>
          <w:szCs w:val="20"/>
        </w:rPr>
      </w:pPr>
      <w:r>
        <w:rPr>
          <w:sz w:val="20"/>
          <w:szCs w:val="20"/>
        </w:rPr>
        <w:t>58</w:t>
      </w:r>
    </w:p>
    <w:p w:rsidR="00000000" w:rsidRDefault="008B747E">
      <w:pPr>
        <w:pStyle w:val="a3"/>
        <w:spacing w:before="0" w:beforeAutospacing="0" w:after="600" w:afterAutospacing="0"/>
        <w:divId w:val="727266865"/>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1141966853"/>
        <w:rPr>
          <w:rFonts w:ascii="Times" w:hAnsi="Times"/>
          <w:sz w:val="20"/>
          <w:szCs w:val="20"/>
        </w:rPr>
      </w:pPr>
      <w:r>
        <w:rPr>
          <w:rFonts w:ascii="Times" w:hAnsi="Times"/>
          <w:sz w:val="20"/>
          <w:szCs w:val="20"/>
        </w:rPr>
        <w:t>a manufacturer to significant penalties for each item of false information. The FSS contract al</w:t>
      </w:r>
      <w:r>
        <w:rPr>
          <w:rFonts w:ascii="Times" w:hAnsi="Times"/>
          <w:sz w:val="20"/>
          <w:szCs w:val="20"/>
        </w:rPr>
        <w:t>so contains extensive disclosure and certification requirements.</w:t>
      </w:r>
      <w:r>
        <w:rPr>
          <w:rFonts w:ascii="Times" w:hAnsi="Times"/>
          <w:sz w:val="20"/>
          <w:szCs w:val="20"/>
        </w:rPr>
        <w:t xml:space="preserve"> </w:t>
      </w:r>
    </w:p>
    <w:p w:rsidR="00000000" w:rsidRDefault="008B747E">
      <w:pPr>
        <w:pStyle w:val="a3"/>
        <w:spacing w:before="0" w:beforeAutospacing="0" w:after="0" w:afterAutospacing="0"/>
        <w:ind w:firstLine="720"/>
        <w:divId w:val="1141966853"/>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1141966853"/>
        <w:rPr>
          <w:rFonts w:ascii="Times" w:hAnsi="Times"/>
          <w:sz w:val="20"/>
          <w:szCs w:val="20"/>
        </w:rPr>
      </w:pPr>
      <w:r>
        <w:rPr>
          <w:rFonts w:ascii="Times" w:hAnsi="Times"/>
          <w:sz w:val="20"/>
          <w:szCs w:val="20"/>
        </w:rPr>
        <w:t>Under Section 703 of the National Defense Authorization Act for FY 2008, the manufacturer is required to pay quarterly rebates to DoD on utilization of its innovator products that are disp</w:t>
      </w:r>
      <w:r>
        <w:rPr>
          <w:rFonts w:ascii="Times" w:hAnsi="Times"/>
          <w:sz w:val="20"/>
          <w:szCs w:val="20"/>
        </w:rPr>
        <w:t>ensed through DoD’s Tricare network pharmacies to Tricare beneficiaries. The rebates are calculated as the difference between the annual Non-FAMP and FCP for the calendar year that the product was dispensed. A manufacturer that overcharges the government i</w:t>
      </w:r>
      <w:r>
        <w:rPr>
          <w:rFonts w:ascii="Times" w:hAnsi="Times"/>
          <w:sz w:val="20"/>
          <w:szCs w:val="20"/>
        </w:rPr>
        <w:t>n connection with the FSS contract or Tricare Retail Pharmacy Rebate Program, whether due to a misstated FCP or otherwise, is required to refund the difference to the government. Failure to make necessary disclosures and/or to identify contract overcharges</w:t>
      </w:r>
      <w:r>
        <w:rPr>
          <w:rFonts w:ascii="Times" w:hAnsi="Times"/>
          <w:sz w:val="20"/>
          <w:szCs w:val="20"/>
        </w:rPr>
        <w:t xml:space="preserve"> can result in allegations against us under the False Claims Act and other laws and regulations.</w:t>
      </w:r>
      <w:r>
        <w:rPr>
          <w:rFonts w:ascii="Times" w:hAnsi="Times"/>
          <w:sz w:val="20"/>
          <w:szCs w:val="20"/>
        </w:rPr>
        <w:t xml:space="preserve"> </w:t>
      </w:r>
    </w:p>
    <w:p w:rsidR="00000000" w:rsidRDefault="008B747E">
      <w:pPr>
        <w:pStyle w:val="a3"/>
        <w:spacing w:before="0" w:beforeAutospacing="0" w:after="0" w:afterAutospacing="0"/>
        <w:divId w:val="1141966853"/>
        <w:rPr>
          <w:sz w:val="20"/>
          <w:szCs w:val="20"/>
        </w:rPr>
      </w:pPr>
      <w:r>
        <w:rPr>
          <w:sz w:val="20"/>
          <w:szCs w:val="20"/>
        </w:rPr>
        <w:t>​</w:t>
      </w:r>
    </w:p>
    <w:p w:rsidR="00000000" w:rsidRDefault="008B747E">
      <w:pPr>
        <w:pStyle w:val="a3"/>
        <w:spacing w:before="0" w:beforeAutospacing="0" w:after="0" w:afterAutospacing="0"/>
        <w:divId w:val="1141966853"/>
        <w:rPr>
          <w:rFonts w:ascii="Times" w:hAnsi="Times"/>
          <w:b/>
          <w:bCs/>
          <w:i/>
          <w:iCs/>
          <w:sz w:val="20"/>
          <w:szCs w:val="20"/>
        </w:rPr>
      </w:pPr>
      <w:r>
        <w:rPr>
          <w:rFonts w:ascii="Times" w:hAnsi="Times"/>
          <w:b/>
          <w:bCs/>
          <w:i/>
          <w:iCs/>
          <w:sz w:val="20"/>
          <w:szCs w:val="20"/>
        </w:rPr>
        <w:t>Our relationships with customers and third-party payors are subject to applicable anti-kickback, fraud and abuse, transparency and other healthcare laws and</w:t>
      </w:r>
      <w:r>
        <w:rPr>
          <w:rFonts w:ascii="Times" w:hAnsi="Times"/>
          <w:b/>
          <w:bCs/>
          <w:i/>
          <w:iCs/>
          <w:sz w:val="20"/>
          <w:szCs w:val="20"/>
        </w:rPr>
        <w:t xml:space="preserve"> regulations, which could expose us to criminal sanctions, civil penalties, exclusion, contractual damages, reputational harm and diminished profits and future earnings.</w:t>
      </w:r>
      <w:r>
        <w:rPr>
          <w:rFonts w:ascii="Times" w:hAnsi="Times"/>
          <w:b/>
          <w:bCs/>
          <w:i/>
          <w:iCs/>
          <w:sz w:val="20"/>
          <w:szCs w:val="20"/>
        </w:rPr>
        <w:t xml:space="preserve"> </w:t>
      </w:r>
    </w:p>
    <w:p w:rsidR="00000000" w:rsidRDefault="008B747E">
      <w:pPr>
        <w:pStyle w:val="a3"/>
        <w:spacing w:before="0" w:beforeAutospacing="0" w:after="0" w:afterAutospacing="0"/>
        <w:ind w:firstLine="720"/>
        <w:divId w:val="1141966853"/>
        <w:rPr>
          <w:rFonts w:ascii="Times" w:hAnsi="Times"/>
          <w:sz w:val="20"/>
          <w:szCs w:val="20"/>
        </w:rPr>
      </w:pPr>
      <w:r>
        <w:rPr>
          <w:rFonts w:ascii="Times" w:hAnsi="Times"/>
          <w:sz w:val="10"/>
          <w:szCs w:val="10"/>
        </w:rPr>
        <w:t>​</w:t>
      </w:r>
    </w:p>
    <w:p w:rsidR="00000000" w:rsidRDefault="008B747E">
      <w:pPr>
        <w:pStyle w:val="a3"/>
        <w:spacing w:before="0" w:beforeAutospacing="0" w:after="0" w:afterAutospacing="0"/>
        <w:ind w:firstLine="720"/>
        <w:divId w:val="1141966853"/>
        <w:rPr>
          <w:rFonts w:ascii="Times" w:hAnsi="Times"/>
          <w:sz w:val="20"/>
          <w:szCs w:val="20"/>
        </w:rPr>
      </w:pPr>
      <w:r>
        <w:rPr>
          <w:rFonts w:ascii="Times" w:hAnsi="Times"/>
          <w:sz w:val="20"/>
          <w:szCs w:val="20"/>
        </w:rPr>
        <w:t>Healthcare providers, physicians, distributors and third-party payors play a primar</w:t>
      </w:r>
      <w:r>
        <w:rPr>
          <w:rFonts w:ascii="Times" w:hAnsi="Times"/>
          <w:sz w:val="20"/>
          <w:szCs w:val="20"/>
        </w:rPr>
        <w:t>y role in the distribution, recommendation and prescription of any pharmaceutical product for which we obtain marketing approval. Our arrangements with third-party payors and customers expose us to broadly applicable fraud and abuse</w:t>
      </w:r>
      <w:r>
        <w:rPr>
          <w:rFonts w:ascii="Times" w:hAnsi="Times"/>
          <w:sz w:val="20"/>
          <w:szCs w:val="20"/>
        </w:rPr>
        <w:t xml:space="preserve"> </w:t>
      </w:r>
      <w:r>
        <w:rPr>
          <w:rFonts w:ascii="Times" w:hAnsi="Times"/>
          <w:sz w:val="20"/>
          <w:szCs w:val="20"/>
        </w:rPr>
        <w:t>and other healthcare la</w:t>
      </w:r>
      <w:r>
        <w:rPr>
          <w:rFonts w:ascii="Times" w:hAnsi="Times"/>
          <w:sz w:val="20"/>
          <w:szCs w:val="20"/>
        </w:rPr>
        <w:t>ws and regulations that may constrain the business or financial arrangements through which we market, sell and distribute any products for which we have obtained or may obtain marketing approval. Restrictions under applicable federal and state healthcare l</w:t>
      </w:r>
      <w:r>
        <w:rPr>
          <w:rFonts w:ascii="Times" w:hAnsi="Times"/>
          <w:sz w:val="20"/>
          <w:szCs w:val="20"/>
        </w:rPr>
        <w:t>aws and regulations include the following:</w:t>
      </w:r>
    </w:p>
    <w:p w:rsidR="00000000" w:rsidRDefault="008B747E">
      <w:pPr>
        <w:pStyle w:val="a3"/>
        <w:spacing w:before="0" w:beforeAutospacing="0" w:after="0" w:afterAutospacing="0"/>
        <w:ind w:firstLine="720"/>
        <w:divId w:val="1141966853"/>
        <w:rPr>
          <w:rFonts w:ascii="Times" w:hAnsi="Times"/>
          <w:sz w:val="20"/>
          <w:szCs w:val="20"/>
        </w:rPr>
      </w:pPr>
      <w:r>
        <w:rPr>
          <w:rFonts w:ascii="Times" w:hAnsi="Time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1966853"/>
        </w:trPr>
        <w:tc>
          <w:tcPr>
            <w:tcW w:w="720" w:type="dxa"/>
            <w:vAlign w:val="center"/>
            <w:hideMark/>
          </w:tcPr>
          <w:p w:rsidR="00000000" w:rsidRDefault="008B747E">
            <w:pPr>
              <w:rPr>
                <w:rFonts w:ascii="Times" w:hAnsi="Times"/>
                <w:sz w:val="20"/>
                <w:szCs w:val="20"/>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 xml:space="preserve">The US federal healthcare Anti-Kickback Statute prohibits any person from, among other things, knowingly and willfully offering, paying, soliciting, or receiving remuneration, directly or indirectly, in cash </w:t>
            </w:r>
            <w:r>
              <w:rPr>
                <w:rFonts w:ascii="Times" w:eastAsia="Times New Roman" w:hAnsi="Times"/>
                <w:color w:val="000000"/>
                <w:sz w:val="20"/>
                <w:szCs w:val="20"/>
              </w:rPr>
              <w:t>or in kind, to induce or reward either the referral of an individual for, or the purchasing, leasing, ordering or arranging for or recommending of any good or service for which payment may be made, in whole or in part, under federal and state healthcare pr</w:t>
            </w:r>
            <w:r>
              <w:rPr>
                <w:rFonts w:ascii="Times" w:eastAsia="Times New Roman" w:hAnsi="Times"/>
                <w:color w:val="000000"/>
                <w:sz w:val="20"/>
                <w:szCs w:val="20"/>
              </w:rPr>
              <w:t>ograms such as Medicare and Medicaid. The term</w:t>
            </w:r>
            <w:r>
              <w:rPr>
                <w:rFonts w:ascii="Times" w:eastAsia="Times New Roman" w:hAnsi="Times"/>
                <w:color w:val="000000"/>
                <w:sz w:val="20"/>
                <w:szCs w:val="20"/>
              </w:rPr>
              <w:t xml:space="preserve"> </w:t>
            </w:r>
            <w:r>
              <w:rPr>
                <w:rFonts w:ascii="Times" w:eastAsia="Times New Roman" w:hAnsi="Times"/>
                <w:color w:val="000000"/>
                <w:sz w:val="20"/>
                <w:szCs w:val="20"/>
              </w:rPr>
              <w:t>“remuneration”</w:t>
            </w:r>
            <w:r>
              <w:rPr>
                <w:rFonts w:ascii="Times" w:eastAsia="Times New Roman" w:hAnsi="Times"/>
                <w:color w:val="000000"/>
                <w:sz w:val="20"/>
                <w:szCs w:val="20"/>
              </w:rPr>
              <w:t xml:space="preserve"> </w:t>
            </w:r>
            <w:r>
              <w:rPr>
                <w:rFonts w:ascii="Times" w:eastAsia="Times New Roman" w:hAnsi="Times"/>
                <w:color w:val="000000"/>
                <w:sz w:val="20"/>
                <w:szCs w:val="20"/>
              </w:rPr>
              <w:t>has been broadly interpreted to include anything of value. The Anti-Kickback Statute is subject to evolving interpretation and has been applied by government enforcement officials to a number of</w:t>
            </w:r>
            <w:r>
              <w:rPr>
                <w:rFonts w:ascii="Times" w:eastAsia="Times New Roman" w:hAnsi="Times"/>
                <w:color w:val="000000"/>
                <w:sz w:val="20"/>
                <w:szCs w:val="20"/>
              </w:rPr>
              <w:t xml:space="preserve"> common business arrangements in the pharmaceutical industry. The government can establish a violation of the Anti-Kickback Statute without proving that a person or entity had actual knowledge of the statute or specific intent to violate it. There are a nu</w:t>
            </w:r>
            <w:r>
              <w:rPr>
                <w:rFonts w:ascii="Times" w:eastAsia="Times New Roman" w:hAnsi="Times"/>
                <w:color w:val="000000"/>
                <w:sz w:val="20"/>
                <w:szCs w:val="20"/>
              </w:rPr>
              <w:t>mber of statutory exemptions and regulatory safe harbors protecting some common activities from prosecution; however, those exceptions and safe harbors are drawn narrowly. Failure to meet all of the requirements of a particular statutory exception or regul</w:t>
            </w:r>
            <w:r>
              <w:rPr>
                <w:rFonts w:ascii="Times" w:eastAsia="Times New Roman" w:hAnsi="Times"/>
                <w:color w:val="000000"/>
                <w:sz w:val="20"/>
                <w:szCs w:val="20"/>
              </w:rPr>
              <w:t>atory safe harbor does not make the conduct per se illegal under the Anti-Kickback Statute, but the legality of the arrangement will be evaluated on a case-by-case basis based on the totality of the facts and circumstances. We seek to comply with the avail</w:t>
            </w:r>
            <w:r>
              <w:rPr>
                <w:rFonts w:ascii="Times" w:eastAsia="Times New Roman" w:hAnsi="Times"/>
                <w:color w:val="000000"/>
                <w:sz w:val="20"/>
                <w:szCs w:val="20"/>
              </w:rPr>
              <w:t>able statutory exemptions and safe harbors whenever possible, but our practices may not in all cases meet all of the criteria for safe harbor protection from anti-kickback liability. Moreover, there are no safe harbors for many common practices, such as ed</w:t>
            </w:r>
            <w:r>
              <w:rPr>
                <w:rFonts w:ascii="Times" w:eastAsia="Times New Roman" w:hAnsi="Times"/>
                <w:color w:val="000000"/>
                <w:sz w:val="20"/>
                <w:szCs w:val="20"/>
              </w:rPr>
              <w:t>ucational and research grants or patient or product assistance programs.</w:t>
            </w:r>
            <w:r>
              <w:rPr>
                <w:rFonts w:ascii="Times" w:eastAsia="Times New Roman" w:hAnsi="Times"/>
                <w:color w:val="000000"/>
                <w:sz w:val="20"/>
                <w:szCs w:val="20"/>
              </w:rPr>
              <w:t xml:space="preserve"> </w:t>
            </w:r>
          </w:p>
        </w:tc>
      </w:tr>
    </w:tbl>
    <w:p w:rsidR="00000000" w:rsidRDefault="008B747E">
      <w:pPr>
        <w:divId w:val="1141966853"/>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141966853"/>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The federal civil False Claims Act prohibits, among other things, knowingly presenting, or causing to be presented, claims for payment of government funds that are false or fraudulent, or knowingly making, or using or causing to be made or used, a false re</w:t>
            </w:r>
            <w:r>
              <w:rPr>
                <w:rFonts w:ascii="Times" w:eastAsia="Times New Roman" w:hAnsi="Times"/>
                <w:color w:val="000000"/>
                <w:sz w:val="20"/>
                <w:szCs w:val="20"/>
              </w:rPr>
              <w:t>cord or statement material to a false or fraudulent claim to avoid, decrease, or conceal an obligation to pay money to the federal government. Private individuals, commonly known as</w:t>
            </w:r>
            <w:r>
              <w:rPr>
                <w:rFonts w:ascii="Times" w:eastAsia="Times New Roman" w:hAnsi="Times"/>
                <w:color w:val="000000"/>
                <w:sz w:val="20"/>
                <w:szCs w:val="20"/>
              </w:rPr>
              <w:t xml:space="preserve"> </w:t>
            </w:r>
            <w:r>
              <w:rPr>
                <w:rFonts w:ascii="Times" w:eastAsia="Times New Roman" w:hAnsi="Times"/>
                <w:color w:val="000000"/>
                <w:sz w:val="20"/>
                <w:szCs w:val="20"/>
              </w:rPr>
              <w:t>“whistleblowers,”</w:t>
            </w:r>
            <w:r>
              <w:rPr>
                <w:rFonts w:ascii="Times" w:eastAsia="Times New Roman" w:hAnsi="Times"/>
                <w:color w:val="000000"/>
                <w:sz w:val="20"/>
                <w:szCs w:val="20"/>
              </w:rPr>
              <w:t xml:space="preserve"> </w:t>
            </w:r>
            <w:r>
              <w:rPr>
                <w:rFonts w:ascii="Times" w:eastAsia="Times New Roman" w:hAnsi="Times"/>
                <w:color w:val="000000"/>
                <w:sz w:val="20"/>
                <w:szCs w:val="20"/>
              </w:rPr>
              <w:t>can bring civil False Claims Act</w:t>
            </w:r>
            <w:r>
              <w:rPr>
                <w:rFonts w:ascii="Times" w:eastAsia="Times New Roman" w:hAnsi="Times"/>
                <w:color w:val="000000"/>
                <w:sz w:val="20"/>
                <w:szCs w:val="20"/>
              </w:rPr>
              <w:t xml:space="preserve"> </w:t>
            </w:r>
            <w:r>
              <w:rPr>
                <w:rFonts w:ascii="Times" w:eastAsia="Times New Roman" w:hAnsi="Times"/>
                <w:i/>
                <w:iCs/>
                <w:color w:val="000000"/>
                <w:sz w:val="20"/>
                <w:szCs w:val="20"/>
              </w:rPr>
              <w:t>qui tam</w:t>
            </w:r>
            <w:r>
              <w:rPr>
                <w:rFonts w:ascii="Times" w:eastAsia="Times New Roman" w:hAnsi="Times"/>
                <w:color w:val="000000"/>
                <w:sz w:val="20"/>
                <w:szCs w:val="20"/>
              </w:rPr>
              <w:t xml:space="preserve"> </w:t>
            </w:r>
            <w:r>
              <w:rPr>
                <w:rFonts w:ascii="Times" w:eastAsia="Times New Roman" w:hAnsi="Times"/>
                <w:color w:val="000000"/>
                <w:sz w:val="20"/>
                <w:szCs w:val="20"/>
              </w:rPr>
              <w:t>actions, on behalf of the government and such individuals and may share in amounts paid by the entity to the government in recovery or settlement. In recent years, several pharmaceutical and other healthcare companies have faced enforcement actions under t</w:t>
            </w:r>
            <w:r>
              <w:rPr>
                <w:rFonts w:ascii="Times" w:eastAsia="Times New Roman" w:hAnsi="Times"/>
                <w:color w:val="000000"/>
                <w:sz w:val="20"/>
                <w:szCs w:val="20"/>
              </w:rPr>
              <w:t>he federal False Claims Act for, among other things, allegedly submitting false or misleading pricing information to government health care programs and providing free product to customers with the expectation that the customers would bill federal programs</w:t>
            </w:r>
            <w:r>
              <w:rPr>
                <w:rFonts w:ascii="Times" w:eastAsia="Times New Roman" w:hAnsi="Times"/>
                <w:color w:val="000000"/>
                <w:sz w:val="20"/>
                <w:szCs w:val="20"/>
              </w:rPr>
              <w:t xml:space="preserve"> for the product. Federal enforcement agencies also have showed increased interest in pharmaceutical companies’</w:t>
            </w:r>
            <w:r>
              <w:rPr>
                <w:rFonts w:ascii="Times" w:eastAsia="Times New Roman" w:hAnsi="Times"/>
                <w:color w:val="000000"/>
                <w:sz w:val="20"/>
                <w:szCs w:val="20"/>
              </w:rPr>
              <w:t xml:space="preserve"> </w:t>
            </w:r>
            <w:r>
              <w:rPr>
                <w:rFonts w:ascii="Times" w:eastAsia="Times New Roman" w:hAnsi="Times"/>
                <w:color w:val="000000"/>
                <w:sz w:val="20"/>
                <w:szCs w:val="20"/>
              </w:rPr>
              <w:t>product and patient assistance programs, including reimbursement and co-pay support services, and a number of investigations into these programs</w:t>
            </w:r>
            <w:r>
              <w:rPr>
                <w:rFonts w:ascii="Times" w:eastAsia="Times New Roman" w:hAnsi="Times"/>
                <w:color w:val="000000"/>
                <w:sz w:val="20"/>
                <w:szCs w:val="20"/>
              </w:rPr>
              <w:t xml:space="preserve"> have resulted in significant civil and criminal settlements. Other companies have faced enforcement actions for causing false claims to be submitted because of the company’s marketing the product for unapproved, and thus non-reimbursable, uses. In additio</w:t>
            </w:r>
            <w:r>
              <w:rPr>
                <w:rFonts w:ascii="Times" w:eastAsia="Times New Roman" w:hAnsi="Times"/>
                <w:color w:val="000000"/>
                <w:sz w:val="20"/>
                <w:szCs w:val="20"/>
              </w:rPr>
              <w:t>n, a claim including items or services resulting from a violation of the federal</w:t>
            </w:r>
            <w:r>
              <w:rPr>
                <w:rFonts w:ascii="Times" w:eastAsia="Times New Roman" w:hAnsi="Times"/>
                <w:color w:val="000000"/>
                <w:sz w:val="20"/>
                <w:szCs w:val="20"/>
              </w:rPr>
              <w:t xml:space="preserve"> </w:t>
            </w:r>
          </w:p>
        </w:tc>
      </w:tr>
    </w:tbl>
    <w:p w:rsidR="00000000" w:rsidRDefault="008B747E">
      <w:pPr>
        <w:pStyle w:val="a3"/>
        <w:spacing w:before="360" w:beforeAutospacing="0" w:after="0" w:afterAutospacing="0"/>
        <w:jc w:val="center"/>
        <w:divId w:val="979653826"/>
        <w:rPr>
          <w:sz w:val="20"/>
          <w:szCs w:val="20"/>
        </w:rPr>
      </w:pPr>
      <w:r>
        <w:rPr>
          <w:sz w:val="20"/>
          <w:szCs w:val="20"/>
        </w:rPr>
        <w:t>59</w:t>
      </w:r>
    </w:p>
    <w:p w:rsidR="00000000" w:rsidRDefault="008B747E">
      <w:pPr>
        <w:pStyle w:val="a3"/>
        <w:spacing w:before="0" w:beforeAutospacing="0" w:after="600" w:afterAutospacing="0"/>
        <w:divId w:val="119300310"/>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68"/>
        <w:gridCol w:w="7218"/>
      </w:tblGrid>
      <w:tr w:rsidR="00000000">
        <w:trPr>
          <w:divId w:val="1762333469"/>
        </w:trPr>
        <w:tc>
          <w:tcPr>
            <w:tcW w:w="720" w:type="dxa"/>
            <w:vAlign w:val="center"/>
            <w:hideMark/>
          </w:tcPr>
          <w:p w:rsidR="00000000" w:rsidRDefault="008B747E">
            <w:pPr>
              <w:rPr>
                <w:sz w:val="20"/>
                <w:szCs w:val="20"/>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Anti-Kickback Statute constitutes a false or fraudulent claim for purposes of the federal civil False Claims Act. False Clai</w:t>
            </w:r>
            <w:r>
              <w:rPr>
                <w:rFonts w:ascii="Times" w:eastAsia="Times New Roman" w:hAnsi="Times"/>
                <w:color w:val="000000"/>
                <w:sz w:val="20"/>
                <w:szCs w:val="20"/>
              </w:rPr>
              <w:t>ms Act liability is potentially significant in the healthcare industry because the statute provides for treble damages and significant mandatory penalties per false claim or statement for violations. Because of the potential for large monetary exposure, he</w:t>
            </w:r>
            <w:r>
              <w:rPr>
                <w:rFonts w:ascii="Times" w:eastAsia="Times New Roman" w:hAnsi="Times"/>
                <w:color w:val="000000"/>
                <w:sz w:val="20"/>
                <w:szCs w:val="20"/>
              </w:rPr>
              <w:t>althcare and pharmaceutical companies often resolve allegations without admissions of liability for significant and material amounts to avoid the uncertainty of treble damages and per claim penalties that may be awarded in litigation proceedings. Companies</w:t>
            </w:r>
            <w:r>
              <w:rPr>
                <w:rFonts w:ascii="Times" w:eastAsia="Times New Roman" w:hAnsi="Times"/>
                <w:color w:val="000000"/>
                <w:sz w:val="20"/>
                <w:szCs w:val="20"/>
              </w:rPr>
              <w:t xml:space="preserve"> may be required, however, to enter into corporate integrity agreements with the government, which may impose substantial costs on companies to ensure compliance. Criminal penalties, including imprisonment and criminal fines, are also possible for making o</w:t>
            </w:r>
            <w:r>
              <w:rPr>
                <w:rFonts w:ascii="Times" w:eastAsia="Times New Roman" w:hAnsi="Times"/>
                <w:color w:val="000000"/>
                <w:sz w:val="20"/>
                <w:szCs w:val="20"/>
              </w:rPr>
              <w:t>r presenting a false, fictitious or fraudulent claim to the federal government.</w:t>
            </w:r>
            <w:r>
              <w:rPr>
                <w:rFonts w:ascii="Times" w:eastAsia="Times New Roman" w:hAnsi="Times"/>
                <w:color w:val="000000"/>
                <w:sz w:val="20"/>
                <w:szCs w:val="20"/>
              </w:rPr>
              <w:t xml:space="preserve"> </w:t>
            </w:r>
          </w:p>
        </w:tc>
      </w:tr>
    </w:tbl>
    <w:p w:rsidR="00000000" w:rsidRDefault="008B747E">
      <w:pPr>
        <w:divId w:val="176233346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62333469"/>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HIPAA, among other things, imposes criminal and civil liability for knowingly and willfully executing a scheme to defraud any healthcare benefit program, including privat</w:t>
            </w:r>
            <w:r>
              <w:rPr>
                <w:rFonts w:ascii="Times" w:eastAsia="Times New Roman" w:hAnsi="Times"/>
                <w:color w:val="000000"/>
                <w:sz w:val="20"/>
                <w:szCs w:val="20"/>
              </w:rPr>
              <w:t>e third-party payors, and also imposes obligations, including mandatory contractual terms, with respect to safeguarding the privacy, security and transmission of individually identifiable health information. HIPAA also prohibits knowingly and willfully fal</w:t>
            </w:r>
            <w:r>
              <w:rPr>
                <w:rFonts w:ascii="Times" w:eastAsia="Times New Roman" w:hAnsi="Times"/>
                <w:color w:val="000000"/>
                <w:sz w:val="20"/>
                <w:szCs w:val="20"/>
              </w:rPr>
              <w:t>sifying, concealing or covering up a material fact or making any materially false, fictitious or fraudulent statement or representation, or making or using any false writing or document knowing the same to contain any materially false fictitious or fraudul</w:t>
            </w:r>
            <w:r>
              <w:rPr>
                <w:rFonts w:ascii="Times" w:eastAsia="Times New Roman" w:hAnsi="Times"/>
                <w:color w:val="000000"/>
                <w:sz w:val="20"/>
                <w:szCs w:val="20"/>
              </w:rPr>
              <w:t>ent statement or entry in connection with the delivery of or payment for healthcare benefits, items or services. Similar to the federal healthcare Anti-Kickback Statute, a person or entity does not need to have actual knowledge of the statute or specific i</w:t>
            </w:r>
            <w:r>
              <w:rPr>
                <w:rFonts w:ascii="Times" w:eastAsia="Times New Roman" w:hAnsi="Times"/>
                <w:color w:val="000000"/>
                <w:sz w:val="20"/>
                <w:szCs w:val="20"/>
              </w:rPr>
              <w:t>ntent to violate it to have committed a violation.</w:t>
            </w:r>
          </w:p>
        </w:tc>
      </w:tr>
    </w:tbl>
    <w:p w:rsidR="00000000" w:rsidRDefault="008B747E">
      <w:pPr>
        <w:divId w:val="176233346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62333469"/>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The federal Physician Payment Sunshine Act, being implemented as the Open Payments Program, requires certain manufacturers of drugs, devices, biologics, and medical supplies for which payment is avail</w:t>
            </w:r>
            <w:r>
              <w:rPr>
                <w:rFonts w:ascii="Times" w:eastAsia="Times New Roman" w:hAnsi="Times"/>
                <w:color w:val="000000"/>
                <w:sz w:val="20"/>
                <w:szCs w:val="20"/>
              </w:rPr>
              <w:t>able under Medicare, Medicaid or the Children’s Health Insurance Program (with certain exceptions) to report annually to the US Department of Health and Human Services, Centers for Medicare and Medicaid Services, information related to payments and other t</w:t>
            </w:r>
            <w:r>
              <w:rPr>
                <w:rFonts w:ascii="Times" w:eastAsia="Times New Roman" w:hAnsi="Times"/>
                <w:color w:val="000000"/>
                <w:sz w:val="20"/>
                <w:szCs w:val="20"/>
              </w:rPr>
              <w:t>ransfers of value, directly or indirectly, to physicians (defined to include doctors, dentists, optometrists, podiatrists, and chiropractors) and teaching hospitals, as well as ownership and investment interests held by physicians and their immediate famil</w:t>
            </w:r>
            <w:r>
              <w:rPr>
                <w:rFonts w:ascii="Times" w:eastAsia="Times New Roman" w:hAnsi="Times"/>
                <w:color w:val="000000"/>
                <w:sz w:val="20"/>
                <w:szCs w:val="20"/>
              </w:rPr>
              <w:t>y members. Beginning in 2022, applicable manufacturers also will be required to report information regarding payments and transfers of value provided to physician assistants, nurse practitioners, clinical nurse specialists, certified nurse anesthetists, an</w:t>
            </w:r>
            <w:r>
              <w:rPr>
                <w:rFonts w:ascii="Times" w:eastAsia="Times New Roman" w:hAnsi="Times"/>
                <w:color w:val="000000"/>
                <w:sz w:val="20"/>
                <w:szCs w:val="20"/>
              </w:rPr>
              <w:t>d certified nurse-midwives. A manufacturer’s failure to submit timely, accurately and completely the required information for all payments, transfers of value or ownership or investment interests may result in civil monetary penalties of up to an aggregate</w:t>
            </w:r>
            <w:r>
              <w:rPr>
                <w:rFonts w:ascii="Times" w:eastAsia="Times New Roman" w:hAnsi="Times"/>
                <w:color w:val="000000"/>
                <w:sz w:val="20"/>
                <w:szCs w:val="20"/>
              </w:rPr>
              <w:t xml:space="preserve"> of $150,000 per year, and up to an aggregate of $1 million per year for</w:t>
            </w:r>
            <w:r>
              <w:rPr>
                <w:rFonts w:ascii="Times" w:eastAsia="Times New Roman" w:hAnsi="Times"/>
                <w:color w:val="000000"/>
                <w:sz w:val="20"/>
                <w:szCs w:val="20"/>
              </w:rPr>
              <w:t xml:space="preserve"> </w:t>
            </w:r>
            <w:r>
              <w:rPr>
                <w:rFonts w:ascii="Times" w:eastAsia="Times New Roman" w:hAnsi="Times"/>
                <w:color w:val="000000"/>
                <w:sz w:val="20"/>
                <w:szCs w:val="20"/>
              </w:rPr>
              <w:t>“knowing failures.”</w:t>
            </w:r>
            <w:r>
              <w:rPr>
                <w:rFonts w:ascii="Times" w:eastAsia="Times New Roman" w:hAnsi="Times"/>
                <w:color w:val="000000"/>
                <w:sz w:val="20"/>
                <w:szCs w:val="20"/>
              </w:rPr>
              <w:t xml:space="preserve"> </w:t>
            </w:r>
            <w:r>
              <w:rPr>
                <w:rFonts w:ascii="Times" w:eastAsia="Times New Roman" w:hAnsi="Times"/>
                <w:color w:val="000000"/>
                <w:sz w:val="20"/>
                <w:szCs w:val="20"/>
              </w:rPr>
              <w:t>Manufacturers must submit reports by the 90th day of each calendar year.</w:t>
            </w:r>
            <w:r>
              <w:rPr>
                <w:rFonts w:ascii="Times" w:eastAsia="Times New Roman" w:hAnsi="Times"/>
                <w:color w:val="000000"/>
                <w:sz w:val="20"/>
                <w:szCs w:val="20"/>
              </w:rPr>
              <w:t xml:space="preserve"> </w:t>
            </w:r>
          </w:p>
        </w:tc>
      </w:tr>
    </w:tbl>
    <w:p w:rsidR="00000000" w:rsidRDefault="008B747E">
      <w:pPr>
        <w:divId w:val="176233346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62333469"/>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Analogous state laws and regulations, such as state anti-kickback and false claims laws, may apply to sales or marketing arrangements and claims involving healthcare items or services reimbursed by any third-party payors, including private insurers or pati</w:t>
            </w:r>
            <w:r>
              <w:rPr>
                <w:rFonts w:ascii="Times" w:eastAsia="Times New Roman" w:hAnsi="Times"/>
                <w:color w:val="000000"/>
                <w:sz w:val="20"/>
                <w:szCs w:val="20"/>
              </w:rPr>
              <w:t>ents. Several states also require pharmaceutical companies to report expenses relating to the marketing and promotion of pharmaceutical products in those states and to report gifts and payments to individual health care providers in those states. Some of t</w:t>
            </w:r>
            <w:r>
              <w:rPr>
                <w:rFonts w:ascii="Times" w:eastAsia="Times New Roman" w:hAnsi="Times"/>
                <w:color w:val="000000"/>
                <w:sz w:val="20"/>
                <w:szCs w:val="20"/>
              </w:rPr>
              <w:t>hese states also prohibit certain marketing-related activities, including the provision of gifts, meals, or other items to certain health care provider</w:t>
            </w:r>
            <w:r>
              <w:rPr>
                <w:rFonts w:ascii="Times" w:eastAsia="Times New Roman" w:hAnsi="Times"/>
                <w:color w:val="000000"/>
                <w:sz w:val="20"/>
                <w:szCs w:val="20"/>
              </w:rPr>
              <w:t>s</w:t>
            </w:r>
            <w:r>
              <w:rPr>
                <w:rFonts w:ascii="Times" w:eastAsia="Times New Roman" w:hAnsi="Times"/>
                <w:color w:val="000000"/>
                <w:sz w:val="20"/>
                <w:szCs w:val="20"/>
              </w:rPr>
              <w:t>, and restrict the ability of manufacturers to offer co-pay support to patients for certain prescription</w:t>
            </w:r>
            <w:r>
              <w:rPr>
                <w:rFonts w:ascii="Times" w:eastAsia="Times New Roman" w:hAnsi="Times"/>
                <w:color w:val="000000"/>
                <w:sz w:val="20"/>
                <w:szCs w:val="20"/>
              </w:rPr>
              <w:t xml:space="preserve"> drugs. Some states require the posting of information relating to clinical studies and their outcomes.</w:t>
            </w:r>
            <w:r>
              <w:rPr>
                <w:rFonts w:ascii="Times" w:eastAsia="Times New Roman" w:hAnsi="Times"/>
                <w:color w:val="000000"/>
                <w:sz w:val="20"/>
                <w:szCs w:val="20"/>
              </w:rPr>
              <w:t xml:space="preserve"> </w:t>
            </w:r>
            <w:r>
              <w:rPr>
                <w:rFonts w:ascii="Times" w:eastAsia="Times New Roman" w:hAnsi="Times"/>
                <w:color w:val="000000"/>
                <w:sz w:val="20"/>
                <w:szCs w:val="20"/>
              </w:rPr>
              <w:t>Some states and cities require identification or licensing of sales representative</w:t>
            </w:r>
            <w:r>
              <w:rPr>
                <w:rFonts w:ascii="Times" w:eastAsia="Times New Roman" w:hAnsi="Times"/>
                <w:color w:val="000000"/>
                <w:sz w:val="20"/>
                <w:szCs w:val="20"/>
              </w:rPr>
              <w:t>s</w:t>
            </w:r>
            <w:r>
              <w:rPr>
                <w:rFonts w:ascii="Times" w:eastAsia="Times New Roman" w:hAnsi="Times"/>
                <w:color w:val="000000"/>
                <w:sz w:val="20"/>
                <w:szCs w:val="20"/>
              </w:rPr>
              <w:t>. In addition, several states require pharmaceutical companies to imp</w:t>
            </w:r>
            <w:r>
              <w:rPr>
                <w:rFonts w:ascii="Times" w:eastAsia="Times New Roman" w:hAnsi="Times"/>
                <w:color w:val="000000"/>
                <w:sz w:val="20"/>
                <w:szCs w:val="20"/>
              </w:rPr>
              <w:t>lement compliance programs or marketing codes.</w:t>
            </w:r>
            <w:r>
              <w:rPr>
                <w:rFonts w:ascii="Times" w:eastAsia="Times New Roman" w:hAnsi="Times"/>
                <w:color w:val="000000"/>
                <w:sz w:val="20"/>
                <w:szCs w:val="20"/>
              </w:rPr>
              <w:t xml:space="preserve"> </w:t>
            </w:r>
          </w:p>
        </w:tc>
      </w:tr>
    </w:tbl>
    <w:p w:rsidR="00000000" w:rsidRDefault="008B747E">
      <w:pPr>
        <w:divId w:val="176233346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62333469"/>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rPr>
                <w:rFonts w:ascii="Times" w:eastAsia="Times New Roman" w:hAnsi="Times"/>
                <w:sz w:val="20"/>
                <w:szCs w:val="20"/>
              </w:rPr>
            </w:pPr>
            <w:r>
              <w:rPr>
                <w:rFonts w:ascii="Times" w:eastAsia="Times New Roman" w:hAnsi="Times"/>
                <w:color w:val="000000"/>
                <w:sz w:val="20"/>
                <w:szCs w:val="20"/>
              </w:rPr>
              <w:t xml:space="preserve">Similar restrictions are imposed on the promotion and marketing of medicinal products in the EU Member States and other countries, including restrictions prohibiting the promotion of a compound prior to </w:t>
            </w:r>
            <w:r>
              <w:rPr>
                <w:rFonts w:ascii="Times" w:eastAsia="Times New Roman" w:hAnsi="Times"/>
                <w:color w:val="000000"/>
                <w:sz w:val="20"/>
                <w:szCs w:val="20"/>
              </w:rPr>
              <w:t>its approval. Laws (including those governing promotion, marketing and anti-kickback provisions), industry regulations and professional codes of conduct often are strictly enforced. Even in those countries where we may decide not to directly promote or mar</w:t>
            </w:r>
            <w:r>
              <w:rPr>
                <w:rFonts w:ascii="Times" w:eastAsia="Times New Roman" w:hAnsi="Times"/>
                <w:color w:val="000000"/>
                <w:sz w:val="20"/>
                <w:szCs w:val="20"/>
              </w:rPr>
              <w:t>ket our products, inappropriate activity by our international distribution partners could have implications for us.</w:t>
            </w:r>
            <w:r>
              <w:rPr>
                <w:rFonts w:ascii="Times" w:eastAsia="Times New Roman" w:hAnsi="Times"/>
                <w:color w:val="000000"/>
                <w:sz w:val="20"/>
                <w:szCs w:val="20"/>
              </w:rPr>
              <w:t xml:space="preserve"> </w:t>
            </w:r>
          </w:p>
        </w:tc>
      </w:tr>
    </w:tbl>
    <w:p w:rsidR="00000000" w:rsidRDefault="008B747E">
      <w:pPr>
        <w:pStyle w:val="a3"/>
        <w:spacing w:before="360" w:beforeAutospacing="0" w:after="0" w:afterAutospacing="0"/>
        <w:jc w:val="center"/>
        <w:divId w:val="1319923651"/>
        <w:rPr>
          <w:sz w:val="20"/>
          <w:szCs w:val="20"/>
        </w:rPr>
      </w:pPr>
      <w:r>
        <w:rPr>
          <w:sz w:val="20"/>
          <w:szCs w:val="20"/>
        </w:rPr>
        <w:t>60</w:t>
      </w:r>
    </w:p>
    <w:p w:rsidR="00000000" w:rsidRDefault="008B747E">
      <w:pPr>
        <w:pStyle w:val="a3"/>
        <w:spacing w:before="0" w:beforeAutospacing="0" w:after="600" w:afterAutospacing="0"/>
        <w:divId w:val="949122708"/>
        <w:rPr>
          <w:sz w:val="20"/>
          <w:szCs w:val="20"/>
        </w:rPr>
      </w:pPr>
      <w:hyperlink w:anchor="TOC" w:history="1">
        <w:r>
          <w:rPr>
            <w:rStyle w:val="a4"/>
            <w:sz w:val="20"/>
            <w:szCs w:val="20"/>
          </w:rPr>
          <w:t>Table of Contents</w:t>
        </w:r>
      </w:hyperlink>
    </w:p>
    <w:p w:rsidR="00000000" w:rsidRDefault="008B747E">
      <w:pPr>
        <w:pStyle w:val="a3"/>
        <w:spacing w:before="0" w:beforeAutospacing="0" w:after="240" w:afterAutospacing="0"/>
        <w:ind w:firstLine="720"/>
        <w:divId w:val="1092045749"/>
        <w:rPr>
          <w:rFonts w:ascii="Times" w:hAnsi="Times"/>
          <w:sz w:val="20"/>
          <w:szCs w:val="20"/>
        </w:rPr>
      </w:pPr>
      <w:r>
        <w:rPr>
          <w:rFonts w:ascii="Times" w:hAnsi="Times"/>
          <w:sz w:val="20"/>
          <w:szCs w:val="20"/>
        </w:rPr>
        <w:t>The shifting commercial compliance environment and the need to build and maintain robust an</w:t>
      </w:r>
      <w:r>
        <w:rPr>
          <w:rFonts w:ascii="Times" w:hAnsi="Times"/>
          <w:sz w:val="20"/>
          <w:szCs w:val="20"/>
        </w:rPr>
        <w:t>d expandable systems to comply with different compliance or reporting requirements in multiple jurisdictions increase the possibility that we or our partners may fail to comply fully with one or more of these requirements. Efforts to ensure that our busine</w:t>
      </w:r>
      <w:r>
        <w:rPr>
          <w:rFonts w:ascii="Times" w:hAnsi="Times"/>
          <w:sz w:val="20"/>
          <w:szCs w:val="20"/>
        </w:rPr>
        <w:t>ss arrangements with third parties will comply with applicable healthcare laws and regulations may involve substantial costs. It is possible that governmental authorities will conclude that our business practices may not comply with applicable fraud and ab</w:t>
      </w:r>
      <w:r>
        <w:rPr>
          <w:rFonts w:ascii="Times" w:hAnsi="Times"/>
          <w:sz w:val="20"/>
          <w:szCs w:val="20"/>
        </w:rPr>
        <w:t>use or other healthcare laws and regulations or guidance. If our operations are found to be in violation of any of these laws or any other governmental regulations that may apply to us, we may be subject to significant civil, criminal and administrative pe</w:t>
      </w:r>
      <w:r>
        <w:rPr>
          <w:rFonts w:ascii="Times" w:hAnsi="Times"/>
          <w:sz w:val="20"/>
          <w:szCs w:val="20"/>
        </w:rPr>
        <w:t>nalties, damages, fines, disgorgement, exclusion from government funded healthcare programs, such as Medicare and Medicaid in the US and similar programs outside the US, contractual damages, diminished profits and future earnings, and the curtailment or re</w:t>
      </w:r>
      <w:r>
        <w:rPr>
          <w:rFonts w:ascii="Times" w:hAnsi="Times"/>
          <w:sz w:val="20"/>
          <w:szCs w:val="20"/>
        </w:rPr>
        <w:t>structuring of our operations, any of which could adversely affect our ability to operate our business and our financial results. If any of the physicians or other providers or entities with whom we do or expect to do business are found to not be in compli</w:t>
      </w:r>
      <w:r>
        <w:rPr>
          <w:rFonts w:ascii="Times" w:hAnsi="Times"/>
          <w:sz w:val="20"/>
          <w:szCs w:val="20"/>
        </w:rPr>
        <w:t xml:space="preserve">ance with applicable laws, they may be subject to criminal, civil or administrative sanctions, including exclusions from government funded healthcare programs. Even if we are not determined to have violated these laws, government investigations into these </w:t>
      </w:r>
      <w:r>
        <w:rPr>
          <w:rFonts w:ascii="Times" w:hAnsi="Times"/>
          <w:sz w:val="20"/>
          <w:szCs w:val="20"/>
        </w:rPr>
        <w:t>issues typically require the expenditure of significant resources and generate negative publicity, which could harm our financial condition and divert resources and the attention of our management from operating our business.</w:t>
      </w:r>
      <w:r>
        <w:rPr>
          <w:rFonts w:ascii="Times" w:hAnsi="Times"/>
          <w:sz w:val="20"/>
          <w:szCs w:val="20"/>
        </w:rPr>
        <w:t xml:space="preserve"> </w:t>
      </w:r>
    </w:p>
    <w:p w:rsidR="00000000" w:rsidRDefault="008B747E">
      <w:pPr>
        <w:pStyle w:val="a3"/>
        <w:spacing w:before="0" w:beforeAutospacing="0" w:after="0" w:afterAutospacing="0"/>
        <w:divId w:val="1092045749"/>
        <w:rPr>
          <w:rFonts w:ascii="Times" w:hAnsi="Times"/>
          <w:b/>
          <w:bCs/>
          <w:i/>
          <w:iCs/>
          <w:sz w:val="20"/>
          <w:szCs w:val="20"/>
        </w:rPr>
      </w:pPr>
      <w:r>
        <w:rPr>
          <w:rFonts w:ascii="Times" w:hAnsi="Times"/>
          <w:b/>
          <w:bCs/>
          <w:i/>
          <w:iCs/>
          <w:sz w:val="20"/>
          <w:szCs w:val="20"/>
        </w:rPr>
        <w:t xml:space="preserve">Our business and operations, </w:t>
      </w:r>
      <w:r>
        <w:rPr>
          <w:rFonts w:ascii="Times" w:hAnsi="Times"/>
          <w:b/>
          <w:bCs/>
          <w:i/>
          <w:iCs/>
          <w:sz w:val="20"/>
          <w:szCs w:val="20"/>
        </w:rPr>
        <w:t>including the use of hazardous and biological materials may result in liabilities with respect to environmental, health and safety matters.</w:t>
      </w:r>
      <w:r>
        <w:rPr>
          <w:rFonts w:ascii="Times" w:hAnsi="Times"/>
          <w:b/>
          <w:bCs/>
          <w:i/>
          <w:iCs/>
          <w:sz w:val="20"/>
          <w:szCs w:val="20"/>
        </w:rPr>
        <w:t xml:space="preserve"> </w:t>
      </w:r>
    </w:p>
    <w:p w:rsidR="00000000" w:rsidRDefault="008B747E">
      <w:pPr>
        <w:pStyle w:val="a3"/>
        <w:spacing w:before="0" w:beforeAutospacing="0" w:after="0" w:afterAutospacing="0"/>
        <w:ind w:firstLine="720"/>
        <w:divId w:val="1092045749"/>
        <w:rPr>
          <w:rFonts w:ascii="Times" w:hAnsi="Times"/>
          <w:sz w:val="20"/>
          <w:szCs w:val="20"/>
        </w:rPr>
      </w:pPr>
      <w:r>
        <w:rPr>
          <w:rFonts w:ascii="Times" w:hAnsi="Times"/>
          <w:sz w:val="10"/>
          <w:szCs w:val="10"/>
        </w:rPr>
        <w:t>​</w:t>
      </w:r>
    </w:p>
    <w:p w:rsidR="00000000" w:rsidRDefault="008B747E">
      <w:pPr>
        <w:pStyle w:val="a3"/>
        <w:spacing w:before="0" w:beforeAutospacing="0" w:after="0" w:afterAutospacing="0"/>
        <w:ind w:firstLine="720"/>
        <w:divId w:val="1092045749"/>
        <w:rPr>
          <w:rFonts w:ascii="Times" w:hAnsi="Times"/>
          <w:sz w:val="20"/>
          <w:szCs w:val="20"/>
        </w:rPr>
      </w:pPr>
      <w:r>
        <w:rPr>
          <w:rFonts w:ascii="Times" w:hAnsi="Times"/>
          <w:sz w:val="20"/>
          <w:szCs w:val="20"/>
        </w:rPr>
        <w:t>Our research and development activities involve the controlled use of potentially hazardous substances, including</w:t>
      </w:r>
      <w:r>
        <w:rPr>
          <w:rFonts w:ascii="Times" w:hAnsi="Times"/>
          <w:sz w:val="20"/>
          <w:szCs w:val="20"/>
        </w:rPr>
        <w:t xml:space="preserve"> chemical, biological and radioactive materials. In addition, our operations produce hazardous waste products, including hazardous waste. Federal, state and local laws and regulations govern the use, manufacture, management, storage, handling and disposal </w:t>
      </w:r>
      <w:r>
        <w:rPr>
          <w:rFonts w:ascii="Times" w:hAnsi="Times"/>
          <w:sz w:val="20"/>
          <w:szCs w:val="20"/>
        </w:rPr>
        <w:t>of hazardous materials and wastes. We may incur significant additional costs or liabilities to comply with, or for violations of, these and other applicable laws in the future. Also, even if we are in compliance with applicable laws, we cannot completely e</w:t>
      </w:r>
      <w:r>
        <w:rPr>
          <w:rFonts w:ascii="Times" w:hAnsi="Times"/>
          <w:sz w:val="20"/>
          <w:szCs w:val="20"/>
        </w:rPr>
        <w:t xml:space="preserve">liminate the risk of contamination or injury resulting from hazardous materials and we may incur liability as a result of any such contamination or injury. Further, in the event of a release of or exposure to hazardous materials, including at the sites we </w:t>
      </w:r>
      <w:r>
        <w:rPr>
          <w:rFonts w:ascii="Times" w:hAnsi="Times"/>
          <w:sz w:val="20"/>
          <w:szCs w:val="20"/>
        </w:rPr>
        <w:t>currently or formerly operate or at sites such as landfills where we send wastes for disposal, we could be held liable for cleanup costs or damages or subject to other costs or penalties and such liability could exceed our resources. We do not have any ins</w:t>
      </w:r>
      <w:r>
        <w:rPr>
          <w:rFonts w:ascii="Times" w:hAnsi="Times"/>
          <w:sz w:val="20"/>
          <w:szCs w:val="20"/>
        </w:rPr>
        <w:t>urance for liabilities arising from hazardous materials or under environmental laws. Compliance with or liability under applicable environmental laws and regulations or with respect to hazardous materials may be expensive, and current or future environment</w:t>
      </w:r>
      <w:r>
        <w:rPr>
          <w:rFonts w:ascii="Times" w:hAnsi="Times"/>
          <w:sz w:val="20"/>
          <w:szCs w:val="20"/>
        </w:rPr>
        <w:t>al regulations may impair our research, development and production efforts, which could harm our business, which could cause the price of our securities to fall.</w:t>
      </w:r>
      <w:r>
        <w:rPr>
          <w:rFonts w:ascii="Times" w:hAnsi="Times"/>
          <w:sz w:val="20"/>
          <w:szCs w:val="20"/>
        </w:rPr>
        <w:t xml:space="preserve"> </w:t>
      </w:r>
    </w:p>
    <w:p w:rsidR="00000000" w:rsidRDefault="008B747E">
      <w:pPr>
        <w:pStyle w:val="a3"/>
        <w:spacing w:before="0" w:beforeAutospacing="0" w:after="0" w:afterAutospacing="0"/>
        <w:divId w:val="1092045749"/>
        <w:rPr>
          <w:sz w:val="20"/>
          <w:szCs w:val="20"/>
        </w:rPr>
      </w:pPr>
      <w:r>
        <w:rPr>
          <w:sz w:val="20"/>
          <w:szCs w:val="20"/>
        </w:rPr>
        <w:t>​</w:t>
      </w:r>
    </w:p>
    <w:p w:rsidR="00000000" w:rsidRDefault="008B747E">
      <w:pPr>
        <w:pStyle w:val="a3"/>
        <w:spacing w:before="0" w:beforeAutospacing="0" w:after="240" w:afterAutospacing="0"/>
        <w:divId w:val="1092045749"/>
        <w:rPr>
          <w:rFonts w:ascii="Times" w:hAnsi="Times"/>
          <w:b/>
          <w:bCs/>
          <w:sz w:val="20"/>
          <w:szCs w:val="20"/>
        </w:rPr>
      </w:pPr>
      <w:r>
        <w:rPr>
          <w:rFonts w:ascii="Times" w:hAnsi="Times"/>
          <w:b/>
          <w:bCs/>
          <w:sz w:val="20"/>
          <w:szCs w:val="20"/>
        </w:rPr>
        <w:t>RISKS RELATING TO OUR ORDINARY SHARES</w:t>
      </w:r>
      <w:r>
        <w:rPr>
          <w:rFonts w:ascii="Times" w:hAnsi="Times"/>
          <w:b/>
          <w:bCs/>
          <w:sz w:val="20"/>
          <w:szCs w:val="20"/>
        </w:rPr>
        <w:t xml:space="preserve"> </w:t>
      </w:r>
    </w:p>
    <w:p w:rsidR="00000000" w:rsidRDefault="008B747E">
      <w:pPr>
        <w:pStyle w:val="a3"/>
        <w:spacing w:before="0" w:beforeAutospacing="0" w:after="120" w:afterAutospacing="0"/>
        <w:divId w:val="1092045749"/>
        <w:rPr>
          <w:rFonts w:ascii="Times" w:hAnsi="Times"/>
          <w:b/>
          <w:bCs/>
          <w:i/>
          <w:iCs/>
          <w:sz w:val="20"/>
          <w:szCs w:val="20"/>
        </w:rPr>
      </w:pPr>
      <w:r>
        <w:rPr>
          <w:rFonts w:ascii="Times" w:hAnsi="Times"/>
          <w:b/>
          <w:bCs/>
          <w:i/>
          <w:iCs/>
          <w:sz w:val="20"/>
          <w:szCs w:val="20"/>
        </w:rPr>
        <w:t>The market price for our shares has and may continue to fluctuate widely, and may result in substantial losses for purchasers of our ordinary shares.</w:t>
      </w:r>
      <w:r>
        <w:rPr>
          <w:rFonts w:ascii="Times" w:hAnsi="Times"/>
          <w:b/>
          <w:bCs/>
          <w:i/>
          <w:iCs/>
          <w:sz w:val="20"/>
          <w:szCs w:val="20"/>
        </w:rPr>
        <w:t xml:space="preserve"> </w:t>
      </w:r>
    </w:p>
    <w:p w:rsidR="00000000" w:rsidRDefault="008B747E">
      <w:pPr>
        <w:pStyle w:val="a3"/>
        <w:spacing w:before="0" w:beforeAutospacing="0" w:after="0" w:afterAutospacing="0"/>
        <w:ind w:firstLine="720"/>
        <w:divId w:val="1092045749"/>
        <w:rPr>
          <w:rFonts w:ascii="Times" w:hAnsi="Times"/>
          <w:sz w:val="20"/>
          <w:szCs w:val="20"/>
        </w:rPr>
      </w:pPr>
      <w:r>
        <w:rPr>
          <w:rFonts w:ascii="Times" w:hAnsi="Times"/>
          <w:sz w:val="20"/>
          <w:szCs w:val="20"/>
        </w:rPr>
        <w:t>The market price for our shares has and may continue to fluctuate widely, and may result in substantial l</w:t>
      </w:r>
      <w:r>
        <w:rPr>
          <w:rFonts w:ascii="Times" w:hAnsi="Times"/>
          <w:sz w:val="20"/>
          <w:szCs w:val="20"/>
        </w:rPr>
        <w:t>osses for purchasers of our ordinary shares. To the extent that low trading volumes for our ordinary shares continues, our stock price may fluctuate significantly more than the stock market as a whole or the stock prices of similar companies. Without a lar</w:t>
      </w:r>
      <w:r>
        <w:rPr>
          <w:rFonts w:ascii="Times" w:hAnsi="Times"/>
          <w:sz w:val="20"/>
          <w:szCs w:val="20"/>
        </w:rPr>
        <w:t xml:space="preserve">ger public float of actively traded shares, our ordinary shares are likely to be more sensitive to changes in sales volumes, market fluctuations and events or perceived events with respect to our business, than the shares of common stock of companies with </w:t>
      </w:r>
      <w:r>
        <w:rPr>
          <w:rFonts w:ascii="Times" w:hAnsi="Times"/>
          <w:sz w:val="20"/>
          <w:szCs w:val="20"/>
        </w:rPr>
        <w:t>broader public ownership, and as a result, the trading prices for our ordinary shares may be more volatile. Among other things, trading of a relatively small volume of ordinary shares may have a greater effect on the trading price than would be the case if</w:t>
      </w:r>
      <w:r>
        <w:rPr>
          <w:rFonts w:ascii="Times" w:hAnsi="Times"/>
          <w:sz w:val="20"/>
          <w:szCs w:val="20"/>
        </w:rPr>
        <w:t xml:space="preserve"> our public float of actively traded shares were larger. In addition, as further described below under the risk factor entitled</w:t>
      </w:r>
      <w:r>
        <w:rPr>
          <w:rFonts w:ascii="Times" w:hAnsi="Times"/>
          <w:sz w:val="20"/>
          <w:szCs w:val="20"/>
        </w:rPr>
        <w:t xml:space="preserve"> </w:t>
      </w:r>
      <w:r>
        <w:rPr>
          <w:rFonts w:ascii="Times" w:hAnsi="Times"/>
          <w:sz w:val="20"/>
          <w:szCs w:val="20"/>
        </w:rPr>
        <w:t>“—</w:t>
      </w:r>
      <w:r>
        <w:rPr>
          <w:rFonts w:ascii="Times" w:hAnsi="Times"/>
          <w:i/>
          <w:iCs/>
          <w:sz w:val="20"/>
          <w:szCs w:val="20"/>
        </w:rPr>
        <w:t>Concentration of ownership will limit your ability to influence corporate matters,”</w:t>
      </w:r>
      <w:r>
        <w:rPr>
          <w:rFonts w:ascii="Times" w:hAnsi="Times"/>
          <w:sz w:val="20"/>
          <w:szCs w:val="20"/>
        </w:rPr>
        <w:t xml:space="preserve"> </w:t>
      </w:r>
      <w:r>
        <w:rPr>
          <w:rFonts w:ascii="Times" w:hAnsi="Times"/>
          <w:sz w:val="20"/>
          <w:szCs w:val="20"/>
        </w:rPr>
        <w:t>a number of shareholders hold large concentrations of our shares which, if sold within a relatively short timeframe, could cause the price of our shares to drop significantly.</w:t>
      </w:r>
      <w:r>
        <w:rPr>
          <w:rFonts w:ascii="Times" w:hAnsi="Times"/>
          <w:sz w:val="20"/>
          <w:szCs w:val="20"/>
        </w:rPr>
        <w:t xml:space="preserve"> </w:t>
      </w:r>
    </w:p>
    <w:p w:rsidR="00000000" w:rsidRDefault="008B747E">
      <w:pPr>
        <w:pStyle w:val="a3"/>
        <w:spacing w:before="0" w:beforeAutospacing="0" w:after="0" w:afterAutospacing="0"/>
        <w:ind w:firstLine="720"/>
        <w:divId w:val="1092045749"/>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1092045749"/>
        <w:rPr>
          <w:rFonts w:ascii="Times" w:hAnsi="Times"/>
          <w:sz w:val="20"/>
          <w:szCs w:val="20"/>
        </w:rPr>
      </w:pPr>
      <w:r>
        <w:rPr>
          <w:rFonts w:ascii="Times" w:hAnsi="Times"/>
          <w:sz w:val="20"/>
          <w:szCs w:val="20"/>
        </w:rPr>
        <w:t>Market prices for securities of biotechnology and biopharmaceutical companies</w:t>
      </w:r>
      <w:r>
        <w:rPr>
          <w:rFonts w:ascii="Times" w:hAnsi="Times"/>
          <w:sz w:val="20"/>
          <w:szCs w:val="20"/>
        </w:rPr>
        <w:t xml:space="preserve"> have been highly volatile, and we expect such volatility to continue for the foreseeable future, so that investment in our ordinary shares involves substantial risk. Additionally, the stock market from time to time has experienced significant price and vo</w:t>
      </w:r>
      <w:r>
        <w:rPr>
          <w:rFonts w:ascii="Times" w:hAnsi="Times"/>
          <w:sz w:val="20"/>
          <w:szCs w:val="20"/>
        </w:rPr>
        <w:t>lume fluctuations unrelated to the operating performance of particular companies.</w:t>
      </w:r>
      <w:r>
        <w:rPr>
          <w:rFonts w:ascii="Times" w:hAnsi="Times"/>
          <w:sz w:val="20"/>
          <w:szCs w:val="20"/>
        </w:rPr>
        <w:t xml:space="preserve"> </w:t>
      </w:r>
    </w:p>
    <w:p w:rsidR="00000000" w:rsidRDefault="008B747E">
      <w:pPr>
        <w:pStyle w:val="a3"/>
        <w:spacing w:before="360" w:beforeAutospacing="0" w:after="0" w:afterAutospacing="0"/>
        <w:jc w:val="center"/>
        <w:divId w:val="2008170496"/>
        <w:rPr>
          <w:sz w:val="20"/>
          <w:szCs w:val="20"/>
        </w:rPr>
      </w:pPr>
      <w:r>
        <w:rPr>
          <w:sz w:val="20"/>
          <w:szCs w:val="20"/>
        </w:rPr>
        <w:t>61</w:t>
      </w:r>
    </w:p>
    <w:p w:rsidR="00000000" w:rsidRDefault="008B747E">
      <w:pPr>
        <w:pStyle w:val="a3"/>
        <w:spacing w:before="0" w:beforeAutospacing="0" w:after="600" w:afterAutospacing="0"/>
        <w:divId w:val="1243415685"/>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ind w:firstLine="720"/>
        <w:divId w:val="1772816880"/>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1772816880"/>
        <w:rPr>
          <w:rFonts w:ascii="Times" w:hAnsi="Times"/>
          <w:sz w:val="20"/>
          <w:szCs w:val="20"/>
        </w:rPr>
      </w:pPr>
      <w:r>
        <w:rPr>
          <w:rFonts w:ascii="Times" w:hAnsi="Times"/>
          <w:sz w:val="20"/>
          <w:szCs w:val="20"/>
        </w:rPr>
        <w:t>The following are some of the factors that may have a significant effect on the market price of our ordinary shares:</w:t>
      </w:r>
    </w:p>
    <w:p w:rsidR="00000000" w:rsidRDefault="008B747E">
      <w:pPr>
        <w:pStyle w:val="a3"/>
        <w:spacing w:before="0" w:beforeAutospacing="0" w:after="0" w:afterAutospacing="0"/>
        <w:ind w:firstLine="720"/>
        <w:divId w:val="1772816880"/>
        <w:rPr>
          <w:rFonts w:ascii="Times" w:hAnsi="Times"/>
          <w:sz w:val="20"/>
          <w:szCs w:val="20"/>
        </w:rPr>
      </w:pPr>
      <w:r>
        <w:rPr>
          <w:rFonts w:ascii="Times" w:hAnsi="Time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72816880"/>
        </w:trPr>
        <w:tc>
          <w:tcPr>
            <w:tcW w:w="720" w:type="dxa"/>
            <w:vAlign w:val="center"/>
            <w:hideMark/>
          </w:tcPr>
          <w:p w:rsidR="00000000" w:rsidRDefault="008B747E">
            <w:pPr>
              <w:rPr>
                <w:rFonts w:ascii="Times" w:hAnsi="Times"/>
                <w:sz w:val="20"/>
                <w:szCs w:val="20"/>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lo</w:t>
            </w:r>
            <w:r>
              <w:rPr>
                <w:rFonts w:ascii="Times" w:eastAsia="Times New Roman" w:hAnsi="Times"/>
                <w:color w:val="000000"/>
                <w:sz w:val="20"/>
                <w:szCs w:val="20"/>
              </w:rPr>
              <w:t>wer than expected sales of YUPELRI;</w:t>
            </w:r>
          </w:p>
        </w:tc>
      </w:tr>
    </w:tbl>
    <w:p w:rsidR="00000000" w:rsidRDefault="008B747E">
      <w:pPr>
        <w:divId w:val="177281688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72816880"/>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 xml:space="preserve">any adverse developments or results or perceived adverse developments or results with respect to our key clinical programs, for example our JAK inhibitor program or ampreloxetine, including, without limitation, any </w:t>
            </w:r>
            <w:r>
              <w:rPr>
                <w:rFonts w:ascii="Times" w:eastAsia="Times New Roman" w:hAnsi="Times"/>
                <w:color w:val="000000"/>
                <w:sz w:val="20"/>
                <w:szCs w:val="20"/>
              </w:rPr>
              <w:t xml:space="preserve">delays in development in these programs, any halting of development in these programs, any difficulties or delays encountered with regard to the FDA or other regulatory authorities in these programs, or any indication from clinical or non-clinical studies </w:t>
            </w:r>
            <w:r>
              <w:rPr>
                <w:rFonts w:ascii="Times" w:eastAsia="Times New Roman" w:hAnsi="Times"/>
                <w:color w:val="000000"/>
                <w:sz w:val="20"/>
                <w:szCs w:val="20"/>
              </w:rPr>
              <w:t>that the compounds in such programs are not safe or efficacious;</w:t>
            </w:r>
            <w:r>
              <w:rPr>
                <w:rFonts w:ascii="Times" w:eastAsia="Times New Roman" w:hAnsi="Times"/>
                <w:color w:val="000000"/>
                <w:sz w:val="20"/>
                <w:szCs w:val="20"/>
              </w:rPr>
              <w:t xml:space="preserve"> </w:t>
            </w:r>
          </w:p>
        </w:tc>
      </w:tr>
    </w:tbl>
    <w:p w:rsidR="00000000" w:rsidRDefault="008B747E">
      <w:pPr>
        <w:divId w:val="177281688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72816880"/>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any adverse developments or results or perceived adverse developments or results with respect to the GSK-Partnered Respiratory Programs, including, without limitation, lower than expected sales of</w:t>
            </w:r>
            <w:r>
              <w:rPr>
                <w:rFonts w:ascii="Times" w:eastAsia="Times New Roman" w:hAnsi="Times"/>
                <w:color w:val="000000"/>
                <w:sz w:val="20"/>
                <w:szCs w:val="20"/>
              </w:rPr>
              <w:t xml:space="preserve"> </w:t>
            </w:r>
            <w:r>
              <w:rPr>
                <w:rFonts w:ascii="Times" w:eastAsia="Times New Roman" w:hAnsi="Times"/>
                <w:caps/>
                <w:color w:val="000000"/>
                <w:sz w:val="20"/>
                <w:szCs w:val="20"/>
              </w:rPr>
              <w:t>Trelegy Ellipta</w:t>
            </w:r>
            <w:r>
              <w:rPr>
                <w:rFonts w:ascii="Times" w:eastAsia="Times New Roman" w:hAnsi="Times"/>
                <w:color w:val="000000"/>
                <w:sz w:val="20"/>
                <w:szCs w:val="20"/>
              </w:rPr>
              <w:t>, any delays in development in these program</w:t>
            </w:r>
            <w:r>
              <w:rPr>
                <w:rFonts w:ascii="Times" w:eastAsia="Times New Roman" w:hAnsi="Times"/>
                <w:color w:val="000000"/>
                <w:sz w:val="20"/>
                <w:szCs w:val="20"/>
              </w:rPr>
              <w:t>s, any halting of development in these programs, any difficulties or delays encountered with regard to the FDA or other regulatory authorities in these programs, any indication from clinical or non-clinical studies that the compounds in such programs are n</w:t>
            </w:r>
            <w:r>
              <w:rPr>
                <w:rFonts w:ascii="Times" w:eastAsia="Times New Roman" w:hAnsi="Times"/>
                <w:color w:val="000000"/>
                <w:sz w:val="20"/>
                <w:szCs w:val="20"/>
              </w:rPr>
              <w:t>ot safe or efficacious;</w:t>
            </w:r>
            <w:r>
              <w:rPr>
                <w:rFonts w:ascii="Times" w:eastAsia="Times New Roman" w:hAnsi="Times"/>
                <w:color w:val="000000"/>
                <w:sz w:val="20"/>
                <w:szCs w:val="20"/>
              </w:rPr>
              <w:t xml:space="preserve"> </w:t>
            </w:r>
          </w:p>
        </w:tc>
      </w:tr>
    </w:tbl>
    <w:p w:rsidR="00000000" w:rsidRDefault="008B747E">
      <w:pPr>
        <w:divId w:val="177281688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72816880"/>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any announcements of developments with, or comments by, the FDA or other regulatory authorities with respect to products we or our partners have under development, are manufacturing or have commercialized;</w:t>
            </w:r>
            <w:r>
              <w:rPr>
                <w:rFonts w:ascii="Times" w:eastAsia="Times New Roman" w:hAnsi="Times"/>
                <w:color w:val="000000"/>
                <w:sz w:val="20"/>
                <w:szCs w:val="20"/>
              </w:rPr>
              <w:t xml:space="preserve"> </w:t>
            </w:r>
          </w:p>
        </w:tc>
      </w:tr>
    </w:tbl>
    <w:p w:rsidR="00000000" w:rsidRDefault="008B747E">
      <w:pPr>
        <w:divId w:val="177281688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72816880"/>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any adverse de</w:t>
            </w:r>
            <w:r>
              <w:rPr>
                <w:rFonts w:ascii="Times" w:eastAsia="Times New Roman" w:hAnsi="Times"/>
                <w:color w:val="000000"/>
                <w:sz w:val="20"/>
                <w:szCs w:val="20"/>
              </w:rPr>
              <w:t>velopments or agreements or perceived adverse developments or agreements with respect to our relationship with Innoviva, or the relationship of Innoviva or TRC on the one hand and GSK on the other hand, including any such developments or agreements resulti</w:t>
            </w:r>
            <w:r>
              <w:rPr>
                <w:rFonts w:ascii="Times" w:eastAsia="Times New Roman" w:hAnsi="Times"/>
                <w:color w:val="000000"/>
                <w:sz w:val="20"/>
                <w:szCs w:val="20"/>
              </w:rPr>
              <w:t>ng from or relating to the Spin-Off</w:t>
            </w:r>
            <w:r>
              <w:rPr>
                <w:rFonts w:ascii="Times" w:eastAsia="Times New Roman" w:hAnsi="Times"/>
                <w:color w:val="000000"/>
                <w:sz w:val="20"/>
                <w:szCs w:val="20"/>
              </w:rPr>
              <w:t xml:space="preserve"> </w:t>
            </w:r>
            <w:r>
              <w:rPr>
                <w:rFonts w:eastAsia="Times New Roman"/>
                <w:color w:val="000000"/>
                <w:sz w:val="20"/>
                <w:szCs w:val="20"/>
              </w:rPr>
              <w:t xml:space="preserve">(in this regard, </w:t>
            </w:r>
            <w:r>
              <w:rPr>
                <w:rFonts w:ascii="Times" w:eastAsia="Times New Roman" w:hAnsi="Times"/>
                <w:color w:val="000000"/>
                <w:sz w:val="20"/>
                <w:szCs w:val="20"/>
              </w:rPr>
              <w:t>w</w:t>
            </w:r>
            <w:r>
              <w:rPr>
                <w:rFonts w:eastAsia="Times New Roman"/>
                <w:color w:val="000000"/>
                <w:sz w:val="20"/>
                <w:szCs w:val="20"/>
              </w:rPr>
              <w:t>e have initiated an arbitration against Innoviva and TRC because Innoviva has caused TRC to not make certain distributions to us with respect to our 85% economic interest in TRC since</w:t>
            </w:r>
            <w:r>
              <w:rPr>
                <w:rFonts w:eastAsia="Times New Roman"/>
                <w:b/>
                <w:bCs/>
                <w:color w:val="000000"/>
                <w:sz w:val="20"/>
                <w:szCs w:val="20"/>
              </w:rPr>
              <w:t xml:space="preserve"> </w:t>
            </w:r>
            <w:r>
              <w:rPr>
                <w:rFonts w:eastAsia="Times New Roman"/>
                <w:color w:val="000000"/>
                <w:sz w:val="20"/>
                <w:szCs w:val="20"/>
              </w:rPr>
              <w:t xml:space="preserve">the quarter ended </w:t>
            </w:r>
            <w:r>
              <w:rPr>
                <w:rFonts w:eastAsia="Times New Roman"/>
                <w:color w:val="000000"/>
                <w:sz w:val="20"/>
                <w:szCs w:val="20"/>
              </w:rPr>
              <w:t>December 31, 2018, and Innoviva’s previous statement to us that it intends to cause TRC to withhold making further cash distributions through calendar year 2019. See Part II, Item 1 “Legal Proceedings” for further information);</w:t>
            </w:r>
            <w:r>
              <w:rPr>
                <w:rFonts w:eastAsia="Times New Roman"/>
                <w:color w:val="000000"/>
                <w:sz w:val="20"/>
                <w:szCs w:val="20"/>
              </w:rPr>
              <w:t xml:space="preserve"> </w:t>
            </w:r>
          </w:p>
        </w:tc>
      </w:tr>
    </w:tbl>
    <w:p w:rsidR="00000000" w:rsidRDefault="008B747E">
      <w:pPr>
        <w:divId w:val="177281688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72816880"/>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rPr>
                <w:rFonts w:ascii="Times" w:eastAsia="Times New Roman" w:hAnsi="Times"/>
                <w:sz w:val="20"/>
                <w:szCs w:val="20"/>
              </w:rPr>
            </w:pPr>
            <w:r>
              <w:rPr>
                <w:rFonts w:ascii="Times" w:eastAsia="Times New Roman" w:hAnsi="Times"/>
                <w:color w:val="000000"/>
                <w:sz w:val="20"/>
                <w:szCs w:val="20"/>
              </w:rPr>
              <w:t>any adverse developmen</w:t>
            </w:r>
            <w:r>
              <w:rPr>
                <w:rFonts w:ascii="Times" w:eastAsia="Times New Roman" w:hAnsi="Times"/>
                <w:color w:val="000000"/>
                <w:sz w:val="20"/>
                <w:szCs w:val="20"/>
              </w:rPr>
              <w:t>ts or perceived adverse developments with respect to our relationship with any of our research, development or commercialization partners, including, without limitation, disagreements that may arise between us and any of those partners;</w:t>
            </w:r>
            <w:r>
              <w:rPr>
                <w:rFonts w:ascii="Times" w:eastAsia="Times New Roman" w:hAnsi="Times"/>
                <w:color w:val="000000"/>
                <w:sz w:val="20"/>
                <w:szCs w:val="20"/>
              </w:rPr>
              <w:t xml:space="preserve"> </w:t>
            </w:r>
          </w:p>
        </w:tc>
      </w:tr>
    </w:tbl>
    <w:p w:rsidR="00000000" w:rsidRDefault="008B747E">
      <w:pPr>
        <w:divId w:val="177281688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72816880"/>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any adverse d</w:t>
            </w:r>
            <w:r>
              <w:rPr>
                <w:rFonts w:ascii="Times" w:eastAsia="Times New Roman" w:hAnsi="Times"/>
                <w:color w:val="000000"/>
                <w:sz w:val="20"/>
                <w:szCs w:val="20"/>
              </w:rPr>
              <w:t>evelopments or perceived adverse developments in our programs with respect to partnering efforts or otherwise;</w:t>
            </w:r>
            <w:r>
              <w:rPr>
                <w:rFonts w:ascii="Times" w:eastAsia="Times New Roman" w:hAnsi="Times"/>
                <w:color w:val="000000"/>
                <w:sz w:val="20"/>
                <w:szCs w:val="20"/>
              </w:rPr>
              <w:t xml:space="preserve"> </w:t>
            </w:r>
          </w:p>
        </w:tc>
      </w:tr>
    </w:tbl>
    <w:p w:rsidR="00000000" w:rsidRDefault="008B747E">
      <w:pPr>
        <w:divId w:val="177281688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72816880"/>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announcements of patent issuances or denials, technological innovations or new commercial products by us or our competitors;</w:t>
            </w:r>
            <w:r>
              <w:rPr>
                <w:rFonts w:ascii="Times" w:eastAsia="Times New Roman" w:hAnsi="Times"/>
                <w:color w:val="000000"/>
                <w:sz w:val="20"/>
                <w:szCs w:val="20"/>
              </w:rPr>
              <w:t xml:space="preserve"> </w:t>
            </w:r>
          </w:p>
        </w:tc>
      </w:tr>
    </w:tbl>
    <w:p w:rsidR="00000000" w:rsidRDefault="008B747E">
      <w:pPr>
        <w:divId w:val="177281688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72816880"/>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publicity regarding actual or potential study results or the outcome of regulatory review relating to products under development by us, our partners or our competitors;</w:t>
            </w:r>
            <w:r>
              <w:rPr>
                <w:rFonts w:ascii="Times" w:eastAsia="Times New Roman" w:hAnsi="Times"/>
                <w:color w:val="000000"/>
                <w:sz w:val="20"/>
                <w:szCs w:val="20"/>
              </w:rPr>
              <w:t xml:space="preserve"> </w:t>
            </w:r>
          </w:p>
        </w:tc>
      </w:tr>
    </w:tbl>
    <w:p w:rsidR="00000000" w:rsidRDefault="008B747E">
      <w:pPr>
        <w:divId w:val="177281688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72816880"/>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regulatory developments in the US and foreign countries;</w:t>
            </w:r>
            <w:r>
              <w:rPr>
                <w:rFonts w:ascii="Times" w:eastAsia="Times New Roman" w:hAnsi="Times"/>
                <w:color w:val="000000"/>
                <w:sz w:val="20"/>
                <w:szCs w:val="20"/>
              </w:rPr>
              <w:t xml:space="preserve"> </w:t>
            </w:r>
          </w:p>
        </w:tc>
      </w:tr>
    </w:tbl>
    <w:p w:rsidR="00000000" w:rsidRDefault="008B747E">
      <w:pPr>
        <w:divId w:val="177281688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72816880"/>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announcements with</w:t>
            </w:r>
            <w:r>
              <w:rPr>
                <w:rFonts w:ascii="Times" w:eastAsia="Times New Roman" w:hAnsi="Times"/>
                <w:color w:val="000000"/>
                <w:sz w:val="20"/>
                <w:szCs w:val="20"/>
              </w:rPr>
              <w:t xml:space="preserve"> respect to governmental or private insurer reimbursement policies;</w:t>
            </w:r>
            <w:r>
              <w:rPr>
                <w:rFonts w:ascii="Times" w:eastAsia="Times New Roman" w:hAnsi="Times"/>
                <w:color w:val="000000"/>
                <w:sz w:val="20"/>
                <w:szCs w:val="20"/>
              </w:rPr>
              <w:t xml:space="preserve"> </w:t>
            </w:r>
          </w:p>
        </w:tc>
      </w:tr>
    </w:tbl>
    <w:p w:rsidR="00000000" w:rsidRDefault="008B747E">
      <w:pPr>
        <w:divId w:val="177281688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72816880"/>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announcements of equity or debt financings;</w:t>
            </w:r>
            <w:r>
              <w:rPr>
                <w:rFonts w:ascii="Times" w:eastAsia="Times New Roman" w:hAnsi="Times"/>
                <w:color w:val="000000"/>
                <w:sz w:val="20"/>
                <w:szCs w:val="20"/>
              </w:rPr>
              <w:t xml:space="preserve"> </w:t>
            </w:r>
          </w:p>
        </w:tc>
      </w:tr>
    </w:tbl>
    <w:p w:rsidR="00000000" w:rsidRDefault="008B747E">
      <w:pPr>
        <w:divId w:val="177281688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72816880"/>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possible impairment charges on non-marketable equity securities;</w:t>
            </w:r>
            <w:r>
              <w:rPr>
                <w:rFonts w:ascii="Times" w:eastAsia="Times New Roman" w:hAnsi="Times"/>
                <w:color w:val="000000"/>
                <w:sz w:val="20"/>
                <w:szCs w:val="20"/>
              </w:rPr>
              <w:t xml:space="preserve"> </w:t>
            </w:r>
          </w:p>
        </w:tc>
      </w:tr>
    </w:tbl>
    <w:p w:rsidR="00000000" w:rsidRDefault="008B747E">
      <w:pPr>
        <w:divId w:val="177281688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72816880"/>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economic and other external factors beyond our control, such as fluctuations in interest rates;</w:t>
            </w:r>
            <w:r>
              <w:rPr>
                <w:rFonts w:ascii="Times" w:eastAsia="Times New Roman" w:hAnsi="Times"/>
                <w:color w:val="000000"/>
                <w:sz w:val="20"/>
                <w:szCs w:val="20"/>
              </w:rPr>
              <w:t xml:space="preserve"> </w:t>
            </w:r>
          </w:p>
        </w:tc>
      </w:tr>
    </w:tbl>
    <w:p w:rsidR="00000000" w:rsidRDefault="008B747E">
      <w:pPr>
        <w:divId w:val="1772816880"/>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772816880"/>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loss of key personnel;</w:t>
            </w:r>
            <w:r>
              <w:rPr>
                <w:rFonts w:ascii="Times" w:eastAsia="Times New Roman" w:hAnsi="Times"/>
                <w:color w:val="000000"/>
                <w:sz w:val="20"/>
                <w:szCs w:val="20"/>
              </w:rPr>
              <w:t xml:space="preserve"> </w:t>
            </w:r>
          </w:p>
        </w:tc>
      </w:tr>
    </w:tbl>
    <w:p w:rsidR="00000000" w:rsidRDefault="008B747E">
      <w:pPr>
        <w:pStyle w:val="a3"/>
        <w:spacing w:before="360" w:beforeAutospacing="0" w:after="0" w:afterAutospacing="0"/>
        <w:jc w:val="center"/>
        <w:divId w:val="1387603303"/>
        <w:rPr>
          <w:sz w:val="20"/>
          <w:szCs w:val="20"/>
        </w:rPr>
      </w:pPr>
      <w:r>
        <w:rPr>
          <w:sz w:val="20"/>
          <w:szCs w:val="20"/>
        </w:rPr>
        <w:t>62</w:t>
      </w:r>
    </w:p>
    <w:p w:rsidR="00000000" w:rsidRDefault="008B747E">
      <w:pPr>
        <w:pStyle w:val="a3"/>
        <w:spacing w:before="0" w:beforeAutospacing="0" w:after="600" w:afterAutospacing="0"/>
        <w:divId w:val="1600747215"/>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4090832"/>
        </w:trPr>
        <w:tc>
          <w:tcPr>
            <w:tcW w:w="720" w:type="dxa"/>
            <w:vAlign w:val="center"/>
            <w:hideMark/>
          </w:tcPr>
          <w:p w:rsidR="00000000" w:rsidRDefault="008B747E">
            <w:pPr>
              <w:rPr>
                <w:sz w:val="20"/>
                <w:szCs w:val="20"/>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likelihood of our ordinary shares to be more sensitive to changes in sales volume, market fluctuations and events or perceived events with respect to our business due to our small public float;</w:t>
            </w:r>
            <w:r>
              <w:rPr>
                <w:rFonts w:ascii="Times" w:eastAsia="Times New Roman" w:hAnsi="Times"/>
                <w:color w:val="000000"/>
                <w:sz w:val="20"/>
                <w:szCs w:val="20"/>
              </w:rPr>
              <w:t xml:space="preserve"> </w:t>
            </w:r>
          </w:p>
        </w:tc>
      </w:tr>
    </w:tbl>
    <w:p w:rsidR="00000000" w:rsidRDefault="008B747E">
      <w:pPr>
        <w:divId w:val="14340908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409083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low public market trading volumes for our ordinary share</w:t>
            </w:r>
            <w:r>
              <w:rPr>
                <w:rFonts w:ascii="Times" w:eastAsia="Times New Roman" w:hAnsi="Times"/>
                <w:color w:val="000000"/>
                <w:sz w:val="20"/>
                <w:szCs w:val="20"/>
              </w:rPr>
              <w:t>s related in part to the concentration of ownership of our shares;</w:t>
            </w:r>
            <w:r>
              <w:rPr>
                <w:rFonts w:ascii="Times" w:eastAsia="Times New Roman" w:hAnsi="Times"/>
                <w:color w:val="000000"/>
                <w:sz w:val="20"/>
                <w:szCs w:val="20"/>
              </w:rPr>
              <w:t xml:space="preserve"> </w:t>
            </w:r>
          </w:p>
        </w:tc>
      </w:tr>
    </w:tbl>
    <w:p w:rsidR="00000000" w:rsidRDefault="008B747E">
      <w:pPr>
        <w:divId w:val="14340908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409083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the sale of large concentrations of our shares;</w:t>
            </w:r>
            <w:r>
              <w:rPr>
                <w:rFonts w:ascii="Times" w:eastAsia="Times New Roman" w:hAnsi="Times"/>
                <w:color w:val="000000"/>
                <w:sz w:val="20"/>
                <w:szCs w:val="20"/>
              </w:rPr>
              <w:t xml:space="preserve"> </w:t>
            </w:r>
          </w:p>
        </w:tc>
      </w:tr>
    </w:tbl>
    <w:p w:rsidR="00000000" w:rsidRDefault="008B747E">
      <w:pPr>
        <w:divId w:val="14340908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409083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developments or disputes as to patent or other proprietary rights;</w:t>
            </w:r>
            <w:r>
              <w:rPr>
                <w:rFonts w:ascii="Times" w:eastAsia="Times New Roman" w:hAnsi="Times"/>
                <w:color w:val="000000"/>
                <w:sz w:val="20"/>
                <w:szCs w:val="20"/>
              </w:rPr>
              <w:t xml:space="preserve"> </w:t>
            </w:r>
          </w:p>
        </w:tc>
      </w:tr>
    </w:tbl>
    <w:p w:rsidR="00000000" w:rsidRDefault="008B747E">
      <w:pPr>
        <w:divId w:val="14340908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409083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approval or introduction of competing products and techn</w:t>
            </w:r>
            <w:r>
              <w:rPr>
                <w:rFonts w:ascii="Times" w:eastAsia="Times New Roman" w:hAnsi="Times"/>
                <w:color w:val="000000"/>
                <w:sz w:val="20"/>
                <w:szCs w:val="20"/>
              </w:rPr>
              <w:t>ologies;</w:t>
            </w:r>
            <w:r>
              <w:rPr>
                <w:rFonts w:ascii="Times" w:eastAsia="Times New Roman" w:hAnsi="Times"/>
                <w:color w:val="000000"/>
                <w:sz w:val="20"/>
                <w:szCs w:val="20"/>
              </w:rPr>
              <w:t xml:space="preserve"> </w:t>
            </w:r>
          </w:p>
        </w:tc>
      </w:tr>
    </w:tbl>
    <w:p w:rsidR="00000000" w:rsidRDefault="008B747E">
      <w:pPr>
        <w:divId w:val="14340908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409083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results of clinical trials;</w:t>
            </w:r>
            <w:r>
              <w:rPr>
                <w:rFonts w:ascii="Times" w:eastAsia="Times New Roman" w:hAnsi="Times"/>
                <w:color w:val="000000"/>
                <w:sz w:val="20"/>
                <w:szCs w:val="20"/>
              </w:rPr>
              <w:t xml:space="preserve"> </w:t>
            </w:r>
          </w:p>
        </w:tc>
      </w:tr>
    </w:tbl>
    <w:p w:rsidR="00000000" w:rsidRDefault="008B747E">
      <w:pPr>
        <w:divId w:val="14340908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409083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failures or unexpected delays in timelines for our potential products in development, including the obtaining of regulatory approvals;</w:t>
            </w:r>
            <w:r>
              <w:rPr>
                <w:rFonts w:ascii="Times" w:eastAsia="Times New Roman" w:hAnsi="Times"/>
                <w:color w:val="000000"/>
                <w:sz w:val="20"/>
                <w:szCs w:val="20"/>
              </w:rPr>
              <w:t xml:space="preserve"> </w:t>
            </w:r>
          </w:p>
        </w:tc>
      </w:tr>
    </w:tbl>
    <w:p w:rsidR="00000000" w:rsidRDefault="008B747E">
      <w:pPr>
        <w:divId w:val="14340908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409083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delays in manufacturing adversely affecting clinical or commercial operations;</w:t>
            </w:r>
            <w:r>
              <w:rPr>
                <w:rFonts w:ascii="Times" w:eastAsia="Times New Roman" w:hAnsi="Times"/>
                <w:color w:val="000000"/>
                <w:sz w:val="20"/>
                <w:szCs w:val="20"/>
              </w:rPr>
              <w:t xml:space="preserve"> </w:t>
            </w:r>
          </w:p>
        </w:tc>
      </w:tr>
    </w:tbl>
    <w:p w:rsidR="00000000" w:rsidRDefault="008B747E">
      <w:pPr>
        <w:divId w:val="14340908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409083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fluctuations in our operating results;</w:t>
            </w:r>
            <w:r>
              <w:rPr>
                <w:rFonts w:ascii="Times" w:eastAsia="Times New Roman" w:hAnsi="Times"/>
                <w:color w:val="000000"/>
                <w:sz w:val="20"/>
                <w:szCs w:val="20"/>
              </w:rPr>
              <w:t xml:space="preserve"> </w:t>
            </w:r>
          </w:p>
        </w:tc>
      </w:tr>
    </w:tbl>
    <w:p w:rsidR="00000000" w:rsidRDefault="008B747E">
      <w:pPr>
        <w:divId w:val="14340908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409083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market reaction to announcements by other biotechnology or pharmaceutical companies;</w:t>
            </w:r>
            <w:r>
              <w:rPr>
                <w:rFonts w:ascii="Times" w:eastAsia="Times New Roman" w:hAnsi="Times"/>
                <w:color w:val="000000"/>
                <w:sz w:val="20"/>
                <w:szCs w:val="20"/>
              </w:rPr>
              <w:t xml:space="preserve"> </w:t>
            </w:r>
          </w:p>
        </w:tc>
      </w:tr>
    </w:tbl>
    <w:p w:rsidR="00000000" w:rsidRDefault="008B747E">
      <w:pPr>
        <w:divId w:val="14340908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409083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initiation, termination or modification of agreements with our collaborators or disputes or disagreements with collaborators;</w:t>
            </w:r>
            <w:r>
              <w:rPr>
                <w:rFonts w:ascii="Times" w:eastAsia="Times New Roman" w:hAnsi="Times"/>
                <w:color w:val="000000"/>
                <w:sz w:val="20"/>
                <w:szCs w:val="20"/>
              </w:rPr>
              <w:t xml:space="preserve"> </w:t>
            </w:r>
          </w:p>
        </w:tc>
      </w:tr>
    </w:tbl>
    <w:p w:rsidR="00000000" w:rsidRDefault="008B747E">
      <w:pPr>
        <w:divId w:val="14340908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409083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litigation or the threat of litigation;</w:t>
            </w:r>
            <w:r>
              <w:rPr>
                <w:rFonts w:ascii="Times" w:eastAsia="Times New Roman" w:hAnsi="Times"/>
                <w:color w:val="000000"/>
                <w:sz w:val="20"/>
                <w:szCs w:val="20"/>
              </w:rPr>
              <w:t xml:space="preserve"> </w:t>
            </w:r>
          </w:p>
        </w:tc>
      </w:tr>
    </w:tbl>
    <w:p w:rsidR="00000000" w:rsidRDefault="008B747E">
      <w:pPr>
        <w:divId w:val="14340908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409083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public concern as to the safety of product candidates or medicines developed b</w:t>
            </w:r>
            <w:r>
              <w:rPr>
                <w:rFonts w:ascii="Times" w:eastAsia="Times New Roman" w:hAnsi="Times"/>
                <w:color w:val="000000"/>
                <w:sz w:val="20"/>
                <w:szCs w:val="20"/>
              </w:rPr>
              <w:t>y us; and</w:t>
            </w:r>
            <w:r>
              <w:rPr>
                <w:rFonts w:ascii="Times" w:eastAsia="Times New Roman" w:hAnsi="Times"/>
                <w:color w:val="000000"/>
                <w:sz w:val="20"/>
                <w:szCs w:val="20"/>
              </w:rPr>
              <w:t xml:space="preserve"> </w:t>
            </w:r>
          </w:p>
        </w:tc>
      </w:tr>
    </w:tbl>
    <w:p w:rsidR="00000000" w:rsidRDefault="008B747E">
      <w:pPr>
        <w:divId w:val="1434090832"/>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4090832"/>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rPr>
                <w:rFonts w:ascii="Times" w:eastAsia="Times New Roman" w:hAnsi="Times"/>
                <w:sz w:val="20"/>
                <w:szCs w:val="20"/>
              </w:rPr>
            </w:pPr>
            <w:r>
              <w:rPr>
                <w:rFonts w:ascii="Times" w:eastAsia="Times New Roman" w:hAnsi="Times"/>
                <w:color w:val="000000"/>
                <w:sz w:val="20"/>
                <w:szCs w:val="20"/>
              </w:rPr>
              <w:t>comments and expectations of results made by securities analysts or investors.</w:t>
            </w:r>
          </w:p>
        </w:tc>
      </w:tr>
    </w:tbl>
    <w:p w:rsidR="00000000" w:rsidRDefault="008B747E">
      <w:pPr>
        <w:pStyle w:val="a3"/>
        <w:spacing w:before="0" w:beforeAutospacing="0" w:after="0" w:afterAutospacing="0"/>
        <w:ind w:firstLine="720"/>
        <w:divId w:val="1434090832"/>
        <w:rPr>
          <w:rFonts w:ascii="Times" w:hAnsi="Times"/>
          <w:sz w:val="20"/>
          <w:szCs w:val="20"/>
        </w:rPr>
      </w:pPr>
      <w:r>
        <w:rPr>
          <w:rFonts w:ascii="Times" w:hAnsi="Times"/>
          <w:sz w:val="20"/>
          <w:szCs w:val="20"/>
        </w:rPr>
        <w:t>If any of these factors causes us to fail to meet the expectations of securities analysts or investors, or if adverse conditions prevail or are perceived to pre</w:t>
      </w:r>
      <w:r>
        <w:rPr>
          <w:rFonts w:ascii="Times" w:hAnsi="Times"/>
          <w:sz w:val="20"/>
          <w:szCs w:val="20"/>
        </w:rPr>
        <w:t>vail with respect to our business, the price of the ordinary shares would likely drop significantly. A significant drop in the price of a company’s securities often leads to the filing of securities class action litigation against the company. This type of</w:t>
      </w:r>
      <w:r>
        <w:rPr>
          <w:rFonts w:ascii="Times" w:hAnsi="Times"/>
          <w:sz w:val="20"/>
          <w:szCs w:val="20"/>
        </w:rPr>
        <w:t xml:space="preserve"> litigation against us could result in substantial costs and a diversion of management’s attention and resources.</w:t>
      </w:r>
      <w:r>
        <w:rPr>
          <w:rFonts w:ascii="Times" w:hAnsi="Times"/>
          <w:sz w:val="20"/>
          <w:szCs w:val="20"/>
        </w:rPr>
        <w:t xml:space="preserve"> </w:t>
      </w:r>
    </w:p>
    <w:p w:rsidR="00000000" w:rsidRDefault="008B747E">
      <w:pPr>
        <w:pStyle w:val="a3"/>
        <w:spacing w:before="0" w:beforeAutospacing="0" w:after="0" w:afterAutospacing="0"/>
        <w:divId w:val="1434090832"/>
        <w:rPr>
          <w:sz w:val="20"/>
          <w:szCs w:val="20"/>
        </w:rPr>
      </w:pPr>
      <w:r>
        <w:rPr>
          <w:sz w:val="20"/>
          <w:szCs w:val="20"/>
        </w:rPr>
        <w:t>​</w:t>
      </w:r>
    </w:p>
    <w:p w:rsidR="00000000" w:rsidRDefault="008B747E">
      <w:pPr>
        <w:pStyle w:val="a3"/>
        <w:spacing w:before="0" w:beforeAutospacing="0" w:after="120" w:afterAutospacing="0"/>
        <w:divId w:val="1434090832"/>
        <w:rPr>
          <w:rFonts w:ascii="Times" w:hAnsi="Times"/>
          <w:b/>
          <w:bCs/>
          <w:i/>
          <w:iCs/>
          <w:sz w:val="20"/>
          <w:szCs w:val="20"/>
        </w:rPr>
      </w:pPr>
      <w:r>
        <w:rPr>
          <w:rFonts w:ascii="Times" w:hAnsi="Times"/>
          <w:b/>
          <w:bCs/>
          <w:i/>
          <w:iCs/>
          <w:sz w:val="20"/>
          <w:szCs w:val="20"/>
        </w:rPr>
        <w:t>Concentration of ownership will limit your ability to influence corporate matters.</w:t>
      </w:r>
      <w:r>
        <w:rPr>
          <w:rFonts w:ascii="Times" w:hAnsi="Times"/>
          <w:b/>
          <w:bCs/>
          <w:i/>
          <w:iCs/>
          <w:sz w:val="20"/>
          <w:szCs w:val="20"/>
        </w:rPr>
        <w:t xml:space="preserve"> </w:t>
      </w:r>
    </w:p>
    <w:p w:rsidR="00000000" w:rsidRDefault="008B747E">
      <w:pPr>
        <w:pStyle w:val="a3"/>
        <w:spacing w:before="0" w:beforeAutospacing="0" w:after="0" w:afterAutospacing="0"/>
        <w:ind w:firstLine="720"/>
        <w:divId w:val="1434090832"/>
        <w:rPr>
          <w:rFonts w:ascii="Times" w:hAnsi="Times"/>
          <w:sz w:val="20"/>
          <w:szCs w:val="20"/>
        </w:rPr>
      </w:pPr>
      <w:r>
        <w:rPr>
          <w:rFonts w:ascii="Times" w:hAnsi="Times"/>
          <w:sz w:val="20"/>
          <w:szCs w:val="20"/>
        </w:rPr>
        <w:t>Based on our review of publicly available filings, as of June 30, 2019 our three largest shareholders collectively owned approximately 57.1% of our outstanding ordinary sha</w:t>
      </w:r>
      <w:r>
        <w:rPr>
          <w:rFonts w:ascii="Times" w:hAnsi="Times"/>
          <w:sz w:val="20"/>
          <w:szCs w:val="20"/>
        </w:rPr>
        <w:t>res. These shareholders could control the outcome of actions taken by us that require shareholder approval, including a transaction in which shareholders might receive a premium over the prevailing market price for their shares.</w:t>
      </w:r>
      <w:r>
        <w:rPr>
          <w:rFonts w:ascii="Times" w:hAnsi="Times"/>
          <w:sz w:val="20"/>
          <w:szCs w:val="20"/>
        </w:rPr>
        <w:t xml:space="preserve"> </w:t>
      </w:r>
    </w:p>
    <w:p w:rsidR="00000000" w:rsidRDefault="008B747E">
      <w:pPr>
        <w:pStyle w:val="a3"/>
        <w:spacing w:before="0" w:beforeAutospacing="0" w:after="0" w:afterAutospacing="0"/>
        <w:ind w:firstLine="720"/>
        <w:divId w:val="1434090832"/>
        <w:rPr>
          <w:rFonts w:ascii="Times" w:hAnsi="Times"/>
          <w:sz w:val="20"/>
          <w:szCs w:val="20"/>
        </w:rPr>
      </w:pPr>
      <w:r>
        <w:rPr>
          <w:rFonts w:ascii="Times" w:hAnsi="Times"/>
          <w:sz w:val="20"/>
          <w:szCs w:val="20"/>
        </w:rPr>
        <w:t>​</w:t>
      </w:r>
    </w:p>
    <w:p w:rsidR="00000000" w:rsidRDefault="008B747E">
      <w:pPr>
        <w:pStyle w:val="a3"/>
        <w:spacing w:before="0" w:beforeAutospacing="0" w:after="120" w:afterAutospacing="0"/>
        <w:divId w:val="1434090832"/>
        <w:rPr>
          <w:rFonts w:ascii="Times" w:hAnsi="Times"/>
          <w:b/>
          <w:bCs/>
          <w:i/>
          <w:iCs/>
          <w:sz w:val="20"/>
          <w:szCs w:val="20"/>
        </w:rPr>
      </w:pPr>
      <w:r>
        <w:rPr>
          <w:rFonts w:ascii="Times" w:hAnsi="Times"/>
          <w:b/>
          <w:bCs/>
          <w:i/>
          <w:iCs/>
          <w:sz w:val="20"/>
          <w:szCs w:val="20"/>
        </w:rPr>
        <w:t>Certain provisions in ou</w:t>
      </w:r>
      <w:r>
        <w:rPr>
          <w:rFonts w:ascii="Times" w:hAnsi="Times"/>
          <w:b/>
          <w:bCs/>
          <w:i/>
          <w:iCs/>
          <w:sz w:val="20"/>
          <w:szCs w:val="20"/>
        </w:rPr>
        <w:t>r constitutional and other documents may discourage our acquisition by a third-party, which could limit your opportunity to sell shares at a premium.</w:t>
      </w:r>
      <w:r>
        <w:rPr>
          <w:rFonts w:ascii="Times" w:hAnsi="Times"/>
          <w:b/>
          <w:bCs/>
          <w:i/>
          <w:iCs/>
          <w:sz w:val="20"/>
          <w:szCs w:val="20"/>
        </w:rPr>
        <w:t xml:space="preserve"> </w:t>
      </w:r>
    </w:p>
    <w:p w:rsidR="00000000" w:rsidRDefault="008B747E">
      <w:pPr>
        <w:pStyle w:val="a3"/>
        <w:spacing w:before="0" w:beforeAutospacing="0" w:after="0" w:afterAutospacing="0"/>
        <w:ind w:firstLine="720"/>
        <w:divId w:val="1434090832"/>
        <w:rPr>
          <w:rFonts w:ascii="Times" w:hAnsi="Times"/>
          <w:sz w:val="20"/>
          <w:szCs w:val="20"/>
        </w:rPr>
      </w:pPr>
      <w:r>
        <w:rPr>
          <w:rFonts w:ascii="Times" w:hAnsi="Times"/>
          <w:sz w:val="20"/>
          <w:szCs w:val="20"/>
        </w:rPr>
        <w:t>Our constitutional documents include provisions that could limit the ability of others to acquire control</w:t>
      </w:r>
      <w:r>
        <w:rPr>
          <w:rFonts w:ascii="Times" w:hAnsi="Times"/>
          <w:sz w:val="20"/>
          <w:szCs w:val="20"/>
        </w:rPr>
        <w:t xml:space="preserve"> of us, modify our structure or cause us to engage in change-of-control transactions, including, among other things, provisions that:</w:t>
      </w:r>
    </w:p>
    <w:p w:rsidR="00000000" w:rsidRDefault="008B747E">
      <w:pPr>
        <w:pStyle w:val="a3"/>
        <w:spacing w:before="0" w:beforeAutospacing="0" w:after="0" w:afterAutospacing="0"/>
        <w:ind w:firstLine="720"/>
        <w:divId w:val="1434090832"/>
        <w:rPr>
          <w:rFonts w:ascii="Times" w:hAnsi="Times"/>
          <w:sz w:val="20"/>
          <w:szCs w:val="20"/>
        </w:rPr>
      </w:pPr>
      <w:r>
        <w:rPr>
          <w:rFonts w:ascii="Times" w:hAnsi="Times"/>
          <w:sz w:val="16"/>
          <w:szCs w:val="16"/>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1434090832"/>
        </w:trPr>
        <w:tc>
          <w:tcPr>
            <w:tcW w:w="720" w:type="dxa"/>
            <w:vAlign w:val="center"/>
            <w:hideMark/>
          </w:tcPr>
          <w:p w:rsidR="00000000" w:rsidRDefault="008B747E">
            <w:pPr>
              <w:rPr>
                <w:rFonts w:ascii="Times" w:hAnsi="Times"/>
                <w:sz w:val="20"/>
                <w:szCs w:val="20"/>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require supermajority shareholder voting to effect certain amendments to our amended and restated memorandum and arti</w:t>
            </w:r>
            <w:r>
              <w:rPr>
                <w:rFonts w:ascii="Times" w:eastAsia="Times New Roman" w:hAnsi="Times"/>
                <w:color w:val="000000"/>
                <w:sz w:val="20"/>
                <w:szCs w:val="20"/>
              </w:rPr>
              <w:t>cles of association;</w:t>
            </w:r>
            <w:r>
              <w:rPr>
                <w:rFonts w:ascii="Times" w:eastAsia="Times New Roman" w:hAnsi="Times"/>
                <w:color w:val="000000"/>
                <w:sz w:val="20"/>
                <w:szCs w:val="20"/>
              </w:rPr>
              <w:t xml:space="preserve"> </w:t>
            </w:r>
          </w:p>
        </w:tc>
      </w:tr>
    </w:tbl>
    <w:p w:rsidR="00000000" w:rsidRDefault="008B747E">
      <w:pPr>
        <w:pStyle w:val="a3"/>
        <w:spacing w:before="360" w:beforeAutospacing="0" w:after="0" w:afterAutospacing="0"/>
        <w:jc w:val="center"/>
        <w:divId w:val="623585805"/>
        <w:rPr>
          <w:sz w:val="20"/>
          <w:szCs w:val="20"/>
        </w:rPr>
      </w:pPr>
      <w:r>
        <w:rPr>
          <w:sz w:val="20"/>
          <w:szCs w:val="20"/>
        </w:rPr>
        <w:t>63</w:t>
      </w:r>
    </w:p>
    <w:p w:rsidR="00000000" w:rsidRDefault="008B747E">
      <w:pPr>
        <w:pStyle w:val="a3"/>
        <w:spacing w:before="0" w:beforeAutospacing="0" w:after="600" w:afterAutospacing="0"/>
        <w:divId w:val="1498032409"/>
        <w:rPr>
          <w:sz w:val="20"/>
          <w:szCs w:val="20"/>
        </w:rPr>
      </w:pPr>
      <w:hyperlink w:anchor="TOC" w:history="1">
        <w:r>
          <w:rPr>
            <w:rStyle w:val="a4"/>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38092469"/>
        </w:trPr>
        <w:tc>
          <w:tcPr>
            <w:tcW w:w="720" w:type="dxa"/>
            <w:vAlign w:val="center"/>
            <w:hideMark/>
          </w:tcPr>
          <w:p w:rsidR="00000000" w:rsidRDefault="008B747E">
            <w:pPr>
              <w:rPr>
                <w:sz w:val="20"/>
                <w:szCs w:val="20"/>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establish a classified board of directors;</w:t>
            </w:r>
            <w:r>
              <w:rPr>
                <w:rFonts w:ascii="Times" w:eastAsia="Times New Roman" w:hAnsi="Times"/>
                <w:color w:val="000000"/>
                <w:sz w:val="20"/>
                <w:szCs w:val="20"/>
              </w:rPr>
              <w:t xml:space="preserve"> </w:t>
            </w:r>
          </w:p>
        </w:tc>
      </w:tr>
    </w:tbl>
    <w:p w:rsidR="00000000" w:rsidRDefault="008B747E">
      <w:pPr>
        <w:divId w:val="73809246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38092469"/>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restrict our shareholders from calling meetings or acting by written consent in lieu of a meeting;</w:t>
            </w:r>
            <w:r>
              <w:rPr>
                <w:rFonts w:ascii="Times" w:eastAsia="Times New Roman" w:hAnsi="Times"/>
                <w:color w:val="000000"/>
                <w:sz w:val="20"/>
                <w:szCs w:val="20"/>
              </w:rPr>
              <w:t xml:space="preserve"> </w:t>
            </w:r>
          </w:p>
        </w:tc>
      </w:tr>
    </w:tbl>
    <w:p w:rsidR="00000000" w:rsidRDefault="008B747E">
      <w:pPr>
        <w:divId w:val="73809246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38092469"/>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limit the ability of our shareholders to propose actions at duly convened meetings; and</w:t>
            </w:r>
            <w:r>
              <w:rPr>
                <w:rFonts w:ascii="Times" w:eastAsia="Times New Roman" w:hAnsi="Times"/>
                <w:color w:val="000000"/>
                <w:sz w:val="20"/>
                <w:szCs w:val="20"/>
              </w:rPr>
              <w:t xml:space="preserve"> </w:t>
            </w:r>
          </w:p>
        </w:tc>
      </w:tr>
    </w:tbl>
    <w:p w:rsidR="00000000" w:rsidRDefault="008B747E">
      <w:pPr>
        <w:divId w:val="73809246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38092469"/>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rPr>
                <w:rFonts w:ascii="Times" w:eastAsia="Times New Roman" w:hAnsi="Times"/>
                <w:sz w:val="20"/>
                <w:szCs w:val="20"/>
              </w:rPr>
            </w:pPr>
            <w:r>
              <w:rPr>
                <w:rFonts w:ascii="Times" w:eastAsia="Times New Roman" w:hAnsi="Times"/>
                <w:color w:val="000000"/>
                <w:sz w:val="20"/>
                <w:szCs w:val="20"/>
              </w:rPr>
              <w:t>authorize our board of directors, without action by our shareholders, to issue preferred shares and additional ordinary shares.</w:t>
            </w:r>
            <w:r>
              <w:rPr>
                <w:rFonts w:ascii="Times" w:eastAsia="Times New Roman" w:hAnsi="Times"/>
                <w:color w:val="000000"/>
                <w:sz w:val="20"/>
                <w:szCs w:val="20"/>
              </w:rPr>
              <w:t xml:space="preserve"> </w:t>
            </w:r>
          </w:p>
        </w:tc>
      </w:tr>
    </w:tbl>
    <w:p w:rsidR="00000000" w:rsidRDefault="008B747E">
      <w:pPr>
        <w:pStyle w:val="a3"/>
        <w:spacing w:before="0" w:beforeAutospacing="0" w:after="0" w:afterAutospacing="0"/>
        <w:ind w:firstLine="720"/>
        <w:divId w:val="738092469"/>
        <w:rPr>
          <w:rFonts w:ascii="Times" w:hAnsi="Times"/>
          <w:sz w:val="20"/>
          <w:szCs w:val="20"/>
        </w:rPr>
      </w:pPr>
      <w:r>
        <w:rPr>
          <w:rFonts w:ascii="Times" w:hAnsi="Times"/>
          <w:sz w:val="20"/>
          <w:szCs w:val="20"/>
        </w:rPr>
        <w:t>In addition, in May 2018, our shareholders approved a resolution authorizing our board of directors to adopt a shareholder rig</w:t>
      </w:r>
      <w:r>
        <w:rPr>
          <w:rFonts w:ascii="Times" w:hAnsi="Times"/>
          <w:sz w:val="20"/>
          <w:szCs w:val="20"/>
        </w:rPr>
        <w:t>hts plan in the future intended to deter any person from acquiring more than 19.9% of our outstanding ordinary shares without the approval of our board of directors.</w:t>
      </w:r>
    </w:p>
    <w:p w:rsidR="00000000" w:rsidRDefault="008B747E">
      <w:pPr>
        <w:pStyle w:val="a3"/>
        <w:spacing w:before="0" w:beforeAutospacing="0" w:after="0" w:afterAutospacing="0"/>
        <w:ind w:firstLine="720"/>
        <w:divId w:val="738092469"/>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738092469"/>
        <w:rPr>
          <w:rFonts w:ascii="Times" w:hAnsi="Times"/>
          <w:sz w:val="20"/>
          <w:szCs w:val="20"/>
        </w:rPr>
      </w:pPr>
      <w:r>
        <w:rPr>
          <w:rFonts w:ascii="Times" w:hAnsi="Times"/>
          <w:sz w:val="20"/>
          <w:szCs w:val="20"/>
        </w:rPr>
        <w:t>These provisions could have the effect of depriving you of an opportunity to sell your o</w:t>
      </w:r>
      <w:r>
        <w:rPr>
          <w:rFonts w:ascii="Times" w:hAnsi="Times"/>
          <w:sz w:val="20"/>
          <w:szCs w:val="20"/>
        </w:rPr>
        <w:t>rdinary shares at a premium over prevailing market prices by discouraging third parties from seeking to acquire control of us in a tender offer or similar transaction.</w:t>
      </w:r>
      <w:r>
        <w:rPr>
          <w:rFonts w:ascii="Times" w:hAnsi="Times"/>
          <w:sz w:val="20"/>
          <w:szCs w:val="20"/>
        </w:rPr>
        <w:t xml:space="preserve"> </w:t>
      </w:r>
    </w:p>
    <w:p w:rsidR="00000000" w:rsidRDefault="008B747E">
      <w:pPr>
        <w:pStyle w:val="a3"/>
        <w:spacing w:before="0" w:beforeAutospacing="0" w:after="0" w:afterAutospacing="0"/>
        <w:ind w:firstLine="720"/>
        <w:divId w:val="738092469"/>
        <w:rPr>
          <w:rFonts w:ascii="Times" w:hAnsi="Times"/>
          <w:sz w:val="20"/>
          <w:szCs w:val="20"/>
        </w:rPr>
      </w:pPr>
      <w:r>
        <w:rPr>
          <w:rFonts w:ascii="Times" w:hAnsi="Times"/>
          <w:sz w:val="20"/>
          <w:szCs w:val="20"/>
        </w:rPr>
        <w:t>​</w:t>
      </w:r>
    </w:p>
    <w:p w:rsidR="00000000" w:rsidRDefault="008B747E">
      <w:pPr>
        <w:pStyle w:val="a3"/>
        <w:spacing w:before="0" w:beforeAutospacing="0" w:after="120" w:afterAutospacing="0"/>
        <w:divId w:val="738092469"/>
        <w:rPr>
          <w:rFonts w:ascii="Times" w:hAnsi="Times"/>
          <w:b/>
          <w:bCs/>
          <w:i/>
          <w:iCs/>
          <w:sz w:val="20"/>
          <w:szCs w:val="20"/>
        </w:rPr>
      </w:pPr>
      <w:r>
        <w:rPr>
          <w:rFonts w:ascii="Times" w:hAnsi="Times"/>
          <w:b/>
          <w:bCs/>
          <w:i/>
          <w:iCs/>
          <w:sz w:val="20"/>
          <w:szCs w:val="20"/>
        </w:rPr>
        <w:t>Our shareholders may face difficulties in protecting their interests because we are i</w:t>
      </w:r>
      <w:r>
        <w:rPr>
          <w:rFonts w:ascii="Times" w:hAnsi="Times"/>
          <w:b/>
          <w:bCs/>
          <w:i/>
          <w:iCs/>
          <w:sz w:val="20"/>
          <w:szCs w:val="20"/>
        </w:rPr>
        <w:t>ncorporated under Cayman Islands law.</w:t>
      </w:r>
      <w:r>
        <w:rPr>
          <w:rFonts w:ascii="Times" w:hAnsi="Times"/>
          <w:b/>
          <w:bCs/>
          <w:i/>
          <w:iCs/>
          <w:sz w:val="20"/>
          <w:szCs w:val="20"/>
        </w:rPr>
        <w:t xml:space="preserve"> </w:t>
      </w:r>
    </w:p>
    <w:p w:rsidR="00000000" w:rsidRDefault="008B747E">
      <w:pPr>
        <w:pStyle w:val="a3"/>
        <w:spacing w:before="0" w:beforeAutospacing="0" w:after="0" w:afterAutospacing="0"/>
        <w:ind w:firstLine="720"/>
        <w:divId w:val="738092469"/>
        <w:rPr>
          <w:rFonts w:ascii="Times" w:hAnsi="Times"/>
          <w:sz w:val="20"/>
          <w:szCs w:val="20"/>
        </w:rPr>
      </w:pPr>
      <w:r>
        <w:rPr>
          <w:rFonts w:ascii="Times" w:hAnsi="Times"/>
          <w:sz w:val="20"/>
          <w:szCs w:val="20"/>
        </w:rPr>
        <w:t>Our corporate affairs are governed by our amended and restated memorandum and articles of association, by the Companies Law (2016 Revision) of the Cayman Islands and by the common law of the Cayman Islands. The rights</w:t>
      </w:r>
      <w:r>
        <w:rPr>
          <w:rFonts w:ascii="Times" w:hAnsi="Times"/>
          <w:sz w:val="20"/>
          <w:szCs w:val="20"/>
        </w:rPr>
        <w:t xml:space="preserve"> of our shareholders and the fiduciary responsibilities of our directors under the laws of the Cayman Islands are different from those under statutes or judicial precedent in existence in jurisdictions in the US. Therefore, you may have more difficulty in </w:t>
      </w:r>
      <w:r>
        <w:rPr>
          <w:rFonts w:ascii="Times" w:hAnsi="Times"/>
          <w:sz w:val="20"/>
          <w:szCs w:val="20"/>
        </w:rPr>
        <w:t>protecting your interests than would shareholders of a corporation incorporated in a jurisdiction in the US, due to the different nature of Cayman Islands law in this area.</w:t>
      </w:r>
      <w:r>
        <w:rPr>
          <w:rFonts w:ascii="Times" w:hAnsi="Times"/>
          <w:sz w:val="20"/>
          <w:szCs w:val="20"/>
        </w:rPr>
        <w:t xml:space="preserve"> </w:t>
      </w:r>
    </w:p>
    <w:p w:rsidR="00000000" w:rsidRDefault="008B747E">
      <w:pPr>
        <w:pStyle w:val="a3"/>
        <w:spacing w:before="0" w:beforeAutospacing="0" w:after="0" w:afterAutospacing="0"/>
        <w:ind w:firstLine="720"/>
        <w:divId w:val="738092469"/>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738092469"/>
        <w:rPr>
          <w:rFonts w:ascii="Times" w:hAnsi="Times"/>
          <w:sz w:val="20"/>
          <w:szCs w:val="20"/>
        </w:rPr>
      </w:pPr>
      <w:r>
        <w:rPr>
          <w:rFonts w:ascii="Times" w:hAnsi="Times"/>
          <w:sz w:val="20"/>
          <w:szCs w:val="20"/>
        </w:rPr>
        <w:t>Shareholders of Cayman Islands exempted companies such as our Company have no ge</w:t>
      </w:r>
      <w:r>
        <w:rPr>
          <w:rFonts w:ascii="Times" w:hAnsi="Times"/>
          <w:sz w:val="20"/>
          <w:szCs w:val="20"/>
        </w:rPr>
        <w:t>neral rights under Cayman Islands law to inspect corporate records and accounts or to obtain copies of lists of shareholders. Our directors have discretion under our amended and restated memorandum and articles of association to determine whether or not, a</w:t>
      </w:r>
      <w:r>
        <w:rPr>
          <w:rFonts w:ascii="Times" w:hAnsi="Times"/>
          <w:sz w:val="20"/>
          <w:szCs w:val="20"/>
        </w:rPr>
        <w:t xml:space="preserve">nd under what conditions, our corporate records may be inspected by our shareholders, but are not obliged to make them available to our shareholders. This may make it more difficult for you to obtain the information needed to establish any facts necessary </w:t>
      </w:r>
      <w:r>
        <w:rPr>
          <w:rFonts w:ascii="Times" w:hAnsi="Times"/>
          <w:sz w:val="20"/>
          <w:szCs w:val="20"/>
        </w:rPr>
        <w:t>for a shareholder motion or to solicit proxies from other shareholders in connection with a proxy contest.</w:t>
      </w:r>
      <w:r>
        <w:rPr>
          <w:rFonts w:ascii="Times" w:hAnsi="Times"/>
          <w:sz w:val="20"/>
          <w:szCs w:val="20"/>
        </w:rPr>
        <w:t xml:space="preserve"> </w:t>
      </w:r>
    </w:p>
    <w:p w:rsidR="00000000" w:rsidRDefault="008B747E">
      <w:pPr>
        <w:pStyle w:val="a3"/>
        <w:spacing w:before="0" w:beforeAutospacing="0" w:after="0" w:afterAutospacing="0"/>
        <w:ind w:firstLine="720"/>
        <w:divId w:val="738092469"/>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738092469"/>
        <w:rPr>
          <w:rFonts w:ascii="Times" w:hAnsi="Times"/>
          <w:sz w:val="20"/>
          <w:szCs w:val="20"/>
        </w:rPr>
      </w:pPr>
      <w:r>
        <w:rPr>
          <w:rFonts w:ascii="Times" w:hAnsi="Times"/>
          <w:sz w:val="20"/>
          <w:szCs w:val="20"/>
        </w:rPr>
        <w:t>Our Cayman Islands counsel, Maples and Calder, is not aware of any reported class action having been brought in a Cayman Islands court. Derivative actions have been brought in the Cayman Islands courts, and the Cayman Islands courts have confirmed the avai</w:t>
      </w:r>
      <w:r>
        <w:rPr>
          <w:rFonts w:ascii="Times" w:hAnsi="Times"/>
          <w:sz w:val="20"/>
          <w:szCs w:val="20"/>
        </w:rPr>
        <w:t>lability for such actions. In most cases, the company will be the proper plaintiff in any claim based on a breach of duty owed to it, and a claim against (for example) our officers or directors usually may not be brought by a shareholder. However, based on</w:t>
      </w:r>
      <w:r>
        <w:rPr>
          <w:rFonts w:ascii="Times" w:hAnsi="Times"/>
          <w:sz w:val="20"/>
          <w:szCs w:val="20"/>
        </w:rPr>
        <w:t xml:space="preserve"> English authorities, which would in all likelihood be of persuasive authority and be applied by a court in the Cayman Islands, exceptions to the foregoing principle apply in circumstances in which:</w:t>
      </w:r>
    </w:p>
    <w:p w:rsidR="00000000" w:rsidRDefault="008B747E">
      <w:pPr>
        <w:pStyle w:val="a3"/>
        <w:spacing w:before="0" w:beforeAutospacing="0" w:after="0" w:afterAutospacing="0"/>
        <w:ind w:firstLine="720"/>
        <w:divId w:val="738092469"/>
        <w:rPr>
          <w:rFonts w:ascii="Times" w:hAnsi="Times"/>
          <w:sz w:val="20"/>
          <w:szCs w:val="20"/>
        </w:rPr>
      </w:pPr>
      <w:r>
        <w:rPr>
          <w:rFonts w:ascii="Times" w:hAnsi="Times"/>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38092469"/>
        </w:trPr>
        <w:tc>
          <w:tcPr>
            <w:tcW w:w="720" w:type="dxa"/>
            <w:vAlign w:val="center"/>
            <w:hideMark/>
          </w:tcPr>
          <w:p w:rsidR="00000000" w:rsidRDefault="008B747E">
            <w:pPr>
              <w:rPr>
                <w:rFonts w:ascii="Times" w:hAnsi="Times"/>
                <w:sz w:val="20"/>
                <w:szCs w:val="20"/>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 xml:space="preserve">a company is acting, or proposing to act, illegally </w:t>
            </w:r>
            <w:r>
              <w:rPr>
                <w:rFonts w:ascii="Times" w:eastAsia="Times New Roman" w:hAnsi="Times"/>
                <w:color w:val="000000"/>
                <w:sz w:val="20"/>
                <w:szCs w:val="20"/>
              </w:rPr>
              <w:t>or beyond the scope of its authority;</w:t>
            </w:r>
            <w:r>
              <w:rPr>
                <w:rFonts w:ascii="Times" w:eastAsia="Times New Roman" w:hAnsi="Times"/>
                <w:color w:val="000000"/>
                <w:sz w:val="20"/>
                <w:szCs w:val="20"/>
              </w:rPr>
              <w:t xml:space="preserve"> </w:t>
            </w:r>
          </w:p>
        </w:tc>
      </w:tr>
    </w:tbl>
    <w:p w:rsidR="00000000" w:rsidRDefault="008B747E">
      <w:pPr>
        <w:divId w:val="73809246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38092469"/>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spacing w:after="240"/>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spacing w:after="240"/>
              <w:rPr>
                <w:rFonts w:ascii="Times" w:eastAsia="Times New Roman" w:hAnsi="Times"/>
                <w:sz w:val="20"/>
                <w:szCs w:val="20"/>
              </w:rPr>
            </w:pPr>
            <w:r>
              <w:rPr>
                <w:rFonts w:ascii="Times" w:eastAsia="Times New Roman" w:hAnsi="Times"/>
                <w:color w:val="000000"/>
                <w:sz w:val="20"/>
                <w:szCs w:val="20"/>
              </w:rPr>
              <w:t>the act complained of, although not beyond the scope of the authority, could be effected if duly authorized by more than the number of votes which have actually been obtained; or</w:t>
            </w:r>
            <w:r>
              <w:rPr>
                <w:rFonts w:ascii="Times" w:eastAsia="Times New Roman" w:hAnsi="Times"/>
                <w:color w:val="000000"/>
                <w:sz w:val="20"/>
                <w:szCs w:val="20"/>
              </w:rPr>
              <w:t xml:space="preserve"> </w:t>
            </w:r>
          </w:p>
        </w:tc>
      </w:tr>
    </w:tbl>
    <w:p w:rsidR="00000000" w:rsidRDefault="008B747E">
      <w:pPr>
        <w:divId w:val="738092469"/>
        <w:rPr>
          <w:rFonts w:eastAsia="Times New Roman"/>
          <w:vanish/>
        </w:rPr>
      </w:pPr>
    </w:p>
    <w:tbl>
      <w:tblPr>
        <w:tblW w:w="5000" w:type="pct"/>
        <w:tblCellMar>
          <w:top w:w="15" w:type="dxa"/>
          <w:left w:w="15" w:type="dxa"/>
          <w:bottom w:w="15" w:type="dxa"/>
          <w:right w:w="15" w:type="dxa"/>
        </w:tblCellMar>
        <w:tblLook w:val="04A0" w:firstRow="1" w:lastRow="0" w:firstColumn="1" w:lastColumn="0" w:noHBand="0" w:noVBand="1"/>
      </w:tblPr>
      <w:tblGrid>
        <w:gridCol w:w="720"/>
        <w:gridCol w:w="376"/>
        <w:gridCol w:w="7210"/>
      </w:tblGrid>
      <w:tr w:rsidR="00000000">
        <w:trPr>
          <w:divId w:val="738092469"/>
        </w:trPr>
        <w:tc>
          <w:tcPr>
            <w:tcW w:w="720" w:type="dxa"/>
            <w:vAlign w:val="center"/>
            <w:hideMark/>
          </w:tcPr>
          <w:p w:rsidR="00000000" w:rsidRDefault="008B747E">
            <w:pPr>
              <w:rPr>
                <w:rFonts w:eastAsia="Times New Roman"/>
              </w:rPr>
            </w:pPr>
          </w:p>
        </w:tc>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w:t>
            </w:r>
          </w:p>
        </w:tc>
        <w:tc>
          <w:tcPr>
            <w:tcW w:w="0" w:type="auto"/>
            <w:tcMar>
              <w:top w:w="0" w:type="dxa"/>
              <w:left w:w="0" w:type="dxa"/>
              <w:bottom w:w="0" w:type="dxa"/>
              <w:right w:w="0" w:type="dxa"/>
            </w:tcMar>
            <w:vAlign w:val="center"/>
            <w:hideMark/>
          </w:tcPr>
          <w:p w:rsidR="00000000" w:rsidRDefault="008B747E">
            <w:pPr>
              <w:rPr>
                <w:rFonts w:ascii="Times" w:eastAsia="Times New Roman" w:hAnsi="Times"/>
                <w:sz w:val="20"/>
                <w:szCs w:val="20"/>
              </w:rPr>
            </w:pPr>
            <w:r>
              <w:rPr>
                <w:rFonts w:ascii="Times" w:eastAsia="Times New Roman" w:hAnsi="Times"/>
                <w:color w:val="000000"/>
                <w:sz w:val="20"/>
                <w:szCs w:val="20"/>
              </w:rPr>
              <w:t>those who control the compa</w:t>
            </w:r>
            <w:r>
              <w:rPr>
                <w:rFonts w:ascii="Times" w:eastAsia="Times New Roman" w:hAnsi="Times"/>
                <w:color w:val="000000"/>
                <w:sz w:val="20"/>
                <w:szCs w:val="20"/>
              </w:rPr>
              <w:t>ny are perpetrating a</w:t>
            </w:r>
            <w:r>
              <w:rPr>
                <w:rFonts w:ascii="Times" w:eastAsia="Times New Roman" w:hAnsi="Times"/>
                <w:color w:val="000000"/>
                <w:sz w:val="20"/>
                <w:szCs w:val="20"/>
              </w:rPr>
              <w:t xml:space="preserve"> </w:t>
            </w:r>
            <w:r>
              <w:rPr>
                <w:rFonts w:ascii="Times" w:eastAsia="Times New Roman" w:hAnsi="Times"/>
                <w:color w:val="000000"/>
                <w:sz w:val="20"/>
                <w:szCs w:val="20"/>
              </w:rPr>
              <w:t>“fraud on the minority.”</w:t>
            </w:r>
            <w:r>
              <w:rPr>
                <w:rFonts w:ascii="Times" w:eastAsia="Times New Roman" w:hAnsi="Times"/>
                <w:color w:val="000000"/>
                <w:sz w:val="20"/>
                <w:szCs w:val="20"/>
              </w:rPr>
              <w:t xml:space="preserve"> </w:t>
            </w:r>
          </w:p>
        </w:tc>
      </w:tr>
    </w:tbl>
    <w:p w:rsidR="00000000" w:rsidRDefault="008B747E">
      <w:pPr>
        <w:pStyle w:val="a3"/>
        <w:spacing w:before="0" w:beforeAutospacing="0" w:after="0" w:afterAutospacing="0"/>
        <w:ind w:firstLine="720"/>
        <w:divId w:val="738092469"/>
        <w:rPr>
          <w:rFonts w:ascii="Times" w:hAnsi="Times"/>
          <w:sz w:val="20"/>
          <w:szCs w:val="20"/>
        </w:rPr>
      </w:pPr>
      <w:r>
        <w:rPr>
          <w:rFonts w:ascii="Times" w:hAnsi="Times"/>
          <w:sz w:val="20"/>
          <w:szCs w:val="20"/>
        </w:rPr>
        <w:t>A shareholder may have a direct right of action against the company where the individual rights of that shareholder have been infringed or are about to be infringed.</w:t>
      </w:r>
      <w:r>
        <w:rPr>
          <w:rFonts w:ascii="Times" w:hAnsi="Times"/>
          <w:sz w:val="20"/>
          <w:szCs w:val="20"/>
        </w:rPr>
        <w:t xml:space="preserve"> </w:t>
      </w:r>
    </w:p>
    <w:p w:rsidR="00000000" w:rsidRDefault="008B747E">
      <w:pPr>
        <w:pStyle w:val="a3"/>
        <w:spacing w:before="0" w:beforeAutospacing="0" w:after="0" w:afterAutospacing="0"/>
        <w:divId w:val="738092469"/>
        <w:rPr>
          <w:rFonts w:ascii="Times" w:hAnsi="Times"/>
          <w:sz w:val="20"/>
          <w:szCs w:val="20"/>
        </w:rPr>
      </w:pPr>
      <w:r>
        <w:rPr>
          <w:rFonts w:ascii="Times" w:hAnsi="Times"/>
          <w:sz w:val="20"/>
          <w:szCs w:val="20"/>
        </w:rPr>
        <w:t>​</w:t>
      </w:r>
    </w:p>
    <w:p w:rsidR="00000000" w:rsidRDefault="008B747E">
      <w:pPr>
        <w:pStyle w:val="a3"/>
        <w:spacing w:before="0" w:beforeAutospacing="0" w:after="120" w:afterAutospacing="0"/>
        <w:divId w:val="738092469"/>
        <w:rPr>
          <w:rFonts w:ascii="Times" w:hAnsi="Times"/>
          <w:b/>
          <w:bCs/>
          <w:i/>
          <w:iCs/>
          <w:sz w:val="20"/>
          <w:szCs w:val="20"/>
        </w:rPr>
      </w:pPr>
      <w:r>
        <w:rPr>
          <w:rFonts w:ascii="Times" w:hAnsi="Times"/>
          <w:b/>
          <w:bCs/>
          <w:i/>
          <w:iCs/>
          <w:sz w:val="20"/>
          <w:szCs w:val="20"/>
        </w:rPr>
        <w:t>There is uncertainty as to shareholder</w:t>
      </w:r>
      <w:r>
        <w:rPr>
          <w:rFonts w:ascii="Times" w:hAnsi="Times"/>
          <w:b/>
          <w:bCs/>
          <w:i/>
          <w:iCs/>
          <w:sz w:val="20"/>
          <w:szCs w:val="20"/>
        </w:rPr>
        <w:t>s’</w:t>
      </w:r>
      <w:r>
        <w:rPr>
          <w:rFonts w:ascii="Times" w:hAnsi="Times"/>
          <w:b/>
          <w:bCs/>
          <w:i/>
          <w:iCs/>
          <w:sz w:val="20"/>
          <w:szCs w:val="20"/>
        </w:rPr>
        <w:t xml:space="preserve"> </w:t>
      </w:r>
      <w:r>
        <w:rPr>
          <w:rFonts w:ascii="Times" w:hAnsi="Times"/>
          <w:b/>
          <w:bCs/>
          <w:i/>
          <w:iCs/>
          <w:sz w:val="20"/>
          <w:szCs w:val="20"/>
        </w:rPr>
        <w:t>ability to enforce certain foreign civil liabilities in the Cayman Islands.</w:t>
      </w:r>
      <w:r>
        <w:rPr>
          <w:rFonts w:ascii="Times" w:hAnsi="Times"/>
          <w:b/>
          <w:bCs/>
          <w:i/>
          <w:iCs/>
          <w:sz w:val="20"/>
          <w:szCs w:val="20"/>
        </w:rPr>
        <w:t xml:space="preserve"> </w:t>
      </w:r>
    </w:p>
    <w:p w:rsidR="00000000" w:rsidRDefault="008B747E">
      <w:pPr>
        <w:pStyle w:val="a3"/>
        <w:spacing w:before="0" w:beforeAutospacing="0" w:after="0" w:afterAutospacing="0"/>
        <w:ind w:firstLine="720"/>
        <w:divId w:val="738092469"/>
        <w:rPr>
          <w:rFonts w:ascii="Times" w:hAnsi="Times"/>
          <w:sz w:val="20"/>
          <w:szCs w:val="20"/>
        </w:rPr>
      </w:pPr>
      <w:r>
        <w:rPr>
          <w:rFonts w:ascii="Times" w:hAnsi="Times"/>
          <w:sz w:val="20"/>
          <w:szCs w:val="20"/>
        </w:rPr>
        <w:t>We are incorporated as an exempted company limited by shares with limited liability under the laws of the Cayman Islands. A material portion of our assets are located outside of the US. As a result, it may be difficult for our shareholders to</w:t>
      </w:r>
      <w:r>
        <w:rPr>
          <w:rFonts w:ascii="Times" w:hAnsi="Times"/>
          <w:sz w:val="20"/>
          <w:szCs w:val="20"/>
        </w:rPr>
        <w:t xml:space="preserve"> </w:t>
      </w:r>
    </w:p>
    <w:p w:rsidR="00000000" w:rsidRDefault="008B747E">
      <w:pPr>
        <w:pStyle w:val="a3"/>
        <w:spacing w:before="360" w:beforeAutospacing="0" w:after="0" w:afterAutospacing="0"/>
        <w:jc w:val="center"/>
        <w:divId w:val="2144501168"/>
        <w:rPr>
          <w:sz w:val="20"/>
          <w:szCs w:val="20"/>
        </w:rPr>
      </w:pPr>
      <w:r>
        <w:rPr>
          <w:sz w:val="20"/>
          <w:szCs w:val="20"/>
        </w:rPr>
        <w:t>64</w:t>
      </w:r>
    </w:p>
    <w:p w:rsidR="00000000" w:rsidRDefault="008B747E">
      <w:pPr>
        <w:pStyle w:val="a3"/>
        <w:spacing w:before="0" w:beforeAutospacing="0" w:after="600" w:afterAutospacing="0"/>
        <w:divId w:val="1269000034"/>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1269461032"/>
        <w:rPr>
          <w:rFonts w:ascii="Times" w:hAnsi="Times"/>
          <w:sz w:val="20"/>
          <w:szCs w:val="20"/>
        </w:rPr>
      </w:pPr>
      <w:r>
        <w:rPr>
          <w:rFonts w:ascii="Times" w:hAnsi="Times"/>
          <w:sz w:val="20"/>
          <w:szCs w:val="20"/>
        </w:rPr>
        <w:t>enforce judgments against us or judgments obtained in US courts predicated upon the civil liability provisions of the federal securities laws of the US or any state of the US.</w:t>
      </w:r>
      <w:r>
        <w:rPr>
          <w:rFonts w:ascii="Times" w:hAnsi="Times"/>
          <w:sz w:val="20"/>
          <w:szCs w:val="20"/>
        </w:rPr>
        <w:t xml:space="preserve"> </w:t>
      </w:r>
    </w:p>
    <w:p w:rsidR="00000000" w:rsidRDefault="008B747E">
      <w:pPr>
        <w:pStyle w:val="a3"/>
        <w:spacing w:before="0" w:beforeAutospacing="0" w:after="0" w:afterAutospacing="0"/>
        <w:ind w:firstLine="720"/>
        <w:divId w:val="1269461032"/>
        <w:rPr>
          <w:rFonts w:ascii="Times" w:hAnsi="Times"/>
          <w:sz w:val="20"/>
          <w:szCs w:val="20"/>
        </w:rPr>
      </w:pPr>
      <w:r>
        <w:rPr>
          <w:rFonts w:ascii="Times" w:hAnsi="Times"/>
          <w:sz w:val="20"/>
          <w:szCs w:val="20"/>
        </w:rPr>
        <w:t>​</w:t>
      </w:r>
    </w:p>
    <w:p w:rsidR="00000000" w:rsidRDefault="008B747E">
      <w:pPr>
        <w:pStyle w:val="a3"/>
        <w:spacing w:before="0" w:beforeAutospacing="0" w:after="0" w:afterAutospacing="0"/>
        <w:ind w:firstLine="720"/>
        <w:divId w:val="1269461032"/>
        <w:rPr>
          <w:rFonts w:ascii="Times" w:hAnsi="Times"/>
          <w:sz w:val="20"/>
          <w:szCs w:val="20"/>
        </w:rPr>
      </w:pPr>
      <w:r>
        <w:rPr>
          <w:rFonts w:ascii="Times" w:hAnsi="Times"/>
          <w:sz w:val="20"/>
          <w:szCs w:val="20"/>
        </w:rPr>
        <w:t>We have been advised by our Cayman Islands</w:t>
      </w:r>
      <w:r>
        <w:rPr>
          <w:rFonts w:ascii="Times" w:hAnsi="Times"/>
          <w:sz w:val="20"/>
          <w:szCs w:val="20"/>
        </w:rPr>
        <w:t xml:space="preserve"> legal counsel, Maples and Calder, that the courts of the Cayman Islands are unlikely (i) to recognize or enforce against Theravance Biopharma judgments of courts of the US predicated upon the civil liability provisions of the securities laws of the US or </w:t>
      </w:r>
      <w:r>
        <w:rPr>
          <w:rFonts w:ascii="Times" w:hAnsi="Times"/>
          <w:sz w:val="20"/>
          <w:szCs w:val="20"/>
        </w:rPr>
        <w:t xml:space="preserve">any State; and (ii) in original actions brought in the Cayman Islands, to impose liabilities against Theravance Biopharma predicated upon the civil liability provisions of the securities laws of the US or any State, on the grounds that such provisions are </w:t>
      </w:r>
      <w:r>
        <w:rPr>
          <w:rFonts w:ascii="Times" w:hAnsi="Times"/>
          <w:sz w:val="20"/>
          <w:szCs w:val="20"/>
        </w:rPr>
        <w:t>penal in nature. However, in the case of laws that are not penal in nature, although there is no statutory enforcement in the Cayman Islands of judgments obtained in the US, the courts of the Cayman Islands will recognize and enforce a foreign money judgme</w:t>
      </w:r>
      <w:r>
        <w:rPr>
          <w:rFonts w:ascii="Times" w:hAnsi="Times"/>
          <w:sz w:val="20"/>
          <w:szCs w:val="20"/>
        </w:rPr>
        <w:t>nt of a foreign court of competent jurisdiction without retrial on the merits based on the principle that a judgment of a competent foreign court imposes upon the judgment debtor an obligation to pay the sum for which judgment has been given provided certa</w:t>
      </w:r>
      <w:r>
        <w:rPr>
          <w:rFonts w:ascii="Times" w:hAnsi="Times"/>
          <w:sz w:val="20"/>
          <w:szCs w:val="20"/>
        </w:rPr>
        <w:t>in conditions are met. For a foreign judgment to be enforced in the Cayman Islands, such judgment must be final and conclusive and for a liquidated sum, and must not be in respect of taxes or a fine or penalty, inconsistent with a Cayman Islands’</w:t>
      </w:r>
      <w:r>
        <w:rPr>
          <w:rFonts w:ascii="Times" w:hAnsi="Times"/>
          <w:sz w:val="20"/>
          <w:szCs w:val="20"/>
        </w:rPr>
        <w:t xml:space="preserve"> </w:t>
      </w:r>
      <w:r>
        <w:rPr>
          <w:rFonts w:ascii="Times" w:hAnsi="Times"/>
          <w:sz w:val="20"/>
          <w:szCs w:val="20"/>
        </w:rPr>
        <w:t xml:space="preserve">judgment </w:t>
      </w:r>
      <w:r>
        <w:rPr>
          <w:rFonts w:ascii="Times" w:hAnsi="Times"/>
          <w:sz w:val="20"/>
          <w:szCs w:val="20"/>
        </w:rPr>
        <w:t xml:space="preserve">in respect of the same matter, impeachable on the grounds of fraud or obtained in a manner, and or be of a kind the enforcement of which is, contrary to natural justice or the public policy of the Cayman Islands (awards of punitive or multiple damages may </w:t>
      </w:r>
      <w:r>
        <w:rPr>
          <w:rFonts w:ascii="Times" w:hAnsi="Times"/>
          <w:sz w:val="20"/>
          <w:szCs w:val="20"/>
        </w:rPr>
        <w:t>well be held to be contrary to public policy). A Cayman Islands court, including the Grand Court of the Cayman Islands, may stay proceedings if concurrent proceedings are being brought elsewhere, which would delay proceedings and make it more difficult for</w:t>
      </w:r>
      <w:r>
        <w:rPr>
          <w:rFonts w:ascii="Times" w:hAnsi="Times"/>
          <w:sz w:val="20"/>
          <w:szCs w:val="20"/>
        </w:rPr>
        <w:t xml:space="preserve"> our shareholders to bring action against us.</w:t>
      </w:r>
      <w:r>
        <w:rPr>
          <w:rFonts w:ascii="Times" w:hAnsi="Times"/>
          <w:sz w:val="20"/>
          <w:szCs w:val="20"/>
        </w:rPr>
        <w:t xml:space="preserve"> </w:t>
      </w:r>
    </w:p>
    <w:p w:rsidR="00000000" w:rsidRDefault="008B747E">
      <w:pPr>
        <w:pStyle w:val="a3"/>
        <w:spacing w:before="0" w:beforeAutospacing="0" w:after="0" w:afterAutospacing="0"/>
        <w:ind w:firstLine="720"/>
        <w:divId w:val="1269461032"/>
        <w:rPr>
          <w:rFonts w:ascii="Times" w:hAnsi="Times"/>
          <w:sz w:val="20"/>
          <w:szCs w:val="20"/>
        </w:rPr>
      </w:pPr>
      <w:r>
        <w:rPr>
          <w:rFonts w:ascii="Times" w:hAnsi="Times"/>
          <w:sz w:val="20"/>
          <w:szCs w:val="20"/>
        </w:rPr>
        <w:t>​</w:t>
      </w:r>
    </w:p>
    <w:p w:rsidR="00000000" w:rsidRDefault="008B747E">
      <w:pPr>
        <w:pStyle w:val="a3"/>
        <w:spacing w:before="0" w:beforeAutospacing="0" w:after="0" w:afterAutospacing="0"/>
        <w:divId w:val="1269461032"/>
        <w:rPr>
          <w:sz w:val="20"/>
          <w:szCs w:val="20"/>
        </w:rPr>
      </w:pPr>
      <w:r>
        <w:rPr>
          <w:rFonts w:ascii="inherit" w:hAnsi="inherit"/>
          <w:b/>
          <w:bCs/>
          <w:i/>
          <w:iCs/>
          <w:sz w:val="20"/>
          <w:szCs w:val="20"/>
        </w:rPr>
        <w:t>If securities or industry analysts cease coverage of us or do not publish research, or publish inaccurate or unfavorable research, about our business, the price of our ordinary shares and trading volume coul</w:t>
      </w:r>
      <w:r>
        <w:rPr>
          <w:rFonts w:ascii="inherit" w:hAnsi="inherit"/>
          <w:b/>
          <w:bCs/>
          <w:i/>
          <w:iCs/>
          <w:sz w:val="20"/>
          <w:szCs w:val="20"/>
        </w:rPr>
        <w:t>d decline.</w:t>
      </w:r>
    </w:p>
    <w:p w:rsidR="00000000" w:rsidRDefault="008B747E">
      <w:pPr>
        <w:pStyle w:val="a3"/>
        <w:spacing w:before="0" w:beforeAutospacing="0" w:after="0" w:afterAutospacing="0"/>
        <w:ind w:firstLine="475"/>
        <w:divId w:val="1269461032"/>
        <w:rPr>
          <w:sz w:val="20"/>
          <w:szCs w:val="20"/>
        </w:rPr>
      </w:pPr>
      <w:r>
        <w:rPr>
          <w:sz w:val="10"/>
          <w:szCs w:val="10"/>
        </w:rPr>
        <w:t>​</w:t>
      </w:r>
    </w:p>
    <w:p w:rsidR="00000000" w:rsidRDefault="008B747E">
      <w:pPr>
        <w:pStyle w:val="a3"/>
        <w:spacing w:before="0" w:beforeAutospacing="0" w:after="0" w:afterAutospacing="0"/>
        <w:ind w:firstLine="720"/>
        <w:divId w:val="1269461032"/>
        <w:rPr>
          <w:sz w:val="20"/>
          <w:szCs w:val="20"/>
        </w:rPr>
      </w:pPr>
      <w:r>
        <w:rPr>
          <w:rFonts w:ascii="inherit" w:hAnsi="inherit"/>
          <w:sz w:val="20"/>
          <w:szCs w:val="20"/>
        </w:rPr>
        <w:t>The trading market for our ordinary shares depends in part on the research and reports that securities or industry analysts publish about us or our business. If few securities analysts commence coverage of us, or if industry analysts cease cov</w:t>
      </w:r>
      <w:r>
        <w:rPr>
          <w:rFonts w:ascii="inherit" w:hAnsi="inherit"/>
          <w:sz w:val="20"/>
          <w:szCs w:val="20"/>
        </w:rPr>
        <w:t>erage of us, the trading price for our ordinary shares could be negatively affected. If one or more of the analysts who cover us downgrade our ordinary shares or publish inaccurate or unfavorable research about our business, the price of our ordinary share</w:t>
      </w:r>
      <w:r>
        <w:rPr>
          <w:rFonts w:ascii="inherit" w:hAnsi="inherit"/>
          <w:sz w:val="20"/>
          <w:szCs w:val="20"/>
        </w:rPr>
        <w:t>s would likely decline. If one or more of these analysts cease coverage of us or fail to publish reports on us regularly, demand for our ordinary shares could decrease, which might cause our share price and trading volume to decline.</w:t>
      </w:r>
    </w:p>
    <w:p w:rsidR="00000000" w:rsidRDefault="008B747E">
      <w:pPr>
        <w:pStyle w:val="a3"/>
        <w:spacing w:before="0" w:beforeAutospacing="0" w:after="0" w:afterAutospacing="0"/>
        <w:ind w:firstLine="720"/>
        <w:divId w:val="1269461032"/>
        <w:rPr>
          <w:rFonts w:ascii="Times" w:hAnsi="Times"/>
          <w:sz w:val="20"/>
          <w:szCs w:val="20"/>
        </w:rPr>
      </w:pPr>
      <w:r>
        <w:rPr>
          <w:rFonts w:ascii="Times" w:hAnsi="Times"/>
          <w:sz w:val="20"/>
          <w:szCs w:val="20"/>
        </w:rPr>
        <w:t>​</w:t>
      </w:r>
    </w:p>
    <w:p w:rsidR="00000000" w:rsidRDefault="008B747E">
      <w:pPr>
        <w:pStyle w:val="a3"/>
        <w:spacing w:before="0" w:beforeAutospacing="0" w:after="120" w:afterAutospacing="0"/>
        <w:divId w:val="1269461032"/>
        <w:rPr>
          <w:sz w:val="20"/>
          <w:szCs w:val="20"/>
        </w:rPr>
      </w:pPr>
      <w:r>
        <w:rPr>
          <w:b/>
          <w:bCs/>
          <w:i/>
          <w:iCs/>
          <w:sz w:val="20"/>
          <w:szCs w:val="20"/>
        </w:rPr>
        <w:t>We do not anticipate</w:t>
      </w:r>
      <w:r>
        <w:rPr>
          <w:b/>
          <w:bCs/>
          <w:i/>
          <w:iCs/>
          <w:sz w:val="20"/>
          <w:szCs w:val="20"/>
        </w:rPr>
        <w:t xml:space="preserve"> paying any cash dividends on our capital shares in the foreseeable future; as a result, capital appreciation, if any, of our ordinary shares will be your sole source of gain for the foreseeable future.</w:t>
      </w:r>
    </w:p>
    <w:p w:rsidR="00000000" w:rsidRDefault="008B747E">
      <w:pPr>
        <w:pStyle w:val="a3"/>
        <w:spacing w:before="0" w:beforeAutospacing="0" w:after="0" w:afterAutospacing="0"/>
        <w:ind w:firstLine="720"/>
        <w:divId w:val="1269461032"/>
        <w:rPr>
          <w:sz w:val="20"/>
          <w:szCs w:val="20"/>
        </w:rPr>
      </w:pPr>
      <w:r>
        <w:rPr>
          <w:sz w:val="20"/>
          <w:szCs w:val="20"/>
        </w:rPr>
        <w:t xml:space="preserve">We have never declared or paid cash dividends on our </w:t>
      </w:r>
      <w:r>
        <w:rPr>
          <w:sz w:val="20"/>
          <w:szCs w:val="20"/>
        </w:rPr>
        <w:t>capital shares. We do not anticipate paying any cash dividends on our capital shares in the foreseeable future. We currently intend to retain all available funds and any future earnings to fund the development and growth of our business. In addition, the t</w:t>
      </w:r>
      <w:r>
        <w:rPr>
          <w:sz w:val="20"/>
          <w:szCs w:val="20"/>
        </w:rPr>
        <w:t xml:space="preserve">erms of any future debt financing arrangement may contain terms prohibiting or limiting the amount of dividends that may be declared or paid on our ordinary shares. As a result, capital appreciation, if any, of our ordinary shares will be your sole source </w:t>
      </w:r>
      <w:r>
        <w:rPr>
          <w:sz w:val="20"/>
          <w:szCs w:val="20"/>
        </w:rPr>
        <w:t>of gain for the foreseeable future.</w:t>
      </w:r>
    </w:p>
    <w:p w:rsidR="00000000" w:rsidRDefault="008B747E">
      <w:pPr>
        <w:pStyle w:val="a3"/>
        <w:spacing w:before="0" w:beforeAutospacing="0" w:after="0" w:afterAutospacing="0"/>
        <w:divId w:val="1269461032"/>
        <w:rPr>
          <w:sz w:val="20"/>
          <w:szCs w:val="20"/>
        </w:rPr>
      </w:pPr>
      <w:r>
        <w:rPr>
          <w:sz w:val="20"/>
          <w:szCs w:val="20"/>
        </w:rPr>
        <w:t>​</w:t>
      </w:r>
    </w:p>
    <w:p w:rsidR="00000000" w:rsidRDefault="008B747E">
      <w:pPr>
        <w:pStyle w:val="a3"/>
        <w:spacing w:before="0" w:beforeAutospacing="0" w:after="0" w:afterAutospacing="0"/>
        <w:divId w:val="1269461032"/>
        <w:rPr>
          <w:sz w:val="20"/>
          <w:szCs w:val="20"/>
        </w:rPr>
      </w:pPr>
      <w:r>
        <w:rPr>
          <w:b/>
          <w:bCs/>
          <w:sz w:val="20"/>
          <w:szCs w:val="20"/>
        </w:rPr>
        <w:t>ITEM 2.   UNREGISTERED SALES OF EQUITY SECURITIES AND USE OF PROCEEDS</w:t>
      </w:r>
    </w:p>
    <w:p w:rsidR="00000000" w:rsidRDefault="008B747E">
      <w:pPr>
        <w:pStyle w:val="a3"/>
        <w:spacing w:before="0" w:beforeAutospacing="0" w:after="0" w:afterAutospacing="0"/>
        <w:divId w:val="1269461032"/>
        <w:rPr>
          <w:sz w:val="20"/>
          <w:szCs w:val="20"/>
        </w:rPr>
      </w:pPr>
      <w:r>
        <w:rPr>
          <w:sz w:val="20"/>
          <w:szCs w:val="20"/>
        </w:rPr>
        <w:t>​</w:t>
      </w:r>
    </w:p>
    <w:p w:rsidR="00000000" w:rsidRDefault="008B747E">
      <w:pPr>
        <w:pStyle w:val="a3"/>
        <w:spacing w:before="0" w:beforeAutospacing="0" w:after="0" w:afterAutospacing="0"/>
        <w:ind w:firstLine="720"/>
        <w:divId w:val="1269461032"/>
        <w:rPr>
          <w:sz w:val="20"/>
          <w:szCs w:val="20"/>
        </w:rPr>
      </w:pPr>
      <w:r>
        <w:rPr>
          <w:sz w:val="20"/>
          <w:szCs w:val="20"/>
        </w:rPr>
        <w:t>None.</w:t>
      </w:r>
    </w:p>
    <w:p w:rsidR="00000000" w:rsidRDefault="008B747E">
      <w:pPr>
        <w:pStyle w:val="a3"/>
        <w:spacing w:before="0" w:beforeAutospacing="0" w:after="0" w:afterAutospacing="0"/>
        <w:divId w:val="1269461032"/>
        <w:rPr>
          <w:sz w:val="20"/>
          <w:szCs w:val="20"/>
        </w:rPr>
      </w:pPr>
      <w:r>
        <w:rPr>
          <w:b/>
          <w:bCs/>
          <w:sz w:val="20"/>
          <w:szCs w:val="20"/>
        </w:rPr>
        <w:t>​</w:t>
      </w:r>
    </w:p>
    <w:p w:rsidR="00000000" w:rsidRDefault="008B747E">
      <w:pPr>
        <w:pStyle w:val="a3"/>
        <w:spacing w:before="0" w:beforeAutospacing="0" w:after="0" w:afterAutospacing="0"/>
        <w:divId w:val="1269461032"/>
        <w:rPr>
          <w:sz w:val="20"/>
          <w:szCs w:val="20"/>
        </w:rPr>
      </w:pPr>
      <w:r>
        <w:rPr>
          <w:b/>
          <w:bCs/>
          <w:sz w:val="20"/>
          <w:szCs w:val="20"/>
        </w:rPr>
        <w:t>​</w:t>
      </w:r>
    </w:p>
    <w:p w:rsidR="00000000" w:rsidRDefault="008B747E">
      <w:pPr>
        <w:pStyle w:val="a3"/>
        <w:spacing w:before="360" w:beforeAutospacing="0" w:after="0" w:afterAutospacing="0"/>
        <w:jc w:val="center"/>
        <w:divId w:val="1381779500"/>
        <w:rPr>
          <w:sz w:val="20"/>
          <w:szCs w:val="20"/>
        </w:rPr>
      </w:pPr>
      <w:r>
        <w:rPr>
          <w:sz w:val="20"/>
          <w:szCs w:val="20"/>
        </w:rPr>
        <w:t>65</w:t>
      </w:r>
    </w:p>
    <w:p w:rsidR="00000000" w:rsidRDefault="008B747E">
      <w:pPr>
        <w:pStyle w:val="a3"/>
        <w:spacing w:before="0" w:beforeAutospacing="0" w:after="600" w:afterAutospacing="0"/>
        <w:divId w:val="1687171272"/>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divId w:val="391199465"/>
        <w:rPr>
          <w:sz w:val="20"/>
          <w:szCs w:val="20"/>
        </w:rPr>
      </w:pPr>
      <w:r>
        <w:rPr>
          <w:b/>
          <w:bCs/>
          <w:sz w:val="20"/>
          <w:szCs w:val="20"/>
        </w:rPr>
        <w:t>ITEM 6.   EXHIBITS</w:t>
      </w:r>
    </w:p>
    <w:p w:rsidR="00000000" w:rsidRDefault="008B747E">
      <w:pPr>
        <w:pStyle w:val="a3"/>
        <w:spacing w:before="0" w:beforeAutospacing="0" w:after="0" w:afterAutospacing="0"/>
        <w:divId w:val="391199465"/>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576"/>
        <w:gridCol w:w="204"/>
        <w:gridCol w:w="3822"/>
        <w:gridCol w:w="204"/>
        <w:gridCol w:w="1027"/>
        <w:gridCol w:w="205"/>
        <w:gridCol w:w="995"/>
        <w:gridCol w:w="205"/>
        <w:gridCol w:w="1068"/>
      </w:tblGrid>
      <w:tr w:rsidR="00000000">
        <w:trPr>
          <w:divId w:val="391199465"/>
          <w:trHeight w:val="20"/>
        </w:trPr>
        <w:tc>
          <w:tcPr>
            <w:tcW w:w="349" w:type="pct"/>
            <w:tcMar>
              <w:top w:w="0" w:type="dxa"/>
              <w:left w:w="0" w:type="dxa"/>
              <w:bottom w:w="0" w:type="dxa"/>
              <w:right w:w="0" w:type="dxa"/>
            </w:tcMar>
            <w:vAlign w:val="bottom"/>
            <w:hideMark/>
          </w:tcPr>
          <w:p w:rsidR="00000000" w:rsidRDefault="008B747E">
            <w:pPr>
              <w:rPr>
                <w:sz w:val="20"/>
                <w:szCs w:val="20"/>
              </w:rPr>
            </w:pPr>
          </w:p>
        </w:tc>
        <w:tc>
          <w:tcPr>
            <w:tcW w:w="125" w:type="pct"/>
            <w:tcMar>
              <w:top w:w="0" w:type="dxa"/>
              <w:left w:w="0" w:type="dxa"/>
              <w:bottom w:w="0" w:type="dxa"/>
              <w:right w:w="0" w:type="dxa"/>
            </w:tcMar>
            <w:vAlign w:val="bottom"/>
            <w:hideMark/>
          </w:tcPr>
          <w:p w:rsidR="00000000" w:rsidRDefault="008B747E">
            <w:pPr>
              <w:rPr>
                <w:rFonts w:eastAsia="Times New Roman"/>
                <w:sz w:val="20"/>
                <w:szCs w:val="20"/>
              </w:rPr>
            </w:pPr>
          </w:p>
        </w:tc>
        <w:tc>
          <w:tcPr>
            <w:tcW w:w="2303" w:type="pct"/>
            <w:tcMar>
              <w:top w:w="0" w:type="dxa"/>
              <w:left w:w="0" w:type="dxa"/>
              <w:bottom w:w="0" w:type="dxa"/>
              <w:right w:w="0" w:type="dxa"/>
            </w:tcMar>
            <w:vAlign w:val="bottom"/>
            <w:hideMark/>
          </w:tcPr>
          <w:p w:rsidR="00000000" w:rsidRDefault="008B747E">
            <w:pPr>
              <w:rPr>
                <w:rFonts w:eastAsia="Times New Roman"/>
                <w:sz w:val="20"/>
                <w:szCs w:val="20"/>
              </w:rPr>
            </w:pPr>
          </w:p>
        </w:tc>
        <w:tc>
          <w:tcPr>
            <w:tcW w:w="125" w:type="pct"/>
            <w:tcMar>
              <w:top w:w="0" w:type="dxa"/>
              <w:left w:w="0" w:type="dxa"/>
              <w:bottom w:w="0" w:type="dxa"/>
              <w:right w:w="0" w:type="dxa"/>
            </w:tcMar>
            <w:vAlign w:val="bottom"/>
            <w:hideMark/>
          </w:tcPr>
          <w:p w:rsidR="00000000" w:rsidRDefault="008B747E">
            <w:pPr>
              <w:rPr>
                <w:rFonts w:eastAsia="Times New Roman"/>
                <w:sz w:val="20"/>
                <w:szCs w:val="20"/>
              </w:rPr>
            </w:pPr>
          </w:p>
        </w:tc>
        <w:tc>
          <w:tcPr>
            <w:tcW w:w="601" w:type="pct"/>
            <w:tcMar>
              <w:top w:w="0" w:type="dxa"/>
              <w:left w:w="0" w:type="dxa"/>
              <w:bottom w:w="0" w:type="dxa"/>
              <w:right w:w="0" w:type="dxa"/>
            </w:tcMar>
            <w:vAlign w:val="bottom"/>
            <w:hideMark/>
          </w:tcPr>
          <w:p w:rsidR="00000000" w:rsidRDefault="008B747E">
            <w:pPr>
              <w:rPr>
                <w:rFonts w:eastAsia="Times New Roman"/>
                <w:sz w:val="20"/>
                <w:szCs w:val="20"/>
              </w:rPr>
            </w:pPr>
          </w:p>
        </w:tc>
        <w:tc>
          <w:tcPr>
            <w:tcW w:w="125" w:type="pct"/>
            <w:tcMar>
              <w:top w:w="0" w:type="dxa"/>
              <w:left w:w="0" w:type="dxa"/>
              <w:bottom w:w="0" w:type="dxa"/>
              <w:right w:w="0" w:type="dxa"/>
            </w:tcMar>
            <w:vAlign w:val="bottom"/>
            <w:hideMark/>
          </w:tcPr>
          <w:p w:rsidR="00000000" w:rsidRDefault="008B747E">
            <w:pPr>
              <w:rPr>
                <w:rFonts w:eastAsia="Times New Roman"/>
                <w:sz w:val="20"/>
                <w:szCs w:val="20"/>
              </w:rPr>
            </w:pPr>
          </w:p>
        </w:tc>
        <w:tc>
          <w:tcPr>
            <w:tcW w:w="601" w:type="pct"/>
            <w:tcMar>
              <w:top w:w="0" w:type="dxa"/>
              <w:left w:w="0" w:type="dxa"/>
              <w:bottom w:w="0" w:type="dxa"/>
              <w:right w:w="0" w:type="dxa"/>
            </w:tcMar>
            <w:vAlign w:val="bottom"/>
            <w:hideMark/>
          </w:tcPr>
          <w:p w:rsidR="00000000" w:rsidRDefault="008B747E">
            <w:pPr>
              <w:rPr>
                <w:rFonts w:eastAsia="Times New Roman"/>
                <w:sz w:val="20"/>
                <w:szCs w:val="20"/>
              </w:rPr>
            </w:pPr>
          </w:p>
        </w:tc>
        <w:tc>
          <w:tcPr>
            <w:tcW w:w="125" w:type="pct"/>
            <w:tcMar>
              <w:top w:w="0" w:type="dxa"/>
              <w:left w:w="0" w:type="dxa"/>
              <w:bottom w:w="0" w:type="dxa"/>
              <w:right w:w="0" w:type="dxa"/>
            </w:tcMar>
            <w:vAlign w:val="bottom"/>
            <w:hideMark/>
          </w:tcPr>
          <w:p w:rsidR="00000000" w:rsidRDefault="008B747E">
            <w:pPr>
              <w:rPr>
                <w:rFonts w:eastAsia="Times New Roman"/>
                <w:sz w:val="20"/>
                <w:szCs w:val="20"/>
              </w:rPr>
            </w:pPr>
          </w:p>
        </w:tc>
        <w:tc>
          <w:tcPr>
            <w:tcW w:w="644" w:type="pct"/>
            <w:tcMar>
              <w:top w:w="0" w:type="dxa"/>
              <w:left w:w="0" w:type="dxa"/>
              <w:bottom w:w="0" w:type="dxa"/>
              <w:right w:w="0" w:type="dxa"/>
            </w:tcMar>
            <w:vAlign w:val="bottom"/>
            <w:hideMark/>
          </w:tcPr>
          <w:p w:rsidR="00000000" w:rsidRDefault="008B747E">
            <w:pPr>
              <w:rPr>
                <w:rFonts w:eastAsia="Times New Roman"/>
                <w:sz w:val="20"/>
                <w:szCs w:val="20"/>
              </w:rPr>
            </w:pPr>
          </w:p>
        </w:tc>
      </w:tr>
      <w:tr w:rsidR="00000000">
        <w:trPr>
          <w:divId w:val="391199465"/>
        </w:trPr>
        <w:tc>
          <w:tcPr>
            <w:tcW w:w="349"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2303"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601"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16"/>
                <w:szCs w:val="16"/>
              </w:rPr>
              <w:t>​</w:t>
            </w:r>
          </w:p>
        </w:tc>
        <w:tc>
          <w:tcPr>
            <w:tcW w:w="1371" w:type="pct"/>
            <w:gridSpan w:val="3"/>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Incorporated by Reference</w:t>
            </w:r>
          </w:p>
        </w:tc>
      </w:tr>
      <w:tr w:rsidR="00000000">
        <w:trPr>
          <w:divId w:val="391199465"/>
        </w:trPr>
        <w:tc>
          <w:tcPr>
            <w:tcW w:w="349"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Exhibit</w:t>
            </w:r>
            <w:r>
              <w:rPr>
                <w:sz w:val="16"/>
                <w:szCs w:val="16"/>
              </w:rPr>
              <w:br/>
            </w:r>
            <w:r>
              <w:rPr>
                <w:b/>
                <w:bCs/>
                <w:sz w:val="16"/>
                <w:szCs w:val="16"/>
              </w:rPr>
              <w:t>Number</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2303"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Exhibit Description</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601"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Filed Herewith</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601"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Form</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16"/>
                <w:szCs w:val="16"/>
              </w:rPr>
            </w:pPr>
            <w:r>
              <w:rPr>
                <w:b/>
                <w:bCs/>
                <w:sz w:val="16"/>
                <w:szCs w:val="16"/>
              </w:rPr>
              <w:t>    </w:t>
            </w:r>
          </w:p>
        </w:tc>
        <w:tc>
          <w:tcPr>
            <w:tcW w:w="644" w:type="pct"/>
            <w:tcBorders>
              <w:bottom w:val="single" w:sz="6" w:space="0" w:color="000000"/>
            </w:tcBorders>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16"/>
                <w:szCs w:val="16"/>
              </w:rPr>
            </w:pPr>
            <w:r>
              <w:rPr>
                <w:b/>
                <w:bCs/>
                <w:sz w:val="16"/>
                <w:szCs w:val="16"/>
              </w:rPr>
              <w:t>Filing</w:t>
            </w:r>
            <w:r>
              <w:rPr>
                <w:sz w:val="16"/>
                <w:szCs w:val="16"/>
              </w:rPr>
              <w:br/>
            </w:r>
            <w:r>
              <w:rPr>
                <w:b/>
                <w:bCs/>
                <w:sz w:val="16"/>
                <w:szCs w:val="16"/>
              </w:rPr>
              <w:t>Date/Period</w:t>
            </w:r>
            <w:r>
              <w:rPr>
                <w:sz w:val="16"/>
                <w:szCs w:val="16"/>
              </w:rPr>
              <w:br/>
            </w:r>
            <w:r>
              <w:rPr>
                <w:b/>
                <w:bCs/>
                <w:sz w:val="16"/>
                <w:szCs w:val="16"/>
              </w:rPr>
              <w:t>End Date</w:t>
            </w:r>
          </w:p>
        </w:tc>
      </w:tr>
      <w:tr w:rsidR="00000000">
        <w:trPr>
          <w:divId w:val="391199465"/>
        </w:trPr>
        <w:tc>
          <w:tcPr>
            <w:tcW w:w="349"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w:t>
            </w:r>
          </w:p>
        </w:tc>
        <w:tc>
          <w:tcPr>
            <w:tcW w:w="2303"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w:t>
            </w:r>
          </w:p>
        </w:tc>
        <w:tc>
          <w:tcPr>
            <w:tcW w:w="601"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w:t>
            </w:r>
          </w:p>
        </w:tc>
        <w:tc>
          <w:tcPr>
            <w:tcW w:w="601"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w:t>
            </w:r>
          </w:p>
        </w:tc>
        <w:tc>
          <w:tcPr>
            <w:tcW w:w="644" w:type="pct"/>
            <w:tcMar>
              <w:top w:w="0" w:type="dxa"/>
              <w:left w:w="0" w:type="dxa"/>
              <w:bottom w:w="0" w:type="dxa"/>
              <w:right w:w="0" w:type="dxa"/>
            </w:tcMar>
            <w:vAlign w:val="bottom"/>
            <w:hideMark/>
          </w:tcPr>
          <w:p w:rsidR="00000000" w:rsidRDefault="008B747E">
            <w:pPr>
              <w:pStyle w:val="a3"/>
              <w:spacing w:before="0" w:beforeAutospacing="0" w:after="0" w:afterAutospacing="0"/>
              <w:jc w:val="center"/>
              <w:rPr>
                <w:sz w:val="20"/>
                <w:szCs w:val="20"/>
              </w:rPr>
            </w:pPr>
            <w:r>
              <w:rPr>
                <w:b/>
                <w:bCs/>
                <w:sz w:val="20"/>
                <w:szCs w:val="20"/>
              </w:rPr>
              <w:t>​</w:t>
            </w:r>
          </w:p>
        </w:tc>
      </w:tr>
      <w:tr w:rsidR="00000000">
        <w:trPr>
          <w:divId w:val="391199465"/>
        </w:trPr>
        <w:tc>
          <w:tcPr>
            <w:tcW w:w="349" w:type="pct"/>
            <w:tcMar>
              <w:top w:w="0" w:type="dxa"/>
              <w:left w:w="0" w:type="dxa"/>
              <w:bottom w:w="0" w:type="dxa"/>
              <w:right w:w="0" w:type="dxa"/>
            </w:tcMar>
            <w:hideMark/>
          </w:tcPr>
          <w:p w:rsidR="00000000" w:rsidRDefault="008B747E">
            <w:pPr>
              <w:pStyle w:val="a3"/>
              <w:spacing w:before="0" w:beforeAutospacing="0" w:after="0" w:afterAutospacing="0"/>
              <w:ind w:hanging="202"/>
              <w:jc w:val="right"/>
              <w:rPr>
                <w:sz w:val="20"/>
                <w:szCs w:val="20"/>
              </w:rPr>
            </w:pPr>
            <w:r>
              <w:rPr>
                <w:sz w:val="20"/>
                <w:szCs w:val="20"/>
              </w:rPr>
              <w:t>10.1</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hyperlink r:id="rId4" w:history="1">
              <w:r>
                <w:rPr>
                  <w:rStyle w:val="a4"/>
                  <w:sz w:val="20"/>
                  <w:szCs w:val="20"/>
                </w:rPr>
                <w:t>Offer Letter with Andrew Hindman dated May 30, 2019</w:t>
              </w:r>
            </w:hyperlink>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r>
      <w:tr w:rsidR="00000000">
        <w:trPr>
          <w:divId w:val="391199465"/>
        </w:trPr>
        <w:tc>
          <w:tcPr>
            <w:tcW w:w="349" w:type="pct"/>
            <w:tcMar>
              <w:top w:w="0" w:type="dxa"/>
              <w:left w:w="0" w:type="dxa"/>
              <w:bottom w:w="0" w:type="dxa"/>
              <w:right w:w="0" w:type="dxa"/>
            </w:tcMar>
            <w:hideMark/>
          </w:tcPr>
          <w:p w:rsidR="00000000" w:rsidRDefault="008B747E">
            <w:pPr>
              <w:pStyle w:val="a3"/>
              <w:spacing w:before="0" w:beforeAutospacing="0" w:after="0" w:afterAutospacing="0"/>
              <w:ind w:hanging="202"/>
              <w:jc w:val="right"/>
              <w:rPr>
                <w:sz w:val="20"/>
                <w:szCs w:val="20"/>
              </w:rPr>
            </w:pPr>
            <w:r>
              <w:rPr>
                <w:sz w:val="20"/>
                <w:szCs w:val="20"/>
              </w:rPr>
              <w:t>​</w:t>
            </w:r>
          </w:p>
          <w:p w:rsidR="00000000" w:rsidRDefault="008B747E">
            <w:pPr>
              <w:pStyle w:val="a3"/>
              <w:spacing w:before="0" w:beforeAutospacing="0" w:after="0" w:afterAutospacing="0"/>
              <w:ind w:hanging="202"/>
              <w:jc w:val="right"/>
              <w:rPr>
                <w:sz w:val="20"/>
                <w:szCs w:val="20"/>
              </w:rPr>
            </w:pPr>
            <w:r>
              <w:rPr>
                <w:sz w:val="20"/>
                <w:szCs w:val="20"/>
              </w:rPr>
              <w:t>10.2*</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p w:rsidR="00000000" w:rsidRDefault="008B747E">
            <w:pPr>
              <w:pStyle w:val="a3"/>
              <w:spacing w:before="0" w:beforeAutospacing="0" w:after="0" w:afterAutospacing="0"/>
              <w:rPr>
                <w:sz w:val="20"/>
                <w:szCs w:val="20"/>
              </w:rPr>
            </w:pPr>
            <w:hyperlink r:id="rId5" w:history="1">
              <w:r>
                <w:rPr>
                  <w:rStyle w:val="a4"/>
                  <w:sz w:val="20"/>
                  <w:szCs w:val="20"/>
                </w:rPr>
                <w:t>Amendment No. 1 to the Development and Commercialization Agreement by and between Theravance Biopharma Ireland Limited and Mylan Irela</w:t>
              </w:r>
              <w:r>
                <w:rPr>
                  <w:rStyle w:val="a4"/>
                  <w:sz w:val="20"/>
                  <w:szCs w:val="20"/>
                </w:rPr>
                <w:t>nd Limited, dated June 12, 2019</w:t>
              </w:r>
            </w:hyperlink>
          </w:p>
          <w:p w:rsidR="00000000" w:rsidRDefault="008B747E">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20"/>
                <w:szCs w:val="20"/>
              </w:rPr>
              <w:t>​</w:t>
            </w:r>
          </w:p>
          <w:p w:rsidR="00000000" w:rsidRDefault="008B747E">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r>
      <w:tr w:rsidR="00000000">
        <w:trPr>
          <w:divId w:val="391199465"/>
        </w:trPr>
        <w:tc>
          <w:tcPr>
            <w:tcW w:w="349" w:type="pct"/>
            <w:tcMar>
              <w:top w:w="0" w:type="dxa"/>
              <w:left w:w="0" w:type="dxa"/>
              <w:bottom w:w="0" w:type="dxa"/>
              <w:right w:w="0" w:type="dxa"/>
            </w:tcMar>
            <w:hideMark/>
          </w:tcPr>
          <w:p w:rsidR="00000000" w:rsidRDefault="008B747E">
            <w:pPr>
              <w:pStyle w:val="a3"/>
              <w:spacing w:before="0" w:beforeAutospacing="0" w:after="0" w:afterAutospacing="0"/>
              <w:ind w:hanging="202"/>
              <w:jc w:val="right"/>
              <w:rPr>
                <w:sz w:val="20"/>
                <w:szCs w:val="20"/>
              </w:rPr>
            </w:pPr>
            <w:r>
              <w:rPr>
                <w:sz w:val="20"/>
                <w:szCs w:val="20"/>
              </w:rPr>
              <w:t>31.1</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hyperlink r:id="rId6" w:history="1">
              <w:r>
                <w:rPr>
                  <w:rStyle w:val="a4"/>
                  <w:sz w:val="20"/>
                  <w:szCs w:val="20"/>
                </w:rPr>
                <w:t>Certification of Chief Executive Officer Pursuant to Rules 13a-14(a) and 15d-14(a) </w:t>
              </w:r>
              <w:r>
                <w:rPr>
                  <w:rStyle w:val="a4"/>
                  <w:sz w:val="20"/>
                  <w:szCs w:val="20"/>
                </w:rPr>
                <w:t>promulgated pursuant to the Securities Exchange Act of 1934, as amended</w:t>
              </w:r>
            </w:hyperlink>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r>
      <w:tr w:rsidR="00000000">
        <w:trPr>
          <w:divId w:val="391199465"/>
        </w:trPr>
        <w:tc>
          <w:tcPr>
            <w:tcW w:w="349" w:type="pct"/>
            <w:tcMar>
              <w:top w:w="0" w:type="dxa"/>
              <w:left w:w="0" w:type="dxa"/>
              <w:bottom w:w="0" w:type="dxa"/>
              <w:right w:w="0" w:type="dxa"/>
            </w:tcMar>
            <w:hideMark/>
          </w:tcPr>
          <w:p w:rsidR="00000000" w:rsidRDefault="008B747E">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r>
      <w:tr w:rsidR="00000000">
        <w:trPr>
          <w:divId w:val="391199465"/>
        </w:trPr>
        <w:tc>
          <w:tcPr>
            <w:tcW w:w="349" w:type="pct"/>
            <w:tcMar>
              <w:top w:w="0" w:type="dxa"/>
              <w:left w:w="0" w:type="dxa"/>
              <w:bottom w:w="0" w:type="dxa"/>
              <w:right w:w="0" w:type="dxa"/>
            </w:tcMar>
            <w:hideMark/>
          </w:tcPr>
          <w:p w:rsidR="00000000" w:rsidRDefault="008B747E">
            <w:pPr>
              <w:pStyle w:val="a3"/>
              <w:spacing w:before="0" w:beforeAutospacing="0" w:after="0" w:afterAutospacing="0"/>
              <w:ind w:hanging="202"/>
              <w:jc w:val="right"/>
              <w:rPr>
                <w:sz w:val="20"/>
                <w:szCs w:val="20"/>
              </w:rPr>
            </w:pPr>
            <w:r>
              <w:rPr>
                <w:sz w:val="20"/>
                <w:szCs w:val="20"/>
              </w:rPr>
              <w:t>31.2</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hyperlink r:id="rId7" w:history="1">
              <w:r>
                <w:rPr>
                  <w:rStyle w:val="a4"/>
                  <w:sz w:val="20"/>
                  <w:szCs w:val="20"/>
                </w:rPr>
                <w:t>Certification of Chief Financial Officer Pursuant to Rules 13a-14(a) and 15d-14(a) promulgated pursuant to the Securities Exchange Act of 1934, as amended</w:t>
              </w:r>
            </w:hyperlink>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r>
      <w:tr w:rsidR="00000000">
        <w:trPr>
          <w:divId w:val="391199465"/>
        </w:trPr>
        <w:tc>
          <w:tcPr>
            <w:tcW w:w="349" w:type="pct"/>
            <w:tcMar>
              <w:top w:w="0" w:type="dxa"/>
              <w:left w:w="0" w:type="dxa"/>
              <w:bottom w:w="0" w:type="dxa"/>
              <w:right w:w="0" w:type="dxa"/>
            </w:tcMar>
            <w:hideMark/>
          </w:tcPr>
          <w:p w:rsidR="00000000" w:rsidRDefault="008B747E">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r>
      <w:tr w:rsidR="00000000">
        <w:trPr>
          <w:divId w:val="391199465"/>
        </w:trPr>
        <w:tc>
          <w:tcPr>
            <w:tcW w:w="349" w:type="pct"/>
            <w:tcMar>
              <w:top w:w="0" w:type="dxa"/>
              <w:left w:w="0" w:type="dxa"/>
              <w:bottom w:w="0" w:type="dxa"/>
              <w:right w:w="0" w:type="dxa"/>
            </w:tcMar>
            <w:hideMark/>
          </w:tcPr>
          <w:p w:rsidR="00000000" w:rsidRDefault="008B747E">
            <w:pPr>
              <w:pStyle w:val="a3"/>
              <w:spacing w:before="0" w:beforeAutospacing="0" w:after="0" w:afterAutospacing="0"/>
              <w:ind w:hanging="202"/>
              <w:jc w:val="right"/>
              <w:rPr>
                <w:sz w:val="20"/>
                <w:szCs w:val="20"/>
              </w:rPr>
            </w:pPr>
            <w:r>
              <w:rPr>
                <w:sz w:val="20"/>
                <w:szCs w:val="20"/>
              </w:rPr>
              <w:t>32(1)</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hyperlink r:id="rId8" w:history="1">
              <w:r>
                <w:rPr>
                  <w:rStyle w:val="a4"/>
                  <w:sz w:val="20"/>
                  <w:szCs w:val="20"/>
                </w:rPr>
                <w:t>Certifications Pursuant to 18 U.S.C. Section 1350</w:t>
              </w:r>
            </w:hyperlink>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r>
      <w:tr w:rsidR="00000000">
        <w:trPr>
          <w:divId w:val="391199465"/>
        </w:trPr>
        <w:tc>
          <w:tcPr>
            <w:tcW w:w="349" w:type="pct"/>
            <w:tcMar>
              <w:top w:w="0" w:type="dxa"/>
              <w:left w:w="0" w:type="dxa"/>
              <w:bottom w:w="0" w:type="dxa"/>
              <w:right w:w="0" w:type="dxa"/>
            </w:tcMar>
            <w:hideMark/>
          </w:tcPr>
          <w:p w:rsidR="00000000" w:rsidRDefault="008B747E">
            <w:pPr>
              <w:pStyle w:val="a3"/>
              <w:spacing w:before="0" w:beforeAutospacing="0" w:after="0" w:afterAutospacing="0"/>
              <w:ind w:hanging="202"/>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r>
      <w:tr w:rsidR="00000000">
        <w:trPr>
          <w:divId w:val="391199465"/>
        </w:trPr>
        <w:tc>
          <w:tcPr>
            <w:tcW w:w="349" w:type="pct"/>
            <w:tcMar>
              <w:top w:w="0" w:type="dxa"/>
              <w:left w:w="0" w:type="dxa"/>
              <w:bottom w:w="0" w:type="dxa"/>
              <w:right w:w="0" w:type="dxa"/>
            </w:tcMar>
            <w:hideMark/>
          </w:tcPr>
          <w:p w:rsidR="00000000" w:rsidRDefault="008B747E">
            <w:pPr>
              <w:pStyle w:val="a3"/>
              <w:spacing w:before="0" w:beforeAutospacing="0" w:after="0" w:afterAutospacing="0"/>
              <w:ind w:hanging="202"/>
              <w:jc w:val="right"/>
              <w:rPr>
                <w:sz w:val="20"/>
                <w:szCs w:val="20"/>
              </w:rPr>
            </w:pPr>
            <w:r>
              <w:rPr>
                <w:sz w:val="20"/>
                <w:szCs w:val="20"/>
              </w:rPr>
              <w:t>101</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2303"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Financial statements from the quarterly report on Form </w:t>
            </w:r>
            <w:r>
              <w:rPr>
                <w:sz w:val="20"/>
                <w:szCs w:val="20"/>
              </w:rPr>
              <w:t>10-Q of the Company for the quarter ended June 30, 2019, formatted in iXBRL: (i) the Condensed Consolidated Balance Sheets, (ii) the Condensed Consolidated Statements of Operations and Comprehensive Loss, (iii) Condensed Consolidated Statement of Sharehold</w:t>
            </w:r>
            <w:r>
              <w:rPr>
                <w:sz w:val="20"/>
                <w:szCs w:val="20"/>
              </w:rPr>
              <w:t>ers’ Equity (Deficit), (iv)  the Condensed Consolidated Statements of Cash Flows, and (v) the Notes to the Condensed Consolidated Financial Statements</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20"/>
                <w:szCs w:val="20"/>
              </w:rPr>
              <w:t>X</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01"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c>
          <w:tcPr>
            <w:tcW w:w="125" w:type="pct"/>
            <w:tcMar>
              <w:top w:w="0" w:type="dxa"/>
              <w:left w:w="0" w:type="dxa"/>
              <w:bottom w:w="0" w:type="dxa"/>
              <w:right w:w="0" w:type="dxa"/>
            </w:tcMar>
            <w:vAlign w:val="bottom"/>
            <w:hideMark/>
          </w:tcPr>
          <w:p w:rsidR="00000000" w:rsidRDefault="008B747E">
            <w:pPr>
              <w:pStyle w:val="a3"/>
              <w:spacing w:before="0" w:beforeAutospacing="0" w:after="0" w:afterAutospacing="0"/>
              <w:rPr>
                <w:sz w:val="20"/>
                <w:szCs w:val="20"/>
              </w:rPr>
            </w:pPr>
            <w:r>
              <w:rPr>
                <w:sz w:val="20"/>
                <w:szCs w:val="20"/>
              </w:rPr>
              <w:t>​</w:t>
            </w:r>
          </w:p>
        </w:tc>
        <w:tc>
          <w:tcPr>
            <w:tcW w:w="644" w:type="pct"/>
            <w:tcMar>
              <w:top w:w="0" w:type="dxa"/>
              <w:left w:w="0" w:type="dxa"/>
              <w:bottom w:w="0" w:type="dxa"/>
              <w:right w:w="0" w:type="dxa"/>
            </w:tcMar>
            <w:vAlign w:val="bottom"/>
            <w:hideMark/>
          </w:tcPr>
          <w:p w:rsidR="00000000" w:rsidRDefault="008B747E">
            <w:pPr>
              <w:pStyle w:val="a3"/>
              <w:spacing w:before="0" w:beforeAutospacing="0" w:after="0" w:afterAutospacing="0"/>
              <w:jc w:val="right"/>
              <w:rPr>
                <w:sz w:val="20"/>
                <w:szCs w:val="20"/>
              </w:rPr>
            </w:pPr>
            <w:r>
              <w:rPr>
                <w:sz w:val="20"/>
                <w:szCs w:val="20"/>
              </w:rPr>
              <w:t>​</w:t>
            </w:r>
          </w:p>
        </w:tc>
      </w:tr>
    </w:tbl>
    <w:p w:rsidR="00000000" w:rsidRDefault="008B747E">
      <w:pPr>
        <w:pStyle w:val="a3"/>
        <w:spacing w:before="0" w:beforeAutospacing="0" w:after="0" w:afterAutospacing="0"/>
        <w:divId w:val="391199465"/>
        <w:rPr>
          <w:sz w:val="20"/>
          <w:szCs w:val="20"/>
        </w:rPr>
      </w:pPr>
      <w:r>
        <w:rPr>
          <w:sz w:val="20"/>
          <w:szCs w:val="20"/>
        </w:rPr>
        <w:t>​</w:t>
      </w:r>
    </w:p>
    <w:tbl>
      <w:tblPr>
        <w:tblW w:w="0" w:type="auto"/>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91199465"/>
        </w:trPr>
        <w:tc>
          <w:tcPr>
            <w:tcW w:w="360" w:type="dxa"/>
            <w:noWrap/>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20"/>
                <w:szCs w:val="20"/>
              </w:rPr>
              <w:t xml:space="preserve">* </w:t>
            </w:r>
          </w:p>
        </w:tc>
        <w:tc>
          <w:tcPr>
            <w:tcW w:w="0" w:type="auto"/>
            <w:tcMar>
              <w:top w:w="0" w:type="dxa"/>
              <w:left w:w="0" w:type="dxa"/>
              <w:bottom w:w="0" w:type="dxa"/>
              <w:right w:w="0" w:type="dxa"/>
            </w:tcMar>
            <w:vAlign w:val="center"/>
            <w:hideMark/>
          </w:tcPr>
          <w:p w:rsidR="00000000" w:rsidRDefault="008B747E">
            <w:pPr>
              <w:pStyle w:val="a3"/>
              <w:spacing w:before="0" w:beforeAutospacing="0" w:after="0" w:afterAutospacing="0"/>
              <w:rPr>
                <w:sz w:val="20"/>
                <w:szCs w:val="20"/>
              </w:rPr>
            </w:pPr>
            <w:r>
              <w:rPr>
                <w:sz w:val="20"/>
                <w:szCs w:val="20"/>
              </w:rPr>
              <w:t>Portions of this exhibit (indicated by asterisks) have been omitted and are subject to confidential treatment.</w:t>
            </w:r>
          </w:p>
        </w:tc>
      </w:tr>
    </w:tbl>
    <w:p w:rsidR="00000000" w:rsidRDefault="008B747E">
      <w:pPr>
        <w:pStyle w:val="a3"/>
        <w:spacing w:before="0" w:beforeAutospacing="0" w:after="0" w:afterAutospacing="0"/>
        <w:divId w:val="391199465"/>
        <w:rPr>
          <w:sz w:val="20"/>
          <w:szCs w:val="20"/>
        </w:rPr>
      </w:pPr>
      <w:r>
        <w:rPr>
          <w:sz w:val="20"/>
          <w:szCs w:val="20"/>
        </w:rPr>
        <w:t>​</w:t>
      </w:r>
    </w:p>
    <w:tbl>
      <w:tblPr>
        <w:tblW w:w="5000" w:type="pct"/>
        <w:tblCellMar>
          <w:top w:w="15" w:type="dxa"/>
          <w:left w:w="15" w:type="dxa"/>
          <w:bottom w:w="15" w:type="dxa"/>
          <w:right w:w="15" w:type="dxa"/>
        </w:tblCellMar>
        <w:tblLook w:val="04A0" w:firstRow="1" w:lastRow="0" w:firstColumn="1" w:lastColumn="0" w:noHBand="0" w:noVBand="1"/>
      </w:tblPr>
      <w:tblGrid>
        <w:gridCol w:w="376"/>
        <w:gridCol w:w="7930"/>
      </w:tblGrid>
      <w:tr w:rsidR="00000000">
        <w:trPr>
          <w:divId w:val="391199465"/>
        </w:trPr>
        <w:tc>
          <w:tcPr>
            <w:tcW w:w="360" w:type="dxa"/>
            <w:noWrap/>
            <w:tcMar>
              <w:top w:w="0" w:type="dxa"/>
              <w:left w:w="0" w:type="dxa"/>
              <w:bottom w:w="0" w:type="dxa"/>
              <w:right w:w="0" w:type="dxa"/>
            </w:tcMar>
            <w:hideMark/>
          </w:tcPr>
          <w:p w:rsidR="00000000" w:rsidRDefault="008B747E">
            <w:pPr>
              <w:rPr>
                <w:rFonts w:eastAsia="Times New Roman"/>
                <w:sz w:val="20"/>
                <w:szCs w:val="20"/>
              </w:rPr>
            </w:pPr>
            <w:r>
              <w:rPr>
                <w:rFonts w:eastAsia="Times New Roman"/>
                <w:sz w:val="20"/>
                <w:szCs w:val="20"/>
              </w:rPr>
              <w:t>(1)</w:t>
            </w:r>
          </w:p>
        </w:tc>
        <w:tc>
          <w:tcPr>
            <w:tcW w:w="0" w:type="auto"/>
            <w:tcMar>
              <w:top w:w="0" w:type="dxa"/>
              <w:left w:w="0" w:type="dxa"/>
              <w:bottom w:w="0" w:type="dxa"/>
              <w:right w:w="0" w:type="dxa"/>
            </w:tcMar>
            <w:vAlign w:val="center"/>
            <w:hideMark/>
          </w:tcPr>
          <w:p w:rsidR="00000000" w:rsidRDefault="008B747E">
            <w:pPr>
              <w:rPr>
                <w:rFonts w:eastAsia="Times New Roman"/>
                <w:sz w:val="20"/>
                <w:szCs w:val="20"/>
              </w:rPr>
            </w:pPr>
            <w:r>
              <w:rPr>
                <w:rFonts w:eastAsia="Times New Roman"/>
                <w:color w:val="000000"/>
                <w:sz w:val="20"/>
                <w:szCs w:val="20"/>
              </w:rPr>
              <w:t xml:space="preserve">The certifications provided as Exhibit 32 are being furnished to accompany the Report pursuant to 18 U.S.C. Section 1350 and shall not be </w:t>
            </w:r>
            <w:r>
              <w:rPr>
                <w:rFonts w:eastAsia="Times New Roman"/>
                <w:color w:val="000000"/>
                <w:sz w:val="20"/>
                <w:szCs w:val="20"/>
              </w:rPr>
              <w:t>deemed filed by the Company for purposes of Section 18 of the Securities Exchange Act of 1934, as amended, and is not to be incorporated by reference into any filing of the Company, whether made before or after the date hereof, regardless of any general in</w:t>
            </w:r>
            <w:r>
              <w:rPr>
                <w:rFonts w:eastAsia="Times New Roman"/>
                <w:color w:val="000000"/>
                <w:sz w:val="20"/>
                <w:szCs w:val="20"/>
              </w:rPr>
              <w:t>corporation language in such filing.</w:t>
            </w:r>
          </w:p>
        </w:tc>
      </w:tr>
    </w:tbl>
    <w:p w:rsidR="00000000" w:rsidRDefault="008B747E">
      <w:pPr>
        <w:pStyle w:val="a3"/>
        <w:spacing w:before="0" w:beforeAutospacing="0" w:after="0" w:afterAutospacing="0"/>
        <w:divId w:val="391199465"/>
        <w:rPr>
          <w:sz w:val="20"/>
          <w:szCs w:val="20"/>
        </w:rPr>
      </w:pPr>
      <w:r>
        <w:rPr>
          <w:sz w:val="20"/>
          <w:szCs w:val="20"/>
        </w:rPr>
        <w:t>​</w:t>
      </w:r>
    </w:p>
    <w:p w:rsidR="00000000" w:rsidRDefault="008B747E">
      <w:pPr>
        <w:pStyle w:val="a3"/>
        <w:spacing w:before="360" w:beforeAutospacing="0" w:after="0" w:afterAutospacing="0"/>
        <w:jc w:val="center"/>
        <w:divId w:val="463697068"/>
        <w:rPr>
          <w:sz w:val="20"/>
          <w:szCs w:val="20"/>
        </w:rPr>
      </w:pPr>
      <w:r>
        <w:rPr>
          <w:sz w:val="20"/>
          <w:szCs w:val="20"/>
        </w:rPr>
        <w:t>66</w:t>
      </w:r>
    </w:p>
    <w:p w:rsidR="00000000" w:rsidRDefault="008B747E">
      <w:pPr>
        <w:pStyle w:val="a3"/>
        <w:spacing w:before="0" w:beforeAutospacing="0" w:after="600" w:afterAutospacing="0"/>
        <w:divId w:val="964821211"/>
        <w:rPr>
          <w:sz w:val="20"/>
          <w:szCs w:val="20"/>
        </w:rPr>
      </w:pPr>
      <w:hyperlink w:anchor="TOC" w:history="1">
        <w:r>
          <w:rPr>
            <w:rStyle w:val="a4"/>
            <w:sz w:val="20"/>
            <w:szCs w:val="20"/>
          </w:rPr>
          <w:t>Table of Contents</w:t>
        </w:r>
      </w:hyperlink>
    </w:p>
    <w:p w:rsidR="00000000" w:rsidRDefault="008B747E">
      <w:pPr>
        <w:pStyle w:val="a3"/>
        <w:spacing w:before="0" w:beforeAutospacing="0" w:after="0" w:afterAutospacing="0"/>
        <w:jc w:val="center"/>
        <w:divId w:val="202332979"/>
        <w:rPr>
          <w:sz w:val="20"/>
          <w:szCs w:val="20"/>
        </w:rPr>
      </w:pPr>
      <w:r>
        <w:rPr>
          <w:b/>
          <w:bCs/>
          <w:sz w:val="20"/>
          <w:szCs w:val="20"/>
        </w:rPr>
        <w:t>SIGNATURES</w:t>
      </w:r>
    </w:p>
    <w:p w:rsidR="00000000" w:rsidRDefault="008B747E">
      <w:pPr>
        <w:pStyle w:val="a3"/>
        <w:spacing w:before="0" w:beforeAutospacing="0" w:after="0" w:afterAutospacing="0"/>
        <w:divId w:val="202332979"/>
        <w:rPr>
          <w:sz w:val="20"/>
          <w:szCs w:val="20"/>
        </w:rPr>
      </w:pPr>
      <w:r>
        <w:rPr>
          <w:sz w:val="20"/>
          <w:szCs w:val="20"/>
        </w:rPr>
        <w:t>​</w:t>
      </w:r>
    </w:p>
    <w:p w:rsidR="00000000" w:rsidRDefault="008B747E">
      <w:pPr>
        <w:pStyle w:val="a3"/>
        <w:spacing w:before="0" w:beforeAutospacing="0" w:after="0" w:afterAutospacing="0"/>
        <w:divId w:val="202332979"/>
        <w:rPr>
          <w:sz w:val="20"/>
          <w:szCs w:val="20"/>
        </w:rPr>
      </w:pPr>
      <w:r>
        <w:rPr>
          <w:sz w:val="20"/>
          <w:szCs w:val="20"/>
        </w:rPr>
        <w:t>Pursuant to the Securities Exchange Act of 1934, the registrant has duly caused this report to be signed on its behalf by the undersigned thereunto duly authorized.</w:t>
      </w:r>
    </w:p>
    <w:p w:rsidR="00000000" w:rsidRDefault="008B747E">
      <w:pPr>
        <w:pStyle w:val="a3"/>
        <w:spacing w:before="0" w:beforeAutospacing="0" w:after="0" w:afterAutospacing="0"/>
        <w:divId w:val="202332979"/>
        <w:rPr>
          <w:sz w:val="20"/>
          <w:szCs w:val="20"/>
        </w:rPr>
      </w:pPr>
      <w:r>
        <w:rPr>
          <w:sz w:val="20"/>
          <w:szCs w:val="20"/>
        </w:rPr>
        <w:t>​</w:t>
      </w:r>
    </w:p>
    <w:tbl>
      <w:tblPr>
        <w:tblW w:w="5000" w:type="pct"/>
        <w:tblCellMar>
          <w:top w:w="15" w:type="dxa"/>
          <w:left w:w="0" w:type="dxa"/>
          <w:bottom w:w="15" w:type="dxa"/>
          <w:right w:w="0" w:type="dxa"/>
        </w:tblCellMar>
        <w:tblLook w:val="04A0" w:firstRow="1" w:lastRow="0" w:firstColumn="1" w:lastColumn="0" w:noHBand="0" w:noVBand="1"/>
      </w:tblPr>
      <w:tblGrid>
        <w:gridCol w:w="4153"/>
        <w:gridCol w:w="4153"/>
      </w:tblGrid>
      <w:tr w:rsidR="00000000">
        <w:trPr>
          <w:divId w:val="202332979"/>
          <w:trHeight w:val="20"/>
        </w:trPr>
        <w:tc>
          <w:tcPr>
            <w:tcW w:w="2500" w:type="pct"/>
            <w:tcMar>
              <w:top w:w="0" w:type="dxa"/>
              <w:left w:w="0" w:type="dxa"/>
              <w:bottom w:w="0" w:type="dxa"/>
              <w:right w:w="0" w:type="dxa"/>
            </w:tcMar>
            <w:hideMark/>
          </w:tcPr>
          <w:p w:rsidR="00000000" w:rsidRDefault="008B747E">
            <w:pPr>
              <w:pStyle w:val="a3"/>
              <w:spacing w:before="0" w:beforeAutospacing="0" w:after="0" w:afterAutospacing="0"/>
              <w:divId w:val="1622809023"/>
              <w:rPr>
                <w:sz w:val="20"/>
                <w:szCs w:val="20"/>
              </w:rPr>
            </w:pPr>
            <w:r>
              <w:rPr>
                <w:sz w:val="20"/>
                <w:szCs w:val="20"/>
              </w:rPr>
              <w:t>​</w:t>
            </w:r>
          </w:p>
        </w:tc>
        <w:tc>
          <w:tcPr>
            <w:tcW w:w="2500" w:type="pct"/>
            <w:tcMar>
              <w:top w:w="0" w:type="dxa"/>
              <w:left w:w="0" w:type="dxa"/>
              <w:bottom w:w="0" w:type="dxa"/>
              <w:right w:w="0" w:type="dxa"/>
            </w:tcMar>
            <w:hideMark/>
          </w:tcPr>
          <w:p w:rsidR="00000000" w:rsidRDefault="008B747E">
            <w:pPr>
              <w:rPr>
                <w:sz w:val="20"/>
                <w:szCs w:val="20"/>
              </w:rPr>
            </w:pPr>
          </w:p>
        </w:tc>
      </w:tr>
      <w:tr w:rsidR="00000000">
        <w:trPr>
          <w:divId w:val="202332979"/>
        </w:trPr>
        <w:tc>
          <w:tcPr>
            <w:tcW w:w="2500"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20"/>
                <w:szCs w:val="20"/>
              </w:rPr>
              <w:t>Theravance Biopharma, Inc.</w:t>
            </w:r>
          </w:p>
        </w:tc>
      </w:tr>
      <w:tr w:rsidR="00000000">
        <w:trPr>
          <w:divId w:val="202332979"/>
        </w:trPr>
        <w:tc>
          <w:tcPr>
            <w:tcW w:w="2500"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20"/>
                <w:szCs w:val="20"/>
              </w:rPr>
              <w:t>​</w:t>
            </w:r>
          </w:p>
        </w:tc>
      </w:tr>
      <w:tr w:rsidR="00000000">
        <w:trPr>
          <w:divId w:val="202332979"/>
        </w:trPr>
        <w:tc>
          <w:tcPr>
            <w:tcW w:w="2500"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20"/>
                <w:szCs w:val="20"/>
              </w:rPr>
              <w:t>Date: August 5, 2019</w:t>
            </w:r>
          </w:p>
        </w:tc>
        <w:tc>
          <w:tcPr>
            <w:tcW w:w="2500" w:type="pct"/>
            <w:tcBorders>
              <w:bottom w:val="single" w:sz="6" w:space="0" w:color="000000"/>
            </w:tcBorders>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20"/>
                <w:szCs w:val="20"/>
              </w:rPr>
              <w:t>/s/ R</w:t>
            </w:r>
            <w:r>
              <w:rPr>
                <w:smallCaps/>
                <w:sz w:val="20"/>
                <w:szCs w:val="20"/>
              </w:rPr>
              <w:t>ick</w:t>
            </w:r>
            <w:r>
              <w:rPr>
                <w:sz w:val="20"/>
                <w:szCs w:val="20"/>
              </w:rPr>
              <w:t xml:space="preserve"> E W</w:t>
            </w:r>
            <w:r>
              <w:rPr>
                <w:smallCaps/>
                <w:sz w:val="20"/>
                <w:szCs w:val="20"/>
              </w:rPr>
              <w:t>inningham</w:t>
            </w:r>
          </w:p>
        </w:tc>
      </w:tr>
      <w:tr w:rsidR="00000000">
        <w:trPr>
          <w:divId w:val="202332979"/>
        </w:trPr>
        <w:tc>
          <w:tcPr>
            <w:tcW w:w="2500"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b/>
                <w:bCs/>
                <w:sz w:val="20"/>
                <w:szCs w:val="20"/>
              </w:rPr>
              <w:t>​</w:t>
            </w:r>
          </w:p>
        </w:tc>
        <w:tc>
          <w:tcPr>
            <w:tcW w:w="2500" w:type="pct"/>
            <w:tcBorders>
              <w:top w:val="single" w:sz="6" w:space="0" w:color="000000"/>
            </w:tcBorders>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20"/>
                <w:szCs w:val="20"/>
              </w:rPr>
              <w:t>Rick E Winningham</w:t>
            </w:r>
          </w:p>
        </w:tc>
      </w:tr>
      <w:tr w:rsidR="00000000">
        <w:trPr>
          <w:divId w:val="202332979"/>
        </w:trPr>
        <w:tc>
          <w:tcPr>
            <w:tcW w:w="2500"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20"/>
                <w:szCs w:val="20"/>
              </w:rPr>
              <w:t>Chairman of the Board and Chief Executive Officer</w:t>
            </w:r>
          </w:p>
        </w:tc>
      </w:tr>
      <w:tr w:rsidR="00000000">
        <w:trPr>
          <w:divId w:val="202332979"/>
        </w:trPr>
        <w:tc>
          <w:tcPr>
            <w:tcW w:w="2500"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20"/>
                <w:szCs w:val="20"/>
              </w:rPr>
              <w:t>(Principal Executive Officer)</w:t>
            </w:r>
          </w:p>
        </w:tc>
      </w:tr>
      <w:tr w:rsidR="00000000">
        <w:trPr>
          <w:divId w:val="202332979"/>
        </w:trPr>
        <w:tc>
          <w:tcPr>
            <w:tcW w:w="2500"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20"/>
                <w:szCs w:val="20"/>
              </w:rPr>
              <w:t>​</w:t>
            </w:r>
          </w:p>
        </w:tc>
      </w:tr>
      <w:tr w:rsidR="00000000">
        <w:trPr>
          <w:divId w:val="202332979"/>
        </w:trPr>
        <w:tc>
          <w:tcPr>
            <w:tcW w:w="2500"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20"/>
                <w:szCs w:val="20"/>
              </w:rPr>
              <w:t>Date: August 5, 2019</w:t>
            </w:r>
          </w:p>
        </w:tc>
        <w:tc>
          <w:tcPr>
            <w:tcW w:w="2500" w:type="pct"/>
            <w:tcBorders>
              <w:bottom w:val="single" w:sz="6" w:space="0" w:color="000000"/>
            </w:tcBorders>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20"/>
                <w:szCs w:val="20"/>
              </w:rPr>
              <w:t>/s/ A</w:t>
            </w:r>
            <w:r>
              <w:rPr>
                <w:smallCaps/>
                <w:sz w:val="20"/>
                <w:szCs w:val="20"/>
              </w:rPr>
              <w:t>ndrew</w:t>
            </w:r>
            <w:r>
              <w:rPr>
                <w:sz w:val="20"/>
                <w:szCs w:val="20"/>
              </w:rPr>
              <w:t xml:space="preserve"> H</w:t>
            </w:r>
            <w:r>
              <w:rPr>
                <w:smallCaps/>
                <w:sz w:val="20"/>
                <w:szCs w:val="20"/>
              </w:rPr>
              <w:t>indman</w:t>
            </w:r>
          </w:p>
        </w:tc>
      </w:tr>
      <w:tr w:rsidR="00000000">
        <w:trPr>
          <w:divId w:val="202332979"/>
        </w:trPr>
        <w:tc>
          <w:tcPr>
            <w:tcW w:w="2500"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b/>
                <w:bCs/>
                <w:sz w:val="20"/>
                <w:szCs w:val="20"/>
              </w:rPr>
              <w:t>​</w:t>
            </w:r>
          </w:p>
        </w:tc>
        <w:tc>
          <w:tcPr>
            <w:tcW w:w="2500" w:type="pct"/>
            <w:tcBorders>
              <w:top w:val="single" w:sz="6" w:space="0" w:color="000000"/>
            </w:tcBorders>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20"/>
                <w:szCs w:val="20"/>
              </w:rPr>
              <w:t>Andrew Hindman</w:t>
            </w:r>
          </w:p>
          <w:p w:rsidR="00000000" w:rsidRDefault="008B747E">
            <w:pPr>
              <w:pStyle w:val="a3"/>
              <w:spacing w:before="0" w:beforeAutospacing="0" w:after="0" w:afterAutospacing="0"/>
              <w:jc w:val="center"/>
              <w:rPr>
                <w:sz w:val="20"/>
                <w:szCs w:val="20"/>
              </w:rPr>
            </w:pPr>
            <w:r>
              <w:rPr>
                <w:sz w:val="20"/>
                <w:szCs w:val="20"/>
              </w:rPr>
              <w:t>Senior Vice President and Chief Financial Officer</w:t>
            </w:r>
          </w:p>
        </w:tc>
      </w:tr>
      <w:tr w:rsidR="00000000">
        <w:trPr>
          <w:divId w:val="202332979"/>
        </w:trPr>
        <w:tc>
          <w:tcPr>
            <w:tcW w:w="2500"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20"/>
                <w:szCs w:val="20"/>
              </w:rPr>
              <w:t>(Principal Financial Officer)</w:t>
            </w:r>
          </w:p>
        </w:tc>
      </w:tr>
      <w:tr w:rsidR="00000000">
        <w:trPr>
          <w:divId w:val="202332979"/>
        </w:trPr>
        <w:tc>
          <w:tcPr>
            <w:tcW w:w="2500" w:type="pct"/>
            <w:tcMar>
              <w:top w:w="0" w:type="dxa"/>
              <w:left w:w="0" w:type="dxa"/>
              <w:bottom w:w="0" w:type="dxa"/>
              <w:right w:w="0" w:type="dxa"/>
            </w:tcMar>
            <w:hideMark/>
          </w:tcPr>
          <w:p w:rsidR="00000000" w:rsidRDefault="008B747E">
            <w:pPr>
              <w:pStyle w:val="a3"/>
              <w:spacing w:before="0" w:beforeAutospacing="0" w:after="0" w:afterAutospacing="0"/>
              <w:rPr>
                <w:sz w:val="20"/>
                <w:szCs w:val="20"/>
              </w:rPr>
            </w:pPr>
            <w:r>
              <w:rPr>
                <w:sz w:val="20"/>
                <w:szCs w:val="20"/>
              </w:rPr>
              <w:t>​</w:t>
            </w:r>
          </w:p>
        </w:tc>
        <w:tc>
          <w:tcPr>
            <w:tcW w:w="2500" w:type="pct"/>
            <w:tcMar>
              <w:top w:w="0" w:type="dxa"/>
              <w:left w:w="0" w:type="dxa"/>
              <w:bottom w:w="0" w:type="dxa"/>
              <w:right w:w="0" w:type="dxa"/>
            </w:tcMar>
            <w:hideMark/>
          </w:tcPr>
          <w:p w:rsidR="00000000" w:rsidRDefault="008B747E">
            <w:pPr>
              <w:pStyle w:val="a3"/>
              <w:spacing w:before="0" w:beforeAutospacing="0" w:after="0" w:afterAutospacing="0"/>
              <w:jc w:val="center"/>
              <w:rPr>
                <w:sz w:val="20"/>
                <w:szCs w:val="20"/>
              </w:rPr>
            </w:pPr>
            <w:r>
              <w:rPr>
                <w:sz w:val="20"/>
                <w:szCs w:val="20"/>
              </w:rPr>
              <w:t>​</w:t>
            </w:r>
          </w:p>
        </w:tc>
      </w:tr>
    </w:tbl>
    <w:p w:rsidR="00000000" w:rsidRDefault="008B747E">
      <w:pPr>
        <w:pStyle w:val="a3"/>
        <w:spacing w:before="0" w:beforeAutospacing="0" w:after="0" w:afterAutospacing="0"/>
        <w:divId w:val="202332979"/>
        <w:rPr>
          <w:sz w:val="20"/>
          <w:szCs w:val="20"/>
        </w:rPr>
      </w:pPr>
      <w:r>
        <w:rPr>
          <w:sz w:val="2"/>
          <w:szCs w:val="2"/>
        </w:rPr>
        <w:t>​</w:t>
      </w:r>
    </w:p>
    <w:p w:rsidR="00000000" w:rsidRDefault="008B747E">
      <w:pPr>
        <w:pStyle w:val="a3"/>
        <w:spacing w:before="0" w:beforeAutospacing="0" w:after="0" w:afterAutospacing="0"/>
        <w:divId w:val="202332979"/>
        <w:rPr>
          <w:sz w:val="20"/>
          <w:szCs w:val="20"/>
        </w:rPr>
      </w:pPr>
      <w:r>
        <w:rPr>
          <w:sz w:val="20"/>
          <w:szCs w:val="20"/>
        </w:rPr>
        <w:t>​</w:t>
      </w:r>
    </w:p>
    <w:p w:rsidR="00000000" w:rsidRDefault="008B747E">
      <w:pPr>
        <w:pStyle w:val="a3"/>
        <w:spacing w:before="0" w:beforeAutospacing="0" w:after="0" w:afterAutospacing="0"/>
        <w:divId w:val="202332979"/>
        <w:rPr>
          <w:sz w:val="20"/>
          <w:szCs w:val="20"/>
        </w:rPr>
      </w:pPr>
      <w:r>
        <w:rPr>
          <w:sz w:val="20"/>
          <w:szCs w:val="20"/>
        </w:rPr>
        <w:t>​</w:t>
      </w:r>
    </w:p>
    <w:p w:rsidR="008B747E" w:rsidRDefault="008B747E">
      <w:pPr>
        <w:pStyle w:val="a3"/>
        <w:spacing w:before="360" w:beforeAutospacing="0" w:after="0" w:afterAutospacing="0"/>
        <w:jc w:val="center"/>
        <w:divId w:val="1707556527"/>
        <w:rPr>
          <w:sz w:val="20"/>
          <w:szCs w:val="20"/>
        </w:rPr>
      </w:pPr>
      <w:r>
        <w:rPr>
          <w:sz w:val="20"/>
          <w:szCs w:val="20"/>
        </w:rPr>
        <w:t>67</w:t>
      </w:r>
    </w:p>
    <w:sectPr w:rsidR="008B747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00000003" w:usb1="00000000" w:usb2="00000000" w:usb3="00000000" w:csb0="00000001" w:csb1="00000000"/>
  </w:font>
  <w:font w:name="Times New Roman Bold">
    <w:panose1 w:val="00000000000000000000"/>
    <w:charset w:val="00"/>
    <w:family w:val="roman"/>
    <w:notTrueType/>
    <w:pitch w:val="default"/>
  </w:font>
  <w:font w:name="inherit">
    <w:altName w:val="Cambria"/>
    <w:panose1 w:val="00000000000000000000"/>
    <w:charset w:val="00"/>
    <w:family w:val="roman"/>
    <w:notTrueType/>
    <w:pitch w:val="default"/>
  </w:font>
  <w:font w:name="Times">
    <w:panose1 w:val="020206030504050203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B747E"/>
    <w:rsid w:val="008B747E"/>
  </w:rsids>
  <m:mathPr>
    <m:mathFont m:val="Cambria Math"/>
    <m:brkBin m:val="before"/>
    <m:brkBinSub m:val="--"/>
    <m:smallFrac m:val="0"/>
    <m:dispDef/>
    <m:lMargin m:val="0"/>
    <m:rMargin m:val="0"/>
    <m:defJc m:val="centerGroup"/>
    <m:wrapIndent m:val="1440"/>
    <m:intLim m:val="subSup"/>
    <m:naryLim m:val="undOvr"/>
  </m:mathPr>
  <w:attachedSchema w:val="http://fasb.org/us-gaap/2019-01-31"/>
  <w:attachedSchema w:val="http://www.theravance.com/20190630"/>
  <w:attachedSchema w:val="http://www.xbrl.org/2003/linkbase"/>
  <w:attachedSchema w:val="http://xbrl.sec.gov/country/2017-01-31"/>
  <w:attachedSchema w:val="http://xbrl.org/2005/xbrldt"/>
  <w:attachedSchema w:val="http://www.sec.gov/inlineXBRL/transformation/2015-08-31"/>
  <w:attachedSchema w:val="http://fasb.org/srt/2019-01-31"/>
  <w:attachedSchema w:val="http://www.xbrl.org/2013/inlineXBRL"/>
  <w:attachedSchema w:val="http://www.xbrl.org/2006/ref"/>
  <w:attachedSchema w:val="http://www.xbrl.org/2009/utr"/>
  <w:attachedSchema w:val="http://www.xbrl.org/2003/instance"/>
  <w:attachedSchema w:val="http://xbrl.sec.gov/dei/2019-01-31"/>
  <w:attachedSchema w:val="http://www.xbrl.org/2003/iso4217"/>
  <w:attachedSchema w:val="http://www.w3.org/1999/xlink"/>
  <w:attachedSchema w:val="http://www.xbrl.org/inlineXBRL/transformation/2015-02-26"/>
  <w:attachedSchema w:val="http://xbrl.org/2006/xbrldi"/>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4451">
      <w:marLeft w:val="0"/>
      <w:marRight w:val="0"/>
      <w:marTop w:val="0"/>
      <w:marBottom w:val="0"/>
      <w:divBdr>
        <w:top w:val="none" w:sz="0" w:space="0" w:color="auto"/>
        <w:left w:val="none" w:sz="0" w:space="0" w:color="auto"/>
        <w:bottom w:val="none" w:sz="0" w:space="0" w:color="auto"/>
        <w:right w:val="none" w:sz="0" w:space="0" w:color="auto"/>
      </w:divBdr>
      <w:divsChild>
        <w:div w:id="1687171272">
          <w:marLeft w:val="0"/>
          <w:marRight w:val="0"/>
          <w:marTop w:val="547"/>
          <w:marBottom w:val="0"/>
          <w:divBdr>
            <w:top w:val="none" w:sz="0" w:space="0" w:color="auto"/>
            <w:left w:val="none" w:sz="0" w:space="0" w:color="auto"/>
            <w:bottom w:val="none" w:sz="0" w:space="0" w:color="auto"/>
            <w:right w:val="none" w:sz="0" w:space="0" w:color="auto"/>
          </w:divBdr>
        </w:div>
        <w:div w:id="391199465">
          <w:marLeft w:val="0"/>
          <w:marRight w:val="0"/>
          <w:marTop w:val="0"/>
          <w:marBottom w:val="0"/>
          <w:divBdr>
            <w:top w:val="none" w:sz="0" w:space="0" w:color="auto"/>
            <w:left w:val="none" w:sz="0" w:space="0" w:color="auto"/>
            <w:bottom w:val="none" w:sz="0" w:space="0" w:color="auto"/>
            <w:right w:val="none" w:sz="0" w:space="0" w:color="auto"/>
          </w:divBdr>
        </w:div>
        <w:div w:id="463697068">
          <w:marLeft w:val="0"/>
          <w:marRight w:val="0"/>
          <w:marTop w:val="0"/>
          <w:marBottom w:val="600"/>
          <w:divBdr>
            <w:top w:val="none" w:sz="0" w:space="0" w:color="auto"/>
            <w:left w:val="none" w:sz="0" w:space="0" w:color="auto"/>
            <w:bottom w:val="none" w:sz="0" w:space="0" w:color="auto"/>
            <w:right w:val="none" w:sz="0" w:space="0" w:color="auto"/>
          </w:divBdr>
        </w:div>
      </w:divsChild>
    </w:div>
    <w:div w:id="111024141">
      <w:marLeft w:val="0"/>
      <w:marRight w:val="0"/>
      <w:marTop w:val="0"/>
      <w:marBottom w:val="0"/>
      <w:divBdr>
        <w:top w:val="none" w:sz="0" w:space="0" w:color="auto"/>
        <w:left w:val="none" w:sz="0" w:space="0" w:color="auto"/>
        <w:bottom w:val="none" w:sz="0" w:space="0" w:color="auto"/>
        <w:right w:val="none" w:sz="0" w:space="0" w:color="auto"/>
      </w:divBdr>
      <w:divsChild>
        <w:div w:id="1498032409">
          <w:marLeft w:val="0"/>
          <w:marRight w:val="0"/>
          <w:marTop w:val="547"/>
          <w:marBottom w:val="0"/>
          <w:divBdr>
            <w:top w:val="none" w:sz="0" w:space="0" w:color="auto"/>
            <w:left w:val="none" w:sz="0" w:space="0" w:color="auto"/>
            <w:bottom w:val="none" w:sz="0" w:space="0" w:color="auto"/>
            <w:right w:val="none" w:sz="0" w:space="0" w:color="auto"/>
          </w:divBdr>
        </w:div>
        <w:div w:id="738092469">
          <w:marLeft w:val="0"/>
          <w:marRight w:val="0"/>
          <w:marTop w:val="0"/>
          <w:marBottom w:val="0"/>
          <w:divBdr>
            <w:top w:val="none" w:sz="0" w:space="0" w:color="auto"/>
            <w:left w:val="none" w:sz="0" w:space="0" w:color="auto"/>
            <w:bottom w:val="none" w:sz="0" w:space="0" w:color="auto"/>
            <w:right w:val="none" w:sz="0" w:space="0" w:color="auto"/>
          </w:divBdr>
        </w:div>
        <w:div w:id="2144501168">
          <w:marLeft w:val="0"/>
          <w:marRight w:val="0"/>
          <w:marTop w:val="0"/>
          <w:marBottom w:val="600"/>
          <w:divBdr>
            <w:top w:val="none" w:sz="0" w:space="0" w:color="auto"/>
            <w:left w:val="none" w:sz="0" w:space="0" w:color="auto"/>
            <w:bottom w:val="none" w:sz="0" w:space="0" w:color="auto"/>
            <w:right w:val="none" w:sz="0" w:space="0" w:color="auto"/>
          </w:divBdr>
        </w:div>
      </w:divsChild>
    </w:div>
    <w:div w:id="242498329">
      <w:marLeft w:val="0"/>
      <w:marRight w:val="0"/>
      <w:marTop w:val="0"/>
      <w:marBottom w:val="0"/>
      <w:divBdr>
        <w:top w:val="none" w:sz="0" w:space="0" w:color="auto"/>
        <w:left w:val="none" w:sz="0" w:space="0" w:color="auto"/>
        <w:bottom w:val="none" w:sz="0" w:space="0" w:color="auto"/>
        <w:right w:val="none" w:sz="0" w:space="0" w:color="auto"/>
      </w:divBdr>
      <w:divsChild>
        <w:div w:id="382871122">
          <w:marLeft w:val="0"/>
          <w:marRight w:val="0"/>
          <w:marTop w:val="547"/>
          <w:marBottom w:val="0"/>
          <w:divBdr>
            <w:top w:val="none" w:sz="0" w:space="0" w:color="auto"/>
            <w:left w:val="none" w:sz="0" w:space="0" w:color="auto"/>
            <w:bottom w:val="none" w:sz="0" w:space="0" w:color="auto"/>
            <w:right w:val="none" w:sz="0" w:space="0" w:color="auto"/>
          </w:divBdr>
        </w:div>
        <w:div w:id="1762724710">
          <w:marLeft w:val="0"/>
          <w:marRight w:val="0"/>
          <w:marTop w:val="0"/>
          <w:marBottom w:val="0"/>
          <w:divBdr>
            <w:top w:val="none" w:sz="0" w:space="0" w:color="auto"/>
            <w:left w:val="none" w:sz="0" w:space="0" w:color="auto"/>
            <w:bottom w:val="none" w:sz="0" w:space="0" w:color="auto"/>
            <w:right w:val="none" w:sz="0" w:space="0" w:color="auto"/>
          </w:divBdr>
          <w:divsChild>
            <w:div w:id="303124296">
              <w:marLeft w:val="0"/>
              <w:marRight w:val="0"/>
              <w:marTop w:val="0"/>
              <w:marBottom w:val="0"/>
              <w:divBdr>
                <w:top w:val="none" w:sz="0" w:space="0" w:color="auto"/>
                <w:left w:val="none" w:sz="0" w:space="0" w:color="auto"/>
                <w:bottom w:val="none" w:sz="0" w:space="0" w:color="auto"/>
                <w:right w:val="none" w:sz="0" w:space="0" w:color="auto"/>
              </w:divBdr>
              <w:divsChild>
                <w:div w:id="406146437">
                  <w:marLeft w:val="0"/>
                  <w:marRight w:val="0"/>
                  <w:marTop w:val="0"/>
                  <w:marBottom w:val="0"/>
                  <w:divBdr>
                    <w:top w:val="none" w:sz="0" w:space="0" w:color="auto"/>
                    <w:left w:val="none" w:sz="0" w:space="0" w:color="auto"/>
                    <w:bottom w:val="none" w:sz="0" w:space="0" w:color="auto"/>
                    <w:right w:val="none" w:sz="0" w:space="0" w:color="auto"/>
                  </w:divBdr>
                </w:div>
              </w:divsChild>
            </w:div>
            <w:div w:id="1503736858">
              <w:marLeft w:val="0"/>
              <w:marRight w:val="0"/>
              <w:marTop w:val="0"/>
              <w:marBottom w:val="0"/>
              <w:divBdr>
                <w:top w:val="none" w:sz="0" w:space="0" w:color="auto"/>
                <w:left w:val="none" w:sz="0" w:space="0" w:color="auto"/>
                <w:bottom w:val="none" w:sz="0" w:space="0" w:color="auto"/>
                <w:right w:val="none" w:sz="0" w:space="0" w:color="auto"/>
              </w:divBdr>
              <w:divsChild>
                <w:div w:id="798959674">
                  <w:marLeft w:val="0"/>
                  <w:marRight w:val="0"/>
                  <w:marTop w:val="0"/>
                  <w:marBottom w:val="0"/>
                  <w:divBdr>
                    <w:top w:val="none" w:sz="0" w:space="0" w:color="auto"/>
                    <w:left w:val="none" w:sz="0" w:space="0" w:color="auto"/>
                    <w:bottom w:val="none" w:sz="0" w:space="0" w:color="auto"/>
                    <w:right w:val="none" w:sz="0" w:space="0" w:color="auto"/>
                  </w:divBdr>
                </w:div>
              </w:divsChild>
            </w:div>
            <w:div w:id="1137337135">
              <w:marLeft w:val="0"/>
              <w:marRight w:val="0"/>
              <w:marTop w:val="0"/>
              <w:marBottom w:val="0"/>
              <w:divBdr>
                <w:top w:val="none" w:sz="0" w:space="0" w:color="auto"/>
                <w:left w:val="none" w:sz="0" w:space="0" w:color="auto"/>
                <w:bottom w:val="none" w:sz="0" w:space="0" w:color="auto"/>
                <w:right w:val="none" w:sz="0" w:space="0" w:color="auto"/>
              </w:divBdr>
              <w:divsChild>
                <w:div w:id="1676029240">
                  <w:marLeft w:val="0"/>
                  <w:marRight w:val="0"/>
                  <w:marTop w:val="0"/>
                  <w:marBottom w:val="0"/>
                  <w:divBdr>
                    <w:top w:val="none" w:sz="0" w:space="0" w:color="auto"/>
                    <w:left w:val="none" w:sz="0" w:space="0" w:color="auto"/>
                    <w:bottom w:val="none" w:sz="0" w:space="0" w:color="auto"/>
                    <w:right w:val="none" w:sz="0" w:space="0" w:color="auto"/>
                  </w:divBdr>
                </w:div>
              </w:divsChild>
            </w:div>
            <w:div w:id="327442398">
              <w:marLeft w:val="0"/>
              <w:marRight w:val="0"/>
              <w:marTop w:val="0"/>
              <w:marBottom w:val="0"/>
              <w:divBdr>
                <w:top w:val="none" w:sz="0" w:space="0" w:color="auto"/>
                <w:left w:val="none" w:sz="0" w:space="0" w:color="auto"/>
                <w:bottom w:val="none" w:sz="0" w:space="0" w:color="auto"/>
                <w:right w:val="none" w:sz="0" w:space="0" w:color="auto"/>
              </w:divBdr>
              <w:divsChild>
                <w:div w:id="742682475">
                  <w:marLeft w:val="0"/>
                  <w:marRight w:val="0"/>
                  <w:marTop w:val="0"/>
                  <w:marBottom w:val="0"/>
                  <w:divBdr>
                    <w:top w:val="none" w:sz="0" w:space="0" w:color="auto"/>
                    <w:left w:val="none" w:sz="0" w:space="0" w:color="auto"/>
                    <w:bottom w:val="none" w:sz="0" w:space="0" w:color="auto"/>
                    <w:right w:val="none" w:sz="0" w:space="0" w:color="auto"/>
                  </w:divBdr>
                </w:div>
              </w:divsChild>
            </w:div>
            <w:div w:id="2020933701">
              <w:marLeft w:val="0"/>
              <w:marRight w:val="0"/>
              <w:marTop w:val="0"/>
              <w:marBottom w:val="0"/>
              <w:divBdr>
                <w:top w:val="none" w:sz="0" w:space="0" w:color="auto"/>
                <w:left w:val="none" w:sz="0" w:space="0" w:color="auto"/>
                <w:bottom w:val="none" w:sz="0" w:space="0" w:color="auto"/>
                <w:right w:val="none" w:sz="0" w:space="0" w:color="auto"/>
              </w:divBdr>
              <w:divsChild>
                <w:div w:id="1635981106">
                  <w:marLeft w:val="0"/>
                  <w:marRight w:val="0"/>
                  <w:marTop w:val="0"/>
                  <w:marBottom w:val="0"/>
                  <w:divBdr>
                    <w:top w:val="none" w:sz="0" w:space="0" w:color="auto"/>
                    <w:left w:val="none" w:sz="0" w:space="0" w:color="auto"/>
                    <w:bottom w:val="none" w:sz="0" w:space="0" w:color="auto"/>
                    <w:right w:val="none" w:sz="0" w:space="0" w:color="auto"/>
                  </w:divBdr>
                </w:div>
              </w:divsChild>
            </w:div>
            <w:div w:id="1699232355">
              <w:marLeft w:val="0"/>
              <w:marRight w:val="0"/>
              <w:marTop w:val="0"/>
              <w:marBottom w:val="0"/>
              <w:divBdr>
                <w:top w:val="none" w:sz="0" w:space="0" w:color="auto"/>
                <w:left w:val="none" w:sz="0" w:space="0" w:color="auto"/>
                <w:bottom w:val="none" w:sz="0" w:space="0" w:color="auto"/>
                <w:right w:val="none" w:sz="0" w:space="0" w:color="auto"/>
              </w:divBdr>
              <w:divsChild>
                <w:div w:id="1892231904">
                  <w:marLeft w:val="0"/>
                  <w:marRight w:val="0"/>
                  <w:marTop w:val="0"/>
                  <w:marBottom w:val="0"/>
                  <w:divBdr>
                    <w:top w:val="none" w:sz="0" w:space="0" w:color="auto"/>
                    <w:left w:val="none" w:sz="0" w:space="0" w:color="auto"/>
                    <w:bottom w:val="none" w:sz="0" w:space="0" w:color="auto"/>
                    <w:right w:val="none" w:sz="0" w:space="0" w:color="auto"/>
                  </w:divBdr>
                </w:div>
              </w:divsChild>
            </w:div>
            <w:div w:id="264770819">
              <w:marLeft w:val="0"/>
              <w:marRight w:val="0"/>
              <w:marTop w:val="0"/>
              <w:marBottom w:val="0"/>
              <w:divBdr>
                <w:top w:val="none" w:sz="0" w:space="0" w:color="auto"/>
                <w:left w:val="none" w:sz="0" w:space="0" w:color="auto"/>
                <w:bottom w:val="none" w:sz="0" w:space="0" w:color="auto"/>
                <w:right w:val="none" w:sz="0" w:space="0" w:color="auto"/>
              </w:divBdr>
              <w:divsChild>
                <w:div w:id="2062945004">
                  <w:marLeft w:val="0"/>
                  <w:marRight w:val="0"/>
                  <w:marTop w:val="0"/>
                  <w:marBottom w:val="0"/>
                  <w:divBdr>
                    <w:top w:val="none" w:sz="0" w:space="0" w:color="auto"/>
                    <w:left w:val="none" w:sz="0" w:space="0" w:color="auto"/>
                    <w:bottom w:val="none" w:sz="0" w:space="0" w:color="auto"/>
                    <w:right w:val="none" w:sz="0" w:space="0" w:color="auto"/>
                  </w:divBdr>
                </w:div>
              </w:divsChild>
            </w:div>
            <w:div w:id="264582144">
              <w:marLeft w:val="0"/>
              <w:marRight w:val="0"/>
              <w:marTop w:val="0"/>
              <w:marBottom w:val="0"/>
              <w:divBdr>
                <w:top w:val="none" w:sz="0" w:space="0" w:color="auto"/>
                <w:left w:val="none" w:sz="0" w:space="0" w:color="auto"/>
                <w:bottom w:val="none" w:sz="0" w:space="0" w:color="auto"/>
                <w:right w:val="none" w:sz="0" w:space="0" w:color="auto"/>
              </w:divBdr>
              <w:divsChild>
                <w:div w:id="532232026">
                  <w:marLeft w:val="0"/>
                  <w:marRight w:val="0"/>
                  <w:marTop w:val="0"/>
                  <w:marBottom w:val="0"/>
                  <w:divBdr>
                    <w:top w:val="none" w:sz="0" w:space="0" w:color="auto"/>
                    <w:left w:val="none" w:sz="0" w:space="0" w:color="auto"/>
                    <w:bottom w:val="none" w:sz="0" w:space="0" w:color="auto"/>
                    <w:right w:val="none" w:sz="0" w:space="0" w:color="auto"/>
                  </w:divBdr>
                </w:div>
              </w:divsChild>
            </w:div>
            <w:div w:id="179122410">
              <w:marLeft w:val="0"/>
              <w:marRight w:val="0"/>
              <w:marTop w:val="0"/>
              <w:marBottom w:val="0"/>
              <w:divBdr>
                <w:top w:val="none" w:sz="0" w:space="0" w:color="auto"/>
                <w:left w:val="none" w:sz="0" w:space="0" w:color="auto"/>
                <w:bottom w:val="none" w:sz="0" w:space="0" w:color="auto"/>
                <w:right w:val="none" w:sz="0" w:space="0" w:color="auto"/>
              </w:divBdr>
              <w:divsChild>
                <w:div w:id="218588347">
                  <w:marLeft w:val="0"/>
                  <w:marRight w:val="0"/>
                  <w:marTop w:val="0"/>
                  <w:marBottom w:val="0"/>
                  <w:divBdr>
                    <w:top w:val="none" w:sz="0" w:space="0" w:color="auto"/>
                    <w:left w:val="none" w:sz="0" w:space="0" w:color="auto"/>
                    <w:bottom w:val="none" w:sz="0" w:space="0" w:color="auto"/>
                    <w:right w:val="none" w:sz="0" w:space="0" w:color="auto"/>
                  </w:divBdr>
                </w:div>
              </w:divsChild>
            </w:div>
            <w:div w:id="747577391">
              <w:marLeft w:val="0"/>
              <w:marRight w:val="0"/>
              <w:marTop w:val="0"/>
              <w:marBottom w:val="0"/>
              <w:divBdr>
                <w:top w:val="none" w:sz="0" w:space="0" w:color="auto"/>
                <w:left w:val="none" w:sz="0" w:space="0" w:color="auto"/>
                <w:bottom w:val="none" w:sz="0" w:space="0" w:color="auto"/>
                <w:right w:val="none" w:sz="0" w:space="0" w:color="auto"/>
              </w:divBdr>
              <w:divsChild>
                <w:div w:id="692851658">
                  <w:marLeft w:val="0"/>
                  <w:marRight w:val="0"/>
                  <w:marTop w:val="0"/>
                  <w:marBottom w:val="0"/>
                  <w:divBdr>
                    <w:top w:val="none" w:sz="0" w:space="0" w:color="auto"/>
                    <w:left w:val="none" w:sz="0" w:space="0" w:color="auto"/>
                    <w:bottom w:val="none" w:sz="0" w:space="0" w:color="auto"/>
                    <w:right w:val="none" w:sz="0" w:space="0" w:color="auto"/>
                  </w:divBdr>
                </w:div>
              </w:divsChild>
            </w:div>
            <w:div w:id="1975019316">
              <w:marLeft w:val="0"/>
              <w:marRight w:val="0"/>
              <w:marTop w:val="0"/>
              <w:marBottom w:val="0"/>
              <w:divBdr>
                <w:top w:val="none" w:sz="0" w:space="0" w:color="auto"/>
                <w:left w:val="none" w:sz="0" w:space="0" w:color="auto"/>
                <w:bottom w:val="none" w:sz="0" w:space="0" w:color="auto"/>
                <w:right w:val="none" w:sz="0" w:space="0" w:color="auto"/>
              </w:divBdr>
              <w:divsChild>
                <w:div w:id="132940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597042">
          <w:marLeft w:val="0"/>
          <w:marRight w:val="0"/>
          <w:marTop w:val="0"/>
          <w:marBottom w:val="600"/>
          <w:divBdr>
            <w:top w:val="none" w:sz="0" w:space="0" w:color="auto"/>
            <w:left w:val="none" w:sz="0" w:space="0" w:color="auto"/>
            <w:bottom w:val="none" w:sz="0" w:space="0" w:color="auto"/>
            <w:right w:val="none" w:sz="0" w:space="0" w:color="auto"/>
          </w:divBdr>
        </w:div>
      </w:divsChild>
    </w:div>
    <w:div w:id="252320085">
      <w:marLeft w:val="0"/>
      <w:marRight w:val="0"/>
      <w:marTop w:val="0"/>
      <w:marBottom w:val="0"/>
      <w:divBdr>
        <w:top w:val="none" w:sz="0" w:space="0" w:color="auto"/>
        <w:left w:val="none" w:sz="0" w:space="0" w:color="auto"/>
        <w:bottom w:val="none" w:sz="0" w:space="0" w:color="auto"/>
        <w:right w:val="none" w:sz="0" w:space="0" w:color="auto"/>
      </w:divBdr>
      <w:divsChild>
        <w:div w:id="1717968706">
          <w:marLeft w:val="0"/>
          <w:marRight w:val="0"/>
          <w:marTop w:val="547"/>
          <w:marBottom w:val="0"/>
          <w:divBdr>
            <w:top w:val="none" w:sz="0" w:space="0" w:color="auto"/>
            <w:left w:val="none" w:sz="0" w:space="0" w:color="auto"/>
            <w:bottom w:val="none" w:sz="0" w:space="0" w:color="auto"/>
            <w:right w:val="none" w:sz="0" w:space="0" w:color="auto"/>
          </w:divBdr>
        </w:div>
        <w:div w:id="1016158610">
          <w:marLeft w:val="0"/>
          <w:marRight w:val="0"/>
          <w:marTop w:val="0"/>
          <w:marBottom w:val="0"/>
          <w:divBdr>
            <w:top w:val="none" w:sz="0" w:space="0" w:color="auto"/>
            <w:left w:val="none" w:sz="0" w:space="0" w:color="auto"/>
            <w:bottom w:val="none" w:sz="0" w:space="0" w:color="auto"/>
            <w:right w:val="none" w:sz="0" w:space="0" w:color="auto"/>
          </w:divBdr>
          <w:divsChild>
            <w:div w:id="1332412723">
              <w:marLeft w:val="0"/>
              <w:marRight w:val="0"/>
              <w:marTop w:val="0"/>
              <w:marBottom w:val="0"/>
              <w:divBdr>
                <w:top w:val="none" w:sz="0" w:space="0" w:color="auto"/>
                <w:left w:val="none" w:sz="0" w:space="0" w:color="auto"/>
                <w:bottom w:val="none" w:sz="0" w:space="0" w:color="auto"/>
                <w:right w:val="none" w:sz="0" w:space="0" w:color="auto"/>
              </w:divBdr>
              <w:divsChild>
                <w:div w:id="1145463747">
                  <w:marLeft w:val="0"/>
                  <w:marRight w:val="0"/>
                  <w:marTop w:val="0"/>
                  <w:marBottom w:val="0"/>
                  <w:divBdr>
                    <w:top w:val="none" w:sz="0" w:space="0" w:color="auto"/>
                    <w:left w:val="none" w:sz="0" w:space="0" w:color="auto"/>
                    <w:bottom w:val="none" w:sz="0" w:space="0" w:color="auto"/>
                    <w:right w:val="none" w:sz="0" w:space="0" w:color="auto"/>
                  </w:divBdr>
                </w:div>
              </w:divsChild>
            </w:div>
            <w:div w:id="298076625">
              <w:marLeft w:val="0"/>
              <w:marRight w:val="0"/>
              <w:marTop w:val="0"/>
              <w:marBottom w:val="0"/>
              <w:divBdr>
                <w:top w:val="none" w:sz="0" w:space="0" w:color="auto"/>
                <w:left w:val="none" w:sz="0" w:space="0" w:color="auto"/>
                <w:bottom w:val="none" w:sz="0" w:space="0" w:color="auto"/>
                <w:right w:val="none" w:sz="0" w:space="0" w:color="auto"/>
              </w:divBdr>
              <w:divsChild>
                <w:div w:id="2004117155">
                  <w:marLeft w:val="0"/>
                  <w:marRight w:val="0"/>
                  <w:marTop w:val="0"/>
                  <w:marBottom w:val="0"/>
                  <w:divBdr>
                    <w:top w:val="none" w:sz="0" w:space="0" w:color="auto"/>
                    <w:left w:val="none" w:sz="0" w:space="0" w:color="auto"/>
                    <w:bottom w:val="none" w:sz="0" w:space="0" w:color="auto"/>
                    <w:right w:val="none" w:sz="0" w:space="0" w:color="auto"/>
                  </w:divBdr>
                </w:div>
              </w:divsChild>
            </w:div>
            <w:div w:id="1611006104">
              <w:marLeft w:val="0"/>
              <w:marRight w:val="0"/>
              <w:marTop w:val="0"/>
              <w:marBottom w:val="0"/>
              <w:divBdr>
                <w:top w:val="none" w:sz="0" w:space="0" w:color="auto"/>
                <w:left w:val="none" w:sz="0" w:space="0" w:color="auto"/>
                <w:bottom w:val="none" w:sz="0" w:space="0" w:color="auto"/>
                <w:right w:val="none" w:sz="0" w:space="0" w:color="auto"/>
              </w:divBdr>
              <w:divsChild>
                <w:div w:id="24991556">
                  <w:marLeft w:val="0"/>
                  <w:marRight w:val="0"/>
                  <w:marTop w:val="0"/>
                  <w:marBottom w:val="0"/>
                  <w:divBdr>
                    <w:top w:val="none" w:sz="0" w:space="0" w:color="auto"/>
                    <w:left w:val="none" w:sz="0" w:space="0" w:color="auto"/>
                    <w:bottom w:val="none" w:sz="0" w:space="0" w:color="auto"/>
                    <w:right w:val="none" w:sz="0" w:space="0" w:color="auto"/>
                  </w:divBdr>
                </w:div>
              </w:divsChild>
            </w:div>
            <w:div w:id="1344362314">
              <w:marLeft w:val="0"/>
              <w:marRight w:val="0"/>
              <w:marTop w:val="0"/>
              <w:marBottom w:val="0"/>
              <w:divBdr>
                <w:top w:val="none" w:sz="0" w:space="0" w:color="auto"/>
                <w:left w:val="none" w:sz="0" w:space="0" w:color="auto"/>
                <w:bottom w:val="none" w:sz="0" w:space="0" w:color="auto"/>
                <w:right w:val="none" w:sz="0" w:space="0" w:color="auto"/>
              </w:divBdr>
              <w:divsChild>
                <w:div w:id="1414741542">
                  <w:marLeft w:val="0"/>
                  <w:marRight w:val="0"/>
                  <w:marTop w:val="0"/>
                  <w:marBottom w:val="0"/>
                  <w:divBdr>
                    <w:top w:val="none" w:sz="0" w:space="0" w:color="auto"/>
                    <w:left w:val="none" w:sz="0" w:space="0" w:color="auto"/>
                    <w:bottom w:val="none" w:sz="0" w:space="0" w:color="auto"/>
                    <w:right w:val="none" w:sz="0" w:space="0" w:color="auto"/>
                  </w:divBdr>
                </w:div>
              </w:divsChild>
            </w:div>
            <w:div w:id="1466897809">
              <w:marLeft w:val="0"/>
              <w:marRight w:val="0"/>
              <w:marTop w:val="0"/>
              <w:marBottom w:val="0"/>
              <w:divBdr>
                <w:top w:val="none" w:sz="0" w:space="0" w:color="auto"/>
                <w:left w:val="none" w:sz="0" w:space="0" w:color="auto"/>
                <w:bottom w:val="none" w:sz="0" w:space="0" w:color="auto"/>
                <w:right w:val="none" w:sz="0" w:space="0" w:color="auto"/>
              </w:divBdr>
              <w:divsChild>
                <w:div w:id="1282229498">
                  <w:marLeft w:val="0"/>
                  <w:marRight w:val="0"/>
                  <w:marTop w:val="0"/>
                  <w:marBottom w:val="0"/>
                  <w:divBdr>
                    <w:top w:val="none" w:sz="0" w:space="0" w:color="auto"/>
                    <w:left w:val="none" w:sz="0" w:space="0" w:color="auto"/>
                    <w:bottom w:val="none" w:sz="0" w:space="0" w:color="auto"/>
                    <w:right w:val="none" w:sz="0" w:space="0" w:color="auto"/>
                  </w:divBdr>
                </w:div>
              </w:divsChild>
            </w:div>
            <w:div w:id="1721784010">
              <w:marLeft w:val="0"/>
              <w:marRight w:val="0"/>
              <w:marTop w:val="0"/>
              <w:marBottom w:val="0"/>
              <w:divBdr>
                <w:top w:val="none" w:sz="0" w:space="0" w:color="auto"/>
                <w:left w:val="none" w:sz="0" w:space="0" w:color="auto"/>
                <w:bottom w:val="none" w:sz="0" w:space="0" w:color="auto"/>
                <w:right w:val="none" w:sz="0" w:space="0" w:color="auto"/>
              </w:divBdr>
              <w:divsChild>
                <w:div w:id="1692563033">
                  <w:marLeft w:val="0"/>
                  <w:marRight w:val="0"/>
                  <w:marTop w:val="0"/>
                  <w:marBottom w:val="0"/>
                  <w:divBdr>
                    <w:top w:val="none" w:sz="0" w:space="0" w:color="auto"/>
                    <w:left w:val="none" w:sz="0" w:space="0" w:color="auto"/>
                    <w:bottom w:val="none" w:sz="0" w:space="0" w:color="auto"/>
                    <w:right w:val="none" w:sz="0" w:space="0" w:color="auto"/>
                  </w:divBdr>
                </w:div>
              </w:divsChild>
            </w:div>
            <w:div w:id="736509769">
              <w:marLeft w:val="0"/>
              <w:marRight w:val="0"/>
              <w:marTop w:val="0"/>
              <w:marBottom w:val="0"/>
              <w:divBdr>
                <w:top w:val="none" w:sz="0" w:space="0" w:color="auto"/>
                <w:left w:val="none" w:sz="0" w:space="0" w:color="auto"/>
                <w:bottom w:val="none" w:sz="0" w:space="0" w:color="auto"/>
                <w:right w:val="none" w:sz="0" w:space="0" w:color="auto"/>
              </w:divBdr>
              <w:divsChild>
                <w:div w:id="426198612">
                  <w:marLeft w:val="0"/>
                  <w:marRight w:val="0"/>
                  <w:marTop w:val="0"/>
                  <w:marBottom w:val="0"/>
                  <w:divBdr>
                    <w:top w:val="none" w:sz="0" w:space="0" w:color="auto"/>
                    <w:left w:val="none" w:sz="0" w:space="0" w:color="auto"/>
                    <w:bottom w:val="none" w:sz="0" w:space="0" w:color="auto"/>
                    <w:right w:val="none" w:sz="0" w:space="0" w:color="auto"/>
                  </w:divBdr>
                </w:div>
              </w:divsChild>
            </w:div>
            <w:div w:id="1829513461">
              <w:marLeft w:val="0"/>
              <w:marRight w:val="0"/>
              <w:marTop w:val="0"/>
              <w:marBottom w:val="0"/>
              <w:divBdr>
                <w:top w:val="none" w:sz="0" w:space="0" w:color="auto"/>
                <w:left w:val="none" w:sz="0" w:space="0" w:color="auto"/>
                <w:bottom w:val="none" w:sz="0" w:space="0" w:color="auto"/>
                <w:right w:val="none" w:sz="0" w:space="0" w:color="auto"/>
              </w:divBdr>
              <w:divsChild>
                <w:div w:id="1954896345">
                  <w:marLeft w:val="0"/>
                  <w:marRight w:val="0"/>
                  <w:marTop w:val="0"/>
                  <w:marBottom w:val="0"/>
                  <w:divBdr>
                    <w:top w:val="none" w:sz="0" w:space="0" w:color="auto"/>
                    <w:left w:val="none" w:sz="0" w:space="0" w:color="auto"/>
                    <w:bottom w:val="none" w:sz="0" w:space="0" w:color="auto"/>
                    <w:right w:val="none" w:sz="0" w:space="0" w:color="auto"/>
                  </w:divBdr>
                </w:div>
              </w:divsChild>
            </w:div>
            <w:div w:id="87507407">
              <w:marLeft w:val="0"/>
              <w:marRight w:val="0"/>
              <w:marTop w:val="0"/>
              <w:marBottom w:val="0"/>
              <w:divBdr>
                <w:top w:val="none" w:sz="0" w:space="0" w:color="auto"/>
                <w:left w:val="none" w:sz="0" w:space="0" w:color="auto"/>
                <w:bottom w:val="none" w:sz="0" w:space="0" w:color="auto"/>
                <w:right w:val="none" w:sz="0" w:space="0" w:color="auto"/>
              </w:divBdr>
              <w:divsChild>
                <w:div w:id="1276064114">
                  <w:marLeft w:val="0"/>
                  <w:marRight w:val="0"/>
                  <w:marTop w:val="0"/>
                  <w:marBottom w:val="0"/>
                  <w:divBdr>
                    <w:top w:val="none" w:sz="0" w:space="0" w:color="auto"/>
                    <w:left w:val="none" w:sz="0" w:space="0" w:color="auto"/>
                    <w:bottom w:val="none" w:sz="0" w:space="0" w:color="auto"/>
                    <w:right w:val="none" w:sz="0" w:space="0" w:color="auto"/>
                  </w:divBdr>
                </w:div>
              </w:divsChild>
            </w:div>
            <w:div w:id="1230732210">
              <w:marLeft w:val="0"/>
              <w:marRight w:val="0"/>
              <w:marTop w:val="0"/>
              <w:marBottom w:val="0"/>
              <w:divBdr>
                <w:top w:val="none" w:sz="0" w:space="0" w:color="auto"/>
                <w:left w:val="none" w:sz="0" w:space="0" w:color="auto"/>
                <w:bottom w:val="none" w:sz="0" w:space="0" w:color="auto"/>
                <w:right w:val="none" w:sz="0" w:space="0" w:color="auto"/>
              </w:divBdr>
              <w:divsChild>
                <w:div w:id="975065633">
                  <w:marLeft w:val="0"/>
                  <w:marRight w:val="0"/>
                  <w:marTop w:val="0"/>
                  <w:marBottom w:val="0"/>
                  <w:divBdr>
                    <w:top w:val="none" w:sz="0" w:space="0" w:color="auto"/>
                    <w:left w:val="none" w:sz="0" w:space="0" w:color="auto"/>
                    <w:bottom w:val="none" w:sz="0" w:space="0" w:color="auto"/>
                    <w:right w:val="none" w:sz="0" w:space="0" w:color="auto"/>
                  </w:divBdr>
                </w:div>
              </w:divsChild>
            </w:div>
            <w:div w:id="673652988">
              <w:marLeft w:val="0"/>
              <w:marRight w:val="0"/>
              <w:marTop w:val="0"/>
              <w:marBottom w:val="0"/>
              <w:divBdr>
                <w:top w:val="none" w:sz="0" w:space="0" w:color="auto"/>
                <w:left w:val="none" w:sz="0" w:space="0" w:color="auto"/>
                <w:bottom w:val="none" w:sz="0" w:space="0" w:color="auto"/>
                <w:right w:val="none" w:sz="0" w:space="0" w:color="auto"/>
              </w:divBdr>
              <w:divsChild>
                <w:div w:id="152188129">
                  <w:marLeft w:val="0"/>
                  <w:marRight w:val="0"/>
                  <w:marTop w:val="0"/>
                  <w:marBottom w:val="0"/>
                  <w:divBdr>
                    <w:top w:val="none" w:sz="0" w:space="0" w:color="auto"/>
                    <w:left w:val="none" w:sz="0" w:space="0" w:color="auto"/>
                    <w:bottom w:val="none" w:sz="0" w:space="0" w:color="auto"/>
                    <w:right w:val="none" w:sz="0" w:space="0" w:color="auto"/>
                  </w:divBdr>
                </w:div>
              </w:divsChild>
            </w:div>
            <w:div w:id="23605520">
              <w:marLeft w:val="0"/>
              <w:marRight w:val="0"/>
              <w:marTop w:val="0"/>
              <w:marBottom w:val="0"/>
              <w:divBdr>
                <w:top w:val="none" w:sz="0" w:space="0" w:color="auto"/>
                <w:left w:val="none" w:sz="0" w:space="0" w:color="auto"/>
                <w:bottom w:val="none" w:sz="0" w:space="0" w:color="auto"/>
                <w:right w:val="none" w:sz="0" w:space="0" w:color="auto"/>
              </w:divBdr>
              <w:divsChild>
                <w:div w:id="1701274791">
                  <w:marLeft w:val="0"/>
                  <w:marRight w:val="0"/>
                  <w:marTop w:val="0"/>
                  <w:marBottom w:val="0"/>
                  <w:divBdr>
                    <w:top w:val="none" w:sz="0" w:space="0" w:color="auto"/>
                    <w:left w:val="none" w:sz="0" w:space="0" w:color="auto"/>
                    <w:bottom w:val="none" w:sz="0" w:space="0" w:color="auto"/>
                    <w:right w:val="none" w:sz="0" w:space="0" w:color="auto"/>
                  </w:divBdr>
                </w:div>
              </w:divsChild>
            </w:div>
            <w:div w:id="1976641165">
              <w:marLeft w:val="0"/>
              <w:marRight w:val="0"/>
              <w:marTop w:val="0"/>
              <w:marBottom w:val="0"/>
              <w:divBdr>
                <w:top w:val="none" w:sz="0" w:space="0" w:color="auto"/>
                <w:left w:val="none" w:sz="0" w:space="0" w:color="auto"/>
                <w:bottom w:val="none" w:sz="0" w:space="0" w:color="auto"/>
                <w:right w:val="none" w:sz="0" w:space="0" w:color="auto"/>
              </w:divBdr>
              <w:divsChild>
                <w:div w:id="968390334">
                  <w:marLeft w:val="0"/>
                  <w:marRight w:val="0"/>
                  <w:marTop w:val="0"/>
                  <w:marBottom w:val="0"/>
                  <w:divBdr>
                    <w:top w:val="none" w:sz="0" w:space="0" w:color="auto"/>
                    <w:left w:val="none" w:sz="0" w:space="0" w:color="auto"/>
                    <w:bottom w:val="none" w:sz="0" w:space="0" w:color="auto"/>
                    <w:right w:val="none" w:sz="0" w:space="0" w:color="auto"/>
                  </w:divBdr>
                </w:div>
              </w:divsChild>
            </w:div>
            <w:div w:id="402920754">
              <w:marLeft w:val="0"/>
              <w:marRight w:val="0"/>
              <w:marTop w:val="0"/>
              <w:marBottom w:val="0"/>
              <w:divBdr>
                <w:top w:val="none" w:sz="0" w:space="0" w:color="auto"/>
                <w:left w:val="none" w:sz="0" w:space="0" w:color="auto"/>
                <w:bottom w:val="none" w:sz="0" w:space="0" w:color="auto"/>
                <w:right w:val="none" w:sz="0" w:space="0" w:color="auto"/>
              </w:divBdr>
              <w:divsChild>
                <w:div w:id="294406763">
                  <w:marLeft w:val="0"/>
                  <w:marRight w:val="0"/>
                  <w:marTop w:val="0"/>
                  <w:marBottom w:val="0"/>
                  <w:divBdr>
                    <w:top w:val="none" w:sz="0" w:space="0" w:color="auto"/>
                    <w:left w:val="none" w:sz="0" w:space="0" w:color="auto"/>
                    <w:bottom w:val="none" w:sz="0" w:space="0" w:color="auto"/>
                    <w:right w:val="none" w:sz="0" w:space="0" w:color="auto"/>
                  </w:divBdr>
                </w:div>
              </w:divsChild>
            </w:div>
            <w:div w:id="573051241">
              <w:marLeft w:val="0"/>
              <w:marRight w:val="0"/>
              <w:marTop w:val="0"/>
              <w:marBottom w:val="0"/>
              <w:divBdr>
                <w:top w:val="none" w:sz="0" w:space="0" w:color="auto"/>
                <w:left w:val="none" w:sz="0" w:space="0" w:color="auto"/>
                <w:bottom w:val="none" w:sz="0" w:space="0" w:color="auto"/>
                <w:right w:val="none" w:sz="0" w:space="0" w:color="auto"/>
              </w:divBdr>
              <w:divsChild>
                <w:div w:id="1187788354">
                  <w:marLeft w:val="0"/>
                  <w:marRight w:val="0"/>
                  <w:marTop w:val="0"/>
                  <w:marBottom w:val="0"/>
                  <w:divBdr>
                    <w:top w:val="none" w:sz="0" w:space="0" w:color="auto"/>
                    <w:left w:val="none" w:sz="0" w:space="0" w:color="auto"/>
                    <w:bottom w:val="none" w:sz="0" w:space="0" w:color="auto"/>
                    <w:right w:val="none" w:sz="0" w:space="0" w:color="auto"/>
                  </w:divBdr>
                </w:div>
              </w:divsChild>
            </w:div>
            <w:div w:id="499780955">
              <w:marLeft w:val="0"/>
              <w:marRight w:val="0"/>
              <w:marTop w:val="0"/>
              <w:marBottom w:val="0"/>
              <w:divBdr>
                <w:top w:val="none" w:sz="0" w:space="0" w:color="auto"/>
                <w:left w:val="none" w:sz="0" w:space="0" w:color="auto"/>
                <w:bottom w:val="none" w:sz="0" w:space="0" w:color="auto"/>
                <w:right w:val="none" w:sz="0" w:space="0" w:color="auto"/>
              </w:divBdr>
              <w:divsChild>
                <w:div w:id="2082022783">
                  <w:marLeft w:val="0"/>
                  <w:marRight w:val="0"/>
                  <w:marTop w:val="0"/>
                  <w:marBottom w:val="0"/>
                  <w:divBdr>
                    <w:top w:val="none" w:sz="0" w:space="0" w:color="auto"/>
                    <w:left w:val="none" w:sz="0" w:space="0" w:color="auto"/>
                    <w:bottom w:val="none" w:sz="0" w:space="0" w:color="auto"/>
                    <w:right w:val="none" w:sz="0" w:space="0" w:color="auto"/>
                  </w:divBdr>
                </w:div>
              </w:divsChild>
            </w:div>
            <w:div w:id="582303564">
              <w:marLeft w:val="0"/>
              <w:marRight w:val="0"/>
              <w:marTop w:val="0"/>
              <w:marBottom w:val="0"/>
              <w:divBdr>
                <w:top w:val="none" w:sz="0" w:space="0" w:color="auto"/>
                <w:left w:val="none" w:sz="0" w:space="0" w:color="auto"/>
                <w:bottom w:val="none" w:sz="0" w:space="0" w:color="auto"/>
                <w:right w:val="none" w:sz="0" w:space="0" w:color="auto"/>
              </w:divBdr>
              <w:divsChild>
                <w:div w:id="1676683711">
                  <w:marLeft w:val="0"/>
                  <w:marRight w:val="0"/>
                  <w:marTop w:val="0"/>
                  <w:marBottom w:val="0"/>
                  <w:divBdr>
                    <w:top w:val="none" w:sz="0" w:space="0" w:color="auto"/>
                    <w:left w:val="none" w:sz="0" w:space="0" w:color="auto"/>
                    <w:bottom w:val="none" w:sz="0" w:space="0" w:color="auto"/>
                    <w:right w:val="none" w:sz="0" w:space="0" w:color="auto"/>
                  </w:divBdr>
                </w:div>
              </w:divsChild>
            </w:div>
            <w:div w:id="1040207645">
              <w:marLeft w:val="0"/>
              <w:marRight w:val="0"/>
              <w:marTop w:val="0"/>
              <w:marBottom w:val="0"/>
              <w:divBdr>
                <w:top w:val="none" w:sz="0" w:space="0" w:color="auto"/>
                <w:left w:val="none" w:sz="0" w:space="0" w:color="auto"/>
                <w:bottom w:val="none" w:sz="0" w:space="0" w:color="auto"/>
                <w:right w:val="none" w:sz="0" w:space="0" w:color="auto"/>
              </w:divBdr>
              <w:divsChild>
                <w:div w:id="1344358690">
                  <w:marLeft w:val="0"/>
                  <w:marRight w:val="0"/>
                  <w:marTop w:val="0"/>
                  <w:marBottom w:val="0"/>
                  <w:divBdr>
                    <w:top w:val="none" w:sz="0" w:space="0" w:color="auto"/>
                    <w:left w:val="none" w:sz="0" w:space="0" w:color="auto"/>
                    <w:bottom w:val="none" w:sz="0" w:space="0" w:color="auto"/>
                    <w:right w:val="none" w:sz="0" w:space="0" w:color="auto"/>
                  </w:divBdr>
                </w:div>
              </w:divsChild>
            </w:div>
            <w:div w:id="1879201171">
              <w:marLeft w:val="0"/>
              <w:marRight w:val="0"/>
              <w:marTop w:val="0"/>
              <w:marBottom w:val="0"/>
              <w:divBdr>
                <w:top w:val="none" w:sz="0" w:space="0" w:color="auto"/>
                <w:left w:val="none" w:sz="0" w:space="0" w:color="auto"/>
                <w:bottom w:val="none" w:sz="0" w:space="0" w:color="auto"/>
                <w:right w:val="none" w:sz="0" w:space="0" w:color="auto"/>
              </w:divBdr>
              <w:divsChild>
                <w:div w:id="769085835">
                  <w:marLeft w:val="0"/>
                  <w:marRight w:val="0"/>
                  <w:marTop w:val="0"/>
                  <w:marBottom w:val="0"/>
                  <w:divBdr>
                    <w:top w:val="none" w:sz="0" w:space="0" w:color="auto"/>
                    <w:left w:val="none" w:sz="0" w:space="0" w:color="auto"/>
                    <w:bottom w:val="none" w:sz="0" w:space="0" w:color="auto"/>
                    <w:right w:val="none" w:sz="0" w:space="0" w:color="auto"/>
                  </w:divBdr>
                </w:div>
              </w:divsChild>
            </w:div>
            <w:div w:id="815219974">
              <w:marLeft w:val="0"/>
              <w:marRight w:val="0"/>
              <w:marTop w:val="0"/>
              <w:marBottom w:val="0"/>
              <w:divBdr>
                <w:top w:val="none" w:sz="0" w:space="0" w:color="auto"/>
                <w:left w:val="none" w:sz="0" w:space="0" w:color="auto"/>
                <w:bottom w:val="none" w:sz="0" w:space="0" w:color="auto"/>
                <w:right w:val="none" w:sz="0" w:space="0" w:color="auto"/>
              </w:divBdr>
              <w:divsChild>
                <w:div w:id="330720604">
                  <w:marLeft w:val="0"/>
                  <w:marRight w:val="0"/>
                  <w:marTop w:val="0"/>
                  <w:marBottom w:val="0"/>
                  <w:divBdr>
                    <w:top w:val="none" w:sz="0" w:space="0" w:color="auto"/>
                    <w:left w:val="none" w:sz="0" w:space="0" w:color="auto"/>
                    <w:bottom w:val="none" w:sz="0" w:space="0" w:color="auto"/>
                    <w:right w:val="none" w:sz="0" w:space="0" w:color="auto"/>
                  </w:divBdr>
                </w:div>
              </w:divsChild>
            </w:div>
            <w:div w:id="371998935">
              <w:marLeft w:val="0"/>
              <w:marRight w:val="0"/>
              <w:marTop w:val="0"/>
              <w:marBottom w:val="0"/>
              <w:divBdr>
                <w:top w:val="none" w:sz="0" w:space="0" w:color="auto"/>
                <w:left w:val="none" w:sz="0" w:space="0" w:color="auto"/>
                <w:bottom w:val="none" w:sz="0" w:space="0" w:color="auto"/>
                <w:right w:val="none" w:sz="0" w:space="0" w:color="auto"/>
              </w:divBdr>
              <w:divsChild>
                <w:div w:id="546071476">
                  <w:marLeft w:val="0"/>
                  <w:marRight w:val="0"/>
                  <w:marTop w:val="0"/>
                  <w:marBottom w:val="0"/>
                  <w:divBdr>
                    <w:top w:val="none" w:sz="0" w:space="0" w:color="auto"/>
                    <w:left w:val="none" w:sz="0" w:space="0" w:color="auto"/>
                    <w:bottom w:val="none" w:sz="0" w:space="0" w:color="auto"/>
                    <w:right w:val="none" w:sz="0" w:space="0" w:color="auto"/>
                  </w:divBdr>
                </w:div>
              </w:divsChild>
            </w:div>
            <w:div w:id="880705299">
              <w:marLeft w:val="0"/>
              <w:marRight w:val="0"/>
              <w:marTop w:val="0"/>
              <w:marBottom w:val="0"/>
              <w:divBdr>
                <w:top w:val="none" w:sz="0" w:space="0" w:color="auto"/>
                <w:left w:val="none" w:sz="0" w:space="0" w:color="auto"/>
                <w:bottom w:val="none" w:sz="0" w:space="0" w:color="auto"/>
                <w:right w:val="none" w:sz="0" w:space="0" w:color="auto"/>
              </w:divBdr>
              <w:divsChild>
                <w:div w:id="220137467">
                  <w:marLeft w:val="0"/>
                  <w:marRight w:val="0"/>
                  <w:marTop w:val="0"/>
                  <w:marBottom w:val="0"/>
                  <w:divBdr>
                    <w:top w:val="none" w:sz="0" w:space="0" w:color="auto"/>
                    <w:left w:val="none" w:sz="0" w:space="0" w:color="auto"/>
                    <w:bottom w:val="none" w:sz="0" w:space="0" w:color="auto"/>
                    <w:right w:val="none" w:sz="0" w:space="0" w:color="auto"/>
                  </w:divBdr>
                </w:div>
              </w:divsChild>
            </w:div>
            <w:div w:id="1073969253">
              <w:marLeft w:val="0"/>
              <w:marRight w:val="0"/>
              <w:marTop w:val="0"/>
              <w:marBottom w:val="0"/>
              <w:divBdr>
                <w:top w:val="none" w:sz="0" w:space="0" w:color="auto"/>
                <w:left w:val="none" w:sz="0" w:space="0" w:color="auto"/>
                <w:bottom w:val="none" w:sz="0" w:space="0" w:color="auto"/>
                <w:right w:val="none" w:sz="0" w:space="0" w:color="auto"/>
              </w:divBdr>
              <w:divsChild>
                <w:div w:id="969482607">
                  <w:marLeft w:val="0"/>
                  <w:marRight w:val="0"/>
                  <w:marTop w:val="0"/>
                  <w:marBottom w:val="0"/>
                  <w:divBdr>
                    <w:top w:val="none" w:sz="0" w:space="0" w:color="auto"/>
                    <w:left w:val="none" w:sz="0" w:space="0" w:color="auto"/>
                    <w:bottom w:val="none" w:sz="0" w:space="0" w:color="auto"/>
                    <w:right w:val="none" w:sz="0" w:space="0" w:color="auto"/>
                  </w:divBdr>
                </w:div>
              </w:divsChild>
            </w:div>
            <w:div w:id="307635606">
              <w:marLeft w:val="0"/>
              <w:marRight w:val="0"/>
              <w:marTop w:val="0"/>
              <w:marBottom w:val="0"/>
              <w:divBdr>
                <w:top w:val="none" w:sz="0" w:space="0" w:color="auto"/>
                <w:left w:val="none" w:sz="0" w:space="0" w:color="auto"/>
                <w:bottom w:val="none" w:sz="0" w:space="0" w:color="auto"/>
                <w:right w:val="none" w:sz="0" w:space="0" w:color="auto"/>
              </w:divBdr>
              <w:divsChild>
                <w:div w:id="1905406002">
                  <w:marLeft w:val="0"/>
                  <w:marRight w:val="0"/>
                  <w:marTop w:val="0"/>
                  <w:marBottom w:val="0"/>
                  <w:divBdr>
                    <w:top w:val="none" w:sz="0" w:space="0" w:color="auto"/>
                    <w:left w:val="none" w:sz="0" w:space="0" w:color="auto"/>
                    <w:bottom w:val="none" w:sz="0" w:space="0" w:color="auto"/>
                    <w:right w:val="none" w:sz="0" w:space="0" w:color="auto"/>
                  </w:divBdr>
                </w:div>
              </w:divsChild>
            </w:div>
            <w:div w:id="1802768869">
              <w:marLeft w:val="0"/>
              <w:marRight w:val="0"/>
              <w:marTop w:val="0"/>
              <w:marBottom w:val="0"/>
              <w:divBdr>
                <w:top w:val="none" w:sz="0" w:space="0" w:color="auto"/>
                <w:left w:val="none" w:sz="0" w:space="0" w:color="auto"/>
                <w:bottom w:val="none" w:sz="0" w:space="0" w:color="auto"/>
                <w:right w:val="none" w:sz="0" w:space="0" w:color="auto"/>
              </w:divBdr>
              <w:divsChild>
                <w:div w:id="171458911">
                  <w:marLeft w:val="0"/>
                  <w:marRight w:val="0"/>
                  <w:marTop w:val="0"/>
                  <w:marBottom w:val="0"/>
                  <w:divBdr>
                    <w:top w:val="none" w:sz="0" w:space="0" w:color="auto"/>
                    <w:left w:val="none" w:sz="0" w:space="0" w:color="auto"/>
                    <w:bottom w:val="none" w:sz="0" w:space="0" w:color="auto"/>
                    <w:right w:val="none" w:sz="0" w:space="0" w:color="auto"/>
                  </w:divBdr>
                </w:div>
              </w:divsChild>
            </w:div>
            <w:div w:id="332732541">
              <w:marLeft w:val="0"/>
              <w:marRight w:val="0"/>
              <w:marTop w:val="0"/>
              <w:marBottom w:val="0"/>
              <w:divBdr>
                <w:top w:val="none" w:sz="0" w:space="0" w:color="auto"/>
                <w:left w:val="none" w:sz="0" w:space="0" w:color="auto"/>
                <w:bottom w:val="none" w:sz="0" w:space="0" w:color="auto"/>
                <w:right w:val="none" w:sz="0" w:space="0" w:color="auto"/>
              </w:divBdr>
              <w:divsChild>
                <w:div w:id="241910579">
                  <w:marLeft w:val="0"/>
                  <w:marRight w:val="0"/>
                  <w:marTop w:val="0"/>
                  <w:marBottom w:val="0"/>
                  <w:divBdr>
                    <w:top w:val="none" w:sz="0" w:space="0" w:color="auto"/>
                    <w:left w:val="none" w:sz="0" w:space="0" w:color="auto"/>
                    <w:bottom w:val="none" w:sz="0" w:space="0" w:color="auto"/>
                    <w:right w:val="none" w:sz="0" w:space="0" w:color="auto"/>
                  </w:divBdr>
                </w:div>
              </w:divsChild>
            </w:div>
            <w:div w:id="962805611">
              <w:marLeft w:val="0"/>
              <w:marRight w:val="0"/>
              <w:marTop w:val="0"/>
              <w:marBottom w:val="0"/>
              <w:divBdr>
                <w:top w:val="none" w:sz="0" w:space="0" w:color="auto"/>
                <w:left w:val="none" w:sz="0" w:space="0" w:color="auto"/>
                <w:bottom w:val="none" w:sz="0" w:space="0" w:color="auto"/>
                <w:right w:val="none" w:sz="0" w:space="0" w:color="auto"/>
              </w:divBdr>
              <w:divsChild>
                <w:div w:id="114105304">
                  <w:marLeft w:val="0"/>
                  <w:marRight w:val="0"/>
                  <w:marTop w:val="0"/>
                  <w:marBottom w:val="0"/>
                  <w:divBdr>
                    <w:top w:val="none" w:sz="0" w:space="0" w:color="auto"/>
                    <w:left w:val="none" w:sz="0" w:space="0" w:color="auto"/>
                    <w:bottom w:val="none" w:sz="0" w:space="0" w:color="auto"/>
                    <w:right w:val="none" w:sz="0" w:space="0" w:color="auto"/>
                  </w:divBdr>
                </w:div>
              </w:divsChild>
            </w:div>
            <w:div w:id="333799213">
              <w:marLeft w:val="0"/>
              <w:marRight w:val="0"/>
              <w:marTop w:val="0"/>
              <w:marBottom w:val="0"/>
              <w:divBdr>
                <w:top w:val="none" w:sz="0" w:space="0" w:color="auto"/>
                <w:left w:val="none" w:sz="0" w:space="0" w:color="auto"/>
                <w:bottom w:val="none" w:sz="0" w:space="0" w:color="auto"/>
                <w:right w:val="none" w:sz="0" w:space="0" w:color="auto"/>
              </w:divBdr>
              <w:divsChild>
                <w:div w:id="26142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8112">
          <w:marLeft w:val="0"/>
          <w:marRight w:val="0"/>
          <w:marTop w:val="0"/>
          <w:marBottom w:val="600"/>
          <w:divBdr>
            <w:top w:val="none" w:sz="0" w:space="0" w:color="auto"/>
            <w:left w:val="none" w:sz="0" w:space="0" w:color="auto"/>
            <w:bottom w:val="none" w:sz="0" w:space="0" w:color="auto"/>
            <w:right w:val="none" w:sz="0" w:space="0" w:color="auto"/>
          </w:divBdr>
        </w:div>
      </w:divsChild>
    </w:div>
    <w:div w:id="335159988">
      <w:marLeft w:val="0"/>
      <w:marRight w:val="0"/>
      <w:marTop w:val="0"/>
      <w:marBottom w:val="0"/>
      <w:divBdr>
        <w:top w:val="none" w:sz="0" w:space="0" w:color="auto"/>
        <w:left w:val="none" w:sz="0" w:space="0" w:color="auto"/>
        <w:bottom w:val="none" w:sz="0" w:space="0" w:color="auto"/>
        <w:right w:val="none" w:sz="0" w:space="0" w:color="auto"/>
      </w:divBdr>
      <w:divsChild>
        <w:div w:id="1621571538">
          <w:marLeft w:val="0"/>
          <w:marRight w:val="0"/>
          <w:marTop w:val="547"/>
          <w:marBottom w:val="0"/>
          <w:divBdr>
            <w:top w:val="none" w:sz="0" w:space="0" w:color="auto"/>
            <w:left w:val="none" w:sz="0" w:space="0" w:color="auto"/>
            <w:bottom w:val="none" w:sz="0" w:space="0" w:color="auto"/>
            <w:right w:val="none" w:sz="0" w:space="0" w:color="auto"/>
          </w:divBdr>
        </w:div>
        <w:div w:id="1005935210">
          <w:marLeft w:val="0"/>
          <w:marRight w:val="0"/>
          <w:marTop w:val="0"/>
          <w:marBottom w:val="0"/>
          <w:divBdr>
            <w:top w:val="none" w:sz="0" w:space="0" w:color="auto"/>
            <w:left w:val="none" w:sz="0" w:space="0" w:color="auto"/>
            <w:bottom w:val="none" w:sz="0" w:space="0" w:color="auto"/>
            <w:right w:val="none" w:sz="0" w:space="0" w:color="auto"/>
          </w:divBdr>
          <w:divsChild>
            <w:div w:id="297342294">
              <w:marLeft w:val="0"/>
              <w:marRight w:val="0"/>
              <w:marTop w:val="0"/>
              <w:marBottom w:val="0"/>
              <w:divBdr>
                <w:top w:val="none" w:sz="0" w:space="0" w:color="auto"/>
                <w:left w:val="none" w:sz="0" w:space="0" w:color="auto"/>
                <w:bottom w:val="none" w:sz="0" w:space="0" w:color="auto"/>
                <w:right w:val="none" w:sz="0" w:space="0" w:color="auto"/>
              </w:divBdr>
              <w:divsChild>
                <w:div w:id="2104917238">
                  <w:marLeft w:val="0"/>
                  <w:marRight w:val="0"/>
                  <w:marTop w:val="0"/>
                  <w:marBottom w:val="0"/>
                  <w:divBdr>
                    <w:top w:val="none" w:sz="0" w:space="0" w:color="auto"/>
                    <w:left w:val="none" w:sz="0" w:space="0" w:color="auto"/>
                    <w:bottom w:val="none" w:sz="0" w:space="0" w:color="auto"/>
                    <w:right w:val="none" w:sz="0" w:space="0" w:color="auto"/>
                  </w:divBdr>
                </w:div>
              </w:divsChild>
            </w:div>
            <w:div w:id="877623689">
              <w:marLeft w:val="0"/>
              <w:marRight w:val="0"/>
              <w:marTop w:val="0"/>
              <w:marBottom w:val="0"/>
              <w:divBdr>
                <w:top w:val="none" w:sz="0" w:space="0" w:color="auto"/>
                <w:left w:val="none" w:sz="0" w:space="0" w:color="auto"/>
                <w:bottom w:val="none" w:sz="0" w:space="0" w:color="auto"/>
                <w:right w:val="none" w:sz="0" w:space="0" w:color="auto"/>
              </w:divBdr>
              <w:divsChild>
                <w:div w:id="22942152">
                  <w:marLeft w:val="0"/>
                  <w:marRight w:val="0"/>
                  <w:marTop w:val="0"/>
                  <w:marBottom w:val="0"/>
                  <w:divBdr>
                    <w:top w:val="none" w:sz="0" w:space="0" w:color="auto"/>
                    <w:left w:val="none" w:sz="0" w:space="0" w:color="auto"/>
                    <w:bottom w:val="none" w:sz="0" w:space="0" w:color="auto"/>
                    <w:right w:val="none" w:sz="0" w:space="0" w:color="auto"/>
                  </w:divBdr>
                </w:div>
              </w:divsChild>
            </w:div>
            <w:div w:id="1719936619">
              <w:marLeft w:val="0"/>
              <w:marRight w:val="0"/>
              <w:marTop w:val="0"/>
              <w:marBottom w:val="0"/>
              <w:divBdr>
                <w:top w:val="none" w:sz="0" w:space="0" w:color="auto"/>
                <w:left w:val="none" w:sz="0" w:space="0" w:color="auto"/>
                <w:bottom w:val="none" w:sz="0" w:space="0" w:color="auto"/>
                <w:right w:val="none" w:sz="0" w:space="0" w:color="auto"/>
              </w:divBdr>
              <w:divsChild>
                <w:div w:id="709763224">
                  <w:marLeft w:val="0"/>
                  <w:marRight w:val="0"/>
                  <w:marTop w:val="0"/>
                  <w:marBottom w:val="0"/>
                  <w:divBdr>
                    <w:top w:val="none" w:sz="0" w:space="0" w:color="auto"/>
                    <w:left w:val="none" w:sz="0" w:space="0" w:color="auto"/>
                    <w:bottom w:val="none" w:sz="0" w:space="0" w:color="auto"/>
                    <w:right w:val="none" w:sz="0" w:space="0" w:color="auto"/>
                  </w:divBdr>
                </w:div>
              </w:divsChild>
            </w:div>
            <w:div w:id="813067982">
              <w:marLeft w:val="0"/>
              <w:marRight w:val="0"/>
              <w:marTop w:val="0"/>
              <w:marBottom w:val="0"/>
              <w:divBdr>
                <w:top w:val="none" w:sz="0" w:space="0" w:color="auto"/>
                <w:left w:val="none" w:sz="0" w:space="0" w:color="auto"/>
                <w:bottom w:val="none" w:sz="0" w:space="0" w:color="auto"/>
                <w:right w:val="none" w:sz="0" w:space="0" w:color="auto"/>
              </w:divBdr>
              <w:divsChild>
                <w:div w:id="2092315853">
                  <w:marLeft w:val="0"/>
                  <w:marRight w:val="0"/>
                  <w:marTop w:val="0"/>
                  <w:marBottom w:val="0"/>
                  <w:divBdr>
                    <w:top w:val="none" w:sz="0" w:space="0" w:color="auto"/>
                    <w:left w:val="none" w:sz="0" w:space="0" w:color="auto"/>
                    <w:bottom w:val="none" w:sz="0" w:space="0" w:color="auto"/>
                    <w:right w:val="none" w:sz="0" w:space="0" w:color="auto"/>
                  </w:divBdr>
                </w:div>
              </w:divsChild>
            </w:div>
            <w:div w:id="1854613185">
              <w:marLeft w:val="0"/>
              <w:marRight w:val="0"/>
              <w:marTop w:val="0"/>
              <w:marBottom w:val="0"/>
              <w:divBdr>
                <w:top w:val="none" w:sz="0" w:space="0" w:color="auto"/>
                <w:left w:val="none" w:sz="0" w:space="0" w:color="auto"/>
                <w:bottom w:val="none" w:sz="0" w:space="0" w:color="auto"/>
                <w:right w:val="none" w:sz="0" w:space="0" w:color="auto"/>
              </w:divBdr>
              <w:divsChild>
                <w:div w:id="1930500147">
                  <w:marLeft w:val="0"/>
                  <w:marRight w:val="0"/>
                  <w:marTop w:val="0"/>
                  <w:marBottom w:val="0"/>
                  <w:divBdr>
                    <w:top w:val="none" w:sz="0" w:space="0" w:color="auto"/>
                    <w:left w:val="none" w:sz="0" w:space="0" w:color="auto"/>
                    <w:bottom w:val="none" w:sz="0" w:space="0" w:color="auto"/>
                    <w:right w:val="none" w:sz="0" w:space="0" w:color="auto"/>
                  </w:divBdr>
                </w:div>
              </w:divsChild>
            </w:div>
            <w:div w:id="1934317434">
              <w:marLeft w:val="0"/>
              <w:marRight w:val="0"/>
              <w:marTop w:val="0"/>
              <w:marBottom w:val="0"/>
              <w:divBdr>
                <w:top w:val="none" w:sz="0" w:space="0" w:color="auto"/>
                <w:left w:val="none" w:sz="0" w:space="0" w:color="auto"/>
                <w:bottom w:val="none" w:sz="0" w:space="0" w:color="auto"/>
                <w:right w:val="none" w:sz="0" w:space="0" w:color="auto"/>
              </w:divBdr>
              <w:divsChild>
                <w:div w:id="1368487657">
                  <w:marLeft w:val="0"/>
                  <w:marRight w:val="0"/>
                  <w:marTop w:val="0"/>
                  <w:marBottom w:val="0"/>
                  <w:divBdr>
                    <w:top w:val="none" w:sz="0" w:space="0" w:color="auto"/>
                    <w:left w:val="none" w:sz="0" w:space="0" w:color="auto"/>
                    <w:bottom w:val="none" w:sz="0" w:space="0" w:color="auto"/>
                    <w:right w:val="none" w:sz="0" w:space="0" w:color="auto"/>
                  </w:divBdr>
                </w:div>
              </w:divsChild>
            </w:div>
            <w:div w:id="1222641061">
              <w:marLeft w:val="0"/>
              <w:marRight w:val="0"/>
              <w:marTop w:val="0"/>
              <w:marBottom w:val="0"/>
              <w:divBdr>
                <w:top w:val="none" w:sz="0" w:space="0" w:color="auto"/>
                <w:left w:val="none" w:sz="0" w:space="0" w:color="auto"/>
                <w:bottom w:val="none" w:sz="0" w:space="0" w:color="auto"/>
                <w:right w:val="none" w:sz="0" w:space="0" w:color="auto"/>
              </w:divBdr>
              <w:divsChild>
                <w:div w:id="253437726">
                  <w:marLeft w:val="0"/>
                  <w:marRight w:val="0"/>
                  <w:marTop w:val="0"/>
                  <w:marBottom w:val="0"/>
                  <w:divBdr>
                    <w:top w:val="none" w:sz="0" w:space="0" w:color="auto"/>
                    <w:left w:val="none" w:sz="0" w:space="0" w:color="auto"/>
                    <w:bottom w:val="none" w:sz="0" w:space="0" w:color="auto"/>
                    <w:right w:val="none" w:sz="0" w:space="0" w:color="auto"/>
                  </w:divBdr>
                </w:div>
              </w:divsChild>
            </w:div>
            <w:div w:id="682897767">
              <w:marLeft w:val="0"/>
              <w:marRight w:val="0"/>
              <w:marTop w:val="0"/>
              <w:marBottom w:val="0"/>
              <w:divBdr>
                <w:top w:val="none" w:sz="0" w:space="0" w:color="auto"/>
                <w:left w:val="none" w:sz="0" w:space="0" w:color="auto"/>
                <w:bottom w:val="none" w:sz="0" w:space="0" w:color="auto"/>
                <w:right w:val="none" w:sz="0" w:space="0" w:color="auto"/>
              </w:divBdr>
              <w:divsChild>
                <w:div w:id="491414703">
                  <w:marLeft w:val="0"/>
                  <w:marRight w:val="0"/>
                  <w:marTop w:val="0"/>
                  <w:marBottom w:val="0"/>
                  <w:divBdr>
                    <w:top w:val="none" w:sz="0" w:space="0" w:color="auto"/>
                    <w:left w:val="none" w:sz="0" w:space="0" w:color="auto"/>
                    <w:bottom w:val="none" w:sz="0" w:space="0" w:color="auto"/>
                    <w:right w:val="none" w:sz="0" w:space="0" w:color="auto"/>
                  </w:divBdr>
                </w:div>
              </w:divsChild>
            </w:div>
            <w:div w:id="716667228">
              <w:marLeft w:val="0"/>
              <w:marRight w:val="0"/>
              <w:marTop w:val="0"/>
              <w:marBottom w:val="0"/>
              <w:divBdr>
                <w:top w:val="none" w:sz="0" w:space="0" w:color="auto"/>
                <w:left w:val="none" w:sz="0" w:space="0" w:color="auto"/>
                <w:bottom w:val="none" w:sz="0" w:space="0" w:color="auto"/>
                <w:right w:val="none" w:sz="0" w:space="0" w:color="auto"/>
              </w:divBdr>
              <w:divsChild>
                <w:div w:id="1242174890">
                  <w:marLeft w:val="0"/>
                  <w:marRight w:val="0"/>
                  <w:marTop w:val="0"/>
                  <w:marBottom w:val="0"/>
                  <w:divBdr>
                    <w:top w:val="none" w:sz="0" w:space="0" w:color="auto"/>
                    <w:left w:val="none" w:sz="0" w:space="0" w:color="auto"/>
                    <w:bottom w:val="none" w:sz="0" w:space="0" w:color="auto"/>
                    <w:right w:val="none" w:sz="0" w:space="0" w:color="auto"/>
                  </w:divBdr>
                </w:div>
              </w:divsChild>
            </w:div>
            <w:div w:id="551962590">
              <w:marLeft w:val="0"/>
              <w:marRight w:val="0"/>
              <w:marTop w:val="0"/>
              <w:marBottom w:val="0"/>
              <w:divBdr>
                <w:top w:val="none" w:sz="0" w:space="0" w:color="auto"/>
                <w:left w:val="none" w:sz="0" w:space="0" w:color="auto"/>
                <w:bottom w:val="none" w:sz="0" w:space="0" w:color="auto"/>
                <w:right w:val="none" w:sz="0" w:space="0" w:color="auto"/>
              </w:divBdr>
              <w:divsChild>
                <w:div w:id="1114442376">
                  <w:marLeft w:val="0"/>
                  <w:marRight w:val="0"/>
                  <w:marTop w:val="0"/>
                  <w:marBottom w:val="0"/>
                  <w:divBdr>
                    <w:top w:val="none" w:sz="0" w:space="0" w:color="auto"/>
                    <w:left w:val="none" w:sz="0" w:space="0" w:color="auto"/>
                    <w:bottom w:val="none" w:sz="0" w:space="0" w:color="auto"/>
                    <w:right w:val="none" w:sz="0" w:space="0" w:color="auto"/>
                  </w:divBdr>
                </w:div>
              </w:divsChild>
            </w:div>
            <w:div w:id="475027469">
              <w:marLeft w:val="0"/>
              <w:marRight w:val="0"/>
              <w:marTop w:val="0"/>
              <w:marBottom w:val="0"/>
              <w:divBdr>
                <w:top w:val="none" w:sz="0" w:space="0" w:color="auto"/>
                <w:left w:val="none" w:sz="0" w:space="0" w:color="auto"/>
                <w:bottom w:val="none" w:sz="0" w:space="0" w:color="auto"/>
                <w:right w:val="none" w:sz="0" w:space="0" w:color="auto"/>
              </w:divBdr>
              <w:divsChild>
                <w:div w:id="497042407">
                  <w:marLeft w:val="0"/>
                  <w:marRight w:val="0"/>
                  <w:marTop w:val="0"/>
                  <w:marBottom w:val="0"/>
                  <w:divBdr>
                    <w:top w:val="none" w:sz="0" w:space="0" w:color="auto"/>
                    <w:left w:val="none" w:sz="0" w:space="0" w:color="auto"/>
                    <w:bottom w:val="none" w:sz="0" w:space="0" w:color="auto"/>
                    <w:right w:val="none" w:sz="0" w:space="0" w:color="auto"/>
                  </w:divBdr>
                </w:div>
              </w:divsChild>
            </w:div>
            <w:div w:id="1913008453">
              <w:marLeft w:val="0"/>
              <w:marRight w:val="0"/>
              <w:marTop w:val="0"/>
              <w:marBottom w:val="0"/>
              <w:divBdr>
                <w:top w:val="none" w:sz="0" w:space="0" w:color="auto"/>
                <w:left w:val="none" w:sz="0" w:space="0" w:color="auto"/>
                <w:bottom w:val="none" w:sz="0" w:space="0" w:color="auto"/>
                <w:right w:val="none" w:sz="0" w:space="0" w:color="auto"/>
              </w:divBdr>
              <w:divsChild>
                <w:div w:id="2128887402">
                  <w:marLeft w:val="0"/>
                  <w:marRight w:val="0"/>
                  <w:marTop w:val="0"/>
                  <w:marBottom w:val="0"/>
                  <w:divBdr>
                    <w:top w:val="none" w:sz="0" w:space="0" w:color="auto"/>
                    <w:left w:val="none" w:sz="0" w:space="0" w:color="auto"/>
                    <w:bottom w:val="none" w:sz="0" w:space="0" w:color="auto"/>
                    <w:right w:val="none" w:sz="0" w:space="0" w:color="auto"/>
                  </w:divBdr>
                </w:div>
              </w:divsChild>
            </w:div>
            <w:div w:id="508057669">
              <w:marLeft w:val="0"/>
              <w:marRight w:val="0"/>
              <w:marTop w:val="0"/>
              <w:marBottom w:val="0"/>
              <w:divBdr>
                <w:top w:val="none" w:sz="0" w:space="0" w:color="auto"/>
                <w:left w:val="none" w:sz="0" w:space="0" w:color="auto"/>
                <w:bottom w:val="none" w:sz="0" w:space="0" w:color="auto"/>
                <w:right w:val="none" w:sz="0" w:space="0" w:color="auto"/>
              </w:divBdr>
              <w:divsChild>
                <w:div w:id="1029794030">
                  <w:marLeft w:val="0"/>
                  <w:marRight w:val="0"/>
                  <w:marTop w:val="0"/>
                  <w:marBottom w:val="0"/>
                  <w:divBdr>
                    <w:top w:val="none" w:sz="0" w:space="0" w:color="auto"/>
                    <w:left w:val="none" w:sz="0" w:space="0" w:color="auto"/>
                    <w:bottom w:val="none" w:sz="0" w:space="0" w:color="auto"/>
                    <w:right w:val="none" w:sz="0" w:space="0" w:color="auto"/>
                  </w:divBdr>
                </w:div>
              </w:divsChild>
            </w:div>
            <w:div w:id="707603761">
              <w:marLeft w:val="0"/>
              <w:marRight w:val="0"/>
              <w:marTop w:val="0"/>
              <w:marBottom w:val="0"/>
              <w:divBdr>
                <w:top w:val="none" w:sz="0" w:space="0" w:color="auto"/>
                <w:left w:val="none" w:sz="0" w:space="0" w:color="auto"/>
                <w:bottom w:val="none" w:sz="0" w:space="0" w:color="auto"/>
                <w:right w:val="none" w:sz="0" w:space="0" w:color="auto"/>
              </w:divBdr>
              <w:divsChild>
                <w:div w:id="1830051461">
                  <w:marLeft w:val="0"/>
                  <w:marRight w:val="0"/>
                  <w:marTop w:val="0"/>
                  <w:marBottom w:val="0"/>
                  <w:divBdr>
                    <w:top w:val="none" w:sz="0" w:space="0" w:color="auto"/>
                    <w:left w:val="none" w:sz="0" w:space="0" w:color="auto"/>
                    <w:bottom w:val="none" w:sz="0" w:space="0" w:color="auto"/>
                    <w:right w:val="none" w:sz="0" w:space="0" w:color="auto"/>
                  </w:divBdr>
                </w:div>
              </w:divsChild>
            </w:div>
            <w:div w:id="1828790577">
              <w:marLeft w:val="0"/>
              <w:marRight w:val="0"/>
              <w:marTop w:val="0"/>
              <w:marBottom w:val="0"/>
              <w:divBdr>
                <w:top w:val="none" w:sz="0" w:space="0" w:color="auto"/>
                <w:left w:val="none" w:sz="0" w:space="0" w:color="auto"/>
                <w:bottom w:val="none" w:sz="0" w:space="0" w:color="auto"/>
                <w:right w:val="none" w:sz="0" w:space="0" w:color="auto"/>
              </w:divBdr>
              <w:divsChild>
                <w:div w:id="1053847486">
                  <w:marLeft w:val="0"/>
                  <w:marRight w:val="0"/>
                  <w:marTop w:val="0"/>
                  <w:marBottom w:val="0"/>
                  <w:divBdr>
                    <w:top w:val="none" w:sz="0" w:space="0" w:color="auto"/>
                    <w:left w:val="none" w:sz="0" w:space="0" w:color="auto"/>
                    <w:bottom w:val="none" w:sz="0" w:space="0" w:color="auto"/>
                    <w:right w:val="none" w:sz="0" w:space="0" w:color="auto"/>
                  </w:divBdr>
                </w:div>
              </w:divsChild>
            </w:div>
            <w:div w:id="1813715734">
              <w:marLeft w:val="0"/>
              <w:marRight w:val="0"/>
              <w:marTop w:val="0"/>
              <w:marBottom w:val="0"/>
              <w:divBdr>
                <w:top w:val="none" w:sz="0" w:space="0" w:color="auto"/>
                <w:left w:val="none" w:sz="0" w:space="0" w:color="auto"/>
                <w:bottom w:val="none" w:sz="0" w:space="0" w:color="auto"/>
                <w:right w:val="none" w:sz="0" w:space="0" w:color="auto"/>
              </w:divBdr>
              <w:divsChild>
                <w:div w:id="1791512698">
                  <w:marLeft w:val="0"/>
                  <w:marRight w:val="0"/>
                  <w:marTop w:val="0"/>
                  <w:marBottom w:val="0"/>
                  <w:divBdr>
                    <w:top w:val="none" w:sz="0" w:space="0" w:color="auto"/>
                    <w:left w:val="none" w:sz="0" w:space="0" w:color="auto"/>
                    <w:bottom w:val="none" w:sz="0" w:space="0" w:color="auto"/>
                    <w:right w:val="none" w:sz="0" w:space="0" w:color="auto"/>
                  </w:divBdr>
                </w:div>
              </w:divsChild>
            </w:div>
            <w:div w:id="631181470">
              <w:marLeft w:val="0"/>
              <w:marRight w:val="0"/>
              <w:marTop w:val="0"/>
              <w:marBottom w:val="0"/>
              <w:divBdr>
                <w:top w:val="none" w:sz="0" w:space="0" w:color="auto"/>
                <w:left w:val="none" w:sz="0" w:space="0" w:color="auto"/>
                <w:bottom w:val="none" w:sz="0" w:space="0" w:color="auto"/>
                <w:right w:val="none" w:sz="0" w:space="0" w:color="auto"/>
              </w:divBdr>
              <w:divsChild>
                <w:div w:id="542720222">
                  <w:marLeft w:val="0"/>
                  <w:marRight w:val="0"/>
                  <w:marTop w:val="0"/>
                  <w:marBottom w:val="0"/>
                  <w:divBdr>
                    <w:top w:val="none" w:sz="0" w:space="0" w:color="auto"/>
                    <w:left w:val="none" w:sz="0" w:space="0" w:color="auto"/>
                    <w:bottom w:val="none" w:sz="0" w:space="0" w:color="auto"/>
                    <w:right w:val="none" w:sz="0" w:space="0" w:color="auto"/>
                  </w:divBdr>
                </w:div>
              </w:divsChild>
            </w:div>
            <w:div w:id="2122651142">
              <w:marLeft w:val="0"/>
              <w:marRight w:val="0"/>
              <w:marTop w:val="0"/>
              <w:marBottom w:val="0"/>
              <w:divBdr>
                <w:top w:val="none" w:sz="0" w:space="0" w:color="auto"/>
                <w:left w:val="none" w:sz="0" w:space="0" w:color="auto"/>
                <w:bottom w:val="none" w:sz="0" w:space="0" w:color="auto"/>
                <w:right w:val="none" w:sz="0" w:space="0" w:color="auto"/>
              </w:divBdr>
              <w:divsChild>
                <w:div w:id="447627015">
                  <w:marLeft w:val="0"/>
                  <w:marRight w:val="0"/>
                  <w:marTop w:val="0"/>
                  <w:marBottom w:val="0"/>
                  <w:divBdr>
                    <w:top w:val="none" w:sz="0" w:space="0" w:color="auto"/>
                    <w:left w:val="none" w:sz="0" w:space="0" w:color="auto"/>
                    <w:bottom w:val="none" w:sz="0" w:space="0" w:color="auto"/>
                    <w:right w:val="none" w:sz="0" w:space="0" w:color="auto"/>
                  </w:divBdr>
                </w:div>
              </w:divsChild>
            </w:div>
            <w:div w:id="210927341">
              <w:marLeft w:val="0"/>
              <w:marRight w:val="0"/>
              <w:marTop w:val="0"/>
              <w:marBottom w:val="0"/>
              <w:divBdr>
                <w:top w:val="none" w:sz="0" w:space="0" w:color="auto"/>
                <w:left w:val="none" w:sz="0" w:space="0" w:color="auto"/>
                <w:bottom w:val="none" w:sz="0" w:space="0" w:color="auto"/>
                <w:right w:val="none" w:sz="0" w:space="0" w:color="auto"/>
              </w:divBdr>
              <w:divsChild>
                <w:div w:id="1642540969">
                  <w:marLeft w:val="0"/>
                  <w:marRight w:val="0"/>
                  <w:marTop w:val="0"/>
                  <w:marBottom w:val="0"/>
                  <w:divBdr>
                    <w:top w:val="none" w:sz="0" w:space="0" w:color="auto"/>
                    <w:left w:val="none" w:sz="0" w:space="0" w:color="auto"/>
                    <w:bottom w:val="none" w:sz="0" w:space="0" w:color="auto"/>
                    <w:right w:val="none" w:sz="0" w:space="0" w:color="auto"/>
                  </w:divBdr>
                </w:div>
              </w:divsChild>
            </w:div>
            <w:div w:id="840126333">
              <w:marLeft w:val="0"/>
              <w:marRight w:val="0"/>
              <w:marTop w:val="0"/>
              <w:marBottom w:val="0"/>
              <w:divBdr>
                <w:top w:val="none" w:sz="0" w:space="0" w:color="auto"/>
                <w:left w:val="none" w:sz="0" w:space="0" w:color="auto"/>
                <w:bottom w:val="none" w:sz="0" w:space="0" w:color="auto"/>
                <w:right w:val="none" w:sz="0" w:space="0" w:color="auto"/>
              </w:divBdr>
              <w:divsChild>
                <w:div w:id="2006400112">
                  <w:marLeft w:val="0"/>
                  <w:marRight w:val="0"/>
                  <w:marTop w:val="0"/>
                  <w:marBottom w:val="0"/>
                  <w:divBdr>
                    <w:top w:val="none" w:sz="0" w:space="0" w:color="auto"/>
                    <w:left w:val="none" w:sz="0" w:space="0" w:color="auto"/>
                    <w:bottom w:val="none" w:sz="0" w:space="0" w:color="auto"/>
                    <w:right w:val="none" w:sz="0" w:space="0" w:color="auto"/>
                  </w:divBdr>
                </w:div>
              </w:divsChild>
            </w:div>
            <w:div w:id="1811358798">
              <w:marLeft w:val="0"/>
              <w:marRight w:val="0"/>
              <w:marTop w:val="0"/>
              <w:marBottom w:val="0"/>
              <w:divBdr>
                <w:top w:val="none" w:sz="0" w:space="0" w:color="auto"/>
                <w:left w:val="none" w:sz="0" w:space="0" w:color="auto"/>
                <w:bottom w:val="none" w:sz="0" w:space="0" w:color="auto"/>
                <w:right w:val="none" w:sz="0" w:space="0" w:color="auto"/>
              </w:divBdr>
              <w:divsChild>
                <w:div w:id="312563687">
                  <w:marLeft w:val="0"/>
                  <w:marRight w:val="0"/>
                  <w:marTop w:val="0"/>
                  <w:marBottom w:val="0"/>
                  <w:divBdr>
                    <w:top w:val="none" w:sz="0" w:space="0" w:color="auto"/>
                    <w:left w:val="none" w:sz="0" w:space="0" w:color="auto"/>
                    <w:bottom w:val="none" w:sz="0" w:space="0" w:color="auto"/>
                    <w:right w:val="none" w:sz="0" w:space="0" w:color="auto"/>
                  </w:divBdr>
                </w:div>
              </w:divsChild>
            </w:div>
            <w:div w:id="193081556">
              <w:marLeft w:val="0"/>
              <w:marRight w:val="0"/>
              <w:marTop w:val="0"/>
              <w:marBottom w:val="0"/>
              <w:divBdr>
                <w:top w:val="none" w:sz="0" w:space="0" w:color="auto"/>
                <w:left w:val="none" w:sz="0" w:space="0" w:color="auto"/>
                <w:bottom w:val="none" w:sz="0" w:space="0" w:color="auto"/>
                <w:right w:val="none" w:sz="0" w:space="0" w:color="auto"/>
              </w:divBdr>
              <w:divsChild>
                <w:div w:id="133675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7899">
          <w:marLeft w:val="0"/>
          <w:marRight w:val="0"/>
          <w:marTop w:val="0"/>
          <w:marBottom w:val="600"/>
          <w:divBdr>
            <w:top w:val="none" w:sz="0" w:space="0" w:color="auto"/>
            <w:left w:val="none" w:sz="0" w:space="0" w:color="auto"/>
            <w:bottom w:val="none" w:sz="0" w:space="0" w:color="auto"/>
            <w:right w:val="none" w:sz="0" w:space="0" w:color="auto"/>
          </w:divBdr>
        </w:div>
      </w:divsChild>
    </w:div>
    <w:div w:id="377701989">
      <w:marLeft w:val="0"/>
      <w:marRight w:val="0"/>
      <w:marTop w:val="0"/>
      <w:marBottom w:val="0"/>
      <w:divBdr>
        <w:top w:val="none" w:sz="0" w:space="0" w:color="auto"/>
        <w:left w:val="none" w:sz="0" w:space="0" w:color="auto"/>
        <w:bottom w:val="none" w:sz="0" w:space="0" w:color="auto"/>
        <w:right w:val="none" w:sz="0" w:space="0" w:color="auto"/>
      </w:divBdr>
      <w:divsChild>
        <w:div w:id="504903271">
          <w:marLeft w:val="0"/>
          <w:marRight w:val="0"/>
          <w:marTop w:val="547"/>
          <w:marBottom w:val="0"/>
          <w:divBdr>
            <w:top w:val="none" w:sz="0" w:space="0" w:color="auto"/>
            <w:left w:val="none" w:sz="0" w:space="0" w:color="auto"/>
            <w:bottom w:val="none" w:sz="0" w:space="0" w:color="auto"/>
            <w:right w:val="none" w:sz="0" w:space="0" w:color="auto"/>
          </w:divBdr>
        </w:div>
        <w:div w:id="798887942">
          <w:marLeft w:val="0"/>
          <w:marRight w:val="0"/>
          <w:marTop w:val="0"/>
          <w:marBottom w:val="0"/>
          <w:divBdr>
            <w:top w:val="none" w:sz="0" w:space="0" w:color="auto"/>
            <w:left w:val="none" w:sz="0" w:space="0" w:color="auto"/>
            <w:bottom w:val="none" w:sz="0" w:space="0" w:color="auto"/>
            <w:right w:val="none" w:sz="0" w:space="0" w:color="auto"/>
          </w:divBdr>
        </w:div>
        <w:div w:id="993486592">
          <w:marLeft w:val="0"/>
          <w:marRight w:val="0"/>
          <w:marTop w:val="0"/>
          <w:marBottom w:val="600"/>
          <w:divBdr>
            <w:top w:val="none" w:sz="0" w:space="0" w:color="auto"/>
            <w:left w:val="none" w:sz="0" w:space="0" w:color="auto"/>
            <w:bottom w:val="none" w:sz="0" w:space="0" w:color="auto"/>
            <w:right w:val="none" w:sz="0" w:space="0" w:color="auto"/>
          </w:divBdr>
        </w:div>
      </w:divsChild>
    </w:div>
    <w:div w:id="470900400">
      <w:marLeft w:val="0"/>
      <w:marRight w:val="0"/>
      <w:marTop w:val="0"/>
      <w:marBottom w:val="0"/>
      <w:divBdr>
        <w:top w:val="none" w:sz="0" w:space="0" w:color="auto"/>
        <w:left w:val="none" w:sz="0" w:space="0" w:color="auto"/>
        <w:bottom w:val="none" w:sz="0" w:space="0" w:color="auto"/>
        <w:right w:val="none" w:sz="0" w:space="0" w:color="auto"/>
      </w:divBdr>
      <w:divsChild>
        <w:div w:id="615605743">
          <w:marLeft w:val="0"/>
          <w:marRight w:val="0"/>
          <w:marTop w:val="547"/>
          <w:marBottom w:val="0"/>
          <w:divBdr>
            <w:top w:val="none" w:sz="0" w:space="0" w:color="auto"/>
            <w:left w:val="none" w:sz="0" w:space="0" w:color="auto"/>
            <w:bottom w:val="none" w:sz="0" w:space="0" w:color="auto"/>
            <w:right w:val="none" w:sz="0" w:space="0" w:color="auto"/>
          </w:divBdr>
        </w:div>
        <w:div w:id="1127509413">
          <w:marLeft w:val="0"/>
          <w:marRight w:val="0"/>
          <w:marTop w:val="0"/>
          <w:marBottom w:val="0"/>
          <w:divBdr>
            <w:top w:val="none" w:sz="0" w:space="0" w:color="auto"/>
            <w:left w:val="none" w:sz="0" w:space="0" w:color="auto"/>
            <w:bottom w:val="none" w:sz="0" w:space="0" w:color="auto"/>
            <w:right w:val="none" w:sz="0" w:space="0" w:color="auto"/>
          </w:divBdr>
        </w:div>
        <w:div w:id="63576787">
          <w:marLeft w:val="0"/>
          <w:marRight w:val="0"/>
          <w:marTop w:val="0"/>
          <w:marBottom w:val="600"/>
          <w:divBdr>
            <w:top w:val="none" w:sz="0" w:space="0" w:color="auto"/>
            <w:left w:val="none" w:sz="0" w:space="0" w:color="auto"/>
            <w:bottom w:val="none" w:sz="0" w:space="0" w:color="auto"/>
            <w:right w:val="none" w:sz="0" w:space="0" w:color="auto"/>
          </w:divBdr>
        </w:div>
      </w:divsChild>
    </w:div>
    <w:div w:id="496724074">
      <w:marLeft w:val="0"/>
      <w:marRight w:val="0"/>
      <w:marTop w:val="0"/>
      <w:marBottom w:val="0"/>
      <w:divBdr>
        <w:top w:val="none" w:sz="0" w:space="0" w:color="auto"/>
        <w:left w:val="none" w:sz="0" w:space="0" w:color="auto"/>
        <w:bottom w:val="none" w:sz="0" w:space="0" w:color="auto"/>
        <w:right w:val="none" w:sz="0" w:space="0" w:color="auto"/>
      </w:divBdr>
      <w:divsChild>
        <w:div w:id="887183508">
          <w:marLeft w:val="0"/>
          <w:marRight w:val="0"/>
          <w:marTop w:val="547"/>
          <w:marBottom w:val="0"/>
          <w:divBdr>
            <w:top w:val="none" w:sz="0" w:space="0" w:color="auto"/>
            <w:left w:val="none" w:sz="0" w:space="0" w:color="auto"/>
            <w:bottom w:val="none" w:sz="0" w:space="0" w:color="auto"/>
            <w:right w:val="none" w:sz="0" w:space="0" w:color="auto"/>
          </w:divBdr>
        </w:div>
        <w:div w:id="1491754826">
          <w:marLeft w:val="0"/>
          <w:marRight w:val="0"/>
          <w:marTop w:val="0"/>
          <w:marBottom w:val="0"/>
          <w:divBdr>
            <w:top w:val="none" w:sz="0" w:space="0" w:color="auto"/>
            <w:left w:val="none" w:sz="0" w:space="0" w:color="auto"/>
            <w:bottom w:val="none" w:sz="0" w:space="0" w:color="auto"/>
            <w:right w:val="none" w:sz="0" w:space="0" w:color="auto"/>
          </w:divBdr>
        </w:div>
        <w:div w:id="1070083990">
          <w:marLeft w:val="0"/>
          <w:marRight w:val="0"/>
          <w:marTop w:val="0"/>
          <w:marBottom w:val="600"/>
          <w:divBdr>
            <w:top w:val="none" w:sz="0" w:space="0" w:color="auto"/>
            <w:left w:val="none" w:sz="0" w:space="0" w:color="auto"/>
            <w:bottom w:val="none" w:sz="0" w:space="0" w:color="auto"/>
            <w:right w:val="none" w:sz="0" w:space="0" w:color="auto"/>
          </w:divBdr>
        </w:div>
      </w:divsChild>
    </w:div>
    <w:div w:id="514149955">
      <w:marLeft w:val="0"/>
      <w:marRight w:val="0"/>
      <w:marTop w:val="0"/>
      <w:marBottom w:val="0"/>
      <w:divBdr>
        <w:top w:val="none" w:sz="0" w:space="0" w:color="auto"/>
        <w:left w:val="none" w:sz="0" w:space="0" w:color="auto"/>
        <w:bottom w:val="none" w:sz="0" w:space="0" w:color="auto"/>
        <w:right w:val="none" w:sz="0" w:space="0" w:color="auto"/>
      </w:divBdr>
      <w:divsChild>
        <w:div w:id="1380544178">
          <w:marLeft w:val="0"/>
          <w:marRight w:val="0"/>
          <w:marTop w:val="547"/>
          <w:marBottom w:val="0"/>
          <w:divBdr>
            <w:top w:val="none" w:sz="0" w:space="0" w:color="auto"/>
            <w:left w:val="none" w:sz="0" w:space="0" w:color="auto"/>
            <w:bottom w:val="none" w:sz="0" w:space="0" w:color="auto"/>
            <w:right w:val="none" w:sz="0" w:space="0" w:color="auto"/>
          </w:divBdr>
        </w:div>
        <w:div w:id="1671374711">
          <w:marLeft w:val="0"/>
          <w:marRight w:val="0"/>
          <w:marTop w:val="0"/>
          <w:marBottom w:val="0"/>
          <w:divBdr>
            <w:top w:val="none" w:sz="0" w:space="0" w:color="auto"/>
            <w:left w:val="none" w:sz="0" w:space="0" w:color="auto"/>
            <w:bottom w:val="none" w:sz="0" w:space="0" w:color="auto"/>
            <w:right w:val="none" w:sz="0" w:space="0" w:color="auto"/>
          </w:divBdr>
          <w:divsChild>
            <w:div w:id="1655067961">
              <w:marLeft w:val="0"/>
              <w:marRight w:val="0"/>
              <w:marTop w:val="0"/>
              <w:marBottom w:val="0"/>
              <w:divBdr>
                <w:top w:val="none" w:sz="0" w:space="0" w:color="auto"/>
                <w:left w:val="none" w:sz="0" w:space="0" w:color="auto"/>
                <w:bottom w:val="none" w:sz="0" w:space="0" w:color="auto"/>
                <w:right w:val="none" w:sz="0" w:space="0" w:color="auto"/>
              </w:divBdr>
              <w:divsChild>
                <w:div w:id="1431195856">
                  <w:marLeft w:val="0"/>
                  <w:marRight w:val="0"/>
                  <w:marTop w:val="0"/>
                  <w:marBottom w:val="0"/>
                  <w:divBdr>
                    <w:top w:val="none" w:sz="0" w:space="0" w:color="auto"/>
                    <w:left w:val="none" w:sz="0" w:space="0" w:color="auto"/>
                    <w:bottom w:val="none" w:sz="0" w:space="0" w:color="auto"/>
                    <w:right w:val="none" w:sz="0" w:space="0" w:color="auto"/>
                  </w:divBdr>
                </w:div>
              </w:divsChild>
            </w:div>
            <w:div w:id="1412922486">
              <w:marLeft w:val="0"/>
              <w:marRight w:val="0"/>
              <w:marTop w:val="0"/>
              <w:marBottom w:val="0"/>
              <w:divBdr>
                <w:top w:val="none" w:sz="0" w:space="0" w:color="auto"/>
                <w:left w:val="none" w:sz="0" w:space="0" w:color="auto"/>
                <w:bottom w:val="none" w:sz="0" w:space="0" w:color="auto"/>
                <w:right w:val="none" w:sz="0" w:space="0" w:color="auto"/>
              </w:divBdr>
              <w:divsChild>
                <w:div w:id="160242855">
                  <w:marLeft w:val="0"/>
                  <w:marRight w:val="0"/>
                  <w:marTop w:val="0"/>
                  <w:marBottom w:val="0"/>
                  <w:divBdr>
                    <w:top w:val="none" w:sz="0" w:space="0" w:color="auto"/>
                    <w:left w:val="none" w:sz="0" w:space="0" w:color="auto"/>
                    <w:bottom w:val="none" w:sz="0" w:space="0" w:color="auto"/>
                    <w:right w:val="none" w:sz="0" w:space="0" w:color="auto"/>
                  </w:divBdr>
                </w:div>
              </w:divsChild>
            </w:div>
            <w:div w:id="1680083630">
              <w:marLeft w:val="0"/>
              <w:marRight w:val="0"/>
              <w:marTop w:val="0"/>
              <w:marBottom w:val="0"/>
              <w:divBdr>
                <w:top w:val="none" w:sz="0" w:space="0" w:color="auto"/>
                <w:left w:val="none" w:sz="0" w:space="0" w:color="auto"/>
                <w:bottom w:val="none" w:sz="0" w:space="0" w:color="auto"/>
                <w:right w:val="none" w:sz="0" w:space="0" w:color="auto"/>
              </w:divBdr>
              <w:divsChild>
                <w:div w:id="1759056923">
                  <w:marLeft w:val="0"/>
                  <w:marRight w:val="0"/>
                  <w:marTop w:val="0"/>
                  <w:marBottom w:val="0"/>
                  <w:divBdr>
                    <w:top w:val="none" w:sz="0" w:space="0" w:color="auto"/>
                    <w:left w:val="none" w:sz="0" w:space="0" w:color="auto"/>
                    <w:bottom w:val="none" w:sz="0" w:space="0" w:color="auto"/>
                    <w:right w:val="none" w:sz="0" w:space="0" w:color="auto"/>
                  </w:divBdr>
                </w:div>
              </w:divsChild>
            </w:div>
            <w:div w:id="1776897989">
              <w:marLeft w:val="0"/>
              <w:marRight w:val="0"/>
              <w:marTop w:val="0"/>
              <w:marBottom w:val="0"/>
              <w:divBdr>
                <w:top w:val="none" w:sz="0" w:space="0" w:color="auto"/>
                <w:left w:val="none" w:sz="0" w:space="0" w:color="auto"/>
                <w:bottom w:val="none" w:sz="0" w:space="0" w:color="auto"/>
                <w:right w:val="none" w:sz="0" w:space="0" w:color="auto"/>
              </w:divBdr>
              <w:divsChild>
                <w:div w:id="1343629998">
                  <w:marLeft w:val="0"/>
                  <w:marRight w:val="0"/>
                  <w:marTop w:val="0"/>
                  <w:marBottom w:val="0"/>
                  <w:divBdr>
                    <w:top w:val="none" w:sz="0" w:space="0" w:color="auto"/>
                    <w:left w:val="none" w:sz="0" w:space="0" w:color="auto"/>
                    <w:bottom w:val="none" w:sz="0" w:space="0" w:color="auto"/>
                    <w:right w:val="none" w:sz="0" w:space="0" w:color="auto"/>
                  </w:divBdr>
                </w:div>
              </w:divsChild>
            </w:div>
            <w:div w:id="1590577314">
              <w:marLeft w:val="0"/>
              <w:marRight w:val="0"/>
              <w:marTop w:val="0"/>
              <w:marBottom w:val="0"/>
              <w:divBdr>
                <w:top w:val="none" w:sz="0" w:space="0" w:color="auto"/>
                <w:left w:val="none" w:sz="0" w:space="0" w:color="auto"/>
                <w:bottom w:val="none" w:sz="0" w:space="0" w:color="auto"/>
                <w:right w:val="none" w:sz="0" w:space="0" w:color="auto"/>
              </w:divBdr>
              <w:divsChild>
                <w:div w:id="1427456834">
                  <w:marLeft w:val="0"/>
                  <w:marRight w:val="0"/>
                  <w:marTop w:val="0"/>
                  <w:marBottom w:val="0"/>
                  <w:divBdr>
                    <w:top w:val="none" w:sz="0" w:space="0" w:color="auto"/>
                    <w:left w:val="none" w:sz="0" w:space="0" w:color="auto"/>
                    <w:bottom w:val="none" w:sz="0" w:space="0" w:color="auto"/>
                    <w:right w:val="none" w:sz="0" w:space="0" w:color="auto"/>
                  </w:divBdr>
                </w:div>
              </w:divsChild>
            </w:div>
            <w:div w:id="384915545">
              <w:marLeft w:val="0"/>
              <w:marRight w:val="0"/>
              <w:marTop w:val="0"/>
              <w:marBottom w:val="0"/>
              <w:divBdr>
                <w:top w:val="none" w:sz="0" w:space="0" w:color="auto"/>
                <w:left w:val="none" w:sz="0" w:space="0" w:color="auto"/>
                <w:bottom w:val="none" w:sz="0" w:space="0" w:color="auto"/>
                <w:right w:val="none" w:sz="0" w:space="0" w:color="auto"/>
              </w:divBdr>
              <w:divsChild>
                <w:div w:id="2051763151">
                  <w:marLeft w:val="0"/>
                  <w:marRight w:val="0"/>
                  <w:marTop w:val="0"/>
                  <w:marBottom w:val="0"/>
                  <w:divBdr>
                    <w:top w:val="none" w:sz="0" w:space="0" w:color="auto"/>
                    <w:left w:val="none" w:sz="0" w:space="0" w:color="auto"/>
                    <w:bottom w:val="none" w:sz="0" w:space="0" w:color="auto"/>
                    <w:right w:val="none" w:sz="0" w:space="0" w:color="auto"/>
                  </w:divBdr>
                </w:div>
              </w:divsChild>
            </w:div>
            <w:div w:id="2044551958">
              <w:marLeft w:val="0"/>
              <w:marRight w:val="0"/>
              <w:marTop w:val="0"/>
              <w:marBottom w:val="0"/>
              <w:divBdr>
                <w:top w:val="none" w:sz="0" w:space="0" w:color="auto"/>
                <w:left w:val="none" w:sz="0" w:space="0" w:color="auto"/>
                <w:bottom w:val="none" w:sz="0" w:space="0" w:color="auto"/>
                <w:right w:val="none" w:sz="0" w:space="0" w:color="auto"/>
              </w:divBdr>
              <w:divsChild>
                <w:div w:id="2046825239">
                  <w:marLeft w:val="0"/>
                  <w:marRight w:val="0"/>
                  <w:marTop w:val="0"/>
                  <w:marBottom w:val="0"/>
                  <w:divBdr>
                    <w:top w:val="none" w:sz="0" w:space="0" w:color="auto"/>
                    <w:left w:val="none" w:sz="0" w:space="0" w:color="auto"/>
                    <w:bottom w:val="none" w:sz="0" w:space="0" w:color="auto"/>
                    <w:right w:val="none" w:sz="0" w:space="0" w:color="auto"/>
                  </w:divBdr>
                </w:div>
              </w:divsChild>
            </w:div>
            <w:div w:id="542445567">
              <w:marLeft w:val="0"/>
              <w:marRight w:val="0"/>
              <w:marTop w:val="0"/>
              <w:marBottom w:val="0"/>
              <w:divBdr>
                <w:top w:val="none" w:sz="0" w:space="0" w:color="auto"/>
                <w:left w:val="none" w:sz="0" w:space="0" w:color="auto"/>
                <w:bottom w:val="none" w:sz="0" w:space="0" w:color="auto"/>
                <w:right w:val="none" w:sz="0" w:space="0" w:color="auto"/>
              </w:divBdr>
              <w:divsChild>
                <w:div w:id="1754159021">
                  <w:marLeft w:val="0"/>
                  <w:marRight w:val="0"/>
                  <w:marTop w:val="0"/>
                  <w:marBottom w:val="0"/>
                  <w:divBdr>
                    <w:top w:val="none" w:sz="0" w:space="0" w:color="auto"/>
                    <w:left w:val="none" w:sz="0" w:space="0" w:color="auto"/>
                    <w:bottom w:val="none" w:sz="0" w:space="0" w:color="auto"/>
                    <w:right w:val="none" w:sz="0" w:space="0" w:color="auto"/>
                  </w:divBdr>
                </w:div>
              </w:divsChild>
            </w:div>
            <w:div w:id="927037422">
              <w:marLeft w:val="0"/>
              <w:marRight w:val="0"/>
              <w:marTop w:val="0"/>
              <w:marBottom w:val="0"/>
              <w:divBdr>
                <w:top w:val="none" w:sz="0" w:space="0" w:color="auto"/>
                <w:left w:val="none" w:sz="0" w:space="0" w:color="auto"/>
                <w:bottom w:val="none" w:sz="0" w:space="0" w:color="auto"/>
                <w:right w:val="none" w:sz="0" w:space="0" w:color="auto"/>
              </w:divBdr>
              <w:divsChild>
                <w:div w:id="675570549">
                  <w:marLeft w:val="0"/>
                  <w:marRight w:val="0"/>
                  <w:marTop w:val="0"/>
                  <w:marBottom w:val="0"/>
                  <w:divBdr>
                    <w:top w:val="none" w:sz="0" w:space="0" w:color="auto"/>
                    <w:left w:val="none" w:sz="0" w:space="0" w:color="auto"/>
                    <w:bottom w:val="none" w:sz="0" w:space="0" w:color="auto"/>
                    <w:right w:val="none" w:sz="0" w:space="0" w:color="auto"/>
                  </w:divBdr>
                </w:div>
              </w:divsChild>
            </w:div>
            <w:div w:id="1700814850">
              <w:marLeft w:val="0"/>
              <w:marRight w:val="0"/>
              <w:marTop w:val="0"/>
              <w:marBottom w:val="0"/>
              <w:divBdr>
                <w:top w:val="none" w:sz="0" w:space="0" w:color="auto"/>
                <w:left w:val="none" w:sz="0" w:space="0" w:color="auto"/>
                <w:bottom w:val="none" w:sz="0" w:space="0" w:color="auto"/>
                <w:right w:val="none" w:sz="0" w:space="0" w:color="auto"/>
              </w:divBdr>
              <w:divsChild>
                <w:div w:id="229734217">
                  <w:marLeft w:val="0"/>
                  <w:marRight w:val="0"/>
                  <w:marTop w:val="0"/>
                  <w:marBottom w:val="0"/>
                  <w:divBdr>
                    <w:top w:val="none" w:sz="0" w:space="0" w:color="auto"/>
                    <w:left w:val="none" w:sz="0" w:space="0" w:color="auto"/>
                    <w:bottom w:val="none" w:sz="0" w:space="0" w:color="auto"/>
                    <w:right w:val="none" w:sz="0" w:space="0" w:color="auto"/>
                  </w:divBdr>
                </w:div>
              </w:divsChild>
            </w:div>
            <w:div w:id="1701659728">
              <w:marLeft w:val="0"/>
              <w:marRight w:val="0"/>
              <w:marTop w:val="0"/>
              <w:marBottom w:val="0"/>
              <w:divBdr>
                <w:top w:val="none" w:sz="0" w:space="0" w:color="auto"/>
                <w:left w:val="none" w:sz="0" w:space="0" w:color="auto"/>
                <w:bottom w:val="none" w:sz="0" w:space="0" w:color="auto"/>
                <w:right w:val="none" w:sz="0" w:space="0" w:color="auto"/>
              </w:divBdr>
              <w:divsChild>
                <w:div w:id="1417284171">
                  <w:marLeft w:val="0"/>
                  <w:marRight w:val="0"/>
                  <w:marTop w:val="0"/>
                  <w:marBottom w:val="0"/>
                  <w:divBdr>
                    <w:top w:val="none" w:sz="0" w:space="0" w:color="auto"/>
                    <w:left w:val="none" w:sz="0" w:space="0" w:color="auto"/>
                    <w:bottom w:val="none" w:sz="0" w:space="0" w:color="auto"/>
                    <w:right w:val="none" w:sz="0" w:space="0" w:color="auto"/>
                  </w:divBdr>
                </w:div>
              </w:divsChild>
            </w:div>
            <w:div w:id="1488129482">
              <w:marLeft w:val="0"/>
              <w:marRight w:val="0"/>
              <w:marTop w:val="0"/>
              <w:marBottom w:val="0"/>
              <w:divBdr>
                <w:top w:val="none" w:sz="0" w:space="0" w:color="auto"/>
                <w:left w:val="none" w:sz="0" w:space="0" w:color="auto"/>
                <w:bottom w:val="none" w:sz="0" w:space="0" w:color="auto"/>
                <w:right w:val="none" w:sz="0" w:space="0" w:color="auto"/>
              </w:divBdr>
              <w:divsChild>
                <w:div w:id="1548026055">
                  <w:marLeft w:val="0"/>
                  <w:marRight w:val="0"/>
                  <w:marTop w:val="0"/>
                  <w:marBottom w:val="0"/>
                  <w:divBdr>
                    <w:top w:val="none" w:sz="0" w:space="0" w:color="auto"/>
                    <w:left w:val="none" w:sz="0" w:space="0" w:color="auto"/>
                    <w:bottom w:val="none" w:sz="0" w:space="0" w:color="auto"/>
                    <w:right w:val="none" w:sz="0" w:space="0" w:color="auto"/>
                  </w:divBdr>
                </w:div>
              </w:divsChild>
            </w:div>
            <w:div w:id="1791320509">
              <w:marLeft w:val="0"/>
              <w:marRight w:val="0"/>
              <w:marTop w:val="0"/>
              <w:marBottom w:val="0"/>
              <w:divBdr>
                <w:top w:val="none" w:sz="0" w:space="0" w:color="auto"/>
                <w:left w:val="none" w:sz="0" w:space="0" w:color="auto"/>
                <w:bottom w:val="none" w:sz="0" w:space="0" w:color="auto"/>
                <w:right w:val="none" w:sz="0" w:space="0" w:color="auto"/>
              </w:divBdr>
              <w:divsChild>
                <w:div w:id="160588730">
                  <w:marLeft w:val="0"/>
                  <w:marRight w:val="0"/>
                  <w:marTop w:val="0"/>
                  <w:marBottom w:val="0"/>
                  <w:divBdr>
                    <w:top w:val="none" w:sz="0" w:space="0" w:color="auto"/>
                    <w:left w:val="none" w:sz="0" w:space="0" w:color="auto"/>
                    <w:bottom w:val="none" w:sz="0" w:space="0" w:color="auto"/>
                    <w:right w:val="none" w:sz="0" w:space="0" w:color="auto"/>
                  </w:divBdr>
                </w:div>
              </w:divsChild>
            </w:div>
            <w:div w:id="1967008870">
              <w:marLeft w:val="0"/>
              <w:marRight w:val="0"/>
              <w:marTop w:val="0"/>
              <w:marBottom w:val="0"/>
              <w:divBdr>
                <w:top w:val="none" w:sz="0" w:space="0" w:color="auto"/>
                <w:left w:val="none" w:sz="0" w:space="0" w:color="auto"/>
                <w:bottom w:val="none" w:sz="0" w:space="0" w:color="auto"/>
                <w:right w:val="none" w:sz="0" w:space="0" w:color="auto"/>
              </w:divBdr>
              <w:divsChild>
                <w:div w:id="986015894">
                  <w:marLeft w:val="0"/>
                  <w:marRight w:val="0"/>
                  <w:marTop w:val="0"/>
                  <w:marBottom w:val="0"/>
                  <w:divBdr>
                    <w:top w:val="none" w:sz="0" w:space="0" w:color="auto"/>
                    <w:left w:val="none" w:sz="0" w:space="0" w:color="auto"/>
                    <w:bottom w:val="none" w:sz="0" w:space="0" w:color="auto"/>
                    <w:right w:val="none" w:sz="0" w:space="0" w:color="auto"/>
                  </w:divBdr>
                </w:div>
              </w:divsChild>
            </w:div>
            <w:div w:id="982538455">
              <w:marLeft w:val="0"/>
              <w:marRight w:val="0"/>
              <w:marTop w:val="0"/>
              <w:marBottom w:val="0"/>
              <w:divBdr>
                <w:top w:val="none" w:sz="0" w:space="0" w:color="auto"/>
                <w:left w:val="none" w:sz="0" w:space="0" w:color="auto"/>
                <w:bottom w:val="none" w:sz="0" w:space="0" w:color="auto"/>
                <w:right w:val="none" w:sz="0" w:space="0" w:color="auto"/>
              </w:divBdr>
              <w:divsChild>
                <w:div w:id="1359937788">
                  <w:marLeft w:val="0"/>
                  <w:marRight w:val="0"/>
                  <w:marTop w:val="0"/>
                  <w:marBottom w:val="0"/>
                  <w:divBdr>
                    <w:top w:val="none" w:sz="0" w:space="0" w:color="auto"/>
                    <w:left w:val="none" w:sz="0" w:space="0" w:color="auto"/>
                    <w:bottom w:val="none" w:sz="0" w:space="0" w:color="auto"/>
                    <w:right w:val="none" w:sz="0" w:space="0" w:color="auto"/>
                  </w:divBdr>
                </w:div>
              </w:divsChild>
            </w:div>
            <w:div w:id="1499882968">
              <w:marLeft w:val="0"/>
              <w:marRight w:val="0"/>
              <w:marTop w:val="0"/>
              <w:marBottom w:val="0"/>
              <w:divBdr>
                <w:top w:val="none" w:sz="0" w:space="0" w:color="auto"/>
                <w:left w:val="none" w:sz="0" w:space="0" w:color="auto"/>
                <w:bottom w:val="none" w:sz="0" w:space="0" w:color="auto"/>
                <w:right w:val="none" w:sz="0" w:space="0" w:color="auto"/>
              </w:divBdr>
              <w:divsChild>
                <w:div w:id="1333873998">
                  <w:marLeft w:val="0"/>
                  <w:marRight w:val="0"/>
                  <w:marTop w:val="0"/>
                  <w:marBottom w:val="0"/>
                  <w:divBdr>
                    <w:top w:val="none" w:sz="0" w:space="0" w:color="auto"/>
                    <w:left w:val="none" w:sz="0" w:space="0" w:color="auto"/>
                    <w:bottom w:val="none" w:sz="0" w:space="0" w:color="auto"/>
                    <w:right w:val="none" w:sz="0" w:space="0" w:color="auto"/>
                  </w:divBdr>
                </w:div>
              </w:divsChild>
            </w:div>
            <w:div w:id="342514455">
              <w:marLeft w:val="0"/>
              <w:marRight w:val="0"/>
              <w:marTop w:val="0"/>
              <w:marBottom w:val="0"/>
              <w:divBdr>
                <w:top w:val="none" w:sz="0" w:space="0" w:color="auto"/>
                <w:left w:val="none" w:sz="0" w:space="0" w:color="auto"/>
                <w:bottom w:val="none" w:sz="0" w:space="0" w:color="auto"/>
                <w:right w:val="none" w:sz="0" w:space="0" w:color="auto"/>
              </w:divBdr>
              <w:divsChild>
                <w:div w:id="775321332">
                  <w:marLeft w:val="0"/>
                  <w:marRight w:val="0"/>
                  <w:marTop w:val="0"/>
                  <w:marBottom w:val="0"/>
                  <w:divBdr>
                    <w:top w:val="none" w:sz="0" w:space="0" w:color="auto"/>
                    <w:left w:val="none" w:sz="0" w:space="0" w:color="auto"/>
                    <w:bottom w:val="none" w:sz="0" w:space="0" w:color="auto"/>
                    <w:right w:val="none" w:sz="0" w:space="0" w:color="auto"/>
                  </w:divBdr>
                </w:div>
              </w:divsChild>
            </w:div>
            <w:div w:id="240870916">
              <w:marLeft w:val="0"/>
              <w:marRight w:val="0"/>
              <w:marTop w:val="0"/>
              <w:marBottom w:val="0"/>
              <w:divBdr>
                <w:top w:val="none" w:sz="0" w:space="0" w:color="auto"/>
                <w:left w:val="none" w:sz="0" w:space="0" w:color="auto"/>
                <w:bottom w:val="none" w:sz="0" w:space="0" w:color="auto"/>
                <w:right w:val="none" w:sz="0" w:space="0" w:color="auto"/>
              </w:divBdr>
              <w:divsChild>
                <w:div w:id="304512006">
                  <w:marLeft w:val="0"/>
                  <w:marRight w:val="0"/>
                  <w:marTop w:val="0"/>
                  <w:marBottom w:val="0"/>
                  <w:divBdr>
                    <w:top w:val="none" w:sz="0" w:space="0" w:color="auto"/>
                    <w:left w:val="none" w:sz="0" w:space="0" w:color="auto"/>
                    <w:bottom w:val="none" w:sz="0" w:space="0" w:color="auto"/>
                    <w:right w:val="none" w:sz="0" w:space="0" w:color="auto"/>
                  </w:divBdr>
                </w:div>
              </w:divsChild>
            </w:div>
            <w:div w:id="1594822630">
              <w:marLeft w:val="0"/>
              <w:marRight w:val="0"/>
              <w:marTop w:val="0"/>
              <w:marBottom w:val="0"/>
              <w:divBdr>
                <w:top w:val="none" w:sz="0" w:space="0" w:color="auto"/>
                <w:left w:val="none" w:sz="0" w:space="0" w:color="auto"/>
                <w:bottom w:val="none" w:sz="0" w:space="0" w:color="auto"/>
                <w:right w:val="none" w:sz="0" w:space="0" w:color="auto"/>
              </w:divBdr>
              <w:divsChild>
                <w:div w:id="1177231481">
                  <w:marLeft w:val="0"/>
                  <w:marRight w:val="0"/>
                  <w:marTop w:val="0"/>
                  <w:marBottom w:val="0"/>
                  <w:divBdr>
                    <w:top w:val="none" w:sz="0" w:space="0" w:color="auto"/>
                    <w:left w:val="none" w:sz="0" w:space="0" w:color="auto"/>
                    <w:bottom w:val="none" w:sz="0" w:space="0" w:color="auto"/>
                    <w:right w:val="none" w:sz="0" w:space="0" w:color="auto"/>
                  </w:divBdr>
                </w:div>
              </w:divsChild>
            </w:div>
            <w:div w:id="1820996152">
              <w:marLeft w:val="0"/>
              <w:marRight w:val="0"/>
              <w:marTop w:val="0"/>
              <w:marBottom w:val="0"/>
              <w:divBdr>
                <w:top w:val="none" w:sz="0" w:space="0" w:color="auto"/>
                <w:left w:val="none" w:sz="0" w:space="0" w:color="auto"/>
                <w:bottom w:val="none" w:sz="0" w:space="0" w:color="auto"/>
                <w:right w:val="none" w:sz="0" w:space="0" w:color="auto"/>
              </w:divBdr>
              <w:divsChild>
                <w:div w:id="140928714">
                  <w:marLeft w:val="0"/>
                  <w:marRight w:val="0"/>
                  <w:marTop w:val="0"/>
                  <w:marBottom w:val="0"/>
                  <w:divBdr>
                    <w:top w:val="none" w:sz="0" w:space="0" w:color="auto"/>
                    <w:left w:val="none" w:sz="0" w:space="0" w:color="auto"/>
                    <w:bottom w:val="none" w:sz="0" w:space="0" w:color="auto"/>
                    <w:right w:val="none" w:sz="0" w:space="0" w:color="auto"/>
                  </w:divBdr>
                </w:div>
              </w:divsChild>
            </w:div>
            <w:div w:id="915750651">
              <w:marLeft w:val="0"/>
              <w:marRight w:val="0"/>
              <w:marTop w:val="0"/>
              <w:marBottom w:val="0"/>
              <w:divBdr>
                <w:top w:val="none" w:sz="0" w:space="0" w:color="auto"/>
                <w:left w:val="none" w:sz="0" w:space="0" w:color="auto"/>
                <w:bottom w:val="none" w:sz="0" w:space="0" w:color="auto"/>
                <w:right w:val="none" w:sz="0" w:space="0" w:color="auto"/>
              </w:divBdr>
              <w:divsChild>
                <w:div w:id="739137086">
                  <w:marLeft w:val="0"/>
                  <w:marRight w:val="0"/>
                  <w:marTop w:val="0"/>
                  <w:marBottom w:val="0"/>
                  <w:divBdr>
                    <w:top w:val="none" w:sz="0" w:space="0" w:color="auto"/>
                    <w:left w:val="none" w:sz="0" w:space="0" w:color="auto"/>
                    <w:bottom w:val="none" w:sz="0" w:space="0" w:color="auto"/>
                    <w:right w:val="none" w:sz="0" w:space="0" w:color="auto"/>
                  </w:divBdr>
                </w:div>
              </w:divsChild>
            </w:div>
            <w:div w:id="1754234248">
              <w:marLeft w:val="0"/>
              <w:marRight w:val="0"/>
              <w:marTop w:val="0"/>
              <w:marBottom w:val="0"/>
              <w:divBdr>
                <w:top w:val="none" w:sz="0" w:space="0" w:color="auto"/>
                <w:left w:val="none" w:sz="0" w:space="0" w:color="auto"/>
                <w:bottom w:val="none" w:sz="0" w:space="0" w:color="auto"/>
                <w:right w:val="none" w:sz="0" w:space="0" w:color="auto"/>
              </w:divBdr>
              <w:divsChild>
                <w:div w:id="1320160206">
                  <w:marLeft w:val="0"/>
                  <w:marRight w:val="0"/>
                  <w:marTop w:val="0"/>
                  <w:marBottom w:val="0"/>
                  <w:divBdr>
                    <w:top w:val="none" w:sz="0" w:space="0" w:color="auto"/>
                    <w:left w:val="none" w:sz="0" w:space="0" w:color="auto"/>
                    <w:bottom w:val="none" w:sz="0" w:space="0" w:color="auto"/>
                    <w:right w:val="none" w:sz="0" w:space="0" w:color="auto"/>
                  </w:divBdr>
                </w:div>
              </w:divsChild>
            </w:div>
            <w:div w:id="881093474">
              <w:marLeft w:val="0"/>
              <w:marRight w:val="0"/>
              <w:marTop w:val="0"/>
              <w:marBottom w:val="0"/>
              <w:divBdr>
                <w:top w:val="none" w:sz="0" w:space="0" w:color="auto"/>
                <w:left w:val="none" w:sz="0" w:space="0" w:color="auto"/>
                <w:bottom w:val="none" w:sz="0" w:space="0" w:color="auto"/>
                <w:right w:val="none" w:sz="0" w:space="0" w:color="auto"/>
              </w:divBdr>
              <w:divsChild>
                <w:div w:id="2036612125">
                  <w:marLeft w:val="0"/>
                  <w:marRight w:val="0"/>
                  <w:marTop w:val="0"/>
                  <w:marBottom w:val="0"/>
                  <w:divBdr>
                    <w:top w:val="none" w:sz="0" w:space="0" w:color="auto"/>
                    <w:left w:val="none" w:sz="0" w:space="0" w:color="auto"/>
                    <w:bottom w:val="none" w:sz="0" w:space="0" w:color="auto"/>
                    <w:right w:val="none" w:sz="0" w:space="0" w:color="auto"/>
                  </w:divBdr>
                </w:div>
              </w:divsChild>
            </w:div>
            <w:div w:id="624627726">
              <w:marLeft w:val="0"/>
              <w:marRight w:val="0"/>
              <w:marTop w:val="0"/>
              <w:marBottom w:val="0"/>
              <w:divBdr>
                <w:top w:val="none" w:sz="0" w:space="0" w:color="auto"/>
                <w:left w:val="none" w:sz="0" w:space="0" w:color="auto"/>
                <w:bottom w:val="none" w:sz="0" w:space="0" w:color="auto"/>
                <w:right w:val="none" w:sz="0" w:space="0" w:color="auto"/>
              </w:divBdr>
              <w:divsChild>
                <w:div w:id="986325822">
                  <w:marLeft w:val="0"/>
                  <w:marRight w:val="0"/>
                  <w:marTop w:val="0"/>
                  <w:marBottom w:val="0"/>
                  <w:divBdr>
                    <w:top w:val="none" w:sz="0" w:space="0" w:color="auto"/>
                    <w:left w:val="none" w:sz="0" w:space="0" w:color="auto"/>
                    <w:bottom w:val="none" w:sz="0" w:space="0" w:color="auto"/>
                    <w:right w:val="none" w:sz="0" w:space="0" w:color="auto"/>
                  </w:divBdr>
                </w:div>
              </w:divsChild>
            </w:div>
            <w:div w:id="76286858">
              <w:marLeft w:val="0"/>
              <w:marRight w:val="0"/>
              <w:marTop w:val="0"/>
              <w:marBottom w:val="0"/>
              <w:divBdr>
                <w:top w:val="none" w:sz="0" w:space="0" w:color="auto"/>
                <w:left w:val="none" w:sz="0" w:space="0" w:color="auto"/>
                <w:bottom w:val="none" w:sz="0" w:space="0" w:color="auto"/>
                <w:right w:val="none" w:sz="0" w:space="0" w:color="auto"/>
              </w:divBdr>
              <w:divsChild>
                <w:div w:id="2008943377">
                  <w:marLeft w:val="0"/>
                  <w:marRight w:val="0"/>
                  <w:marTop w:val="0"/>
                  <w:marBottom w:val="0"/>
                  <w:divBdr>
                    <w:top w:val="none" w:sz="0" w:space="0" w:color="auto"/>
                    <w:left w:val="none" w:sz="0" w:space="0" w:color="auto"/>
                    <w:bottom w:val="none" w:sz="0" w:space="0" w:color="auto"/>
                    <w:right w:val="none" w:sz="0" w:space="0" w:color="auto"/>
                  </w:divBdr>
                </w:div>
              </w:divsChild>
            </w:div>
            <w:div w:id="444082248">
              <w:marLeft w:val="0"/>
              <w:marRight w:val="0"/>
              <w:marTop w:val="0"/>
              <w:marBottom w:val="0"/>
              <w:divBdr>
                <w:top w:val="none" w:sz="0" w:space="0" w:color="auto"/>
                <w:left w:val="none" w:sz="0" w:space="0" w:color="auto"/>
                <w:bottom w:val="none" w:sz="0" w:space="0" w:color="auto"/>
                <w:right w:val="none" w:sz="0" w:space="0" w:color="auto"/>
              </w:divBdr>
              <w:divsChild>
                <w:div w:id="1328822810">
                  <w:marLeft w:val="0"/>
                  <w:marRight w:val="0"/>
                  <w:marTop w:val="0"/>
                  <w:marBottom w:val="0"/>
                  <w:divBdr>
                    <w:top w:val="none" w:sz="0" w:space="0" w:color="auto"/>
                    <w:left w:val="none" w:sz="0" w:space="0" w:color="auto"/>
                    <w:bottom w:val="none" w:sz="0" w:space="0" w:color="auto"/>
                    <w:right w:val="none" w:sz="0" w:space="0" w:color="auto"/>
                  </w:divBdr>
                </w:div>
              </w:divsChild>
            </w:div>
            <w:div w:id="485391526">
              <w:marLeft w:val="0"/>
              <w:marRight w:val="0"/>
              <w:marTop w:val="0"/>
              <w:marBottom w:val="0"/>
              <w:divBdr>
                <w:top w:val="none" w:sz="0" w:space="0" w:color="auto"/>
                <w:left w:val="none" w:sz="0" w:space="0" w:color="auto"/>
                <w:bottom w:val="none" w:sz="0" w:space="0" w:color="auto"/>
                <w:right w:val="none" w:sz="0" w:space="0" w:color="auto"/>
              </w:divBdr>
              <w:divsChild>
                <w:div w:id="1467315072">
                  <w:marLeft w:val="0"/>
                  <w:marRight w:val="0"/>
                  <w:marTop w:val="0"/>
                  <w:marBottom w:val="0"/>
                  <w:divBdr>
                    <w:top w:val="none" w:sz="0" w:space="0" w:color="auto"/>
                    <w:left w:val="none" w:sz="0" w:space="0" w:color="auto"/>
                    <w:bottom w:val="none" w:sz="0" w:space="0" w:color="auto"/>
                    <w:right w:val="none" w:sz="0" w:space="0" w:color="auto"/>
                  </w:divBdr>
                </w:div>
              </w:divsChild>
            </w:div>
            <w:div w:id="1094204554">
              <w:marLeft w:val="0"/>
              <w:marRight w:val="0"/>
              <w:marTop w:val="0"/>
              <w:marBottom w:val="0"/>
              <w:divBdr>
                <w:top w:val="none" w:sz="0" w:space="0" w:color="auto"/>
                <w:left w:val="none" w:sz="0" w:space="0" w:color="auto"/>
                <w:bottom w:val="none" w:sz="0" w:space="0" w:color="auto"/>
                <w:right w:val="none" w:sz="0" w:space="0" w:color="auto"/>
              </w:divBdr>
              <w:divsChild>
                <w:div w:id="723723885">
                  <w:marLeft w:val="0"/>
                  <w:marRight w:val="0"/>
                  <w:marTop w:val="0"/>
                  <w:marBottom w:val="0"/>
                  <w:divBdr>
                    <w:top w:val="none" w:sz="0" w:space="0" w:color="auto"/>
                    <w:left w:val="none" w:sz="0" w:space="0" w:color="auto"/>
                    <w:bottom w:val="none" w:sz="0" w:space="0" w:color="auto"/>
                    <w:right w:val="none" w:sz="0" w:space="0" w:color="auto"/>
                  </w:divBdr>
                </w:div>
              </w:divsChild>
            </w:div>
            <w:div w:id="1881504416">
              <w:marLeft w:val="0"/>
              <w:marRight w:val="0"/>
              <w:marTop w:val="0"/>
              <w:marBottom w:val="0"/>
              <w:divBdr>
                <w:top w:val="none" w:sz="0" w:space="0" w:color="auto"/>
                <w:left w:val="none" w:sz="0" w:space="0" w:color="auto"/>
                <w:bottom w:val="none" w:sz="0" w:space="0" w:color="auto"/>
                <w:right w:val="none" w:sz="0" w:space="0" w:color="auto"/>
              </w:divBdr>
              <w:divsChild>
                <w:div w:id="89470659">
                  <w:marLeft w:val="0"/>
                  <w:marRight w:val="0"/>
                  <w:marTop w:val="0"/>
                  <w:marBottom w:val="0"/>
                  <w:divBdr>
                    <w:top w:val="none" w:sz="0" w:space="0" w:color="auto"/>
                    <w:left w:val="none" w:sz="0" w:space="0" w:color="auto"/>
                    <w:bottom w:val="none" w:sz="0" w:space="0" w:color="auto"/>
                    <w:right w:val="none" w:sz="0" w:space="0" w:color="auto"/>
                  </w:divBdr>
                </w:div>
              </w:divsChild>
            </w:div>
            <w:div w:id="552277479">
              <w:marLeft w:val="0"/>
              <w:marRight w:val="0"/>
              <w:marTop w:val="0"/>
              <w:marBottom w:val="0"/>
              <w:divBdr>
                <w:top w:val="none" w:sz="0" w:space="0" w:color="auto"/>
                <w:left w:val="none" w:sz="0" w:space="0" w:color="auto"/>
                <w:bottom w:val="none" w:sz="0" w:space="0" w:color="auto"/>
                <w:right w:val="none" w:sz="0" w:space="0" w:color="auto"/>
              </w:divBdr>
              <w:divsChild>
                <w:div w:id="1815952282">
                  <w:marLeft w:val="0"/>
                  <w:marRight w:val="0"/>
                  <w:marTop w:val="0"/>
                  <w:marBottom w:val="0"/>
                  <w:divBdr>
                    <w:top w:val="none" w:sz="0" w:space="0" w:color="auto"/>
                    <w:left w:val="none" w:sz="0" w:space="0" w:color="auto"/>
                    <w:bottom w:val="none" w:sz="0" w:space="0" w:color="auto"/>
                    <w:right w:val="none" w:sz="0" w:space="0" w:color="auto"/>
                  </w:divBdr>
                </w:div>
              </w:divsChild>
            </w:div>
            <w:div w:id="1437211066">
              <w:marLeft w:val="0"/>
              <w:marRight w:val="0"/>
              <w:marTop w:val="0"/>
              <w:marBottom w:val="0"/>
              <w:divBdr>
                <w:top w:val="none" w:sz="0" w:space="0" w:color="auto"/>
                <w:left w:val="none" w:sz="0" w:space="0" w:color="auto"/>
                <w:bottom w:val="none" w:sz="0" w:space="0" w:color="auto"/>
                <w:right w:val="none" w:sz="0" w:space="0" w:color="auto"/>
              </w:divBdr>
              <w:divsChild>
                <w:div w:id="1008824480">
                  <w:marLeft w:val="0"/>
                  <w:marRight w:val="0"/>
                  <w:marTop w:val="0"/>
                  <w:marBottom w:val="0"/>
                  <w:divBdr>
                    <w:top w:val="none" w:sz="0" w:space="0" w:color="auto"/>
                    <w:left w:val="none" w:sz="0" w:space="0" w:color="auto"/>
                    <w:bottom w:val="none" w:sz="0" w:space="0" w:color="auto"/>
                    <w:right w:val="none" w:sz="0" w:space="0" w:color="auto"/>
                  </w:divBdr>
                </w:div>
              </w:divsChild>
            </w:div>
            <w:div w:id="2022320209">
              <w:marLeft w:val="0"/>
              <w:marRight w:val="0"/>
              <w:marTop w:val="0"/>
              <w:marBottom w:val="0"/>
              <w:divBdr>
                <w:top w:val="none" w:sz="0" w:space="0" w:color="auto"/>
                <w:left w:val="none" w:sz="0" w:space="0" w:color="auto"/>
                <w:bottom w:val="none" w:sz="0" w:space="0" w:color="auto"/>
                <w:right w:val="none" w:sz="0" w:space="0" w:color="auto"/>
              </w:divBdr>
              <w:divsChild>
                <w:div w:id="1972516591">
                  <w:marLeft w:val="0"/>
                  <w:marRight w:val="0"/>
                  <w:marTop w:val="0"/>
                  <w:marBottom w:val="0"/>
                  <w:divBdr>
                    <w:top w:val="none" w:sz="0" w:space="0" w:color="auto"/>
                    <w:left w:val="none" w:sz="0" w:space="0" w:color="auto"/>
                    <w:bottom w:val="none" w:sz="0" w:space="0" w:color="auto"/>
                    <w:right w:val="none" w:sz="0" w:space="0" w:color="auto"/>
                  </w:divBdr>
                </w:div>
              </w:divsChild>
            </w:div>
            <w:div w:id="1868134511">
              <w:marLeft w:val="0"/>
              <w:marRight w:val="0"/>
              <w:marTop w:val="0"/>
              <w:marBottom w:val="0"/>
              <w:divBdr>
                <w:top w:val="none" w:sz="0" w:space="0" w:color="auto"/>
                <w:left w:val="none" w:sz="0" w:space="0" w:color="auto"/>
                <w:bottom w:val="none" w:sz="0" w:space="0" w:color="auto"/>
                <w:right w:val="none" w:sz="0" w:space="0" w:color="auto"/>
              </w:divBdr>
              <w:divsChild>
                <w:div w:id="1105030208">
                  <w:marLeft w:val="0"/>
                  <w:marRight w:val="0"/>
                  <w:marTop w:val="0"/>
                  <w:marBottom w:val="0"/>
                  <w:divBdr>
                    <w:top w:val="none" w:sz="0" w:space="0" w:color="auto"/>
                    <w:left w:val="none" w:sz="0" w:space="0" w:color="auto"/>
                    <w:bottom w:val="none" w:sz="0" w:space="0" w:color="auto"/>
                    <w:right w:val="none" w:sz="0" w:space="0" w:color="auto"/>
                  </w:divBdr>
                </w:div>
              </w:divsChild>
            </w:div>
            <w:div w:id="1323705530">
              <w:marLeft w:val="0"/>
              <w:marRight w:val="0"/>
              <w:marTop w:val="0"/>
              <w:marBottom w:val="0"/>
              <w:divBdr>
                <w:top w:val="none" w:sz="0" w:space="0" w:color="auto"/>
                <w:left w:val="none" w:sz="0" w:space="0" w:color="auto"/>
                <w:bottom w:val="none" w:sz="0" w:space="0" w:color="auto"/>
                <w:right w:val="none" w:sz="0" w:space="0" w:color="auto"/>
              </w:divBdr>
              <w:divsChild>
                <w:div w:id="1724865521">
                  <w:marLeft w:val="0"/>
                  <w:marRight w:val="0"/>
                  <w:marTop w:val="0"/>
                  <w:marBottom w:val="0"/>
                  <w:divBdr>
                    <w:top w:val="none" w:sz="0" w:space="0" w:color="auto"/>
                    <w:left w:val="none" w:sz="0" w:space="0" w:color="auto"/>
                    <w:bottom w:val="none" w:sz="0" w:space="0" w:color="auto"/>
                    <w:right w:val="none" w:sz="0" w:space="0" w:color="auto"/>
                  </w:divBdr>
                </w:div>
              </w:divsChild>
            </w:div>
            <w:div w:id="579021669">
              <w:marLeft w:val="0"/>
              <w:marRight w:val="0"/>
              <w:marTop w:val="0"/>
              <w:marBottom w:val="0"/>
              <w:divBdr>
                <w:top w:val="none" w:sz="0" w:space="0" w:color="auto"/>
                <w:left w:val="none" w:sz="0" w:space="0" w:color="auto"/>
                <w:bottom w:val="none" w:sz="0" w:space="0" w:color="auto"/>
                <w:right w:val="none" w:sz="0" w:space="0" w:color="auto"/>
              </w:divBdr>
              <w:divsChild>
                <w:div w:id="3169908">
                  <w:marLeft w:val="0"/>
                  <w:marRight w:val="0"/>
                  <w:marTop w:val="0"/>
                  <w:marBottom w:val="0"/>
                  <w:divBdr>
                    <w:top w:val="none" w:sz="0" w:space="0" w:color="auto"/>
                    <w:left w:val="none" w:sz="0" w:space="0" w:color="auto"/>
                    <w:bottom w:val="none" w:sz="0" w:space="0" w:color="auto"/>
                    <w:right w:val="none" w:sz="0" w:space="0" w:color="auto"/>
                  </w:divBdr>
                </w:div>
              </w:divsChild>
            </w:div>
            <w:div w:id="2091853214">
              <w:marLeft w:val="0"/>
              <w:marRight w:val="0"/>
              <w:marTop w:val="0"/>
              <w:marBottom w:val="0"/>
              <w:divBdr>
                <w:top w:val="none" w:sz="0" w:space="0" w:color="auto"/>
                <w:left w:val="none" w:sz="0" w:space="0" w:color="auto"/>
                <w:bottom w:val="none" w:sz="0" w:space="0" w:color="auto"/>
                <w:right w:val="none" w:sz="0" w:space="0" w:color="auto"/>
              </w:divBdr>
              <w:divsChild>
                <w:div w:id="1191410379">
                  <w:marLeft w:val="0"/>
                  <w:marRight w:val="0"/>
                  <w:marTop w:val="0"/>
                  <w:marBottom w:val="0"/>
                  <w:divBdr>
                    <w:top w:val="none" w:sz="0" w:space="0" w:color="auto"/>
                    <w:left w:val="none" w:sz="0" w:space="0" w:color="auto"/>
                    <w:bottom w:val="none" w:sz="0" w:space="0" w:color="auto"/>
                    <w:right w:val="none" w:sz="0" w:space="0" w:color="auto"/>
                  </w:divBdr>
                </w:div>
              </w:divsChild>
            </w:div>
            <w:div w:id="620654011">
              <w:marLeft w:val="0"/>
              <w:marRight w:val="0"/>
              <w:marTop w:val="0"/>
              <w:marBottom w:val="0"/>
              <w:divBdr>
                <w:top w:val="none" w:sz="0" w:space="0" w:color="auto"/>
                <w:left w:val="none" w:sz="0" w:space="0" w:color="auto"/>
                <w:bottom w:val="none" w:sz="0" w:space="0" w:color="auto"/>
                <w:right w:val="none" w:sz="0" w:space="0" w:color="auto"/>
              </w:divBdr>
              <w:divsChild>
                <w:div w:id="748189612">
                  <w:marLeft w:val="0"/>
                  <w:marRight w:val="0"/>
                  <w:marTop w:val="0"/>
                  <w:marBottom w:val="0"/>
                  <w:divBdr>
                    <w:top w:val="none" w:sz="0" w:space="0" w:color="auto"/>
                    <w:left w:val="none" w:sz="0" w:space="0" w:color="auto"/>
                    <w:bottom w:val="none" w:sz="0" w:space="0" w:color="auto"/>
                    <w:right w:val="none" w:sz="0" w:space="0" w:color="auto"/>
                  </w:divBdr>
                </w:div>
              </w:divsChild>
            </w:div>
            <w:div w:id="699938298">
              <w:marLeft w:val="0"/>
              <w:marRight w:val="0"/>
              <w:marTop w:val="0"/>
              <w:marBottom w:val="0"/>
              <w:divBdr>
                <w:top w:val="none" w:sz="0" w:space="0" w:color="auto"/>
                <w:left w:val="none" w:sz="0" w:space="0" w:color="auto"/>
                <w:bottom w:val="none" w:sz="0" w:space="0" w:color="auto"/>
                <w:right w:val="none" w:sz="0" w:space="0" w:color="auto"/>
              </w:divBdr>
              <w:divsChild>
                <w:div w:id="969894453">
                  <w:marLeft w:val="0"/>
                  <w:marRight w:val="0"/>
                  <w:marTop w:val="0"/>
                  <w:marBottom w:val="0"/>
                  <w:divBdr>
                    <w:top w:val="none" w:sz="0" w:space="0" w:color="auto"/>
                    <w:left w:val="none" w:sz="0" w:space="0" w:color="auto"/>
                    <w:bottom w:val="none" w:sz="0" w:space="0" w:color="auto"/>
                    <w:right w:val="none" w:sz="0" w:space="0" w:color="auto"/>
                  </w:divBdr>
                </w:div>
              </w:divsChild>
            </w:div>
            <w:div w:id="7143558">
              <w:marLeft w:val="0"/>
              <w:marRight w:val="0"/>
              <w:marTop w:val="0"/>
              <w:marBottom w:val="0"/>
              <w:divBdr>
                <w:top w:val="none" w:sz="0" w:space="0" w:color="auto"/>
                <w:left w:val="none" w:sz="0" w:space="0" w:color="auto"/>
                <w:bottom w:val="none" w:sz="0" w:space="0" w:color="auto"/>
                <w:right w:val="none" w:sz="0" w:space="0" w:color="auto"/>
              </w:divBdr>
              <w:divsChild>
                <w:div w:id="1470323765">
                  <w:marLeft w:val="0"/>
                  <w:marRight w:val="0"/>
                  <w:marTop w:val="0"/>
                  <w:marBottom w:val="0"/>
                  <w:divBdr>
                    <w:top w:val="none" w:sz="0" w:space="0" w:color="auto"/>
                    <w:left w:val="none" w:sz="0" w:space="0" w:color="auto"/>
                    <w:bottom w:val="none" w:sz="0" w:space="0" w:color="auto"/>
                    <w:right w:val="none" w:sz="0" w:space="0" w:color="auto"/>
                  </w:divBdr>
                </w:div>
              </w:divsChild>
            </w:div>
            <w:div w:id="949049935">
              <w:marLeft w:val="0"/>
              <w:marRight w:val="0"/>
              <w:marTop w:val="0"/>
              <w:marBottom w:val="0"/>
              <w:divBdr>
                <w:top w:val="none" w:sz="0" w:space="0" w:color="auto"/>
                <w:left w:val="none" w:sz="0" w:space="0" w:color="auto"/>
                <w:bottom w:val="none" w:sz="0" w:space="0" w:color="auto"/>
                <w:right w:val="none" w:sz="0" w:space="0" w:color="auto"/>
              </w:divBdr>
              <w:divsChild>
                <w:div w:id="272708987">
                  <w:marLeft w:val="0"/>
                  <w:marRight w:val="0"/>
                  <w:marTop w:val="0"/>
                  <w:marBottom w:val="0"/>
                  <w:divBdr>
                    <w:top w:val="none" w:sz="0" w:space="0" w:color="auto"/>
                    <w:left w:val="none" w:sz="0" w:space="0" w:color="auto"/>
                    <w:bottom w:val="none" w:sz="0" w:space="0" w:color="auto"/>
                    <w:right w:val="none" w:sz="0" w:space="0" w:color="auto"/>
                  </w:divBdr>
                </w:div>
              </w:divsChild>
            </w:div>
            <w:div w:id="955256842">
              <w:marLeft w:val="0"/>
              <w:marRight w:val="0"/>
              <w:marTop w:val="0"/>
              <w:marBottom w:val="0"/>
              <w:divBdr>
                <w:top w:val="none" w:sz="0" w:space="0" w:color="auto"/>
                <w:left w:val="none" w:sz="0" w:space="0" w:color="auto"/>
                <w:bottom w:val="none" w:sz="0" w:space="0" w:color="auto"/>
                <w:right w:val="none" w:sz="0" w:space="0" w:color="auto"/>
              </w:divBdr>
              <w:divsChild>
                <w:div w:id="454295573">
                  <w:marLeft w:val="0"/>
                  <w:marRight w:val="0"/>
                  <w:marTop w:val="0"/>
                  <w:marBottom w:val="0"/>
                  <w:divBdr>
                    <w:top w:val="none" w:sz="0" w:space="0" w:color="auto"/>
                    <w:left w:val="none" w:sz="0" w:space="0" w:color="auto"/>
                    <w:bottom w:val="none" w:sz="0" w:space="0" w:color="auto"/>
                    <w:right w:val="none" w:sz="0" w:space="0" w:color="auto"/>
                  </w:divBdr>
                </w:div>
              </w:divsChild>
            </w:div>
            <w:div w:id="1160736934">
              <w:marLeft w:val="0"/>
              <w:marRight w:val="0"/>
              <w:marTop w:val="0"/>
              <w:marBottom w:val="0"/>
              <w:divBdr>
                <w:top w:val="none" w:sz="0" w:space="0" w:color="auto"/>
                <w:left w:val="none" w:sz="0" w:space="0" w:color="auto"/>
                <w:bottom w:val="none" w:sz="0" w:space="0" w:color="auto"/>
                <w:right w:val="none" w:sz="0" w:space="0" w:color="auto"/>
              </w:divBdr>
              <w:divsChild>
                <w:div w:id="1844465464">
                  <w:marLeft w:val="0"/>
                  <w:marRight w:val="0"/>
                  <w:marTop w:val="0"/>
                  <w:marBottom w:val="0"/>
                  <w:divBdr>
                    <w:top w:val="none" w:sz="0" w:space="0" w:color="auto"/>
                    <w:left w:val="none" w:sz="0" w:space="0" w:color="auto"/>
                    <w:bottom w:val="none" w:sz="0" w:space="0" w:color="auto"/>
                    <w:right w:val="none" w:sz="0" w:space="0" w:color="auto"/>
                  </w:divBdr>
                </w:div>
              </w:divsChild>
            </w:div>
            <w:div w:id="1917014700">
              <w:marLeft w:val="0"/>
              <w:marRight w:val="0"/>
              <w:marTop w:val="0"/>
              <w:marBottom w:val="0"/>
              <w:divBdr>
                <w:top w:val="none" w:sz="0" w:space="0" w:color="auto"/>
                <w:left w:val="none" w:sz="0" w:space="0" w:color="auto"/>
                <w:bottom w:val="none" w:sz="0" w:space="0" w:color="auto"/>
                <w:right w:val="none" w:sz="0" w:space="0" w:color="auto"/>
              </w:divBdr>
              <w:divsChild>
                <w:div w:id="719212993">
                  <w:marLeft w:val="0"/>
                  <w:marRight w:val="0"/>
                  <w:marTop w:val="0"/>
                  <w:marBottom w:val="0"/>
                  <w:divBdr>
                    <w:top w:val="none" w:sz="0" w:space="0" w:color="auto"/>
                    <w:left w:val="none" w:sz="0" w:space="0" w:color="auto"/>
                    <w:bottom w:val="none" w:sz="0" w:space="0" w:color="auto"/>
                    <w:right w:val="none" w:sz="0" w:space="0" w:color="auto"/>
                  </w:divBdr>
                </w:div>
              </w:divsChild>
            </w:div>
            <w:div w:id="13577966">
              <w:marLeft w:val="0"/>
              <w:marRight w:val="0"/>
              <w:marTop w:val="0"/>
              <w:marBottom w:val="0"/>
              <w:divBdr>
                <w:top w:val="none" w:sz="0" w:space="0" w:color="auto"/>
                <w:left w:val="none" w:sz="0" w:space="0" w:color="auto"/>
                <w:bottom w:val="none" w:sz="0" w:space="0" w:color="auto"/>
                <w:right w:val="none" w:sz="0" w:space="0" w:color="auto"/>
              </w:divBdr>
              <w:divsChild>
                <w:div w:id="743573638">
                  <w:marLeft w:val="0"/>
                  <w:marRight w:val="0"/>
                  <w:marTop w:val="0"/>
                  <w:marBottom w:val="0"/>
                  <w:divBdr>
                    <w:top w:val="none" w:sz="0" w:space="0" w:color="auto"/>
                    <w:left w:val="none" w:sz="0" w:space="0" w:color="auto"/>
                    <w:bottom w:val="none" w:sz="0" w:space="0" w:color="auto"/>
                    <w:right w:val="none" w:sz="0" w:space="0" w:color="auto"/>
                  </w:divBdr>
                </w:div>
              </w:divsChild>
            </w:div>
            <w:div w:id="204492592">
              <w:marLeft w:val="0"/>
              <w:marRight w:val="0"/>
              <w:marTop w:val="0"/>
              <w:marBottom w:val="0"/>
              <w:divBdr>
                <w:top w:val="none" w:sz="0" w:space="0" w:color="auto"/>
                <w:left w:val="none" w:sz="0" w:space="0" w:color="auto"/>
                <w:bottom w:val="none" w:sz="0" w:space="0" w:color="auto"/>
                <w:right w:val="none" w:sz="0" w:space="0" w:color="auto"/>
              </w:divBdr>
              <w:divsChild>
                <w:div w:id="145363980">
                  <w:marLeft w:val="0"/>
                  <w:marRight w:val="0"/>
                  <w:marTop w:val="0"/>
                  <w:marBottom w:val="0"/>
                  <w:divBdr>
                    <w:top w:val="none" w:sz="0" w:space="0" w:color="auto"/>
                    <w:left w:val="none" w:sz="0" w:space="0" w:color="auto"/>
                    <w:bottom w:val="none" w:sz="0" w:space="0" w:color="auto"/>
                    <w:right w:val="none" w:sz="0" w:space="0" w:color="auto"/>
                  </w:divBdr>
                </w:div>
              </w:divsChild>
            </w:div>
            <w:div w:id="1325664133">
              <w:marLeft w:val="0"/>
              <w:marRight w:val="0"/>
              <w:marTop w:val="0"/>
              <w:marBottom w:val="0"/>
              <w:divBdr>
                <w:top w:val="none" w:sz="0" w:space="0" w:color="auto"/>
                <w:left w:val="none" w:sz="0" w:space="0" w:color="auto"/>
                <w:bottom w:val="none" w:sz="0" w:space="0" w:color="auto"/>
                <w:right w:val="none" w:sz="0" w:space="0" w:color="auto"/>
              </w:divBdr>
              <w:divsChild>
                <w:div w:id="354886447">
                  <w:marLeft w:val="0"/>
                  <w:marRight w:val="0"/>
                  <w:marTop w:val="0"/>
                  <w:marBottom w:val="0"/>
                  <w:divBdr>
                    <w:top w:val="none" w:sz="0" w:space="0" w:color="auto"/>
                    <w:left w:val="none" w:sz="0" w:space="0" w:color="auto"/>
                    <w:bottom w:val="none" w:sz="0" w:space="0" w:color="auto"/>
                    <w:right w:val="none" w:sz="0" w:space="0" w:color="auto"/>
                  </w:divBdr>
                </w:div>
              </w:divsChild>
            </w:div>
            <w:div w:id="2068990144">
              <w:marLeft w:val="0"/>
              <w:marRight w:val="0"/>
              <w:marTop w:val="0"/>
              <w:marBottom w:val="0"/>
              <w:divBdr>
                <w:top w:val="none" w:sz="0" w:space="0" w:color="auto"/>
                <w:left w:val="none" w:sz="0" w:space="0" w:color="auto"/>
                <w:bottom w:val="none" w:sz="0" w:space="0" w:color="auto"/>
                <w:right w:val="none" w:sz="0" w:space="0" w:color="auto"/>
              </w:divBdr>
              <w:divsChild>
                <w:div w:id="2146467352">
                  <w:marLeft w:val="0"/>
                  <w:marRight w:val="0"/>
                  <w:marTop w:val="0"/>
                  <w:marBottom w:val="0"/>
                  <w:divBdr>
                    <w:top w:val="none" w:sz="0" w:space="0" w:color="auto"/>
                    <w:left w:val="none" w:sz="0" w:space="0" w:color="auto"/>
                    <w:bottom w:val="none" w:sz="0" w:space="0" w:color="auto"/>
                    <w:right w:val="none" w:sz="0" w:space="0" w:color="auto"/>
                  </w:divBdr>
                </w:div>
              </w:divsChild>
            </w:div>
            <w:div w:id="2143378688">
              <w:marLeft w:val="0"/>
              <w:marRight w:val="0"/>
              <w:marTop w:val="0"/>
              <w:marBottom w:val="0"/>
              <w:divBdr>
                <w:top w:val="none" w:sz="0" w:space="0" w:color="auto"/>
                <w:left w:val="none" w:sz="0" w:space="0" w:color="auto"/>
                <w:bottom w:val="none" w:sz="0" w:space="0" w:color="auto"/>
                <w:right w:val="none" w:sz="0" w:space="0" w:color="auto"/>
              </w:divBdr>
              <w:divsChild>
                <w:div w:id="477461146">
                  <w:marLeft w:val="0"/>
                  <w:marRight w:val="0"/>
                  <w:marTop w:val="0"/>
                  <w:marBottom w:val="0"/>
                  <w:divBdr>
                    <w:top w:val="none" w:sz="0" w:space="0" w:color="auto"/>
                    <w:left w:val="none" w:sz="0" w:space="0" w:color="auto"/>
                    <w:bottom w:val="none" w:sz="0" w:space="0" w:color="auto"/>
                    <w:right w:val="none" w:sz="0" w:space="0" w:color="auto"/>
                  </w:divBdr>
                </w:div>
              </w:divsChild>
            </w:div>
            <w:div w:id="1322392379">
              <w:marLeft w:val="0"/>
              <w:marRight w:val="0"/>
              <w:marTop w:val="0"/>
              <w:marBottom w:val="0"/>
              <w:divBdr>
                <w:top w:val="none" w:sz="0" w:space="0" w:color="auto"/>
                <w:left w:val="none" w:sz="0" w:space="0" w:color="auto"/>
                <w:bottom w:val="none" w:sz="0" w:space="0" w:color="auto"/>
                <w:right w:val="none" w:sz="0" w:space="0" w:color="auto"/>
              </w:divBdr>
              <w:divsChild>
                <w:div w:id="1963267399">
                  <w:marLeft w:val="0"/>
                  <w:marRight w:val="0"/>
                  <w:marTop w:val="0"/>
                  <w:marBottom w:val="0"/>
                  <w:divBdr>
                    <w:top w:val="none" w:sz="0" w:space="0" w:color="auto"/>
                    <w:left w:val="none" w:sz="0" w:space="0" w:color="auto"/>
                    <w:bottom w:val="none" w:sz="0" w:space="0" w:color="auto"/>
                    <w:right w:val="none" w:sz="0" w:space="0" w:color="auto"/>
                  </w:divBdr>
                </w:div>
              </w:divsChild>
            </w:div>
            <w:div w:id="2110198740">
              <w:marLeft w:val="0"/>
              <w:marRight w:val="0"/>
              <w:marTop w:val="0"/>
              <w:marBottom w:val="0"/>
              <w:divBdr>
                <w:top w:val="none" w:sz="0" w:space="0" w:color="auto"/>
                <w:left w:val="none" w:sz="0" w:space="0" w:color="auto"/>
                <w:bottom w:val="none" w:sz="0" w:space="0" w:color="auto"/>
                <w:right w:val="none" w:sz="0" w:space="0" w:color="auto"/>
              </w:divBdr>
              <w:divsChild>
                <w:div w:id="619729105">
                  <w:marLeft w:val="0"/>
                  <w:marRight w:val="0"/>
                  <w:marTop w:val="0"/>
                  <w:marBottom w:val="0"/>
                  <w:divBdr>
                    <w:top w:val="none" w:sz="0" w:space="0" w:color="auto"/>
                    <w:left w:val="none" w:sz="0" w:space="0" w:color="auto"/>
                    <w:bottom w:val="none" w:sz="0" w:space="0" w:color="auto"/>
                    <w:right w:val="none" w:sz="0" w:space="0" w:color="auto"/>
                  </w:divBdr>
                </w:div>
              </w:divsChild>
            </w:div>
            <w:div w:id="320739413">
              <w:marLeft w:val="0"/>
              <w:marRight w:val="0"/>
              <w:marTop w:val="0"/>
              <w:marBottom w:val="0"/>
              <w:divBdr>
                <w:top w:val="none" w:sz="0" w:space="0" w:color="auto"/>
                <w:left w:val="none" w:sz="0" w:space="0" w:color="auto"/>
                <w:bottom w:val="none" w:sz="0" w:space="0" w:color="auto"/>
                <w:right w:val="none" w:sz="0" w:space="0" w:color="auto"/>
              </w:divBdr>
              <w:divsChild>
                <w:div w:id="535580361">
                  <w:marLeft w:val="0"/>
                  <w:marRight w:val="0"/>
                  <w:marTop w:val="0"/>
                  <w:marBottom w:val="0"/>
                  <w:divBdr>
                    <w:top w:val="none" w:sz="0" w:space="0" w:color="auto"/>
                    <w:left w:val="none" w:sz="0" w:space="0" w:color="auto"/>
                    <w:bottom w:val="none" w:sz="0" w:space="0" w:color="auto"/>
                    <w:right w:val="none" w:sz="0" w:space="0" w:color="auto"/>
                  </w:divBdr>
                </w:div>
              </w:divsChild>
            </w:div>
            <w:div w:id="2125268041">
              <w:marLeft w:val="0"/>
              <w:marRight w:val="0"/>
              <w:marTop w:val="0"/>
              <w:marBottom w:val="0"/>
              <w:divBdr>
                <w:top w:val="none" w:sz="0" w:space="0" w:color="auto"/>
                <w:left w:val="none" w:sz="0" w:space="0" w:color="auto"/>
                <w:bottom w:val="none" w:sz="0" w:space="0" w:color="auto"/>
                <w:right w:val="none" w:sz="0" w:space="0" w:color="auto"/>
              </w:divBdr>
              <w:divsChild>
                <w:div w:id="128592739">
                  <w:marLeft w:val="0"/>
                  <w:marRight w:val="0"/>
                  <w:marTop w:val="0"/>
                  <w:marBottom w:val="0"/>
                  <w:divBdr>
                    <w:top w:val="none" w:sz="0" w:space="0" w:color="auto"/>
                    <w:left w:val="none" w:sz="0" w:space="0" w:color="auto"/>
                    <w:bottom w:val="none" w:sz="0" w:space="0" w:color="auto"/>
                    <w:right w:val="none" w:sz="0" w:space="0" w:color="auto"/>
                  </w:divBdr>
                </w:div>
              </w:divsChild>
            </w:div>
            <w:div w:id="1528565567">
              <w:marLeft w:val="0"/>
              <w:marRight w:val="0"/>
              <w:marTop w:val="0"/>
              <w:marBottom w:val="0"/>
              <w:divBdr>
                <w:top w:val="none" w:sz="0" w:space="0" w:color="auto"/>
                <w:left w:val="none" w:sz="0" w:space="0" w:color="auto"/>
                <w:bottom w:val="none" w:sz="0" w:space="0" w:color="auto"/>
                <w:right w:val="none" w:sz="0" w:space="0" w:color="auto"/>
              </w:divBdr>
              <w:divsChild>
                <w:div w:id="2049601506">
                  <w:marLeft w:val="0"/>
                  <w:marRight w:val="0"/>
                  <w:marTop w:val="0"/>
                  <w:marBottom w:val="0"/>
                  <w:divBdr>
                    <w:top w:val="none" w:sz="0" w:space="0" w:color="auto"/>
                    <w:left w:val="none" w:sz="0" w:space="0" w:color="auto"/>
                    <w:bottom w:val="none" w:sz="0" w:space="0" w:color="auto"/>
                    <w:right w:val="none" w:sz="0" w:space="0" w:color="auto"/>
                  </w:divBdr>
                </w:div>
              </w:divsChild>
            </w:div>
            <w:div w:id="360589718">
              <w:marLeft w:val="0"/>
              <w:marRight w:val="0"/>
              <w:marTop w:val="0"/>
              <w:marBottom w:val="0"/>
              <w:divBdr>
                <w:top w:val="none" w:sz="0" w:space="0" w:color="auto"/>
                <w:left w:val="none" w:sz="0" w:space="0" w:color="auto"/>
                <w:bottom w:val="none" w:sz="0" w:space="0" w:color="auto"/>
                <w:right w:val="none" w:sz="0" w:space="0" w:color="auto"/>
              </w:divBdr>
              <w:divsChild>
                <w:div w:id="1795976947">
                  <w:marLeft w:val="0"/>
                  <w:marRight w:val="0"/>
                  <w:marTop w:val="0"/>
                  <w:marBottom w:val="0"/>
                  <w:divBdr>
                    <w:top w:val="none" w:sz="0" w:space="0" w:color="auto"/>
                    <w:left w:val="none" w:sz="0" w:space="0" w:color="auto"/>
                    <w:bottom w:val="none" w:sz="0" w:space="0" w:color="auto"/>
                    <w:right w:val="none" w:sz="0" w:space="0" w:color="auto"/>
                  </w:divBdr>
                </w:div>
              </w:divsChild>
            </w:div>
            <w:div w:id="1740667741">
              <w:marLeft w:val="0"/>
              <w:marRight w:val="0"/>
              <w:marTop w:val="0"/>
              <w:marBottom w:val="0"/>
              <w:divBdr>
                <w:top w:val="none" w:sz="0" w:space="0" w:color="auto"/>
                <w:left w:val="none" w:sz="0" w:space="0" w:color="auto"/>
                <w:bottom w:val="none" w:sz="0" w:space="0" w:color="auto"/>
                <w:right w:val="none" w:sz="0" w:space="0" w:color="auto"/>
              </w:divBdr>
              <w:divsChild>
                <w:div w:id="2131394164">
                  <w:marLeft w:val="0"/>
                  <w:marRight w:val="0"/>
                  <w:marTop w:val="0"/>
                  <w:marBottom w:val="0"/>
                  <w:divBdr>
                    <w:top w:val="none" w:sz="0" w:space="0" w:color="auto"/>
                    <w:left w:val="none" w:sz="0" w:space="0" w:color="auto"/>
                    <w:bottom w:val="none" w:sz="0" w:space="0" w:color="auto"/>
                    <w:right w:val="none" w:sz="0" w:space="0" w:color="auto"/>
                  </w:divBdr>
                </w:div>
              </w:divsChild>
            </w:div>
            <w:div w:id="1011568302">
              <w:marLeft w:val="0"/>
              <w:marRight w:val="0"/>
              <w:marTop w:val="0"/>
              <w:marBottom w:val="0"/>
              <w:divBdr>
                <w:top w:val="none" w:sz="0" w:space="0" w:color="auto"/>
                <w:left w:val="none" w:sz="0" w:space="0" w:color="auto"/>
                <w:bottom w:val="none" w:sz="0" w:space="0" w:color="auto"/>
                <w:right w:val="none" w:sz="0" w:space="0" w:color="auto"/>
              </w:divBdr>
              <w:divsChild>
                <w:div w:id="1216818531">
                  <w:marLeft w:val="0"/>
                  <w:marRight w:val="0"/>
                  <w:marTop w:val="0"/>
                  <w:marBottom w:val="0"/>
                  <w:divBdr>
                    <w:top w:val="none" w:sz="0" w:space="0" w:color="auto"/>
                    <w:left w:val="none" w:sz="0" w:space="0" w:color="auto"/>
                    <w:bottom w:val="none" w:sz="0" w:space="0" w:color="auto"/>
                    <w:right w:val="none" w:sz="0" w:space="0" w:color="auto"/>
                  </w:divBdr>
                </w:div>
              </w:divsChild>
            </w:div>
            <w:div w:id="1030716144">
              <w:marLeft w:val="0"/>
              <w:marRight w:val="0"/>
              <w:marTop w:val="0"/>
              <w:marBottom w:val="0"/>
              <w:divBdr>
                <w:top w:val="none" w:sz="0" w:space="0" w:color="auto"/>
                <w:left w:val="none" w:sz="0" w:space="0" w:color="auto"/>
                <w:bottom w:val="none" w:sz="0" w:space="0" w:color="auto"/>
                <w:right w:val="none" w:sz="0" w:space="0" w:color="auto"/>
              </w:divBdr>
              <w:divsChild>
                <w:div w:id="234048722">
                  <w:marLeft w:val="0"/>
                  <w:marRight w:val="0"/>
                  <w:marTop w:val="0"/>
                  <w:marBottom w:val="0"/>
                  <w:divBdr>
                    <w:top w:val="none" w:sz="0" w:space="0" w:color="auto"/>
                    <w:left w:val="none" w:sz="0" w:space="0" w:color="auto"/>
                    <w:bottom w:val="none" w:sz="0" w:space="0" w:color="auto"/>
                    <w:right w:val="none" w:sz="0" w:space="0" w:color="auto"/>
                  </w:divBdr>
                </w:div>
              </w:divsChild>
            </w:div>
            <w:div w:id="385572964">
              <w:marLeft w:val="0"/>
              <w:marRight w:val="0"/>
              <w:marTop w:val="0"/>
              <w:marBottom w:val="0"/>
              <w:divBdr>
                <w:top w:val="none" w:sz="0" w:space="0" w:color="auto"/>
                <w:left w:val="none" w:sz="0" w:space="0" w:color="auto"/>
                <w:bottom w:val="none" w:sz="0" w:space="0" w:color="auto"/>
                <w:right w:val="none" w:sz="0" w:space="0" w:color="auto"/>
              </w:divBdr>
              <w:divsChild>
                <w:div w:id="127355906">
                  <w:marLeft w:val="0"/>
                  <w:marRight w:val="0"/>
                  <w:marTop w:val="0"/>
                  <w:marBottom w:val="0"/>
                  <w:divBdr>
                    <w:top w:val="none" w:sz="0" w:space="0" w:color="auto"/>
                    <w:left w:val="none" w:sz="0" w:space="0" w:color="auto"/>
                    <w:bottom w:val="none" w:sz="0" w:space="0" w:color="auto"/>
                    <w:right w:val="none" w:sz="0" w:space="0" w:color="auto"/>
                  </w:divBdr>
                </w:div>
              </w:divsChild>
            </w:div>
            <w:div w:id="1397433635">
              <w:marLeft w:val="0"/>
              <w:marRight w:val="0"/>
              <w:marTop w:val="0"/>
              <w:marBottom w:val="0"/>
              <w:divBdr>
                <w:top w:val="none" w:sz="0" w:space="0" w:color="auto"/>
                <w:left w:val="none" w:sz="0" w:space="0" w:color="auto"/>
                <w:bottom w:val="none" w:sz="0" w:space="0" w:color="auto"/>
                <w:right w:val="none" w:sz="0" w:space="0" w:color="auto"/>
              </w:divBdr>
              <w:divsChild>
                <w:div w:id="1905138952">
                  <w:marLeft w:val="0"/>
                  <w:marRight w:val="0"/>
                  <w:marTop w:val="0"/>
                  <w:marBottom w:val="0"/>
                  <w:divBdr>
                    <w:top w:val="none" w:sz="0" w:space="0" w:color="auto"/>
                    <w:left w:val="none" w:sz="0" w:space="0" w:color="auto"/>
                    <w:bottom w:val="none" w:sz="0" w:space="0" w:color="auto"/>
                    <w:right w:val="none" w:sz="0" w:space="0" w:color="auto"/>
                  </w:divBdr>
                </w:div>
              </w:divsChild>
            </w:div>
            <w:div w:id="1136678378">
              <w:marLeft w:val="0"/>
              <w:marRight w:val="0"/>
              <w:marTop w:val="0"/>
              <w:marBottom w:val="0"/>
              <w:divBdr>
                <w:top w:val="none" w:sz="0" w:space="0" w:color="auto"/>
                <w:left w:val="none" w:sz="0" w:space="0" w:color="auto"/>
                <w:bottom w:val="none" w:sz="0" w:space="0" w:color="auto"/>
                <w:right w:val="none" w:sz="0" w:space="0" w:color="auto"/>
              </w:divBdr>
              <w:divsChild>
                <w:div w:id="864368972">
                  <w:marLeft w:val="0"/>
                  <w:marRight w:val="0"/>
                  <w:marTop w:val="0"/>
                  <w:marBottom w:val="0"/>
                  <w:divBdr>
                    <w:top w:val="none" w:sz="0" w:space="0" w:color="auto"/>
                    <w:left w:val="none" w:sz="0" w:space="0" w:color="auto"/>
                    <w:bottom w:val="none" w:sz="0" w:space="0" w:color="auto"/>
                    <w:right w:val="none" w:sz="0" w:space="0" w:color="auto"/>
                  </w:divBdr>
                </w:div>
              </w:divsChild>
            </w:div>
            <w:div w:id="306860926">
              <w:marLeft w:val="0"/>
              <w:marRight w:val="0"/>
              <w:marTop w:val="0"/>
              <w:marBottom w:val="0"/>
              <w:divBdr>
                <w:top w:val="none" w:sz="0" w:space="0" w:color="auto"/>
                <w:left w:val="none" w:sz="0" w:space="0" w:color="auto"/>
                <w:bottom w:val="none" w:sz="0" w:space="0" w:color="auto"/>
                <w:right w:val="none" w:sz="0" w:space="0" w:color="auto"/>
              </w:divBdr>
              <w:divsChild>
                <w:div w:id="144012190">
                  <w:marLeft w:val="0"/>
                  <w:marRight w:val="0"/>
                  <w:marTop w:val="0"/>
                  <w:marBottom w:val="0"/>
                  <w:divBdr>
                    <w:top w:val="none" w:sz="0" w:space="0" w:color="auto"/>
                    <w:left w:val="none" w:sz="0" w:space="0" w:color="auto"/>
                    <w:bottom w:val="none" w:sz="0" w:space="0" w:color="auto"/>
                    <w:right w:val="none" w:sz="0" w:space="0" w:color="auto"/>
                  </w:divBdr>
                </w:div>
              </w:divsChild>
            </w:div>
            <w:div w:id="1998875693">
              <w:marLeft w:val="0"/>
              <w:marRight w:val="0"/>
              <w:marTop w:val="0"/>
              <w:marBottom w:val="0"/>
              <w:divBdr>
                <w:top w:val="none" w:sz="0" w:space="0" w:color="auto"/>
                <w:left w:val="none" w:sz="0" w:space="0" w:color="auto"/>
                <w:bottom w:val="none" w:sz="0" w:space="0" w:color="auto"/>
                <w:right w:val="none" w:sz="0" w:space="0" w:color="auto"/>
              </w:divBdr>
              <w:divsChild>
                <w:div w:id="764882840">
                  <w:marLeft w:val="0"/>
                  <w:marRight w:val="0"/>
                  <w:marTop w:val="0"/>
                  <w:marBottom w:val="0"/>
                  <w:divBdr>
                    <w:top w:val="none" w:sz="0" w:space="0" w:color="auto"/>
                    <w:left w:val="none" w:sz="0" w:space="0" w:color="auto"/>
                    <w:bottom w:val="none" w:sz="0" w:space="0" w:color="auto"/>
                    <w:right w:val="none" w:sz="0" w:space="0" w:color="auto"/>
                  </w:divBdr>
                </w:div>
              </w:divsChild>
            </w:div>
            <w:div w:id="1126580583">
              <w:marLeft w:val="0"/>
              <w:marRight w:val="0"/>
              <w:marTop w:val="0"/>
              <w:marBottom w:val="0"/>
              <w:divBdr>
                <w:top w:val="none" w:sz="0" w:space="0" w:color="auto"/>
                <w:left w:val="none" w:sz="0" w:space="0" w:color="auto"/>
                <w:bottom w:val="none" w:sz="0" w:space="0" w:color="auto"/>
                <w:right w:val="none" w:sz="0" w:space="0" w:color="auto"/>
              </w:divBdr>
              <w:divsChild>
                <w:div w:id="377972208">
                  <w:marLeft w:val="0"/>
                  <w:marRight w:val="0"/>
                  <w:marTop w:val="0"/>
                  <w:marBottom w:val="0"/>
                  <w:divBdr>
                    <w:top w:val="none" w:sz="0" w:space="0" w:color="auto"/>
                    <w:left w:val="none" w:sz="0" w:space="0" w:color="auto"/>
                    <w:bottom w:val="none" w:sz="0" w:space="0" w:color="auto"/>
                    <w:right w:val="none" w:sz="0" w:space="0" w:color="auto"/>
                  </w:divBdr>
                </w:div>
              </w:divsChild>
            </w:div>
            <w:div w:id="41710658">
              <w:marLeft w:val="0"/>
              <w:marRight w:val="0"/>
              <w:marTop w:val="0"/>
              <w:marBottom w:val="0"/>
              <w:divBdr>
                <w:top w:val="none" w:sz="0" w:space="0" w:color="auto"/>
                <w:left w:val="none" w:sz="0" w:space="0" w:color="auto"/>
                <w:bottom w:val="none" w:sz="0" w:space="0" w:color="auto"/>
                <w:right w:val="none" w:sz="0" w:space="0" w:color="auto"/>
              </w:divBdr>
              <w:divsChild>
                <w:div w:id="730621155">
                  <w:marLeft w:val="0"/>
                  <w:marRight w:val="0"/>
                  <w:marTop w:val="0"/>
                  <w:marBottom w:val="0"/>
                  <w:divBdr>
                    <w:top w:val="none" w:sz="0" w:space="0" w:color="auto"/>
                    <w:left w:val="none" w:sz="0" w:space="0" w:color="auto"/>
                    <w:bottom w:val="none" w:sz="0" w:space="0" w:color="auto"/>
                    <w:right w:val="none" w:sz="0" w:space="0" w:color="auto"/>
                  </w:divBdr>
                </w:div>
              </w:divsChild>
            </w:div>
            <w:div w:id="1328362901">
              <w:marLeft w:val="0"/>
              <w:marRight w:val="0"/>
              <w:marTop w:val="0"/>
              <w:marBottom w:val="0"/>
              <w:divBdr>
                <w:top w:val="none" w:sz="0" w:space="0" w:color="auto"/>
                <w:left w:val="none" w:sz="0" w:space="0" w:color="auto"/>
                <w:bottom w:val="none" w:sz="0" w:space="0" w:color="auto"/>
                <w:right w:val="none" w:sz="0" w:space="0" w:color="auto"/>
              </w:divBdr>
              <w:divsChild>
                <w:div w:id="1081022778">
                  <w:marLeft w:val="0"/>
                  <w:marRight w:val="0"/>
                  <w:marTop w:val="0"/>
                  <w:marBottom w:val="0"/>
                  <w:divBdr>
                    <w:top w:val="none" w:sz="0" w:space="0" w:color="auto"/>
                    <w:left w:val="none" w:sz="0" w:space="0" w:color="auto"/>
                    <w:bottom w:val="none" w:sz="0" w:space="0" w:color="auto"/>
                    <w:right w:val="none" w:sz="0" w:space="0" w:color="auto"/>
                  </w:divBdr>
                </w:div>
              </w:divsChild>
            </w:div>
            <w:div w:id="239869560">
              <w:marLeft w:val="0"/>
              <w:marRight w:val="0"/>
              <w:marTop w:val="0"/>
              <w:marBottom w:val="0"/>
              <w:divBdr>
                <w:top w:val="none" w:sz="0" w:space="0" w:color="auto"/>
                <w:left w:val="none" w:sz="0" w:space="0" w:color="auto"/>
                <w:bottom w:val="none" w:sz="0" w:space="0" w:color="auto"/>
                <w:right w:val="none" w:sz="0" w:space="0" w:color="auto"/>
              </w:divBdr>
              <w:divsChild>
                <w:div w:id="555704000">
                  <w:marLeft w:val="0"/>
                  <w:marRight w:val="0"/>
                  <w:marTop w:val="0"/>
                  <w:marBottom w:val="0"/>
                  <w:divBdr>
                    <w:top w:val="none" w:sz="0" w:space="0" w:color="auto"/>
                    <w:left w:val="none" w:sz="0" w:space="0" w:color="auto"/>
                    <w:bottom w:val="none" w:sz="0" w:space="0" w:color="auto"/>
                    <w:right w:val="none" w:sz="0" w:space="0" w:color="auto"/>
                  </w:divBdr>
                </w:div>
              </w:divsChild>
            </w:div>
            <w:div w:id="1238054928">
              <w:marLeft w:val="0"/>
              <w:marRight w:val="0"/>
              <w:marTop w:val="0"/>
              <w:marBottom w:val="0"/>
              <w:divBdr>
                <w:top w:val="none" w:sz="0" w:space="0" w:color="auto"/>
                <w:left w:val="none" w:sz="0" w:space="0" w:color="auto"/>
                <w:bottom w:val="none" w:sz="0" w:space="0" w:color="auto"/>
                <w:right w:val="none" w:sz="0" w:space="0" w:color="auto"/>
              </w:divBdr>
              <w:divsChild>
                <w:div w:id="15471486">
                  <w:marLeft w:val="0"/>
                  <w:marRight w:val="0"/>
                  <w:marTop w:val="0"/>
                  <w:marBottom w:val="0"/>
                  <w:divBdr>
                    <w:top w:val="none" w:sz="0" w:space="0" w:color="auto"/>
                    <w:left w:val="none" w:sz="0" w:space="0" w:color="auto"/>
                    <w:bottom w:val="none" w:sz="0" w:space="0" w:color="auto"/>
                    <w:right w:val="none" w:sz="0" w:space="0" w:color="auto"/>
                  </w:divBdr>
                </w:div>
              </w:divsChild>
            </w:div>
            <w:div w:id="1893342506">
              <w:marLeft w:val="0"/>
              <w:marRight w:val="0"/>
              <w:marTop w:val="0"/>
              <w:marBottom w:val="0"/>
              <w:divBdr>
                <w:top w:val="none" w:sz="0" w:space="0" w:color="auto"/>
                <w:left w:val="none" w:sz="0" w:space="0" w:color="auto"/>
                <w:bottom w:val="none" w:sz="0" w:space="0" w:color="auto"/>
                <w:right w:val="none" w:sz="0" w:space="0" w:color="auto"/>
              </w:divBdr>
              <w:divsChild>
                <w:div w:id="1699352210">
                  <w:marLeft w:val="0"/>
                  <w:marRight w:val="0"/>
                  <w:marTop w:val="0"/>
                  <w:marBottom w:val="0"/>
                  <w:divBdr>
                    <w:top w:val="none" w:sz="0" w:space="0" w:color="auto"/>
                    <w:left w:val="none" w:sz="0" w:space="0" w:color="auto"/>
                    <w:bottom w:val="none" w:sz="0" w:space="0" w:color="auto"/>
                    <w:right w:val="none" w:sz="0" w:space="0" w:color="auto"/>
                  </w:divBdr>
                </w:div>
              </w:divsChild>
            </w:div>
            <w:div w:id="1363285749">
              <w:marLeft w:val="0"/>
              <w:marRight w:val="0"/>
              <w:marTop w:val="0"/>
              <w:marBottom w:val="0"/>
              <w:divBdr>
                <w:top w:val="none" w:sz="0" w:space="0" w:color="auto"/>
                <w:left w:val="none" w:sz="0" w:space="0" w:color="auto"/>
                <w:bottom w:val="none" w:sz="0" w:space="0" w:color="auto"/>
                <w:right w:val="none" w:sz="0" w:space="0" w:color="auto"/>
              </w:divBdr>
              <w:divsChild>
                <w:div w:id="1855221980">
                  <w:marLeft w:val="0"/>
                  <w:marRight w:val="0"/>
                  <w:marTop w:val="0"/>
                  <w:marBottom w:val="0"/>
                  <w:divBdr>
                    <w:top w:val="none" w:sz="0" w:space="0" w:color="auto"/>
                    <w:left w:val="none" w:sz="0" w:space="0" w:color="auto"/>
                    <w:bottom w:val="none" w:sz="0" w:space="0" w:color="auto"/>
                    <w:right w:val="none" w:sz="0" w:space="0" w:color="auto"/>
                  </w:divBdr>
                </w:div>
              </w:divsChild>
            </w:div>
            <w:div w:id="6294080">
              <w:marLeft w:val="0"/>
              <w:marRight w:val="0"/>
              <w:marTop w:val="0"/>
              <w:marBottom w:val="0"/>
              <w:divBdr>
                <w:top w:val="none" w:sz="0" w:space="0" w:color="auto"/>
                <w:left w:val="none" w:sz="0" w:space="0" w:color="auto"/>
                <w:bottom w:val="none" w:sz="0" w:space="0" w:color="auto"/>
                <w:right w:val="none" w:sz="0" w:space="0" w:color="auto"/>
              </w:divBdr>
              <w:divsChild>
                <w:div w:id="1160849120">
                  <w:marLeft w:val="0"/>
                  <w:marRight w:val="0"/>
                  <w:marTop w:val="0"/>
                  <w:marBottom w:val="0"/>
                  <w:divBdr>
                    <w:top w:val="none" w:sz="0" w:space="0" w:color="auto"/>
                    <w:left w:val="none" w:sz="0" w:space="0" w:color="auto"/>
                    <w:bottom w:val="none" w:sz="0" w:space="0" w:color="auto"/>
                    <w:right w:val="none" w:sz="0" w:space="0" w:color="auto"/>
                  </w:divBdr>
                </w:div>
              </w:divsChild>
            </w:div>
            <w:div w:id="55782104">
              <w:marLeft w:val="0"/>
              <w:marRight w:val="0"/>
              <w:marTop w:val="0"/>
              <w:marBottom w:val="0"/>
              <w:divBdr>
                <w:top w:val="none" w:sz="0" w:space="0" w:color="auto"/>
                <w:left w:val="none" w:sz="0" w:space="0" w:color="auto"/>
                <w:bottom w:val="none" w:sz="0" w:space="0" w:color="auto"/>
                <w:right w:val="none" w:sz="0" w:space="0" w:color="auto"/>
              </w:divBdr>
              <w:divsChild>
                <w:div w:id="926815864">
                  <w:marLeft w:val="0"/>
                  <w:marRight w:val="0"/>
                  <w:marTop w:val="0"/>
                  <w:marBottom w:val="0"/>
                  <w:divBdr>
                    <w:top w:val="none" w:sz="0" w:space="0" w:color="auto"/>
                    <w:left w:val="none" w:sz="0" w:space="0" w:color="auto"/>
                    <w:bottom w:val="none" w:sz="0" w:space="0" w:color="auto"/>
                    <w:right w:val="none" w:sz="0" w:space="0" w:color="auto"/>
                  </w:divBdr>
                </w:div>
              </w:divsChild>
            </w:div>
            <w:div w:id="1674797228">
              <w:marLeft w:val="0"/>
              <w:marRight w:val="0"/>
              <w:marTop w:val="0"/>
              <w:marBottom w:val="0"/>
              <w:divBdr>
                <w:top w:val="none" w:sz="0" w:space="0" w:color="auto"/>
                <w:left w:val="none" w:sz="0" w:space="0" w:color="auto"/>
                <w:bottom w:val="none" w:sz="0" w:space="0" w:color="auto"/>
                <w:right w:val="none" w:sz="0" w:space="0" w:color="auto"/>
              </w:divBdr>
              <w:divsChild>
                <w:div w:id="1102997497">
                  <w:marLeft w:val="0"/>
                  <w:marRight w:val="0"/>
                  <w:marTop w:val="0"/>
                  <w:marBottom w:val="0"/>
                  <w:divBdr>
                    <w:top w:val="none" w:sz="0" w:space="0" w:color="auto"/>
                    <w:left w:val="none" w:sz="0" w:space="0" w:color="auto"/>
                    <w:bottom w:val="none" w:sz="0" w:space="0" w:color="auto"/>
                    <w:right w:val="none" w:sz="0" w:space="0" w:color="auto"/>
                  </w:divBdr>
                </w:div>
              </w:divsChild>
            </w:div>
            <w:div w:id="727917800">
              <w:marLeft w:val="0"/>
              <w:marRight w:val="0"/>
              <w:marTop w:val="0"/>
              <w:marBottom w:val="0"/>
              <w:divBdr>
                <w:top w:val="none" w:sz="0" w:space="0" w:color="auto"/>
                <w:left w:val="none" w:sz="0" w:space="0" w:color="auto"/>
                <w:bottom w:val="none" w:sz="0" w:space="0" w:color="auto"/>
                <w:right w:val="none" w:sz="0" w:space="0" w:color="auto"/>
              </w:divBdr>
              <w:divsChild>
                <w:div w:id="1123042290">
                  <w:marLeft w:val="0"/>
                  <w:marRight w:val="0"/>
                  <w:marTop w:val="0"/>
                  <w:marBottom w:val="0"/>
                  <w:divBdr>
                    <w:top w:val="none" w:sz="0" w:space="0" w:color="auto"/>
                    <w:left w:val="none" w:sz="0" w:space="0" w:color="auto"/>
                    <w:bottom w:val="none" w:sz="0" w:space="0" w:color="auto"/>
                    <w:right w:val="none" w:sz="0" w:space="0" w:color="auto"/>
                  </w:divBdr>
                </w:div>
              </w:divsChild>
            </w:div>
            <w:div w:id="1184319994">
              <w:marLeft w:val="0"/>
              <w:marRight w:val="0"/>
              <w:marTop w:val="0"/>
              <w:marBottom w:val="0"/>
              <w:divBdr>
                <w:top w:val="none" w:sz="0" w:space="0" w:color="auto"/>
                <w:left w:val="none" w:sz="0" w:space="0" w:color="auto"/>
                <w:bottom w:val="none" w:sz="0" w:space="0" w:color="auto"/>
                <w:right w:val="none" w:sz="0" w:space="0" w:color="auto"/>
              </w:divBdr>
              <w:divsChild>
                <w:div w:id="1721438441">
                  <w:marLeft w:val="0"/>
                  <w:marRight w:val="0"/>
                  <w:marTop w:val="0"/>
                  <w:marBottom w:val="0"/>
                  <w:divBdr>
                    <w:top w:val="none" w:sz="0" w:space="0" w:color="auto"/>
                    <w:left w:val="none" w:sz="0" w:space="0" w:color="auto"/>
                    <w:bottom w:val="none" w:sz="0" w:space="0" w:color="auto"/>
                    <w:right w:val="none" w:sz="0" w:space="0" w:color="auto"/>
                  </w:divBdr>
                </w:div>
              </w:divsChild>
            </w:div>
            <w:div w:id="200166544">
              <w:marLeft w:val="0"/>
              <w:marRight w:val="0"/>
              <w:marTop w:val="0"/>
              <w:marBottom w:val="0"/>
              <w:divBdr>
                <w:top w:val="none" w:sz="0" w:space="0" w:color="auto"/>
                <w:left w:val="none" w:sz="0" w:space="0" w:color="auto"/>
                <w:bottom w:val="none" w:sz="0" w:space="0" w:color="auto"/>
                <w:right w:val="none" w:sz="0" w:space="0" w:color="auto"/>
              </w:divBdr>
              <w:divsChild>
                <w:div w:id="44408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0003">
          <w:marLeft w:val="0"/>
          <w:marRight w:val="0"/>
          <w:marTop w:val="0"/>
          <w:marBottom w:val="600"/>
          <w:divBdr>
            <w:top w:val="none" w:sz="0" w:space="0" w:color="auto"/>
            <w:left w:val="none" w:sz="0" w:space="0" w:color="auto"/>
            <w:bottom w:val="none" w:sz="0" w:space="0" w:color="auto"/>
            <w:right w:val="none" w:sz="0" w:space="0" w:color="auto"/>
          </w:divBdr>
        </w:div>
      </w:divsChild>
    </w:div>
    <w:div w:id="514805569">
      <w:marLeft w:val="0"/>
      <w:marRight w:val="0"/>
      <w:marTop w:val="0"/>
      <w:marBottom w:val="0"/>
      <w:divBdr>
        <w:top w:val="none" w:sz="0" w:space="0" w:color="auto"/>
        <w:left w:val="none" w:sz="0" w:space="0" w:color="auto"/>
        <w:bottom w:val="none" w:sz="0" w:space="0" w:color="auto"/>
        <w:right w:val="none" w:sz="0" w:space="0" w:color="auto"/>
      </w:divBdr>
      <w:divsChild>
        <w:div w:id="1137337178">
          <w:marLeft w:val="0"/>
          <w:marRight w:val="0"/>
          <w:marTop w:val="547"/>
          <w:marBottom w:val="0"/>
          <w:divBdr>
            <w:top w:val="none" w:sz="0" w:space="0" w:color="auto"/>
            <w:left w:val="none" w:sz="0" w:space="0" w:color="auto"/>
            <w:bottom w:val="none" w:sz="0" w:space="0" w:color="auto"/>
            <w:right w:val="none" w:sz="0" w:space="0" w:color="auto"/>
          </w:divBdr>
        </w:div>
        <w:div w:id="236984940">
          <w:marLeft w:val="0"/>
          <w:marRight w:val="0"/>
          <w:marTop w:val="0"/>
          <w:marBottom w:val="0"/>
          <w:divBdr>
            <w:top w:val="none" w:sz="0" w:space="0" w:color="auto"/>
            <w:left w:val="none" w:sz="0" w:space="0" w:color="auto"/>
            <w:bottom w:val="none" w:sz="0" w:space="0" w:color="auto"/>
            <w:right w:val="none" w:sz="0" w:space="0" w:color="auto"/>
          </w:divBdr>
        </w:div>
        <w:div w:id="903832013">
          <w:marLeft w:val="0"/>
          <w:marRight w:val="0"/>
          <w:marTop w:val="0"/>
          <w:marBottom w:val="600"/>
          <w:divBdr>
            <w:top w:val="none" w:sz="0" w:space="0" w:color="auto"/>
            <w:left w:val="none" w:sz="0" w:space="0" w:color="auto"/>
            <w:bottom w:val="none" w:sz="0" w:space="0" w:color="auto"/>
            <w:right w:val="none" w:sz="0" w:space="0" w:color="auto"/>
          </w:divBdr>
        </w:div>
      </w:divsChild>
    </w:div>
    <w:div w:id="516384047">
      <w:marLeft w:val="0"/>
      <w:marRight w:val="0"/>
      <w:marTop w:val="0"/>
      <w:marBottom w:val="0"/>
      <w:divBdr>
        <w:top w:val="none" w:sz="0" w:space="0" w:color="auto"/>
        <w:left w:val="none" w:sz="0" w:space="0" w:color="auto"/>
        <w:bottom w:val="none" w:sz="0" w:space="0" w:color="auto"/>
        <w:right w:val="none" w:sz="0" w:space="0" w:color="auto"/>
      </w:divBdr>
      <w:divsChild>
        <w:div w:id="532575533">
          <w:marLeft w:val="0"/>
          <w:marRight w:val="0"/>
          <w:marTop w:val="547"/>
          <w:marBottom w:val="0"/>
          <w:divBdr>
            <w:top w:val="none" w:sz="0" w:space="0" w:color="auto"/>
            <w:left w:val="none" w:sz="0" w:space="0" w:color="auto"/>
            <w:bottom w:val="none" w:sz="0" w:space="0" w:color="auto"/>
            <w:right w:val="none" w:sz="0" w:space="0" w:color="auto"/>
          </w:divBdr>
        </w:div>
        <w:div w:id="1870411924">
          <w:marLeft w:val="0"/>
          <w:marRight w:val="0"/>
          <w:marTop w:val="0"/>
          <w:marBottom w:val="0"/>
          <w:divBdr>
            <w:top w:val="none" w:sz="0" w:space="0" w:color="auto"/>
            <w:left w:val="none" w:sz="0" w:space="0" w:color="auto"/>
            <w:bottom w:val="none" w:sz="0" w:space="0" w:color="auto"/>
            <w:right w:val="none" w:sz="0" w:space="0" w:color="auto"/>
          </w:divBdr>
        </w:div>
        <w:div w:id="652875348">
          <w:marLeft w:val="0"/>
          <w:marRight w:val="0"/>
          <w:marTop w:val="0"/>
          <w:marBottom w:val="600"/>
          <w:divBdr>
            <w:top w:val="none" w:sz="0" w:space="0" w:color="auto"/>
            <w:left w:val="none" w:sz="0" w:space="0" w:color="auto"/>
            <w:bottom w:val="none" w:sz="0" w:space="0" w:color="auto"/>
            <w:right w:val="none" w:sz="0" w:space="0" w:color="auto"/>
          </w:divBdr>
        </w:div>
      </w:divsChild>
    </w:div>
    <w:div w:id="574055065">
      <w:marLeft w:val="0"/>
      <w:marRight w:val="0"/>
      <w:marTop w:val="0"/>
      <w:marBottom w:val="0"/>
      <w:divBdr>
        <w:top w:val="none" w:sz="0" w:space="0" w:color="auto"/>
        <w:left w:val="none" w:sz="0" w:space="0" w:color="auto"/>
        <w:bottom w:val="none" w:sz="0" w:space="0" w:color="auto"/>
        <w:right w:val="none" w:sz="0" w:space="0" w:color="auto"/>
      </w:divBdr>
      <w:divsChild>
        <w:div w:id="1593510315">
          <w:marLeft w:val="0"/>
          <w:marRight w:val="0"/>
          <w:marTop w:val="547"/>
          <w:marBottom w:val="0"/>
          <w:divBdr>
            <w:top w:val="none" w:sz="0" w:space="0" w:color="auto"/>
            <w:left w:val="none" w:sz="0" w:space="0" w:color="auto"/>
            <w:bottom w:val="none" w:sz="0" w:space="0" w:color="auto"/>
            <w:right w:val="none" w:sz="0" w:space="0" w:color="auto"/>
          </w:divBdr>
        </w:div>
        <w:div w:id="1852912303">
          <w:marLeft w:val="0"/>
          <w:marRight w:val="0"/>
          <w:marTop w:val="0"/>
          <w:marBottom w:val="0"/>
          <w:divBdr>
            <w:top w:val="none" w:sz="0" w:space="0" w:color="auto"/>
            <w:left w:val="none" w:sz="0" w:space="0" w:color="auto"/>
            <w:bottom w:val="none" w:sz="0" w:space="0" w:color="auto"/>
            <w:right w:val="none" w:sz="0" w:space="0" w:color="auto"/>
          </w:divBdr>
        </w:div>
        <w:div w:id="1805735466">
          <w:marLeft w:val="0"/>
          <w:marRight w:val="0"/>
          <w:marTop w:val="0"/>
          <w:marBottom w:val="600"/>
          <w:divBdr>
            <w:top w:val="none" w:sz="0" w:space="0" w:color="auto"/>
            <w:left w:val="none" w:sz="0" w:space="0" w:color="auto"/>
            <w:bottom w:val="none" w:sz="0" w:space="0" w:color="auto"/>
            <w:right w:val="none" w:sz="0" w:space="0" w:color="auto"/>
          </w:divBdr>
        </w:div>
      </w:divsChild>
    </w:div>
    <w:div w:id="605230546">
      <w:marLeft w:val="0"/>
      <w:marRight w:val="0"/>
      <w:marTop w:val="0"/>
      <w:marBottom w:val="0"/>
      <w:divBdr>
        <w:top w:val="none" w:sz="0" w:space="0" w:color="auto"/>
        <w:left w:val="none" w:sz="0" w:space="0" w:color="auto"/>
        <w:bottom w:val="none" w:sz="0" w:space="0" w:color="auto"/>
        <w:right w:val="none" w:sz="0" w:space="0" w:color="auto"/>
      </w:divBdr>
      <w:divsChild>
        <w:div w:id="1935745703">
          <w:marLeft w:val="0"/>
          <w:marRight w:val="0"/>
          <w:marTop w:val="547"/>
          <w:marBottom w:val="0"/>
          <w:divBdr>
            <w:top w:val="none" w:sz="0" w:space="0" w:color="auto"/>
            <w:left w:val="none" w:sz="0" w:space="0" w:color="auto"/>
            <w:bottom w:val="none" w:sz="0" w:space="0" w:color="auto"/>
            <w:right w:val="none" w:sz="0" w:space="0" w:color="auto"/>
          </w:divBdr>
        </w:div>
        <w:div w:id="1791515517">
          <w:marLeft w:val="0"/>
          <w:marRight w:val="0"/>
          <w:marTop w:val="0"/>
          <w:marBottom w:val="0"/>
          <w:divBdr>
            <w:top w:val="none" w:sz="0" w:space="0" w:color="auto"/>
            <w:left w:val="none" w:sz="0" w:space="0" w:color="auto"/>
            <w:bottom w:val="none" w:sz="0" w:space="0" w:color="auto"/>
            <w:right w:val="none" w:sz="0" w:space="0" w:color="auto"/>
          </w:divBdr>
          <w:divsChild>
            <w:div w:id="1334721679">
              <w:marLeft w:val="0"/>
              <w:marRight w:val="0"/>
              <w:marTop w:val="0"/>
              <w:marBottom w:val="0"/>
              <w:divBdr>
                <w:top w:val="none" w:sz="0" w:space="0" w:color="auto"/>
                <w:left w:val="none" w:sz="0" w:space="0" w:color="auto"/>
                <w:bottom w:val="none" w:sz="0" w:space="0" w:color="auto"/>
                <w:right w:val="none" w:sz="0" w:space="0" w:color="auto"/>
              </w:divBdr>
              <w:divsChild>
                <w:div w:id="99762943">
                  <w:marLeft w:val="0"/>
                  <w:marRight w:val="0"/>
                  <w:marTop w:val="0"/>
                  <w:marBottom w:val="0"/>
                  <w:divBdr>
                    <w:top w:val="none" w:sz="0" w:space="0" w:color="auto"/>
                    <w:left w:val="none" w:sz="0" w:space="0" w:color="auto"/>
                    <w:bottom w:val="none" w:sz="0" w:space="0" w:color="auto"/>
                    <w:right w:val="none" w:sz="0" w:space="0" w:color="auto"/>
                  </w:divBdr>
                </w:div>
              </w:divsChild>
            </w:div>
            <w:div w:id="147989562">
              <w:marLeft w:val="0"/>
              <w:marRight w:val="0"/>
              <w:marTop w:val="0"/>
              <w:marBottom w:val="0"/>
              <w:divBdr>
                <w:top w:val="none" w:sz="0" w:space="0" w:color="auto"/>
                <w:left w:val="none" w:sz="0" w:space="0" w:color="auto"/>
                <w:bottom w:val="none" w:sz="0" w:space="0" w:color="auto"/>
                <w:right w:val="none" w:sz="0" w:space="0" w:color="auto"/>
              </w:divBdr>
              <w:divsChild>
                <w:div w:id="1346444737">
                  <w:marLeft w:val="0"/>
                  <w:marRight w:val="0"/>
                  <w:marTop w:val="0"/>
                  <w:marBottom w:val="0"/>
                  <w:divBdr>
                    <w:top w:val="none" w:sz="0" w:space="0" w:color="auto"/>
                    <w:left w:val="none" w:sz="0" w:space="0" w:color="auto"/>
                    <w:bottom w:val="none" w:sz="0" w:space="0" w:color="auto"/>
                    <w:right w:val="none" w:sz="0" w:space="0" w:color="auto"/>
                  </w:divBdr>
                </w:div>
              </w:divsChild>
            </w:div>
            <w:div w:id="1568765056">
              <w:marLeft w:val="0"/>
              <w:marRight w:val="0"/>
              <w:marTop w:val="0"/>
              <w:marBottom w:val="0"/>
              <w:divBdr>
                <w:top w:val="none" w:sz="0" w:space="0" w:color="auto"/>
                <w:left w:val="none" w:sz="0" w:space="0" w:color="auto"/>
                <w:bottom w:val="none" w:sz="0" w:space="0" w:color="auto"/>
                <w:right w:val="none" w:sz="0" w:space="0" w:color="auto"/>
              </w:divBdr>
              <w:divsChild>
                <w:div w:id="1544714731">
                  <w:marLeft w:val="0"/>
                  <w:marRight w:val="0"/>
                  <w:marTop w:val="0"/>
                  <w:marBottom w:val="0"/>
                  <w:divBdr>
                    <w:top w:val="none" w:sz="0" w:space="0" w:color="auto"/>
                    <w:left w:val="none" w:sz="0" w:space="0" w:color="auto"/>
                    <w:bottom w:val="none" w:sz="0" w:space="0" w:color="auto"/>
                    <w:right w:val="none" w:sz="0" w:space="0" w:color="auto"/>
                  </w:divBdr>
                </w:div>
              </w:divsChild>
            </w:div>
            <w:div w:id="1933006266">
              <w:marLeft w:val="0"/>
              <w:marRight w:val="0"/>
              <w:marTop w:val="0"/>
              <w:marBottom w:val="0"/>
              <w:divBdr>
                <w:top w:val="none" w:sz="0" w:space="0" w:color="auto"/>
                <w:left w:val="none" w:sz="0" w:space="0" w:color="auto"/>
                <w:bottom w:val="none" w:sz="0" w:space="0" w:color="auto"/>
                <w:right w:val="none" w:sz="0" w:space="0" w:color="auto"/>
              </w:divBdr>
              <w:divsChild>
                <w:div w:id="96410722">
                  <w:marLeft w:val="0"/>
                  <w:marRight w:val="0"/>
                  <w:marTop w:val="0"/>
                  <w:marBottom w:val="0"/>
                  <w:divBdr>
                    <w:top w:val="none" w:sz="0" w:space="0" w:color="auto"/>
                    <w:left w:val="none" w:sz="0" w:space="0" w:color="auto"/>
                    <w:bottom w:val="none" w:sz="0" w:space="0" w:color="auto"/>
                    <w:right w:val="none" w:sz="0" w:space="0" w:color="auto"/>
                  </w:divBdr>
                </w:div>
              </w:divsChild>
            </w:div>
            <w:div w:id="143936234">
              <w:marLeft w:val="0"/>
              <w:marRight w:val="0"/>
              <w:marTop w:val="0"/>
              <w:marBottom w:val="0"/>
              <w:divBdr>
                <w:top w:val="none" w:sz="0" w:space="0" w:color="auto"/>
                <w:left w:val="none" w:sz="0" w:space="0" w:color="auto"/>
                <w:bottom w:val="none" w:sz="0" w:space="0" w:color="auto"/>
                <w:right w:val="none" w:sz="0" w:space="0" w:color="auto"/>
              </w:divBdr>
              <w:divsChild>
                <w:div w:id="1342706139">
                  <w:marLeft w:val="0"/>
                  <w:marRight w:val="0"/>
                  <w:marTop w:val="0"/>
                  <w:marBottom w:val="0"/>
                  <w:divBdr>
                    <w:top w:val="none" w:sz="0" w:space="0" w:color="auto"/>
                    <w:left w:val="none" w:sz="0" w:space="0" w:color="auto"/>
                    <w:bottom w:val="none" w:sz="0" w:space="0" w:color="auto"/>
                    <w:right w:val="none" w:sz="0" w:space="0" w:color="auto"/>
                  </w:divBdr>
                </w:div>
              </w:divsChild>
            </w:div>
            <w:div w:id="979387988">
              <w:marLeft w:val="0"/>
              <w:marRight w:val="0"/>
              <w:marTop w:val="0"/>
              <w:marBottom w:val="0"/>
              <w:divBdr>
                <w:top w:val="none" w:sz="0" w:space="0" w:color="auto"/>
                <w:left w:val="none" w:sz="0" w:space="0" w:color="auto"/>
                <w:bottom w:val="none" w:sz="0" w:space="0" w:color="auto"/>
                <w:right w:val="none" w:sz="0" w:space="0" w:color="auto"/>
              </w:divBdr>
              <w:divsChild>
                <w:div w:id="93207824">
                  <w:marLeft w:val="0"/>
                  <w:marRight w:val="0"/>
                  <w:marTop w:val="0"/>
                  <w:marBottom w:val="0"/>
                  <w:divBdr>
                    <w:top w:val="none" w:sz="0" w:space="0" w:color="auto"/>
                    <w:left w:val="none" w:sz="0" w:space="0" w:color="auto"/>
                    <w:bottom w:val="none" w:sz="0" w:space="0" w:color="auto"/>
                    <w:right w:val="none" w:sz="0" w:space="0" w:color="auto"/>
                  </w:divBdr>
                </w:div>
              </w:divsChild>
            </w:div>
            <w:div w:id="1593128709">
              <w:marLeft w:val="0"/>
              <w:marRight w:val="0"/>
              <w:marTop w:val="0"/>
              <w:marBottom w:val="0"/>
              <w:divBdr>
                <w:top w:val="none" w:sz="0" w:space="0" w:color="auto"/>
                <w:left w:val="none" w:sz="0" w:space="0" w:color="auto"/>
                <w:bottom w:val="none" w:sz="0" w:space="0" w:color="auto"/>
                <w:right w:val="none" w:sz="0" w:space="0" w:color="auto"/>
              </w:divBdr>
              <w:divsChild>
                <w:div w:id="454299595">
                  <w:marLeft w:val="0"/>
                  <w:marRight w:val="0"/>
                  <w:marTop w:val="0"/>
                  <w:marBottom w:val="0"/>
                  <w:divBdr>
                    <w:top w:val="none" w:sz="0" w:space="0" w:color="auto"/>
                    <w:left w:val="none" w:sz="0" w:space="0" w:color="auto"/>
                    <w:bottom w:val="none" w:sz="0" w:space="0" w:color="auto"/>
                    <w:right w:val="none" w:sz="0" w:space="0" w:color="auto"/>
                  </w:divBdr>
                </w:div>
              </w:divsChild>
            </w:div>
            <w:div w:id="673990482">
              <w:marLeft w:val="0"/>
              <w:marRight w:val="0"/>
              <w:marTop w:val="0"/>
              <w:marBottom w:val="0"/>
              <w:divBdr>
                <w:top w:val="none" w:sz="0" w:space="0" w:color="auto"/>
                <w:left w:val="none" w:sz="0" w:space="0" w:color="auto"/>
                <w:bottom w:val="none" w:sz="0" w:space="0" w:color="auto"/>
                <w:right w:val="none" w:sz="0" w:space="0" w:color="auto"/>
              </w:divBdr>
              <w:divsChild>
                <w:div w:id="1500996182">
                  <w:marLeft w:val="0"/>
                  <w:marRight w:val="0"/>
                  <w:marTop w:val="0"/>
                  <w:marBottom w:val="0"/>
                  <w:divBdr>
                    <w:top w:val="none" w:sz="0" w:space="0" w:color="auto"/>
                    <w:left w:val="none" w:sz="0" w:space="0" w:color="auto"/>
                    <w:bottom w:val="none" w:sz="0" w:space="0" w:color="auto"/>
                    <w:right w:val="none" w:sz="0" w:space="0" w:color="auto"/>
                  </w:divBdr>
                </w:div>
              </w:divsChild>
            </w:div>
            <w:div w:id="1115710153">
              <w:marLeft w:val="0"/>
              <w:marRight w:val="0"/>
              <w:marTop w:val="0"/>
              <w:marBottom w:val="0"/>
              <w:divBdr>
                <w:top w:val="none" w:sz="0" w:space="0" w:color="auto"/>
                <w:left w:val="none" w:sz="0" w:space="0" w:color="auto"/>
                <w:bottom w:val="none" w:sz="0" w:space="0" w:color="auto"/>
                <w:right w:val="none" w:sz="0" w:space="0" w:color="auto"/>
              </w:divBdr>
              <w:divsChild>
                <w:div w:id="1438208881">
                  <w:marLeft w:val="0"/>
                  <w:marRight w:val="0"/>
                  <w:marTop w:val="0"/>
                  <w:marBottom w:val="0"/>
                  <w:divBdr>
                    <w:top w:val="none" w:sz="0" w:space="0" w:color="auto"/>
                    <w:left w:val="none" w:sz="0" w:space="0" w:color="auto"/>
                    <w:bottom w:val="none" w:sz="0" w:space="0" w:color="auto"/>
                    <w:right w:val="none" w:sz="0" w:space="0" w:color="auto"/>
                  </w:divBdr>
                </w:div>
              </w:divsChild>
            </w:div>
            <w:div w:id="928347538">
              <w:marLeft w:val="0"/>
              <w:marRight w:val="0"/>
              <w:marTop w:val="0"/>
              <w:marBottom w:val="0"/>
              <w:divBdr>
                <w:top w:val="none" w:sz="0" w:space="0" w:color="auto"/>
                <w:left w:val="none" w:sz="0" w:space="0" w:color="auto"/>
                <w:bottom w:val="none" w:sz="0" w:space="0" w:color="auto"/>
                <w:right w:val="none" w:sz="0" w:space="0" w:color="auto"/>
              </w:divBdr>
              <w:divsChild>
                <w:div w:id="1410077669">
                  <w:marLeft w:val="0"/>
                  <w:marRight w:val="0"/>
                  <w:marTop w:val="0"/>
                  <w:marBottom w:val="0"/>
                  <w:divBdr>
                    <w:top w:val="none" w:sz="0" w:space="0" w:color="auto"/>
                    <w:left w:val="none" w:sz="0" w:space="0" w:color="auto"/>
                    <w:bottom w:val="none" w:sz="0" w:space="0" w:color="auto"/>
                    <w:right w:val="none" w:sz="0" w:space="0" w:color="auto"/>
                  </w:divBdr>
                </w:div>
              </w:divsChild>
            </w:div>
            <w:div w:id="942228066">
              <w:marLeft w:val="0"/>
              <w:marRight w:val="0"/>
              <w:marTop w:val="0"/>
              <w:marBottom w:val="0"/>
              <w:divBdr>
                <w:top w:val="none" w:sz="0" w:space="0" w:color="auto"/>
                <w:left w:val="none" w:sz="0" w:space="0" w:color="auto"/>
                <w:bottom w:val="none" w:sz="0" w:space="0" w:color="auto"/>
                <w:right w:val="none" w:sz="0" w:space="0" w:color="auto"/>
              </w:divBdr>
              <w:divsChild>
                <w:div w:id="57940959">
                  <w:marLeft w:val="0"/>
                  <w:marRight w:val="0"/>
                  <w:marTop w:val="0"/>
                  <w:marBottom w:val="0"/>
                  <w:divBdr>
                    <w:top w:val="none" w:sz="0" w:space="0" w:color="auto"/>
                    <w:left w:val="none" w:sz="0" w:space="0" w:color="auto"/>
                    <w:bottom w:val="none" w:sz="0" w:space="0" w:color="auto"/>
                    <w:right w:val="none" w:sz="0" w:space="0" w:color="auto"/>
                  </w:divBdr>
                </w:div>
              </w:divsChild>
            </w:div>
            <w:div w:id="1706832403">
              <w:marLeft w:val="0"/>
              <w:marRight w:val="0"/>
              <w:marTop w:val="0"/>
              <w:marBottom w:val="0"/>
              <w:divBdr>
                <w:top w:val="none" w:sz="0" w:space="0" w:color="auto"/>
                <w:left w:val="none" w:sz="0" w:space="0" w:color="auto"/>
                <w:bottom w:val="none" w:sz="0" w:space="0" w:color="auto"/>
                <w:right w:val="none" w:sz="0" w:space="0" w:color="auto"/>
              </w:divBdr>
              <w:divsChild>
                <w:div w:id="1452893938">
                  <w:marLeft w:val="0"/>
                  <w:marRight w:val="0"/>
                  <w:marTop w:val="0"/>
                  <w:marBottom w:val="0"/>
                  <w:divBdr>
                    <w:top w:val="none" w:sz="0" w:space="0" w:color="auto"/>
                    <w:left w:val="none" w:sz="0" w:space="0" w:color="auto"/>
                    <w:bottom w:val="none" w:sz="0" w:space="0" w:color="auto"/>
                    <w:right w:val="none" w:sz="0" w:space="0" w:color="auto"/>
                  </w:divBdr>
                </w:div>
              </w:divsChild>
            </w:div>
            <w:div w:id="1401439287">
              <w:marLeft w:val="0"/>
              <w:marRight w:val="0"/>
              <w:marTop w:val="0"/>
              <w:marBottom w:val="0"/>
              <w:divBdr>
                <w:top w:val="none" w:sz="0" w:space="0" w:color="auto"/>
                <w:left w:val="none" w:sz="0" w:space="0" w:color="auto"/>
                <w:bottom w:val="none" w:sz="0" w:space="0" w:color="auto"/>
                <w:right w:val="none" w:sz="0" w:space="0" w:color="auto"/>
              </w:divBdr>
              <w:divsChild>
                <w:div w:id="153763840">
                  <w:marLeft w:val="0"/>
                  <w:marRight w:val="0"/>
                  <w:marTop w:val="0"/>
                  <w:marBottom w:val="0"/>
                  <w:divBdr>
                    <w:top w:val="none" w:sz="0" w:space="0" w:color="auto"/>
                    <w:left w:val="none" w:sz="0" w:space="0" w:color="auto"/>
                    <w:bottom w:val="none" w:sz="0" w:space="0" w:color="auto"/>
                    <w:right w:val="none" w:sz="0" w:space="0" w:color="auto"/>
                  </w:divBdr>
                </w:div>
              </w:divsChild>
            </w:div>
            <w:div w:id="1339194346">
              <w:marLeft w:val="0"/>
              <w:marRight w:val="0"/>
              <w:marTop w:val="0"/>
              <w:marBottom w:val="0"/>
              <w:divBdr>
                <w:top w:val="none" w:sz="0" w:space="0" w:color="auto"/>
                <w:left w:val="none" w:sz="0" w:space="0" w:color="auto"/>
                <w:bottom w:val="none" w:sz="0" w:space="0" w:color="auto"/>
                <w:right w:val="none" w:sz="0" w:space="0" w:color="auto"/>
              </w:divBdr>
              <w:divsChild>
                <w:div w:id="93139900">
                  <w:marLeft w:val="0"/>
                  <w:marRight w:val="0"/>
                  <w:marTop w:val="0"/>
                  <w:marBottom w:val="0"/>
                  <w:divBdr>
                    <w:top w:val="none" w:sz="0" w:space="0" w:color="auto"/>
                    <w:left w:val="none" w:sz="0" w:space="0" w:color="auto"/>
                    <w:bottom w:val="none" w:sz="0" w:space="0" w:color="auto"/>
                    <w:right w:val="none" w:sz="0" w:space="0" w:color="auto"/>
                  </w:divBdr>
                </w:div>
              </w:divsChild>
            </w:div>
            <w:div w:id="1912963037">
              <w:marLeft w:val="0"/>
              <w:marRight w:val="0"/>
              <w:marTop w:val="0"/>
              <w:marBottom w:val="0"/>
              <w:divBdr>
                <w:top w:val="none" w:sz="0" w:space="0" w:color="auto"/>
                <w:left w:val="none" w:sz="0" w:space="0" w:color="auto"/>
                <w:bottom w:val="none" w:sz="0" w:space="0" w:color="auto"/>
                <w:right w:val="none" w:sz="0" w:space="0" w:color="auto"/>
              </w:divBdr>
              <w:divsChild>
                <w:div w:id="1609580571">
                  <w:marLeft w:val="0"/>
                  <w:marRight w:val="0"/>
                  <w:marTop w:val="0"/>
                  <w:marBottom w:val="0"/>
                  <w:divBdr>
                    <w:top w:val="none" w:sz="0" w:space="0" w:color="auto"/>
                    <w:left w:val="none" w:sz="0" w:space="0" w:color="auto"/>
                    <w:bottom w:val="none" w:sz="0" w:space="0" w:color="auto"/>
                    <w:right w:val="none" w:sz="0" w:space="0" w:color="auto"/>
                  </w:divBdr>
                </w:div>
              </w:divsChild>
            </w:div>
            <w:div w:id="930553420">
              <w:marLeft w:val="0"/>
              <w:marRight w:val="0"/>
              <w:marTop w:val="0"/>
              <w:marBottom w:val="0"/>
              <w:divBdr>
                <w:top w:val="none" w:sz="0" w:space="0" w:color="auto"/>
                <w:left w:val="none" w:sz="0" w:space="0" w:color="auto"/>
                <w:bottom w:val="none" w:sz="0" w:space="0" w:color="auto"/>
                <w:right w:val="none" w:sz="0" w:space="0" w:color="auto"/>
              </w:divBdr>
              <w:divsChild>
                <w:div w:id="2137870373">
                  <w:marLeft w:val="0"/>
                  <w:marRight w:val="0"/>
                  <w:marTop w:val="0"/>
                  <w:marBottom w:val="0"/>
                  <w:divBdr>
                    <w:top w:val="none" w:sz="0" w:space="0" w:color="auto"/>
                    <w:left w:val="none" w:sz="0" w:space="0" w:color="auto"/>
                    <w:bottom w:val="none" w:sz="0" w:space="0" w:color="auto"/>
                    <w:right w:val="none" w:sz="0" w:space="0" w:color="auto"/>
                  </w:divBdr>
                </w:div>
              </w:divsChild>
            </w:div>
            <w:div w:id="1487932901">
              <w:marLeft w:val="0"/>
              <w:marRight w:val="0"/>
              <w:marTop w:val="0"/>
              <w:marBottom w:val="0"/>
              <w:divBdr>
                <w:top w:val="none" w:sz="0" w:space="0" w:color="auto"/>
                <w:left w:val="none" w:sz="0" w:space="0" w:color="auto"/>
                <w:bottom w:val="none" w:sz="0" w:space="0" w:color="auto"/>
                <w:right w:val="none" w:sz="0" w:space="0" w:color="auto"/>
              </w:divBdr>
              <w:divsChild>
                <w:div w:id="1234967503">
                  <w:marLeft w:val="0"/>
                  <w:marRight w:val="0"/>
                  <w:marTop w:val="0"/>
                  <w:marBottom w:val="0"/>
                  <w:divBdr>
                    <w:top w:val="none" w:sz="0" w:space="0" w:color="auto"/>
                    <w:left w:val="none" w:sz="0" w:space="0" w:color="auto"/>
                    <w:bottom w:val="none" w:sz="0" w:space="0" w:color="auto"/>
                    <w:right w:val="none" w:sz="0" w:space="0" w:color="auto"/>
                  </w:divBdr>
                </w:div>
              </w:divsChild>
            </w:div>
            <w:div w:id="748113324">
              <w:marLeft w:val="0"/>
              <w:marRight w:val="0"/>
              <w:marTop w:val="0"/>
              <w:marBottom w:val="0"/>
              <w:divBdr>
                <w:top w:val="none" w:sz="0" w:space="0" w:color="auto"/>
                <w:left w:val="none" w:sz="0" w:space="0" w:color="auto"/>
                <w:bottom w:val="none" w:sz="0" w:space="0" w:color="auto"/>
                <w:right w:val="none" w:sz="0" w:space="0" w:color="auto"/>
              </w:divBdr>
              <w:divsChild>
                <w:div w:id="625623749">
                  <w:marLeft w:val="0"/>
                  <w:marRight w:val="0"/>
                  <w:marTop w:val="0"/>
                  <w:marBottom w:val="0"/>
                  <w:divBdr>
                    <w:top w:val="none" w:sz="0" w:space="0" w:color="auto"/>
                    <w:left w:val="none" w:sz="0" w:space="0" w:color="auto"/>
                    <w:bottom w:val="none" w:sz="0" w:space="0" w:color="auto"/>
                    <w:right w:val="none" w:sz="0" w:space="0" w:color="auto"/>
                  </w:divBdr>
                </w:div>
              </w:divsChild>
            </w:div>
            <w:div w:id="49503238">
              <w:marLeft w:val="0"/>
              <w:marRight w:val="0"/>
              <w:marTop w:val="0"/>
              <w:marBottom w:val="0"/>
              <w:divBdr>
                <w:top w:val="none" w:sz="0" w:space="0" w:color="auto"/>
                <w:left w:val="none" w:sz="0" w:space="0" w:color="auto"/>
                <w:bottom w:val="none" w:sz="0" w:space="0" w:color="auto"/>
                <w:right w:val="none" w:sz="0" w:space="0" w:color="auto"/>
              </w:divBdr>
              <w:divsChild>
                <w:div w:id="1569807440">
                  <w:marLeft w:val="0"/>
                  <w:marRight w:val="0"/>
                  <w:marTop w:val="0"/>
                  <w:marBottom w:val="0"/>
                  <w:divBdr>
                    <w:top w:val="none" w:sz="0" w:space="0" w:color="auto"/>
                    <w:left w:val="none" w:sz="0" w:space="0" w:color="auto"/>
                    <w:bottom w:val="none" w:sz="0" w:space="0" w:color="auto"/>
                    <w:right w:val="none" w:sz="0" w:space="0" w:color="auto"/>
                  </w:divBdr>
                </w:div>
              </w:divsChild>
            </w:div>
            <w:div w:id="725878420">
              <w:marLeft w:val="0"/>
              <w:marRight w:val="0"/>
              <w:marTop w:val="0"/>
              <w:marBottom w:val="0"/>
              <w:divBdr>
                <w:top w:val="none" w:sz="0" w:space="0" w:color="auto"/>
                <w:left w:val="none" w:sz="0" w:space="0" w:color="auto"/>
                <w:bottom w:val="none" w:sz="0" w:space="0" w:color="auto"/>
                <w:right w:val="none" w:sz="0" w:space="0" w:color="auto"/>
              </w:divBdr>
              <w:divsChild>
                <w:div w:id="1780028522">
                  <w:marLeft w:val="0"/>
                  <w:marRight w:val="0"/>
                  <w:marTop w:val="0"/>
                  <w:marBottom w:val="0"/>
                  <w:divBdr>
                    <w:top w:val="none" w:sz="0" w:space="0" w:color="auto"/>
                    <w:left w:val="none" w:sz="0" w:space="0" w:color="auto"/>
                    <w:bottom w:val="none" w:sz="0" w:space="0" w:color="auto"/>
                    <w:right w:val="none" w:sz="0" w:space="0" w:color="auto"/>
                  </w:divBdr>
                </w:div>
              </w:divsChild>
            </w:div>
            <w:div w:id="552884195">
              <w:marLeft w:val="0"/>
              <w:marRight w:val="0"/>
              <w:marTop w:val="0"/>
              <w:marBottom w:val="0"/>
              <w:divBdr>
                <w:top w:val="none" w:sz="0" w:space="0" w:color="auto"/>
                <w:left w:val="none" w:sz="0" w:space="0" w:color="auto"/>
                <w:bottom w:val="none" w:sz="0" w:space="0" w:color="auto"/>
                <w:right w:val="none" w:sz="0" w:space="0" w:color="auto"/>
              </w:divBdr>
              <w:divsChild>
                <w:div w:id="1666009871">
                  <w:marLeft w:val="0"/>
                  <w:marRight w:val="0"/>
                  <w:marTop w:val="0"/>
                  <w:marBottom w:val="0"/>
                  <w:divBdr>
                    <w:top w:val="none" w:sz="0" w:space="0" w:color="auto"/>
                    <w:left w:val="none" w:sz="0" w:space="0" w:color="auto"/>
                    <w:bottom w:val="none" w:sz="0" w:space="0" w:color="auto"/>
                    <w:right w:val="none" w:sz="0" w:space="0" w:color="auto"/>
                  </w:divBdr>
                </w:div>
              </w:divsChild>
            </w:div>
            <w:div w:id="2145344516">
              <w:marLeft w:val="0"/>
              <w:marRight w:val="0"/>
              <w:marTop w:val="0"/>
              <w:marBottom w:val="0"/>
              <w:divBdr>
                <w:top w:val="none" w:sz="0" w:space="0" w:color="auto"/>
                <w:left w:val="none" w:sz="0" w:space="0" w:color="auto"/>
                <w:bottom w:val="none" w:sz="0" w:space="0" w:color="auto"/>
                <w:right w:val="none" w:sz="0" w:space="0" w:color="auto"/>
              </w:divBdr>
              <w:divsChild>
                <w:div w:id="1136219912">
                  <w:marLeft w:val="0"/>
                  <w:marRight w:val="0"/>
                  <w:marTop w:val="0"/>
                  <w:marBottom w:val="0"/>
                  <w:divBdr>
                    <w:top w:val="none" w:sz="0" w:space="0" w:color="auto"/>
                    <w:left w:val="none" w:sz="0" w:space="0" w:color="auto"/>
                    <w:bottom w:val="none" w:sz="0" w:space="0" w:color="auto"/>
                    <w:right w:val="none" w:sz="0" w:space="0" w:color="auto"/>
                  </w:divBdr>
                </w:div>
              </w:divsChild>
            </w:div>
            <w:div w:id="1332562767">
              <w:marLeft w:val="0"/>
              <w:marRight w:val="0"/>
              <w:marTop w:val="0"/>
              <w:marBottom w:val="0"/>
              <w:divBdr>
                <w:top w:val="none" w:sz="0" w:space="0" w:color="auto"/>
                <w:left w:val="none" w:sz="0" w:space="0" w:color="auto"/>
                <w:bottom w:val="none" w:sz="0" w:space="0" w:color="auto"/>
                <w:right w:val="none" w:sz="0" w:space="0" w:color="auto"/>
              </w:divBdr>
              <w:divsChild>
                <w:div w:id="87149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0007">
          <w:marLeft w:val="0"/>
          <w:marRight w:val="0"/>
          <w:marTop w:val="0"/>
          <w:marBottom w:val="600"/>
          <w:divBdr>
            <w:top w:val="none" w:sz="0" w:space="0" w:color="auto"/>
            <w:left w:val="none" w:sz="0" w:space="0" w:color="auto"/>
            <w:bottom w:val="none" w:sz="0" w:space="0" w:color="auto"/>
            <w:right w:val="none" w:sz="0" w:space="0" w:color="auto"/>
          </w:divBdr>
        </w:div>
      </w:divsChild>
    </w:div>
    <w:div w:id="650526597">
      <w:marLeft w:val="0"/>
      <w:marRight w:val="0"/>
      <w:marTop w:val="0"/>
      <w:marBottom w:val="0"/>
      <w:divBdr>
        <w:top w:val="none" w:sz="0" w:space="0" w:color="auto"/>
        <w:left w:val="none" w:sz="0" w:space="0" w:color="auto"/>
        <w:bottom w:val="none" w:sz="0" w:space="0" w:color="auto"/>
        <w:right w:val="none" w:sz="0" w:space="0" w:color="auto"/>
      </w:divBdr>
      <w:divsChild>
        <w:div w:id="1796561472">
          <w:marLeft w:val="0"/>
          <w:marRight w:val="0"/>
          <w:marTop w:val="547"/>
          <w:marBottom w:val="0"/>
          <w:divBdr>
            <w:top w:val="none" w:sz="0" w:space="0" w:color="auto"/>
            <w:left w:val="none" w:sz="0" w:space="0" w:color="auto"/>
            <w:bottom w:val="none" w:sz="0" w:space="0" w:color="auto"/>
            <w:right w:val="none" w:sz="0" w:space="0" w:color="auto"/>
          </w:divBdr>
        </w:div>
        <w:div w:id="1626227923">
          <w:marLeft w:val="0"/>
          <w:marRight w:val="0"/>
          <w:marTop w:val="0"/>
          <w:marBottom w:val="0"/>
          <w:divBdr>
            <w:top w:val="none" w:sz="0" w:space="0" w:color="auto"/>
            <w:left w:val="none" w:sz="0" w:space="0" w:color="auto"/>
            <w:bottom w:val="none" w:sz="0" w:space="0" w:color="auto"/>
            <w:right w:val="none" w:sz="0" w:space="0" w:color="auto"/>
          </w:divBdr>
        </w:div>
        <w:div w:id="1993605414">
          <w:marLeft w:val="0"/>
          <w:marRight w:val="0"/>
          <w:marTop w:val="0"/>
          <w:marBottom w:val="600"/>
          <w:divBdr>
            <w:top w:val="none" w:sz="0" w:space="0" w:color="auto"/>
            <w:left w:val="none" w:sz="0" w:space="0" w:color="auto"/>
            <w:bottom w:val="none" w:sz="0" w:space="0" w:color="auto"/>
            <w:right w:val="none" w:sz="0" w:space="0" w:color="auto"/>
          </w:divBdr>
        </w:div>
      </w:divsChild>
    </w:div>
    <w:div w:id="713238018">
      <w:marLeft w:val="0"/>
      <w:marRight w:val="0"/>
      <w:marTop w:val="0"/>
      <w:marBottom w:val="0"/>
      <w:divBdr>
        <w:top w:val="none" w:sz="0" w:space="0" w:color="auto"/>
        <w:left w:val="none" w:sz="0" w:space="0" w:color="auto"/>
        <w:bottom w:val="none" w:sz="0" w:space="0" w:color="auto"/>
        <w:right w:val="none" w:sz="0" w:space="0" w:color="auto"/>
      </w:divBdr>
      <w:divsChild>
        <w:div w:id="927613119">
          <w:marLeft w:val="0"/>
          <w:marRight w:val="0"/>
          <w:marTop w:val="547"/>
          <w:marBottom w:val="0"/>
          <w:divBdr>
            <w:top w:val="none" w:sz="0" w:space="0" w:color="auto"/>
            <w:left w:val="none" w:sz="0" w:space="0" w:color="auto"/>
            <w:bottom w:val="none" w:sz="0" w:space="0" w:color="auto"/>
            <w:right w:val="none" w:sz="0" w:space="0" w:color="auto"/>
          </w:divBdr>
        </w:div>
        <w:div w:id="1718234638">
          <w:marLeft w:val="0"/>
          <w:marRight w:val="0"/>
          <w:marTop w:val="0"/>
          <w:marBottom w:val="0"/>
          <w:divBdr>
            <w:top w:val="none" w:sz="0" w:space="0" w:color="auto"/>
            <w:left w:val="none" w:sz="0" w:space="0" w:color="auto"/>
            <w:bottom w:val="none" w:sz="0" w:space="0" w:color="auto"/>
            <w:right w:val="none" w:sz="0" w:space="0" w:color="auto"/>
          </w:divBdr>
        </w:div>
        <w:div w:id="1838839227">
          <w:marLeft w:val="0"/>
          <w:marRight w:val="0"/>
          <w:marTop w:val="0"/>
          <w:marBottom w:val="600"/>
          <w:divBdr>
            <w:top w:val="none" w:sz="0" w:space="0" w:color="auto"/>
            <w:left w:val="none" w:sz="0" w:space="0" w:color="auto"/>
            <w:bottom w:val="none" w:sz="0" w:space="0" w:color="auto"/>
            <w:right w:val="none" w:sz="0" w:space="0" w:color="auto"/>
          </w:divBdr>
        </w:div>
      </w:divsChild>
    </w:div>
    <w:div w:id="766079998">
      <w:marLeft w:val="0"/>
      <w:marRight w:val="0"/>
      <w:marTop w:val="0"/>
      <w:marBottom w:val="0"/>
      <w:divBdr>
        <w:top w:val="none" w:sz="0" w:space="0" w:color="auto"/>
        <w:left w:val="none" w:sz="0" w:space="0" w:color="auto"/>
        <w:bottom w:val="none" w:sz="0" w:space="0" w:color="auto"/>
        <w:right w:val="none" w:sz="0" w:space="0" w:color="auto"/>
      </w:divBdr>
      <w:divsChild>
        <w:div w:id="971206952">
          <w:marLeft w:val="0"/>
          <w:marRight w:val="0"/>
          <w:marTop w:val="547"/>
          <w:marBottom w:val="0"/>
          <w:divBdr>
            <w:top w:val="none" w:sz="0" w:space="0" w:color="auto"/>
            <w:left w:val="none" w:sz="0" w:space="0" w:color="auto"/>
            <w:bottom w:val="none" w:sz="0" w:space="0" w:color="auto"/>
            <w:right w:val="none" w:sz="0" w:space="0" w:color="auto"/>
          </w:divBdr>
        </w:div>
        <w:div w:id="791554536">
          <w:marLeft w:val="0"/>
          <w:marRight w:val="0"/>
          <w:marTop w:val="0"/>
          <w:marBottom w:val="0"/>
          <w:divBdr>
            <w:top w:val="none" w:sz="0" w:space="0" w:color="auto"/>
            <w:left w:val="none" w:sz="0" w:space="0" w:color="auto"/>
            <w:bottom w:val="none" w:sz="0" w:space="0" w:color="auto"/>
            <w:right w:val="none" w:sz="0" w:space="0" w:color="auto"/>
          </w:divBdr>
        </w:div>
        <w:div w:id="1246914135">
          <w:marLeft w:val="0"/>
          <w:marRight w:val="0"/>
          <w:marTop w:val="0"/>
          <w:marBottom w:val="600"/>
          <w:divBdr>
            <w:top w:val="none" w:sz="0" w:space="0" w:color="auto"/>
            <w:left w:val="none" w:sz="0" w:space="0" w:color="auto"/>
            <w:bottom w:val="none" w:sz="0" w:space="0" w:color="auto"/>
            <w:right w:val="none" w:sz="0" w:space="0" w:color="auto"/>
          </w:divBdr>
        </w:div>
      </w:divsChild>
    </w:div>
    <w:div w:id="807625879">
      <w:marLeft w:val="0"/>
      <w:marRight w:val="0"/>
      <w:marTop w:val="0"/>
      <w:marBottom w:val="0"/>
      <w:divBdr>
        <w:top w:val="none" w:sz="0" w:space="0" w:color="auto"/>
        <w:left w:val="none" w:sz="0" w:space="0" w:color="auto"/>
        <w:bottom w:val="none" w:sz="0" w:space="0" w:color="auto"/>
        <w:right w:val="none" w:sz="0" w:space="0" w:color="auto"/>
      </w:divBdr>
      <w:divsChild>
        <w:div w:id="1711416248">
          <w:marLeft w:val="0"/>
          <w:marRight w:val="0"/>
          <w:marTop w:val="547"/>
          <w:marBottom w:val="0"/>
          <w:divBdr>
            <w:top w:val="none" w:sz="0" w:space="0" w:color="auto"/>
            <w:left w:val="none" w:sz="0" w:space="0" w:color="auto"/>
            <w:bottom w:val="none" w:sz="0" w:space="0" w:color="auto"/>
            <w:right w:val="none" w:sz="0" w:space="0" w:color="auto"/>
          </w:divBdr>
        </w:div>
        <w:div w:id="1373378923">
          <w:marLeft w:val="0"/>
          <w:marRight w:val="0"/>
          <w:marTop w:val="0"/>
          <w:marBottom w:val="0"/>
          <w:divBdr>
            <w:top w:val="none" w:sz="0" w:space="0" w:color="auto"/>
            <w:left w:val="none" w:sz="0" w:space="0" w:color="auto"/>
            <w:bottom w:val="none" w:sz="0" w:space="0" w:color="auto"/>
            <w:right w:val="none" w:sz="0" w:space="0" w:color="auto"/>
          </w:divBdr>
        </w:div>
        <w:div w:id="950626219">
          <w:marLeft w:val="0"/>
          <w:marRight w:val="0"/>
          <w:marTop w:val="0"/>
          <w:marBottom w:val="600"/>
          <w:divBdr>
            <w:top w:val="none" w:sz="0" w:space="0" w:color="auto"/>
            <w:left w:val="none" w:sz="0" w:space="0" w:color="auto"/>
            <w:bottom w:val="none" w:sz="0" w:space="0" w:color="auto"/>
            <w:right w:val="none" w:sz="0" w:space="0" w:color="auto"/>
          </w:divBdr>
        </w:div>
      </w:divsChild>
    </w:div>
    <w:div w:id="820579019">
      <w:marLeft w:val="0"/>
      <w:marRight w:val="0"/>
      <w:marTop w:val="0"/>
      <w:marBottom w:val="0"/>
      <w:divBdr>
        <w:top w:val="none" w:sz="0" w:space="0" w:color="auto"/>
        <w:left w:val="none" w:sz="0" w:space="0" w:color="auto"/>
        <w:bottom w:val="none" w:sz="0" w:space="0" w:color="auto"/>
        <w:right w:val="none" w:sz="0" w:space="0" w:color="auto"/>
      </w:divBdr>
      <w:divsChild>
        <w:div w:id="566838756">
          <w:marLeft w:val="0"/>
          <w:marRight w:val="0"/>
          <w:marTop w:val="547"/>
          <w:marBottom w:val="0"/>
          <w:divBdr>
            <w:top w:val="none" w:sz="0" w:space="0" w:color="auto"/>
            <w:left w:val="none" w:sz="0" w:space="0" w:color="auto"/>
            <w:bottom w:val="none" w:sz="0" w:space="0" w:color="auto"/>
            <w:right w:val="none" w:sz="0" w:space="0" w:color="auto"/>
          </w:divBdr>
        </w:div>
        <w:div w:id="1463697572">
          <w:marLeft w:val="0"/>
          <w:marRight w:val="0"/>
          <w:marTop w:val="0"/>
          <w:marBottom w:val="0"/>
          <w:divBdr>
            <w:top w:val="none" w:sz="0" w:space="0" w:color="auto"/>
            <w:left w:val="none" w:sz="0" w:space="0" w:color="auto"/>
            <w:bottom w:val="none" w:sz="0" w:space="0" w:color="auto"/>
            <w:right w:val="none" w:sz="0" w:space="0" w:color="auto"/>
          </w:divBdr>
        </w:div>
        <w:div w:id="2073457600">
          <w:marLeft w:val="0"/>
          <w:marRight w:val="0"/>
          <w:marTop w:val="0"/>
          <w:marBottom w:val="600"/>
          <w:divBdr>
            <w:top w:val="none" w:sz="0" w:space="0" w:color="auto"/>
            <w:left w:val="none" w:sz="0" w:space="0" w:color="auto"/>
            <w:bottom w:val="none" w:sz="0" w:space="0" w:color="auto"/>
            <w:right w:val="none" w:sz="0" w:space="0" w:color="auto"/>
          </w:divBdr>
        </w:div>
      </w:divsChild>
    </w:div>
    <w:div w:id="829445798">
      <w:marLeft w:val="0"/>
      <w:marRight w:val="0"/>
      <w:marTop w:val="0"/>
      <w:marBottom w:val="0"/>
      <w:divBdr>
        <w:top w:val="none" w:sz="0" w:space="0" w:color="auto"/>
        <w:left w:val="none" w:sz="0" w:space="0" w:color="auto"/>
        <w:bottom w:val="none" w:sz="0" w:space="0" w:color="auto"/>
        <w:right w:val="none" w:sz="0" w:space="0" w:color="auto"/>
      </w:divBdr>
      <w:divsChild>
        <w:div w:id="23483254">
          <w:marLeft w:val="0"/>
          <w:marRight w:val="0"/>
          <w:marTop w:val="547"/>
          <w:marBottom w:val="0"/>
          <w:divBdr>
            <w:top w:val="none" w:sz="0" w:space="0" w:color="auto"/>
            <w:left w:val="none" w:sz="0" w:space="0" w:color="auto"/>
            <w:bottom w:val="none" w:sz="0" w:space="0" w:color="auto"/>
            <w:right w:val="none" w:sz="0" w:space="0" w:color="auto"/>
          </w:divBdr>
        </w:div>
        <w:div w:id="1929120137">
          <w:marLeft w:val="0"/>
          <w:marRight w:val="0"/>
          <w:marTop w:val="0"/>
          <w:marBottom w:val="0"/>
          <w:divBdr>
            <w:top w:val="none" w:sz="0" w:space="0" w:color="auto"/>
            <w:left w:val="none" w:sz="0" w:space="0" w:color="auto"/>
            <w:bottom w:val="none" w:sz="0" w:space="0" w:color="auto"/>
            <w:right w:val="none" w:sz="0" w:space="0" w:color="auto"/>
          </w:divBdr>
        </w:div>
        <w:div w:id="1377925450">
          <w:marLeft w:val="0"/>
          <w:marRight w:val="0"/>
          <w:marTop w:val="0"/>
          <w:marBottom w:val="600"/>
          <w:divBdr>
            <w:top w:val="none" w:sz="0" w:space="0" w:color="auto"/>
            <w:left w:val="none" w:sz="0" w:space="0" w:color="auto"/>
            <w:bottom w:val="none" w:sz="0" w:space="0" w:color="auto"/>
            <w:right w:val="none" w:sz="0" w:space="0" w:color="auto"/>
          </w:divBdr>
        </w:div>
      </w:divsChild>
    </w:div>
    <w:div w:id="854922413">
      <w:marLeft w:val="0"/>
      <w:marRight w:val="0"/>
      <w:marTop w:val="0"/>
      <w:marBottom w:val="0"/>
      <w:divBdr>
        <w:top w:val="none" w:sz="0" w:space="0" w:color="auto"/>
        <w:left w:val="none" w:sz="0" w:space="0" w:color="auto"/>
        <w:bottom w:val="none" w:sz="0" w:space="0" w:color="auto"/>
        <w:right w:val="none" w:sz="0" w:space="0" w:color="auto"/>
      </w:divBdr>
      <w:divsChild>
        <w:div w:id="993532198">
          <w:marLeft w:val="0"/>
          <w:marRight w:val="0"/>
          <w:marTop w:val="547"/>
          <w:marBottom w:val="0"/>
          <w:divBdr>
            <w:top w:val="none" w:sz="0" w:space="0" w:color="auto"/>
            <w:left w:val="none" w:sz="0" w:space="0" w:color="auto"/>
            <w:bottom w:val="none" w:sz="0" w:space="0" w:color="auto"/>
            <w:right w:val="none" w:sz="0" w:space="0" w:color="auto"/>
          </w:divBdr>
        </w:div>
        <w:div w:id="1629815119">
          <w:marLeft w:val="0"/>
          <w:marRight w:val="0"/>
          <w:marTop w:val="0"/>
          <w:marBottom w:val="0"/>
          <w:divBdr>
            <w:top w:val="none" w:sz="0" w:space="0" w:color="auto"/>
            <w:left w:val="none" w:sz="0" w:space="0" w:color="auto"/>
            <w:bottom w:val="none" w:sz="0" w:space="0" w:color="auto"/>
            <w:right w:val="none" w:sz="0" w:space="0" w:color="auto"/>
          </w:divBdr>
          <w:divsChild>
            <w:div w:id="874778152">
              <w:marLeft w:val="0"/>
              <w:marRight w:val="0"/>
              <w:marTop w:val="0"/>
              <w:marBottom w:val="0"/>
              <w:divBdr>
                <w:top w:val="none" w:sz="0" w:space="0" w:color="auto"/>
                <w:left w:val="none" w:sz="0" w:space="0" w:color="auto"/>
                <w:bottom w:val="none" w:sz="0" w:space="0" w:color="auto"/>
                <w:right w:val="none" w:sz="0" w:space="0" w:color="auto"/>
              </w:divBdr>
              <w:divsChild>
                <w:div w:id="1605334773">
                  <w:marLeft w:val="0"/>
                  <w:marRight w:val="0"/>
                  <w:marTop w:val="0"/>
                  <w:marBottom w:val="0"/>
                  <w:divBdr>
                    <w:top w:val="none" w:sz="0" w:space="0" w:color="auto"/>
                    <w:left w:val="none" w:sz="0" w:space="0" w:color="auto"/>
                    <w:bottom w:val="none" w:sz="0" w:space="0" w:color="auto"/>
                    <w:right w:val="none" w:sz="0" w:space="0" w:color="auto"/>
                  </w:divBdr>
                </w:div>
              </w:divsChild>
            </w:div>
            <w:div w:id="1380468866">
              <w:marLeft w:val="0"/>
              <w:marRight w:val="0"/>
              <w:marTop w:val="0"/>
              <w:marBottom w:val="0"/>
              <w:divBdr>
                <w:top w:val="none" w:sz="0" w:space="0" w:color="auto"/>
                <w:left w:val="none" w:sz="0" w:space="0" w:color="auto"/>
                <w:bottom w:val="none" w:sz="0" w:space="0" w:color="auto"/>
                <w:right w:val="none" w:sz="0" w:space="0" w:color="auto"/>
              </w:divBdr>
              <w:divsChild>
                <w:div w:id="367948129">
                  <w:marLeft w:val="0"/>
                  <w:marRight w:val="0"/>
                  <w:marTop w:val="0"/>
                  <w:marBottom w:val="0"/>
                  <w:divBdr>
                    <w:top w:val="none" w:sz="0" w:space="0" w:color="auto"/>
                    <w:left w:val="none" w:sz="0" w:space="0" w:color="auto"/>
                    <w:bottom w:val="none" w:sz="0" w:space="0" w:color="auto"/>
                    <w:right w:val="none" w:sz="0" w:space="0" w:color="auto"/>
                  </w:divBdr>
                </w:div>
              </w:divsChild>
            </w:div>
            <w:div w:id="1106386824">
              <w:marLeft w:val="0"/>
              <w:marRight w:val="0"/>
              <w:marTop w:val="0"/>
              <w:marBottom w:val="0"/>
              <w:divBdr>
                <w:top w:val="none" w:sz="0" w:space="0" w:color="auto"/>
                <w:left w:val="none" w:sz="0" w:space="0" w:color="auto"/>
                <w:bottom w:val="none" w:sz="0" w:space="0" w:color="auto"/>
                <w:right w:val="none" w:sz="0" w:space="0" w:color="auto"/>
              </w:divBdr>
              <w:divsChild>
                <w:div w:id="782965043">
                  <w:marLeft w:val="0"/>
                  <w:marRight w:val="0"/>
                  <w:marTop w:val="0"/>
                  <w:marBottom w:val="0"/>
                  <w:divBdr>
                    <w:top w:val="none" w:sz="0" w:space="0" w:color="auto"/>
                    <w:left w:val="none" w:sz="0" w:space="0" w:color="auto"/>
                    <w:bottom w:val="none" w:sz="0" w:space="0" w:color="auto"/>
                    <w:right w:val="none" w:sz="0" w:space="0" w:color="auto"/>
                  </w:divBdr>
                </w:div>
              </w:divsChild>
            </w:div>
            <w:div w:id="726756077">
              <w:marLeft w:val="0"/>
              <w:marRight w:val="0"/>
              <w:marTop w:val="0"/>
              <w:marBottom w:val="0"/>
              <w:divBdr>
                <w:top w:val="none" w:sz="0" w:space="0" w:color="auto"/>
                <w:left w:val="none" w:sz="0" w:space="0" w:color="auto"/>
                <w:bottom w:val="none" w:sz="0" w:space="0" w:color="auto"/>
                <w:right w:val="none" w:sz="0" w:space="0" w:color="auto"/>
              </w:divBdr>
              <w:divsChild>
                <w:div w:id="669066143">
                  <w:marLeft w:val="0"/>
                  <w:marRight w:val="0"/>
                  <w:marTop w:val="0"/>
                  <w:marBottom w:val="0"/>
                  <w:divBdr>
                    <w:top w:val="none" w:sz="0" w:space="0" w:color="auto"/>
                    <w:left w:val="none" w:sz="0" w:space="0" w:color="auto"/>
                    <w:bottom w:val="none" w:sz="0" w:space="0" w:color="auto"/>
                    <w:right w:val="none" w:sz="0" w:space="0" w:color="auto"/>
                  </w:divBdr>
                </w:div>
              </w:divsChild>
            </w:div>
            <w:div w:id="945693982">
              <w:marLeft w:val="0"/>
              <w:marRight w:val="0"/>
              <w:marTop w:val="0"/>
              <w:marBottom w:val="0"/>
              <w:divBdr>
                <w:top w:val="none" w:sz="0" w:space="0" w:color="auto"/>
                <w:left w:val="none" w:sz="0" w:space="0" w:color="auto"/>
                <w:bottom w:val="none" w:sz="0" w:space="0" w:color="auto"/>
                <w:right w:val="none" w:sz="0" w:space="0" w:color="auto"/>
              </w:divBdr>
              <w:divsChild>
                <w:div w:id="527378973">
                  <w:marLeft w:val="0"/>
                  <w:marRight w:val="0"/>
                  <w:marTop w:val="0"/>
                  <w:marBottom w:val="0"/>
                  <w:divBdr>
                    <w:top w:val="none" w:sz="0" w:space="0" w:color="auto"/>
                    <w:left w:val="none" w:sz="0" w:space="0" w:color="auto"/>
                    <w:bottom w:val="none" w:sz="0" w:space="0" w:color="auto"/>
                    <w:right w:val="none" w:sz="0" w:space="0" w:color="auto"/>
                  </w:divBdr>
                </w:div>
              </w:divsChild>
            </w:div>
            <w:div w:id="1244029723">
              <w:marLeft w:val="0"/>
              <w:marRight w:val="0"/>
              <w:marTop w:val="0"/>
              <w:marBottom w:val="0"/>
              <w:divBdr>
                <w:top w:val="none" w:sz="0" w:space="0" w:color="auto"/>
                <w:left w:val="none" w:sz="0" w:space="0" w:color="auto"/>
                <w:bottom w:val="none" w:sz="0" w:space="0" w:color="auto"/>
                <w:right w:val="none" w:sz="0" w:space="0" w:color="auto"/>
              </w:divBdr>
              <w:divsChild>
                <w:div w:id="2056394599">
                  <w:marLeft w:val="0"/>
                  <w:marRight w:val="0"/>
                  <w:marTop w:val="0"/>
                  <w:marBottom w:val="0"/>
                  <w:divBdr>
                    <w:top w:val="none" w:sz="0" w:space="0" w:color="auto"/>
                    <w:left w:val="none" w:sz="0" w:space="0" w:color="auto"/>
                    <w:bottom w:val="none" w:sz="0" w:space="0" w:color="auto"/>
                    <w:right w:val="none" w:sz="0" w:space="0" w:color="auto"/>
                  </w:divBdr>
                </w:div>
              </w:divsChild>
            </w:div>
            <w:div w:id="1139616582">
              <w:marLeft w:val="0"/>
              <w:marRight w:val="0"/>
              <w:marTop w:val="0"/>
              <w:marBottom w:val="0"/>
              <w:divBdr>
                <w:top w:val="none" w:sz="0" w:space="0" w:color="auto"/>
                <w:left w:val="none" w:sz="0" w:space="0" w:color="auto"/>
                <w:bottom w:val="none" w:sz="0" w:space="0" w:color="auto"/>
                <w:right w:val="none" w:sz="0" w:space="0" w:color="auto"/>
              </w:divBdr>
              <w:divsChild>
                <w:div w:id="741147310">
                  <w:marLeft w:val="0"/>
                  <w:marRight w:val="0"/>
                  <w:marTop w:val="0"/>
                  <w:marBottom w:val="0"/>
                  <w:divBdr>
                    <w:top w:val="none" w:sz="0" w:space="0" w:color="auto"/>
                    <w:left w:val="none" w:sz="0" w:space="0" w:color="auto"/>
                    <w:bottom w:val="none" w:sz="0" w:space="0" w:color="auto"/>
                    <w:right w:val="none" w:sz="0" w:space="0" w:color="auto"/>
                  </w:divBdr>
                </w:div>
              </w:divsChild>
            </w:div>
            <w:div w:id="1206721020">
              <w:marLeft w:val="0"/>
              <w:marRight w:val="0"/>
              <w:marTop w:val="0"/>
              <w:marBottom w:val="0"/>
              <w:divBdr>
                <w:top w:val="none" w:sz="0" w:space="0" w:color="auto"/>
                <w:left w:val="none" w:sz="0" w:space="0" w:color="auto"/>
                <w:bottom w:val="none" w:sz="0" w:space="0" w:color="auto"/>
                <w:right w:val="none" w:sz="0" w:space="0" w:color="auto"/>
              </w:divBdr>
              <w:divsChild>
                <w:div w:id="564726042">
                  <w:marLeft w:val="0"/>
                  <w:marRight w:val="0"/>
                  <w:marTop w:val="0"/>
                  <w:marBottom w:val="0"/>
                  <w:divBdr>
                    <w:top w:val="none" w:sz="0" w:space="0" w:color="auto"/>
                    <w:left w:val="none" w:sz="0" w:space="0" w:color="auto"/>
                    <w:bottom w:val="none" w:sz="0" w:space="0" w:color="auto"/>
                    <w:right w:val="none" w:sz="0" w:space="0" w:color="auto"/>
                  </w:divBdr>
                </w:div>
              </w:divsChild>
            </w:div>
            <w:div w:id="1722904419">
              <w:marLeft w:val="0"/>
              <w:marRight w:val="0"/>
              <w:marTop w:val="0"/>
              <w:marBottom w:val="0"/>
              <w:divBdr>
                <w:top w:val="none" w:sz="0" w:space="0" w:color="auto"/>
                <w:left w:val="none" w:sz="0" w:space="0" w:color="auto"/>
                <w:bottom w:val="none" w:sz="0" w:space="0" w:color="auto"/>
                <w:right w:val="none" w:sz="0" w:space="0" w:color="auto"/>
              </w:divBdr>
              <w:divsChild>
                <w:div w:id="1950042160">
                  <w:marLeft w:val="0"/>
                  <w:marRight w:val="0"/>
                  <w:marTop w:val="0"/>
                  <w:marBottom w:val="0"/>
                  <w:divBdr>
                    <w:top w:val="none" w:sz="0" w:space="0" w:color="auto"/>
                    <w:left w:val="none" w:sz="0" w:space="0" w:color="auto"/>
                    <w:bottom w:val="none" w:sz="0" w:space="0" w:color="auto"/>
                    <w:right w:val="none" w:sz="0" w:space="0" w:color="auto"/>
                  </w:divBdr>
                </w:div>
              </w:divsChild>
            </w:div>
            <w:div w:id="1096562317">
              <w:marLeft w:val="0"/>
              <w:marRight w:val="0"/>
              <w:marTop w:val="0"/>
              <w:marBottom w:val="0"/>
              <w:divBdr>
                <w:top w:val="none" w:sz="0" w:space="0" w:color="auto"/>
                <w:left w:val="none" w:sz="0" w:space="0" w:color="auto"/>
                <w:bottom w:val="none" w:sz="0" w:space="0" w:color="auto"/>
                <w:right w:val="none" w:sz="0" w:space="0" w:color="auto"/>
              </w:divBdr>
              <w:divsChild>
                <w:div w:id="1428959190">
                  <w:marLeft w:val="0"/>
                  <w:marRight w:val="0"/>
                  <w:marTop w:val="0"/>
                  <w:marBottom w:val="0"/>
                  <w:divBdr>
                    <w:top w:val="none" w:sz="0" w:space="0" w:color="auto"/>
                    <w:left w:val="none" w:sz="0" w:space="0" w:color="auto"/>
                    <w:bottom w:val="none" w:sz="0" w:space="0" w:color="auto"/>
                    <w:right w:val="none" w:sz="0" w:space="0" w:color="auto"/>
                  </w:divBdr>
                </w:div>
              </w:divsChild>
            </w:div>
            <w:div w:id="1554657183">
              <w:marLeft w:val="0"/>
              <w:marRight w:val="0"/>
              <w:marTop w:val="0"/>
              <w:marBottom w:val="0"/>
              <w:divBdr>
                <w:top w:val="none" w:sz="0" w:space="0" w:color="auto"/>
                <w:left w:val="none" w:sz="0" w:space="0" w:color="auto"/>
                <w:bottom w:val="none" w:sz="0" w:space="0" w:color="auto"/>
                <w:right w:val="none" w:sz="0" w:space="0" w:color="auto"/>
              </w:divBdr>
              <w:divsChild>
                <w:div w:id="1177115577">
                  <w:marLeft w:val="0"/>
                  <w:marRight w:val="0"/>
                  <w:marTop w:val="0"/>
                  <w:marBottom w:val="0"/>
                  <w:divBdr>
                    <w:top w:val="none" w:sz="0" w:space="0" w:color="auto"/>
                    <w:left w:val="none" w:sz="0" w:space="0" w:color="auto"/>
                    <w:bottom w:val="none" w:sz="0" w:space="0" w:color="auto"/>
                    <w:right w:val="none" w:sz="0" w:space="0" w:color="auto"/>
                  </w:divBdr>
                </w:div>
              </w:divsChild>
            </w:div>
            <w:div w:id="762725420">
              <w:marLeft w:val="0"/>
              <w:marRight w:val="0"/>
              <w:marTop w:val="0"/>
              <w:marBottom w:val="0"/>
              <w:divBdr>
                <w:top w:val="none" w:sz="0" w:space="0" w:color="auto"/>
                <w:left w:val="none" w:sz="0" w:space="0" w:color="auto"/>
                <w:bottom w:val="none" w:sz="0" w:space="0" w:color="auto"/>
                <w:right w:val="none" w:sz="0" w:space="0" w:color="auto"/>
              </w:divBdr>
              <w:divsChild>
                <w:div w:id="2088918200">
                  <w:marLeft w:val="0"/>
                  <w:marRight w:val="0"/>
                  <w:marTop w:val="0"/>
                  <w:marBottom w:val="0"/>
                  <w:divBdr>
                    <w:top w:val="none" w:sz="0" w:space="0" w:color="auto"/>
                    <w:left w:val="none" w:sz="0" w:space="0" w:color="auto"/>
                    <w:bottom w:val="none" w:sz="0" w:space="0" w:color="auto"/>
                    <w:right w:val="none" w:sz="0" w:space="0" w:color="auto"/>
                  </w:divBdr>
                </w:div>
              </w:divsChild>
            </w:div>
            <w:div w:id="1572810660">
              <w:marLeft w:val="0"/>
              <w:marRight w:val="0"/>
              <w:marTop w:val="0"/>
              <w:marBottom w:val="0"/>
              <w:divBdr>
                <w:top w:val="none" w:sz="0" w:space="0" w:color="auto"/>
                <w:left w:val="none" w:sz="0" w:space="0" w:color="auto"/>
                <w:bottom w:val="none" w:sz="0" w:space="0" w:color="auto"/>
                <w:right w:val="none" w:sz="0" w:space="0" w:color="auto"/>
              </w:divBdr>
              <w:divsChild>
                <w:div w:id="1636062036">
                  <w:marLeft w:val="0"/>
                  <w:marRight w:val="0"/>
                  <w:marTop w:val="0"/>
                  <w:marBottom w:val="0"/>
                  <w:divBdr>
                    <w:top w:val="none" w:sz="0" w:space="0" w:color="auto"/>
                    <w:left w:val="none" w:sz="0" w:space="0" w:color="auto"/>
                    <w:bottom w:val="none" w:sz="0" w:space="0" w:color="auto"/>
                    <w:right w:val="none" w:sz="0" w:space="0" w:color="auto"/>
                  </w:divBdr>
                </w:div>
              </w:divsChild>
            </w:div>
            <w:div w:id="1704939965">
              <w:marLeft w:val="0"/>
              <w:marRight w:val="0"/>
              <w:marTop w:val="0"/>
              <w:marBottom w:val="0"/>
              <w:divBdr>
                <w:top w:val="none" w:sz="0" w:space="0" w:color="auto"/>
                <w:left w:val="none" w:sz="0" w:space="0" w:color="auto"/>
                <w:bottom w:val="none" w:sz="0" w:space="0" w:color="auto"/>
                <w:right w:val="none" w:sz="0" w:space="0" w:color="auto"/>
              </w:divBdr>
              <w:divsChild>
                <w:div w:id="910775581">
                  <w:marLeft w:val="0"/>
                  <w:marRight w:val="0"/>
                  <w:marTop w:val="0"/>
                  <w:marBottom w:val="0"/>
                  <w:divBdr>
                    <w:top w:val="none" w:sz="0" w:space="0" w:color="auto"/>
                    <w:left w:val="none" w:sz="0" w:space="0" w:color="auto"/>
                    <w:bottom w:val="none" w:sz="0" w:space="0" w:color="auto"/>
                    <w:right w:val="none" w:sz="0" w:space="0" w:color="auto"/>
                  </w:divBdr>
                </w:div>
              </w:divsChild>
            </w:div>
            <w:div w:id="1031303929">
              <w:marLeft w:val="0"/>
              <w:marRight w:val="0"/>
              <w:marTop w:val="0"/>
              <w:marBottom w:val="0"/>
              <w:divBdr>
                <w:top w:val="none" w:sz="0" w:space="0" w:color="auto"/>
                <w:left w:val="none" w:sz="0" w:space="0" w:color="auto"/>
                <w:bottom w:val="none" w:sz="0" w:space="0" w:color="auto"/>
                <w:right w:val="none" w:sz="0" w:space="0" w:color="auto"/>
              </w:divBdr>
              <w:divsChild>
                <w:div w:id="1876429196">
                  <w:marLeft w:val="0"/>
                  <w:marRight w:val="0"/>
                  <w:marTop w:val="0"/>
                  <w:marBottom w:val="0"/>
                  <w:divBdr>
                    <w:top w:val="none" w:sz="0" w:space="0" w:color="auto"/>
                    <w:left w:val="none" w:sz="0" w:space="0" w:color="auto"/>
                    <w:bottom w:val="none" w:sz="0" w:space="0" w:color="auto"/>
                    <w:right w:val="none" w:sz="0" w:space="0" w:color="auto"/>
                  </w:divBdr>
                </w:div>
              </w:divsChild>
            </w:div>
            <w:div w:id="1127241108">
              <w:marLeft w:val="0"/>
              <w:marRight w:val="0"/>
              <w:marTop w:val="0"/>
              <w:marBottom w:val="0"/>
              <w:divBdr>
                <w:top w:val="none" w:sz="0" w:space="0" w:color="auto"/>
                <w:left w:val="none" w:sz="0" w:space="0" w:color="auto"/>
                <w:bottom w:val="none" w:sz="0" w:space="0" w:color="auto"/>
                <w:right w:val="none" w:sz="0" w:space="0" w:color="auto"/>
              </w:divBdr>
              <w:divsChild>
                <w:div w:id="1840148576">
                  <w:marLeft w:val="0"/>
                  <w:marRight w:val="0"/>
                  <w:marTop w:val="0"/>
                  <w:marBottom w:val="0"/>
                  <w:divBdr>
                    <w:top w:val="none" w:sz="0" w:space="0" w:color="auto"/>
                    <w:left w:val="none" w:sz="0" w:space="0" w:color="auto"/>
                    <w:bottom w:val="none" w:sz="0" w:space="0" w:color="auto"/>
                    <w:right w:val="none" w:sz="0" w:space="0" w:color="auto"/>
                  </w:divBdr>
                </w:div>
              </w:divsChild>
            </w:div>
            <w:div w:id="728184676">
              <w:marLeft w:val="0"/>
              <w:marRight w:val="0"/>
              <w:marTop w:val="0"/>
              <w:marBottom w:val="0"/>
              <w:divBdr>
                <w:top w:val="none" w:sz="0" w:space="0" w:color="auto"/>
                <w:left w:val="none" w:sz="0" w:space="0" w:color="auto"/>
                <w:bottom w:val="none" w:sz="0" w:space="0" w:color="auto"/>
                <w:right w:val="none" w:sz="0" w:space="0" w:color="auto"/>
              </w:divBdr>
              <w:divsChild>
                <w:div w:id="712538879">
                  <w:marLeft w:val="0"/>
                  <w:marRight w:val="0"/>
                  <w:marTop w:val="0"/>
                  <w:marBottom w:val="0"/>
                  <w:divBdr>
                    <w:top w:val="none" w:sz="0" w:space="0" w:color="auto"/>
                    <w:left w:val="none" w:sz="0" w:space="0" w:color="auto"/>
                    <w:bottom w:val="none" w:sz="0" w:space="0" w:color="auto"/>
                    <w:right w:val="none" w:sz="0" w:space="0" w:color="auto"/>
                  </w:divBdr>
                </w:div>
              </w:divsChild>
            </w:div>
            <w:div w:id="313415181">
              <w:marLeft w:val="0"/>
              <w:marRight w:val="0"/>
              <w:marTop w:val="0"/>
              <w:marBottom w:val="0"/>
              <w:divBdr>
                <w:top w:val="none" w:sz="0" w:space="0" w:color="auto"/>
                <w:left w:val="none" w:sz="0" w:space="0" w:color="auto"/>
                <w:bottom w:val="none" w:sz="0" w:space="0" w:color="auto"/>
                <w:right w:val="none" w:sz="0" w:space="0" w:color="auto"/>
              </w:divBdr>
              <w:divsChild>
                <w:div w:id="482934994">
                  <w:marLeft w:val="0"/>
                  <w:marRight w:val="0"/>
                  <w:marTop w:val="0"/>
                  <w:marBottom w:val="0"/>
                  <w:divBdr>
                    <w:top w:val="none" w:sz="0" w:space="0" w:color="auto"/>
                    <w:left w:val="none" w:sz="0" w:space="0" w:color="auto"/>
                    <w:bottom w:val="none" w:sz="0" w:space="0" w:color="auto"/>
                    <w:right w:val="none" w:sz="0" w:space="0" w:color="auto"/>
                  </w:divBdr>
                </w:div>
              </w:divsChild>
            </w:div>
            <w:div w:id="578442444">
              <w:marLeft w:val="0"/>
              <w:marRight w:val="0"/>
              <w:marTop w:val="0"/>
              <w:marBottom w:val="0"/>
              <w:divBdr>
                <w:top w:val="none" w:sz="0" w:space="0" w:color="auto"/>
                <w:left w:val="none" w:sz="0" w:space="0" w:color="auto"/>
                <w:bottom w:val="none" w:sz="0" w:space="0" w:color="auto"/>
                <w:right w:val="none" w:sz="0" w:space="0" w:color="auto"/>
              </w:divBdr>
              <w:divsChild>
                <w:div w:id="1490558168">
                  <w:marLeft w:val="0"/>
                  <w:marRight w:val="0"/>
                  <w:marTop w:val="0"/>
                  <w:marBottom w:val="0"/>
                  <w:divBdr>
                    <w:top w:val="none" w:sz="0" w:space="0" w:color="auto"/>
                    <w:left w:val="none" w:sz="0" w:space="0" w:color="auto"/>
                    <w:bottom w:val="none" w:sz="0" w:space="0" w:color="auto"/>
                    <w:right w:val="none" w:sz="0" w:space="0" w:color="auto"/>
                  </w:divBdr>
                </w:div>
              </w:divsChild>
            </w:div>
            <w:div w:id="114563612">
              <w:marLeft w:val="0"/>
              <w:marRight w:val="0"/>
              <w:marTop w:val="0"/>
              <w:marBottom w:val="0"/>
              <w:divBdr>
                <w:top w:val="none" w:sz="0" w:space="0" w:color="auto"/>
                <w:left w:val="none" w:sz="0" w:space="0" w:color="auto"/>
                <w:bottom w:val="none" w:sz="0" w:space="0" w:color="auto"/>
                <w:right w:val="none" w:sz="0" w:space="0" w:color="auto"/>
              </w:divBdr>
              <w:divsChild>
                <w:div w:id="895050379">
                  <w:marLeft w:val="0"/>
                  <w:marRight w:val="0"/>
                  <w:marTop w:val="0"/>
                  <w:marBottom w:val="0"/>
                  <w:divBdr>
                    <w:top w:val="none" w:sz="0" w:space="0" w:color="auto"/>
                    <w:left w:val="none" w:sz="0" w:space="0" w:color="auto"/>
                    <w:bottom w:val="none" w:sz="0" w:space="0" w:color="auto"/>
                    <w:right w:val="none" w:sz="0" w:space="0" w:color="auto"/>
                  </w:divBdr>
                </w:div>
              </w:divsChild>
            </w:div>
            <w:div w:id="346054952">
              <w:marLeft w:val="0"/>
              <w:marRight w:val="0"/>
              <w:marTop w:val="0"/>
              <w:marBottom w:val="0"/>
              <w:divBdr>
                <w:top w:val="none" w:sz="0" w:space="0" w:color="auto"/>
                <w:left w:val="none" w:sz="0" w:space="0" w:color="auto"/>
                <w:bottom w:val="none" w:sz="0" w:space="0" w:color="auto"/>
                <w:right w:val="none" w:sz="0" w:space="0" w:color="auto"/>
              </w:divBdr>
              <w:divsChild>
                <w:div w:id="973021867">
                  <w:marLeft w:val="0"/>
                  <w:marRight w:val="0"/>
                  <w:marTop w:val="0"/>
                  <w:marBottom w:val="0"/>
                  <w:divBdr>
                    <w:top w:val="none" w:sz="0" w:space="0" w:color="auto"/>
                    <w:left w:val="none" w:sz="0" w:space="0" w:color="auto"/>
                    <w:bottom w:val="none" w:sz="0" w:space="0" w:color="auto"/>
                    <w:right w:val="none" w:sz="0" w:space="0" w:color="auto"/>
                  </w:divBdr>
                </w:div>
              </w:divsChild>
            </w:div>
            <w:div w:id="1312905948">
              <w:marLeft w:val="0"/>
              <w:marRight w:val="0"/>
              <w:marTop w:val="0"/>
              <w:marBottom w:val="0"/>
              <w:divBdr>
                <w:top w:val="none" w:sz="0" w:space="0" w:color="auto"/>
                <w:left w:val="none" w:sz="0" w:space="0" w:color="auto"/>
                <w:bottom w:val="none" w:sz="0" w:space="0" w:color="auto"/>
                <w:right w:val="none" w:sz="0" w:space="0" w:color="auto"/>
              </w:divBdr>
              <w:divsChild>
                <w:div w:id="1383793229">
                  <w:marLeft w:val="0"/>
                  <w:marRight w:val="0"/>
                  <w:marTop w:val="0"/>
                  <w:marBottom w:val="0"/>
                  <w:divBdr>
                    <w:top w:val="none" w:sz="0" w:space="0" w:color="auto"/>
                    <w:left w:val="none" w:sz="0" w:space="0" w:color="auto"/>
                    <w:bottom w:val="none" w:sz="0" w:space="0" w:color="auto"/>
                    <w:right w:val="none" w:sz="0" w:space="0" w:color="auto"/>
                  </w:divBdr>
                </w:div>
              </w:divsChild>
            </w:div>
            <w:div w:id="1969973946">
              <w:marLeft w:val="0"/>
              <w:marRight w:val="0"/>
              <w:marTop w:val="0"/>
              <w:marBottom w:val="0"/>
              <w:divBdr>
                <w:top w:val="none" w:sz="0" w:space="0" w:color="auto"/>
                <w:left w:val="none" w:sz="0" w:space="0" w:color="auto"/>
                <w:bottom w:val="none" w:sz="0" w:space="0" w:color="auto"/>
                <w:right w:val="none" w:sz="0" w:space="0" w:color="auto"/>
              </w:divBdr>
              <w:divsChild>
                <w:div w:id="1042828930">
                  <w:marLeft w:val="0"/>
                  <w:marRight w:val="0"/>
                  <w:marTop w:val="0"/>
                  <w:marBottom w:val="0"/>
                  <w:divBdr>
                    <w:top w:val="none" w:sz="0" w:space="0" w:color="auto"/>
                    <w:left w:val="none" w:sz="0" w:space="0" w:color="auto"/>
                    <w:bottom w:val="none" w:sz="0" w:space="0" w:color="auto"/>
                    <w:right w:val="none" w:sz="0" w:space="0" w:color="auto"/>
                  </w:divBdr>
                </w:div>
              </w:divsChild>
            </w:div>
            <w:div w:id="1672096819">
              <w:marLeft w:val="0"/>
              <w:marRight w:val="0"/>
              <w:marTop w:val="0"/>
              <w:marBottom w:val="0"/>
              <w:divBdr>
                <w:top w:val="none" w:sz="0" w:space="0" w:color="auto"/>
                <w:left w:val="none" w:sz="0" w:space="0" w:color="auto"/>
                <w:bottom w:val="none" w:sz="0" w:space="0" w:color="auto"/>
                <w:right w:val="none" w:sz="0" w:space="0" w:color="auto"/>
              </w:divBdr>
              <w:divsChild>
                <w:div w:id="115949992">
                  <w:marLeft w:val="0"/>
                  <w:marRight w:val="0"/>
                  <w:marTop w:val="0"/>
                  <w:marBottom w:val="0"/>
                  <w:divBdr>
                    <w:top w:val="none" w:sz="0" w:space="0" w:color="auto"/>
                    <w:left w:val="none" w:sz="0" w:space="0" w:color="auto"/>
                    <w:bottom w:val="none" w:sz="0" w:space="0" w:color="auto"/>
                    <w:right w:val="none" w:sz="0" w:space="0" w:color="auto"/>
                  </w:divBdr>
                </w:div>
              </w:divsChild>
            </w:div>
            <w:div w:id="466581971">
              <w:marLeft w:val="0"/>
              <w:marRight w:val="0"/>
              <w:marTop w:val="0"/>
              <w:marBottom w:val="0"/>
              <w:divBdr>
                <w:top w:val="none" w:sz="0" w:space="0" w:color="auto"/>
                <w:left w:val="none" w:sz="0" w:space="0" w:color="auto"/>
                <w:bottom w:val="none" w:sz="0" w:space="0" w:color="auto"/>
                <w:right w:val="none" w:sz="0" w:space="0" w:color="auto"/>
              </w:divBdr>
              <w:divsChild>
                <w:div w:id="80126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7261">
          <w:marLeft w:val="0"/>
          <w:marRight w:val="0"/>
          <w:marTop w:val="0"/>
          <w:marBottom w:val="600"/>
          <w:divBdr>
            <w:top w:val="none" w:sz="0" w:space="0" w:color="auto"/>
            <w:left w:val="none" w:sz="0" w:space="0" w:color="auto"/>
            <w:bottom w:val="none" w:sz="0" w:space="0" w:color="auto"/>
            <w:right w:val="none" w:sz="0" w:space="0" w:color="auto"/>
          </w:divBdr>
        </w:div>
      </w:divsChild>
    </w:div>
    <w:div w:id="868906913">
      <w:marLeft w:val="0"/>
      <w:marRight w:val="0"/>
      <w:marTop w:val="0"/>
      <w:marBottom w:val="0"/>
      <w:divBdr>
        <w:top w:val="none" w:sz="0" w:space="0" w:color="auto"/>
        <w:left w:val="none" w:sz="0" w:space="0" w:color="auto"/>
        <w:bottom w:val="none" w:sz="0" w:space="0" w:color="auto"/>
        <w:right w:val="none" w:sz="0" w:space="0" w:color="auto"/>
      </w:divBdr>
      <w:divsChild>
        <w:div w:id="1729037745">
          <w:marLeft w:val="0"/>
          <w:marRight w:val="0"/>
          <w:marTop w:val="547"/>
          <w:marBottom w:val="0"/>
          <w:divBdr>
            <w:top w:val="none" w:sz="0" w:space="0" w:color="auto"/>
            <w:left w:val="none" w:sz="0" w:space="0" w:color="auto"/>
            <w:bottom w:val="none" w:sz="0" w:space="0" w:color="auto"/>
            <w:right w:val="none" w:sz="0" w:space="0" w:color="auto"/>
          </w:divBdr>
        </w:div>
        <w:div w:id="617639648">
          <w:marLeft w:val="0"/>
          <w:marRight w:val="0"/>
          <w:marTop w:val="0"/>
          <w:marBottom w:val="0"/>
          <w:divBdr>
            <w:top w:val="none" w:sz="0" w:space="0" w:color="auto"/>
            <w:left w:val="none" w:sz="0" w:space="0" w:color="auto"/>
            <w:bottom w:val="none" w:sz="0" w:space="0" w:color="auto"/>
            <w:right w:val="none" w:sz="0" w:space="0" w:color="auto"/>
          </w:divBdr>
        </w:div>
        <w:div w:id="1009410303">
          <w:marLeft w:val="0"/>
          <w:marRight w:val="0"/>
          <w:marTop w:val="0"/>
          <w:marBottom w:val="600"/>
          <w:divBdr>
            <w:top w:val="none" w:sz="0" w:space="0" w:color="auto"/>
            <w:left w:val="none" w:sz="0" w:space="0" w:color="auto"/>
            <w:bottom w:val="none" w:sz="0" w:space="0" w:color="auto"/>
            <w:right w:val="none" w:sz="0" w:space="0" w:color="auto"/>
          </w:divBdr>
        </w:div>
      </w:divsChild>
    </w:div>
    <w:div w:id="928855563">
      <w:marLeft w:val="0"/>
      <w:marRight w:val="0"/>
      <w:marTop w:val="0"/>
      <w:marBottom w:val="0"/>
      <w:divBdr>
        <w:top w:val="none" w:sz="0" w:space="0" w:color="auto"/>
        <w:left w:val="none" w:sz="0" w:space="0" w:color="auto"/>
        <w:bottom w:val="none" w:sz="0" w:space="0" w:color="auto"/>
        <w:right w:val="none" w:sz="0" w:space="0" w:color="auto"/>
      </w:divBdr>
      <w:divsChild>
        <w:div w:id="769198268">
          <w:marLeft w:val="0"/>
          <w:marRight w:val="0"/>
          <w:marTop w:val="547"/>
          <w:marBottom w:val="0"/>
          <w:divBdr>
            <w:top w:val="none" w:sz="0" w:space="0" w:color="auto"/>
            <w:left w:val="none" w:sz="0" w:space="0" w:color="auto"/>
            <w:bottom w:val="none" w:sz="0" w:space="0" w:color="auto"/>
            <w:right w:val="none" w:sz="0" w:space="0" w:color="auto"/>
          </w:divBdr>
        </w:div>
        <w:div w:id="10837737">
          <w:marLeft w:val="0"/>
          <w:marRight w:val="0"/>
          <w:marTop w:val="0"/>
          <w:marBottom w:val="0"/>
          <w:divBdr>
            <w:top w:val="none" w:sz="0" w:space="0" w:color="auto"/>
            <w:left w:val="none" w:sz="0" w:space="0" w:color="auto"/>
            <w:bottom w:val="none" w:sz="0" w:space="0" w:color="auto"/>
            <w:right w:val="none" w:sz="0" w:space="0" w:color="auto"/>
          </w:divBdr>
          <w:divsChild>
            <w:div w:id="1679579642">
              <w:marLeft w:val="0"/>
              <w:marRight w:val="0"/>
              <w:marTop w:val="0"/>
              <w:marBottom w:val="0"/>
              <w:divBdr>
                <w:top w:val="none" w:sz="0" w:space="0" w:color="auto"/>
                <w:left w:val="none" w:sz="0" w:space="0" w:color="auto"/>
                <w:bottom w:val="none" w:sz="0" w:space="0" w:color="auto"/>
                <w:right w:val="none" w:sz="0" w:space="0" w:color="auto"/>
              </w:divBdr>
              <w:divsChild>
                <w:div w:id="313681743">
                  <w:marLeft w:val="0"/>
                  <w:marRight w:val="0"/>
                  <w:marTop w:val="0"/>
                  <w:marBottom w:val="0"/>
                  <w:divBdr>
                    <w:top w:val="none" w:sz="0" w:space="0" w:color="auto"/>
                    <w:left w:val="none" w:sz="0" w:space="0" w:color="auto"/>
                    <w:bottom w:val="none" w:sz="0" w:space="0" w:color="auto"/>
                    <w:right w:val="none" w:sz="0" w:space="0" w:color="auto"/>
                  </w:divBdr>
                </w:div>
              </w:divsChild>
            </w:div>
            <w:div w:id="1374841994">
              <w:marLeft w:val="0"/>
              <w:marRight w:val="0"/>
              <w:marTop w:val="0"/>
              <w:marBottom w:val="0"/>
              <w:divBdr>
                <w:top w:val="none" w:sz="0" w:space="0" w:color="auto"/>
                <w:left w:val="none" w:sz="0" w:space="0" w:color="auto"/>
                <w:bottom w:val="none" w:sz="0" w:space="0" w:color="auto"/>
                <w:right w:val="none" w:sz="0" w:space="0" w:color="auto"/>
              </w:divBdr>
              <w:divsChild>
                <w:div w:id="1989238946">
                  <w:marLeft w:val="0"/>
                  <w:marRight w:val="0"/>
                  <w:marTop w:val="0"/>
                  <w:marBottom w:val="0"/>
                  <w:divBdr>
                    <w:top w:val="none" w:sz="0" w:space="0" w:color="auto"/>
                    <w:left w:val="none" w:sz="0" w:space="0" w:color="auto"/>
                    <w:bottom w:val="none" w:sz="0" w:space="0" w:color="auto"/>
                    <w:right w:val="none" w:sz="0" w:space="0" w:color="auto"/>
                  </w:divBdr>
                </w:div>
              </w:divsChild>
            </w:div>
            <w:div w:id="1197963072">
              <w:marLeft w:val="0"/>
              <w:marRight w:val="0"/>
              <w:marTop w:val="0"/>
              <w:marBottom w:val="0"/>
              <w:divBdr>
                <w:top w:val="none" w:sz="0" w:space="0" w:color="auto"/>
                <w:left w:val="none" w:sz="0" w:space="0" w:color="auto"/>
                <w:bottom w:val="none" w:sz="0" w:space="0" w:color="auto"/>
                <w:right w:val="none" w:sz="0" w:space="0" w:color="auto"/>
              </w:divBdr>
              <w:divsChild>
                <w:div w:id="77023836">
                  <w:marLeft w:val="0"/>
                  <w:marRight w:val="0"/>
                  <w:marTop w:val="0"/>
                  <w:marBottom w:val="0"/>
                  <w:divBdr>
                    <w:top w:val="none" w:sz="0" w:space="0" w:color="auto"/>
                    <w:left w:val="none" w:sz="0" w:space="0" w:color="auto"/>
                    <w:bottom w:val="none" w:sz="0" w:space="0" w:color="auto"/>
                    <w:right w:val="none" w:sz="0" w:space="0" w:color="auto"/>
                  </w:divBdr>
                </w:div>
              </w:divsChild>
            </w:div>
            <w:div w:id="318003251">
              <w:marLeft w:val="0"/>
              <w:marRight w:val="0"/>
              <w:marTop w:val="0"/>
              <w:marBottom w:val="0"/>
              <w:divBdr>
                <w:top w:val="none" w:sz="0" w:space="0" w:color="auto"/>
                <w:left w:val="none" w:sz="0" w:space="0" w:color="auto"/>
                <w:bottom w:val="none" w:sz="0" w:space="0" w:color="auto"/>
                <w:right w:val="none" w:sz="0" w:space="0" w:color="auto"/>
              </w:divBdr>
              <w:divsChild>
                <w:div w:id="124588027">
                  <w:marLeft w:val="0"/>
                  <w:marRight w:val="0"/>
                  <w:marTop w:val="0"/>
                  <w:marBottom w:val="0"/>
                  <w:divBdr>
                    <w:top w:val="none" w:sz="0" w:space="0" w:color="auto"/>
                    <w:left w:val="none" w:sz="0" w:space="0" w:color="auto"/>
                    <w:bottom w:val="none" w:sz="0" w:space="0" w:color="auto"/>
                    <w:right w:val="none" w:sz="0" w:space="0" w:color="auto"/>
                  </w:divBdr>
                </w:div>
              </w:divsChild>
            </w:div>
            <w:div w:id="1734893817">
              <w:marLeft w:val="0"/>
              <w:marRight w:val="0"/>
              <w:marTop w:val="0"/>
              <w:marBottom w:val="0"/>
              <w:divBdr>
                <w:top w:val="none" w:sz="0" w:space="0" w:color="auto"/>
                <w:left w:val="none" w:sz="0" w:space="0" w:color="auto"/>
                <w:bottom w:val="none" w:sz="0" w:space="0" w:color="auto"/>
                <w:right w:val="none" w:sz="0" w:space="0" w:color="auto"/>
              </w:divBdr>
              <w:divsChild>
                <w:div w:id="1236281957">
                  <w:marLeft w:val="0"/>
                  <w:marRight w:val="0"/>
                  <w:marTop w:val="0"/>
                  <w:marBottom w:val="0"/>
                  <w:divBdr>
                    <w:top w:val="none" w:sz="0" w:space="0" w:color="auto"/>
                    <w:left w:val="none" w:sz="0" w:space="0" w:color="auto"/>
                    <w:bottom w:val="none" w:sz="0" w:space="0" w:color="auto"/>
                    <w:right w:val="none" w:sz="0" w:space="0" w:color="auto"/>
                  </w:divBdr>
                </w:div>
              </w:divsChild>
            </w:div>
            <w:div w:id="419258972">
              <w:marLeft w:val="0"/>
              <w:marRight w:val="0"/>
              <w:marTop w:val="0"/>
              <w:marBottom w:val="0"/>
              <w:divBdr>
                <w:top w:val="none" w:sz="0" w:space="0" w:color="auto"/>
                <w:left w:val="none" w:sz="0" w:space="0" w:color="auto"/>
                <w:bottom w:val="none" w:sz="0" w:space="0" w:color="auto"/>
                <w:right w:val="none" w:sz="0" w:space="0" w:color="auto"/>
              </w:divBdr>
              <w:divsChild>
                <w:div w:id="1638687131">
                  <w:marLeft w:val="0"/>
                  <w:marRight w:val="0"/>
                  <w:marTop w:val="0"/>
                  <w:marBottom w:val="0"/>
                  <w:divBdr>
                    <w:top w:val="none" w:sz="0" w:space="0" w:color="auto"/>
                    <w:left w:val="none" w:sz="0" w:space="0" w:color="auto"/>
                    <w:bottom w:val="none" w:sz="0" w:space="0" w:color="auto"/>
                    <w:right w:val="none" w:sz="0" w:space="0" w:color="auto"/>
                  </w:divBdr>
                </w:div>
              </w:divsChild>
            </w:div>
            <w:div w:id="1838304558">
              <w:marLeft w:val="0"/>
              <w:marRight w:val="0"/>
              <w:marTop w:val="0"/>
              <w:marBottom w:val="0"/>
              <w:divBdr>
                <w:top w:val="none" w:sz="0" w:space="0" w:color="auto"/>
                <w:left w:val="none" w:sz="0" w:space="0" w:color="auto"/>
                <w:bottom w:val="none" w:sz="0" w:space="0" w:color="auto"/>
                <w:right w:val="none" w:sz="0" w:space="0" w:color="auto"/>
              </w:divBdr>
              <w:divsChild>
                <w:div w:id="111023565">
                  <w:marLeft w:val="0"/>
                  <w:marRight w:val="0"/>
                  <w:marTop w:val="0"/>
                  <w:marBottom w:val="0"/>
                  <w:divBdr>
                    <w:top w:val="none" w:sz="0" w:space="0" w:color="auto"/>
                    <w:left w:val="none" w:sz="0" w:space="0" w:color="auto"/>
                    <w:bottom w:val="none" w:sz="0" w:space="0" w:color="auto"/>
                    <w:right w:val="none" w:sz="0" w:space="0" w:color="auto"/>
                  </w:divBdr>
                </w:div>
              </w:divsChild>
            </w:div>
            <w:div w:id="1747410975">
              <w:marLeft w:val="0"/>
              <w:marRight w:val="0"/>
              <w:marTop w:val="0"/>
              <w:marBottom w:val="0"/>
              <w:divBdr>
                <w:top w:val="none" w:sz="0" w:space="0" w:color="auto"/>
                <w:left w:val="none" w:sz="0" w:space="0" w:color="auto"/>
                <w:bottom w:val="none" w:sz="0" w:space="0" w:color="auto"/>
                <w:right w:val="none" w:sz="0" w:space="0" w:color="auto"/>
              </w:divBdr>
              <w:divsChild>
                <w:div w:id="1936551373">
                  <w:marLeft w:val="0"/>
                  <w:marRight w:val="0"/>
                  <w:marTop w:val="0"/>
                  <w:marBottom w:val="0"/>
                  <w:divBdr>
                    <w:top w:val="none" w:sz="0" w:space="0" w:color="auto"/>
                    <w:left w:val="none" w:sz="0" w:space="0" w:color="auto"/>
                    <w:bottom w:val="none" w:sz="0" w:space="0" w:color="auto"/>
                    <w:right w:val="none" w:sz="0" w:space="0" w:color="auto"/>
                  </w:divBdr>
                </w:div>
              </w:divsChild>
            </w:div>
            <w:div w:id="2112387979">
              <w:marLeft w:val="0"/>
              <w:marRight w:val="0"/>
              <w:marTop w:val="0"/>
              <w:marBottom w:val="0"/>
              <w:divBdr>
                <w:top w:val="none" w:sz="0" w:space="0" w:color="auto"/>
                <w:left w:val="none" w:sz="0" w:space="0" w:color="auto"/>
                <w:bottom w:val="none" w:sz="0" w:space="0" w:color="auto"/>
                <w:right w:val="none" w:sz="0" w:space="0" w:color="auto"/>
              </w:divBdr>
              <w:divsChild>
                <w:div w:id="440221920">
                  <w:marLeft w:val="0"/>
                  <w:marRight w:val="0"/>
                  <w:marTop w:val="0"/>
                  <w:marBottom w:val="0"/>
                  <w:divBdr>
                    <w:top w:val="none" w:sz="0" w:space="0" w:color="auto"/>
                    <w:left w:val="none" w:sz="0" w:space="0" w:color="auto"/>
                    <w:bottom w:val="none" w:sz="0" w:space="0" w:color="auto"/>
                    <w:right w:val="none" w:sz="0" w:space="0" w:color="auto"/>
                  </w:divBdr>
                </w:div>
              </w:divsChild>
            </w:div>
            <w:div w:id="1040400989">
              <w:marLeft w:val="0"/>
              <w:marRight w:val="0"/>
              <w:marTop w:val="0"/>
              <w:marBottom w:val="0"/>
              <w:divBdr>
                <w:top w:val="none" w:sz="0" w:space="0" w:color="auto"/>
                <w:left w:val="none" w:sz="0" w:space="0" w:color="auto"/>
                <w:bottom w:val="none" w:sz="0" w:space="0" w:color="auto"/>
                <w:right w:val="none" w:sz="0" w:space="0" w:color="auto"/>
              </w:divBdr>
              <w:divsChild>
                <w:div w:id="1062558498">
                  <w:marLeft w:val="0"/>
                  <w:marRight w:val="0"/>
                  <w:marTop w:val="0"/>
                  <w:marBottom w:val="0"/>
                  <w:divBdr>
                    <w:top w:val="none" w:sz="0" w:space="0" w:color="auto"/>
                    <w:left w:val="none" w:sz="0" w:space="0" w:color="auto"/>
                    <w:bottom w:val="none" w:sz="0" w:space="0" w:color="auto"/>
                    <w:right w:val="none" w:sz="0" w:space="0" w:color="auto"/>
                  </w:divBdr>
                </w:div>
              </w:divsChild>
            </w:div>
            <w:div w:id="1287925205">
              <w:marLeft w:val="0"/>
              <w:marRight w:val="0"/>
              <w:marTop w:val="0"/>
              <w:marBottom w:val="0"/>
              <w:divBdr>
                <w:top w:val="none" w:sz="0" w:space="0" w:color="auto"/>
                <w:left w:val="none" w:sz="0" w:space="0" w:color="auto"/>
                <w:bottom w:val="none" w:sz="0" w:space="0" w:color="auto"/>
                <w:right w:val="none" w:sz="0" w:space="0" w:color="auto"/>
              </w:divBdr>
              <w:divsChild>
                <w:div w:id="2020697087">
                  <w:marLeft w:val="0"/>
                  <w:marRight w:val="0"/>
                  <w:marTop w:val="0"/>
                  <w:marBottom w:val="0"/>
                  <w:divBdr>
                    <w:top w:val="none" w:sz="0" w:space="0" w:color="auto"/>
                    <w:left w:val="none" w:sz="0" w:space="0" w:color="auto"/>
                    <w:bottom w:val="none" w:sz="0" w:space="0" w:color="auto"/>
                    <w:right w:val="none" w:sz="0" w:space="0" w:color="auto"/>
                  </w:divBdr>
                </w:div>
              </w:divsChild>
            </w:div>
            <w:div w:id="602107403">
              <w:marLeft w:val="0"/>
              <w:marRight w:val="0"/>
              <w:marTop w:val="0"/>
              <w:marBottom w:val="0"/>
              <w:divBdr>
                <w:top w:val="none" w:sz="0" w:space="0" w:color="auto"/>
                <w:left w:val="none" w:sz="0" w:space="0" w:color="auto"/>
                <w:bottom w:val="none" w:sz="0" w:space="0" w:color="auto"/>
                <w:right w:val="none" w:sz="0" w:space="0" w:color="auto"/>
              </w:divBdr>
              <w:divsChild>
                <w:div w:id="1673681814">
                  <w:marLeft w:val="0"/>
                  <w:marRight w:val="0"/>
                  <w:marTop w:val="0"/>
                  <w:marBottom w:val="0"/>
                  <w:divBdr>
                    <w:top w:val="none" w:sz="0" w:space="0" w:color="auto"/>
                    <w:left w:val="none" w:sz="0" w:space="0" w:color="auto"/>
                    <w:bottom w:val="none" w:sz="0" w:space="0" w:color="auto"/>
                    <w:right w:val="none" w:sz="0" w:space="0" w:color="auto"/>
                  </w:divBdr>
                </w:div>
              </w:divsChild>
            </w:div>
            <w:div w:id="16739109">
              <w:marLeft w:val="0"/>
              <w:marRight w:val="0"/>
              <w:marTop w:val="0"/>
              <w:marBottom w:val="0"/>
              <w:divBdr>
                <w:top w:val="none" w:sz="0" w:space="0" w:color="auto"/>
                <w:left w:val="none" w:sz="0" w:space="0" w:color="auto"/>
                <w:bottom w:val="none" w:sz="0" w:space="0" w:color="auto"/>
                <w:right w:val="none" w:sz="0" w:space="0" w:color="auto"/>
              </w:divBdr>
              <w:divsChild>
                <w:div w:id="1259169382">
                  <w:marLeft w:val="0"/>
                  <w:marRight w:val="0"/>
                  <w:marTop w:val="0"/>
                  <w:marBottom w:val="0"/>
                  <w:divBdr>
                    <w:top w:val="none" w:sz="0" w:space="0" w:color="auto"/>
                    <w:left w:val="none" w:sz="0" w:space="0" w:color="auto"/>
                    <w:bottom w:val="none" w:sz="0" w:space="0" w:color="auto"/>
                    <w:right w:val="none" w:sz="0" w:space="0" w:color="auto"/>
                  </w:divBdr>
                </w:div>
              </w:divsChild>
            </w:div>
            <w:div w:id="1868834124">
              <w:marLeft w:val="0"/>
              <w:marRight w:val="0"/>
              <w:marTop w:val="0"/>
              <w:marBottom w:val="0"/>
              <w:divBdr>
                <w:top w:val="none" w:sz="0" w:space="0" w:color="auto"/>
                <w:left w:val="none" w:sz="0" w:space="0" w:color="auto"/>
                <w:bottom w:val="none" w:sz="0" w:space="0" w:color="auto"/>
                <w:right w:val="none" w:sz="0" w:space="0" w:color="auto"/>
              </w:divBdr>
              <w:divsChild>
                <w:div w:id="2141995135">
                  <w:marLeft w:val="0"/>
                  <w:marRight w:val="0"/>
                  <w:marTop w:val="0"/>
                  <w:marBottom w:val="0"/>
                  <w:divBdr>
                    <w:top w:val="none" w:sz="0" w:space="0" w:color="auto"/>
                    <w:left w:val="none" w:sz="0" w:space="0" w:color="auto"/>
                    <w:bottom w:val="none" w:sz="0" w:space="0" w:color="auto"/>
                    <w:right w:val="none" w:sz="0" w:space="0" w:color="auto"/>
                  </w:divBdr>
                </w:div>
              </w:divsChild>
            </w:div>
            <w:div w:id="898444916">
              <w:marLeft w:val="0"/>
              <w:marRight w:val="0"/>
              <w:marTop w:val="0"/>
              <w:marBottom w:val="0"/>
              <w:divBdr>
                <w:top w:val="none" w:sz="0" w:space="0" w:color="auto"/>
                <w:left w:val="none" w:sz="0" w:space="0" w:color="auto"/>
                <w:bottom w:val="none" w:sz="0" w:space="0" w:color="auto"/>
                <w:right w:val="none" w:sz="0" w:space="0" w:color="auto"/>
              </w:divBdr>
              <w:divsChild>
                <w:div w:id="1490516698">
                  <w:marLeft w:val="0"/>
                  <w:marRight w:val="0"/>
                  <w:marTop w:val="0"/>
                  <w:marBottom w:val="0"/>
                  <w:divBdr>
                    <w:top w:val="none" w:sz="0" w:space="0" w:color="auto"/>
                    <w:left w:val="none" w:sz="0" w:space="0" w:color="auto"/>
                    <w:bottom w:val="none" w:sz="0" w:space="0" w:color="auto"/>
                    <w:right w:val="none" w:sz="0" w:space="0" w:color="auto"/>
                  </w:divBdr>
                </w:div>
              </w:divsChild>
            </w:div>
            <w:div w:id="299385949">
              <w:marLeft w:val="0"/>
              <w:marRight w:val="0"/>
              <w:marTop w:val="0"/>
              <w:marBottom w:val="0"/>
              <w:divBdr>
                <w:top w:val="none" w:sz="0" w:space="0" w:color="auto"/>
                <w:left w:val="none" w:sz="0" w:space="0" w:color="auto"/>
                <w:bottom w:val="none" w:sz="0" w:space="0" w:color="auto"/>
                <w:right w:val="none" w:sz="0" w:space="0" w:color="auto"/>
              </w:divBdr>
              <w:divsChild>
                <w:div w:id="767696034">
                  <w:marLeft w:val="0"/>
                  <w:marRight w:val="0"/>
                  <w:marTop w:val="0"/>
                  <w:marBottom w:val="0"/>
                  <w:divBdr>
                    <w:top w:val="none" w:sz="0" w:space="0" w:color="auto"/>
                    <w:left w:val="none" w:sz="0" w:space="0" w:color="auto"/>
                    <w:bottom w:val="none" w:sz="0" w:space="0" w:color="auto"/>
                    <w:right w:val="none" w:sz="0" w:space="0" w:color="auto"/>
                  </w:divBdr>
                </w:div>
              </w:divsChild>
            </w:div>
            <w:div w:id="273052985">
              <w:marLeft w:val="0"/>
              <w:marRight w:val="0"/>
              <w:marTop w:val="0"/>
              <w:marBottom w:val="0"/>
              <w:divBdr>
                <w:top w:val="none" w:sz="0" w:space="0" w:color="auto"/>
                <w:left w:val="none" w:sz="0" w:space="0" w:color="auto"/>
                <w:bottom w:val="none" w:sz="0" w:space="0" w:color="auto"/>
                <w:right w:val="none" w:sz="0" w:space="0" w:color="auto"/>
              </w:divBdr>
              <w:divsChild>
                <w:div w:id="1128744972">
                  <w:marLeft w:val="0"/>
                  <w:marRight w:val="0"/>
                  <w:marTop w:val="0"/>
                  <w:marBottom w:val="0"/>
                  <w:divBdr>
                    <w:top w:val="none" w:sz="0" w:space="0" w:color="auto"/>
                    <w:left w:val="none" w:sz="0" w:space="0" w:color="auto"/>
                    <w:bottom w:val="none" w:sz="0" w:space="0" w:color="auto"/>
                    <w:right w:val="none" w:sz="0" w:space="0" w:color="auto"/>
                  </w:divBdr>
                </w:div>
              </w:divsChild>
            </w:div>
            <w:div w:id="1365012597">
              <w:marLeft w:val="0"/>
              <w:marRight w:val="0"/>
              <w:marTop w:val="0"/>
              <w:marBottom w:val="0"/>
              <w:divBdr>
                <w:top w:val="none" w:sz="0" w:space="0" w:color="auto"/>
                <w:left w:val="none" w:sz="0" w:space="0" w:color="auto"/>
                <w:bottom w:val="none" w:sz="0" w:space="0" w:color="auto"/>
                <w:right w:val="none" w:sz="0" w:space="0" w:color="auto"/>
              </w:divBdr>
              <w:divsChild>
                <w:div w:id="952438747">
                  <w:marLeft w:val="0"/>
                  <w:marRight w:val="0"/>
                  <w:marTop w:val="0"/>
                  <w:marBottom w:val="0"/>
                  <w:divBdr>
                    <w:top w:val="none" w:sz="0" w:space="0" w:color="auto"/>
                    <w:left w:val="none" w:sz="0" w:space="0" w:color="auto"/>
                    <w:bottom w:val="none" w:sz="0" w:space="0" w:color="auto"/>
                    <w:right w:val="none" w:sz="0" w:space="0" w:color="auto"/>
                  </w:divBdr>
                </w:div>
              </w:divsChild>
            </w:div>
            <w:div w:id="1768770720">
              <w:marLeft w:val="0"/>
              <w:marRight w:val="0"/>
              <w:marTop w:val="0"/>
              <w:marBottom w:val="0"/>
              <w:divBdr>
                <w:top w:val="none" w:sz="0" w:space="0" w:color="auto"/>
                <w:left w:val="none" w:sz="0" w:space="0" w:color="auto"/>
                <w:bottom w:val="none" w:sz="0" w:space="0" w:color="auto"/>
                <w:right w:val="none" w:sz="0" w:space="0" w:color="auto"/>
              </w:divBdr>
              <w:divsChild>
                <w:div w:id="190035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774870">
          <w:marLeft w:val="0"/>
          <w:marRight w:val="0"/>
          <w:marTop w:val="0"/>
          <w:marBottom w:val="600"/>
          <w:divBdr>
            <w:top w:val="none" w:sz="0" w:space="0" w:color="auto"/>
            <w:left w:val="none" w:sz="0" w:space="0" w:color="auto"/>
            <w:bottom w:val="none" w:sz="0" w:space="0" w:color="auto"/>
            <w:right w:val="none" w:sz="0" w:space="0" w:color="auto"/>
          </w:divBdr>
        </w:div>
      </w:divsChild>
    </w:div>
    <w:div w:id="938029784">
      <w:marLeft w:val="0"/>
      <w:marRight w:val="0"/>
      <w:marTop w:val="0"/>
      <w:marBottom w:val="0"/>
      <w:divBdr>
        <w:top w:val="none" w:sz="0" w:space="0" w:color="auto"/>
        <w:left w:val="none" w:sz="0" w:space="0" w:color="auto"/>
        <w:bottom w:val="none" w:sz="0" w:space="0" w:color="auto"/>
        <w:right w:val="none" w:sz="0" w:space="0" w:color="auto"/>
      </w:divBdr>
      <w:divsChild>
        <w:div w:id="928973362">
          <w:marLeft w:val="0"/>
          <w:marRight w:val="0"/>
          <w:marTop w:val="547"/>
          <w:marBottom w:val="0"/>
          <w:divBdr>
            <w:top w:val="none" w:sz="0" w:space="0" w:color="auto"/>
            <w:left w:val="none" w:sz="0" w:space="0" w:color="auto"/>
            <w:bottom w:val="none" w:sz="0" w:space="0" w:color="auto"/>
            <w:right w:val="none" w:sz="0" w:space="0" w:color="auto"/>
          </w:divBdr>
        </w:div>
        <w:div w:id="427775069">
          <w:marLeft w:val="0"/>
          <w:marRight w:val="0"/>
          <w:marTop w:val="0"/>
          <w:marBottom w:val="0"/>
          <w:divBdr>
            <w:top w:val="none" w:sz="0" w:space="0" w:color="auto"/>
            <w:left w:val="none" w:sz="0" w:space="0" w:color="auto"/>
            <w:bottom w:val="none" w:sz="0" w:space="0" w:color="auto"/>
            <w:right w:val="none" w:sz="0" w:space="0" w:color="auto"/>
          </w:divBdr>
        </w:div>
        <w:div w:id="248389289">
          <w:marLeft w:val="0"/>
          <w:marRight w:val="0"/>
          <w:marTop w:val="0"/>
          <w:marBottom w:val="600"/>
          <w:divBdr>
            <w:top w:val="none" w:sz="0" w:space="0" w:color="auto"/>
            <w:left w:val="none" w:sz="0" w:space="0" w:color="auto"/>
            <w:bottom w:val="none" w:sz="0" w:space="0" w:color="auto"/>
            <w:right w:val="none" w:sz="0" w:space="0" w:color="auto"/>
          </w:divBdr>
        </w:div>
      </w:divsChild>
    </w:div>
    <w:div w:id="956914187">
      <w:marLeft w:val="0"/>
      <w:marRight w:val="0"/>
      <w:marTop w:val="0"/>
      <w:marBottom w:val="0"/>
      <w:divBdr>
        <w:top w:val="none" w:sz="0" w:space="0" w:color="auto"/>
        <w:left w:val="none" w:sz="0" w:space="0" w:color="auto"/>
        <w:bottom w:val="none" w:sz="0" w:space="0" w:color="auto"/>
        <w:right w:val="none" w:sz="0" w:space="0" w:color="auto"/>
      </w:divBdr>
      <w:divsChild>
        <w:div w:id="1372150586">
          <w:marLeft w:val="0"/>
          <w:marRight w:val="0"/>
          <w:marTop w:val="547"/>
          <w:marBottom w:val="0"/>
          <w:divBdr>
            <w:top w:val="none" w:sz="0" w:space="0" w:color="auto"/>
            <w:left w:val="none" w:sz="0" w:space="0" w:color="auto"/>
            <w:bottom w:val="none" w:sz="0" w:space="0" w:color="auto"/>
            <w:right w:val="none" w:sz="0" w:space="0" w:color="auto"/>
          </w:divBdr>
        </w:div>
        <w:div w:id="1265915488">
          <w:marLeft w:val="0"/>
          <w:marRight w:val="0"/>
          <w:marTop w:val="0"/>
          <w:marBottom w:val="0"/>
          <w:divBdr>
            <w:top w:val="none" w:sz="0" w:space="0" w:color="auto"/>
            <w:left w:val="none" w:sz="0" w:space="0" w:color="auto"/>
            <w:bottom w:val="none" w:sz="0" w:space="0" w:color="auto"/>
            <w:right w:val="none" w:sz="0" w:space="0" w:color="auto"/>
          </w:divBdr>
        </w:div>
        <w:div w:id="1161041793">
          <w:marLeft w:val="0"/>
          <w:marRight w:val="0"/>
          <w:marTop w:val="0"/>
          <w:marBottom w:val="600"/>
          <w:divBdr>
            <w:top w:val="none" w:sz="0" w:space="0" w:color="auto"/>
            <w:left w:val="none" w:sz="0" w:space="0" w:color="auto"/>
            <w:bottom w:val="none" w:sz="0" w:space="0" w:color="auto"/>
            <w:right w:val="none" w:sz="0" w:space="0" w:color="auto"/>
          </w:divBdr>
        </w:div>
      </w:divsChild>
    </w:div>
    <w:div w:id="1022634698">
      <w:marLeft w:val="0"/>
      <w:marRight w:val="0"/>
      <w:marTop w:val="0"/>
      <w:marBottom w:val="0"/>
      <w:divBdr>
        <w:top w:val="none" w:sz="0" w:space="0" w:color="auto"/>
        <w:left w:val="none" w:sz="0" w:space="0" w:color="auto"/>
        <w:bottom w:val="none" w:sz="0" w:space="0" w:color="auto"/>
        <w:right w:val="none" w:sz="0" w:space="0" w:color="auto"/>
      </w:divBdr>
      <w:divsChild>
        <w:div w:id="1299335599">
          <w:marLeft w:val="0"/>
          <w:marRight w:val="0"/>
          <w:marTop w:val="547"/>
          <w:marBottom w:val="0"/>
          <w:divBdr>
            <w:top w:val="none" w:sz="0" w:space="0" w:color="auto"/>
            <w:left w:val="none" w:sz="0" w:space="0" w:color="auto"/>
            <w:bottom w:val="none" w:sz="0" w:space="0" w:color="auto"/>
            <w:right w:val="none" w:sz="0" w:space="0" w:color="auto"/>
          </w:divBdr>
        </w:div>
        <w:div w:id="1208688502">
          <w:marLeft w:val="0"/>
          <w:marRight w:val="0"/>
          <w:marTop w:val="0"/>
          <w:marBottom w:val="0"/>
          <w:divBdr>
            <w:top w:val="none" w:sz="0" w:space="0" w:color="auto"/>
            <w:left w:val="none" w:sz="0" w:space="0" w:color="auto"/>
            <w:bottom w:val="none" w:sz="0" w:space="0" w:color="auto"/>
            <w:right w:val="none" w:sz="0" w:space="0" w:color="auto"/>
          </w:divBdr>
        </w:div>
        <w:div w:id="322196788">
          <w:marLeft w:val="0"/>
          <w:marRight w:val="0"/>
          <w:marTop w:val="0"/>
          <w:marBottom w:val="600"/>
          <w:divBdr>
            <w:top w:val="none" w:sz="0" w:space="0" w:color="auto"/>
            <w:left w:val="none" w:sz="0" w:space="0" w:color="auto"/>
            <w:bottom w:val="none" w:sz="0" w:space="0" w:color="auto"/>
            <w:right w:val="none" w:sz="0" w:space="0" w:color="auto"/>
          </w:divBdr>
        </w:div>
      </w:divsChild>
    </w:div>
    <w:div w:id="1029992872">
      <w:marLeft w:val="0"/>
      <w:marRight w:val="0"/>
      <w:marTop w:val="0"/>
      <w:marBottom w:val="0"/>
      <w:divBdr>
        <w:top w:val="none" w:sz="0" w:space="0" w:color="auto"/>
        <w:left w:val="none" w:sz="0" w:space="0" w:color="auto"/>
        <w:bottom w:val="none" w:sz="0" w:space="0" w:color="auto"/>
        <w:right w:val="none" w:sz="0" w:space="0" w:color="auto"/>
      </w:divBdr>
      <w:divsChild>
        <w:div w:id="679936848">
          <w:marLeft w:val="0"/>
          <w:marRight w:val="0"/>
          <w:marTop w:val="547"/>
          <w:marBottom w:val="0"/>
          <w:divBdr>
            <w:top w:val="none" w:sz="0" w:space="0" w:color="auto"/>
            <w:left w:val="none" w:sz="0" w:space="0" w:color="auto"/>
            <w:bottom w:val="none" w:sz="0" w:space="0" w:color="auto"/>
            <w:right w:val="none" w:sz="0" w:space="0" w:color="auto"/>
          </w:divBdr>
        </w:div>
        <w:div w:id="783888267">
          <w:marLeft w:val="0"/>
          <w:marRight w:val="0"/>
          <w:marTop w:val="0"/>
          <w:marBottom w:val="0"/>
          <w:divBdr>
            <w:top w:val="none" w:sz="0" w:space="0" w:color="auto"/>
            <w:left w:val="none" w:sz="0" w:space="0" w:color="auto"/>
            <w:bottom w:val="none" w:sz="0" w:space="0" w:color="auto"/>
            <w:right w:val="none" w:sz="0" w:space="0" w:color="auto"/>
          </w:divBdr>
        </w:div>
        <w:div w:id="226040542">
          <w:marLeft w:val="0"/>
          <w:marRight w:val="0"/>
          <w:marTop w:val="0"/>
          <w:marBottom w:val="600"/>
          <w:divBdr>
            <w:top w:val="none" w:sz="0" w:space="0" w:color="auto"/>
            <w:left w:val="none" w:sz="0" w:space="0" w:color="auto"/>
            <w:bottom w:val="none" w:sz="0" w:space="0" w:color="auto"/>
            <w:right w:val="none" w:sz="0" w:space="0" w:color="auto"/>
          </w:divBdr>
        </w:div>
      </w:divsChild>
    </w:div>
    <w:div w:id="1035083381">
      <w:marLeft w:val="0"/>
      <w:marRight w:val="0"/>
      <w:marTop w:val="0"/>
      <w:marBottom w:val="0"/>
      <w:divBdr>
        <w:top w:val="none" w:sz="0" w:space="0" w:color="auto"/>
        <w:left w:val="none" w:sz="0" w:space="0" w:color="auto"/>
        <w:bottom w:val="none" w:sz="0" w:space="0" w:color="auto"/>
        <w:right w:val="none" w:sz="0" w:space="0" w:color="auto"/>
      </w:divBdr>
      <w:divsChild>
        <w:div w:id="597450512">
          <w:marLeft w:val="0"/>
          <w:marRight w:val="0"/>
          <w:marTop w:val="547"/>
          <w:marBottom w:val="0"/>
          <w:divBdr>
            <w:top w:val="none" w:sz="0" w:space="0" w:color="auto"/>
            <w:left w:val="none" w:sz="0" w:space="0" w:color="auto"/>
            <w:bottom w:val="none" w:sz="0" w:space="0" w:color="auto"/>
            <w:right w:val="none" w:sz="0" w:space="0" w:color="auto"/>
          </w:divBdr>
        </w:div>
        <w:div w:id="1857227133">
          <w:marLeft w:val="0"/>
          <w:marRight w:val="0"/>
          <w:marTop w:val="0"/>
          <w:marBottom w:val="0"/>
          <w:divBdr>
            <w:top w:val="none" w:sz="0" w:space="0" w:color="auto"/>
            <w:left w:val="none" w:sz="0" w:space="0" w:color="auto"/>
            <w:bottom w:val="none" w:sz="0" w:space="0" w:color="auto"/>
            <w:right w:val="none" w:sz="0" w:space="0" w:color="auto"/>
          </w:divBdr>
        </w:div>
        <w:div w:id="36635236">
          <w:marLeft w:val="0"/>
          <w:marRight w:val="0"/>
          <w:marTop w:val="0"/>
          <w:marBottom w:val="600"/>
          <w:divBdr>
            <w:top w:val="none" w:sz="0" w:space="0" w:color="auto"/>
            <w:left w:val="none" w:sz="0" w:space="0" w:color="auto"/>
            <w:bottom w:val="none" w:sz="0" w:space="0" w:color="auto"/>
            <w:right w:val="none" w:sz="0" w:space="0" w:color="auto"/>
          </w:divBdr>
        </w:div>
      </w:divsChild>
    </w:div>
    <w:div w:id="1037506855">
      <w:marLeft w:val="0"/>
      <w:marRight w:val="0"/>
      <w:marTop w:val="0"/>
      <w:marBottom w:val="0"/>
      <w:divBdr>
        <w:top w:val="none" w:sz="0" w:space="0" w:color="auto"/>
        <w:left w:val="none" w:sz="0" w:space="0" w:color="auto"/>
        <w:bottom w:val="none" w:sz="0" w:space="0" w:color="auto"/>
        <w:right w:val="none" w:sz="0" w:space="0" w:color="auto"/>
      </w:divBdr>
      <w:divsChild>
        <w:div w:id="727266865">
          <w:marLeft w:val="0"/>
          <w:marRight w:val="0"/>
          <w:marTop w:val="547"/>
          <w:marBottom w:val="0"/>
          <w:divBdr>
            <w:top w:val="none" w:sz="0" w:space="0" w:color="auto"/>
            <w:left w:val="none" w:sz="0" w:space="0" w:color="auto"/>
            <w:bottom w:val="none" w:sz="0" w:space="0" w:color="auto"/>
            <w:right w:val="none" w:sz="0" w:space="0" w:color="auto"/>
          </w:divBdr>
        </w:div>
        <w:div w:id="1141966853">
          <w:marLeft w:val="0"/>
          <w:marRight w:val="0"/>
          <w:marTop w:val="0"/>
          <w:marBottom w:val="0"/>
          <w:divBdr>
            <w:top w:val="none" w:sz="0" w:space="0" w:color="auto"/>
            <w:left w:val="none" w:sz="0" w:space="0" w:color="auto"/>
            <w:bottom w:val="none" w:sz="0" w:space="0" w:color="auto"/>
            <w:right w:val="none" w:sz="0" w:space="0" w:color="auto"/>
          </w:divBdr>
        </w:div>
        <w:div w:id="979653826">
          <w:marLeft w:val="0"/>
          <w:marRight w:val="0"/>
          <w:marTop w:val="0"/>
          <w:marBottom w:val="600"/>
          <w:divBdr>
            <w:top w:val="none" w:sz="0" w:space="0" w:color="auto"/>
            <w:left w:val="none" w:sz="0" w:space="0" w:color="auto"/>
            <w:bottom w:val="none" w:sz="0" w:space="0" w:color="auto"/>
            <w:right w:val="none" w:sz="0" w:space="0" w:color="auto"/>
          </w:divBdr>
        </w:div>
      </w:divsChild>
    </w:div>
    <w:div w:id="1050694283">
      <w:marLeft w:val="0"/>
      <w:marRight w:val="0"/>
      <w:marTop w:val="0"/>
      <w:marBottom w:val="0"/>
      <w:divBdr>
        <w:top w:val="none" w:sz="0" w:space="0" w:color="auto"/>
        <w:left w:val="none" w:sz="0" w:space="0" w:color="auto"/>
        <w:bottom w:val="none" w:sz="0" w:space="0" w:color="auto"/>
        <w:right w:val="none" w:sz="0" w:space="0" w:color="auto"/>
      </w:divBdr>
      <w:divsChild>
        <w:div w:id="119300310">
          <w:marLeft w:val="0"/>
          <w:marRight w:val="0"/>
          <w:marTop w:val="547"/>
          <w:marBottom w:val="0"/>
          <w:divBdr>
            <w:top w:val="none" w:sz="0" w:space="0" w:color="auto"/>
            <w:left w:val="none" w:sz="0" w:space="0" w:color="auto"/>
            <w:bottom w:val="none" w:sz="0" w:space="0" w:color="auto"/>
            <w:right w:val="none" w:sz="0" w:space="0" w:color="auto"/>
          </w:divBdr>
        </w:div>
        <w:div w:id="1762333469">
          <w:marLeft w:val="0"/>
          <w:marRight w:val="0"/>
          <w:marTop w:val="0"/>
          <w:marBottom w:val="0"/>
          <w:divBdr>
            <w:top w:val="none" w:sz="0" w:space="0" w:color="auto"/>
            <w:left w:val="none" w:sz="0" w:space="0" w:color="auto"/>
            <w:bottom w:val="none" w:sz="0" w:space="0" w:color="auto"/>
            <w:right w:val="none" w:sz="0" w:space="0" w:color="auto"/>
          </w:divBdr>
        </w:div>
        <w:div w:id="1319923651">
          <w:marLeft w:val="0"/>
          <w:marRight w:val="0"/>
          <w:marTop w:val="0"/>
          <w:marBottom w:val="600"/>
          <w:divBdr>
            <w:top w:val="none" w:sz="0" w:space="0" w:color="auto"/>
            <w:left w:val="none" w:sz="0" w:space="0" w:color="auto"/>
            <w:bottom w:val="none" w:sz="0" w:space="0" w:color="auto"/>
            <w:right w:val="none" w:sz="0" w:space="0" w:color="auto"/>
          </w:divBdr>
        </w:div>
      </w:divsChild>
    </w:div>
    <w:div w:id="1054816880">
      <w:marLeft w:val="0"/>
      <w:marRight w:val="0"/>
      <w:marTop w:val="0"/>
      <w:marBottom w:val="0"/>
      <w:divBdr>
        <w:top w:val="none" w:sz="0" w:space="0" w:color="auto"/>
        <w:left w:val="none" w:sz="0" w:space="0" w:color="auto"/>
        <w:bottom w:val="none" w:sz="0" w:space="0" w:color="auto"/>
        <w:right w:val="none" w:sz="0" w:space="0" w:color="auto"/>
      </w:divBdr>
      <w:divsChild>
        <w:div w:id="484709595">
          <w:marLeft w:val="0"/>
          <w:marRight w:val="0"/>
          <w:marTop w:val="547"/>
          <w:marBottom w:val="0"/>
          <w:divBdr>
            <w:top w:val="none" w:sz="0" w:space="0" w:color="auto"/>
            <w:left w:val="none" w:sz="0" w:space="0" w:color="auto"/>
            <w:bottom w:val="none" w:sz="0" w:space="0" w:color="auto"/>
            <w:right w:val="none" w:sz="0" w:space="0" w:color="auto"/>
          </w:divBdr>
        </w:div>
        <w:div w:id="699666662">
          <w:marLeft w:val="0"/>
          <w:marRight w:val="0"/>
          <w:marTop w:val="0"/>
          <w:marBottom w:val="0"/>
          <w:divBdr>
            <w:top w:val="none" w:sz="0" w:space="0" w:color="auto"/>
            <w:left w:val="none" w:sz="0" w:space="0" w:color="auto"/>
            <w:bottom w:val="none" w:sz="0" w:space="0" w:color="auto"/>
            <w:right w:val="none" w:sz="0" w:space="0" w:color="auto"/>
          </w:divBdr>
        </w:div>
        <w:div w:id="1649282224">
          <w:marLeft w:val="0"/>
          <w:marRight w:val="0"/>
          <w:marTop w:val="0"/>
          <w:marBottom w:val="600"/>
          <w:divBdr>
            <w:top w:val="none" w:sz="0" w:space="0" w:color="auto"/>
            <w:left w:val="none" w:sz="0" w:space="0" w:color="auto"/>
            <w:bottom w:val="none" w:sz="0" w:space="0" w:color="auto"/>
            <w:right w:val="none" w:sz="0" w:space="0" w:color="auto"/>
          </w:divBdr>
        </w:div>
      </w:divsChild>
    </w:div>
    <w:div w:id="1102995614">
      <w:marLeft w:val="0"/>
      <w:marRight w:val="0"/>
      <w:marTop w:val="0"/>
      <w:marBottom w:val="0"/>
      <w:divBdr>
        <w:top w:val="none" w:sz="0" w:space="0" w:color="auto"/>
        <w:left w:val="none" w:sz="0" w:space="0" w:color="auto"/>
        <w:bottom w:val="none" w:sz="0" w:space="0" w:color="auto"/>
        <w:right w:val="none" w:sz="0" w:space="0" w:color="auto"/>
      </w:divBdr>
      <w:divsChild>
        <w:div w:id="1289043544">
          <w:marLeft w:val="0"/>
          <w:marRight w:val="0"/>
          <w:marTop w:val="547"/>
          <w:marBottom w:val="0"/>
          <w:divBdr>
            <w:top w:val="none" w:sz="0" w:space="0" w:color="auto"/>
            <w:left w:val="none" w:sz="0" w:space="0" w:color="auto"/>
            <w:bottom w:val="none" w:sz="0" w:space="0" w:color="auto"/>
            <w:right w:val="none" w:sz="0" w:space="0" w:color="auto"/>
          </w:divBdr>
        </w:div>
        <w:div w:id="1101923343">
          <w:marLeft w:val="0"/>
          <w:marRight w:val="0"/>
          <w:marTop w:val="0"/>
          <w:marBottom w:val="0"/>
          <w:divBdr>
            <w:top w:val="none" w:sz="0" w:space="0" w:color="auto"/>
            <w:left w:val="none" w:sz="0" w:space="0" w:color="auto"/>
            <w:bottom w:val="none" w:sz="0" w:space="0" w:color="auto"/>
            <w:right w:val="none" w:sz="0" w:space="0" w:color="auto"/>
          </w:divBdr>
        </w:div>
        <w:div w:id="1267730234">
          <w:marLeft w:val="0"/>
          <w:marRight w:val="0"/>
          <w:marTop w:val="0"/>
          <w:marBottom w:val="600"/>
          <w:divBdr>
            <w:top w:val="none" w:sz="0" w:space="0" w:color="auto"/>
            <w:left w:val="none" w:sz="0" w:space="0" w:color="auto"/>
            <w:bottom w:val="none" w:sz="0" w:space="0" w:color="auto"/>
            <w:right w:val="none" w:sz="0" w:space="0" w:color="auto"/>
          </w:divBdr>
        </w:div>
      </w:divsChild>
    </w:div>
    <w:div w:id="1108238373">
      <w:marLeft w:val="0"/>
      <w:marRight w:val="0"/>
      <w:marTop w:val="0"/>
      <w:marBottom w:val="0"/>
      <w:divBdr>
        <w:top w:val="none" w:sz="0" w:space="0" w:color="auto"/>
        <w:left w:val="none" w:sz="0" w:space="0" w:color="auto"/>
        <w:bottom w:val="none" w:sz="0" w:space="0" w:color="auto"/>
        <w:right w:val="none" w:sz="0" w:space="0" w:color="auto"/>
      </w:divBdr>
      <w:divsChild>
        <w:div w:id="1280409507">
          <w:marLeft w:val="0"/>
          <w:marRight w:val="0"/>
          <w:marTop w:val="547"/>
          <w:marBottom w:val="0"/>
          <w:divBdr>
            <w:top w:val="none" w:sz="0" w:space="0" w:color="auto"/>
            <w:left w:val="none" w:sz="0" w:space="0" w:color="auto"/>
            <w:bottom w:val="none" w:sz="0" w:space="0" w:color="auto"/>
            <w:right w:val="none" w:sz="0" w:space="0" w:color="auto"/>
          </w:divBdr>
        </w:div>
        <w:div w:id="1093280836">
          <w:marLeft w:val="0"/>
          <w:marRight w:val="0"/>
          <w:marTop w:val="0"/>
          <w:marBottom w:val="0"/>
          <w:divBdr>
            <w:top w:val="none" w:sz="0" w:space="0" w:color="auto"/>
            <w:left w:val="none" w:sz="0" w:space="0" w:color="auto"/>
            <w:bottom w:val="none" w:sz="0" w:space="0" w:color="auto"/>
            <w:right w:val="none" w:sz="0" w:space="0" w:color="auto"/>
          </w:divBdr>
        </w:div>
        <w:div w:id="1574664142">
          <w:marLeft w:val="0"/>
          <w:marRight w:val="0"/>
          <w:marTop w:val="0"/>
          <w:marBottom w:val="600"/>
          <w:divBdr>
            <w:top w:val="none" w:sz="0" w:space="0" w:color="auto"/>
            <w:left w:val="none" w:sz="0" w:space="0" w:color="auto"/>
            <w:bottom w:val="none" w:sz="0" w:space="0" w:color="auto"/>
            <w:right w:val="none" w:sz="0" w:space="0" w:color="auto"/>
          </w:divBdr>
        </w:div>
      </w:divsChild>
    </w:div>
    <w:div w:id="1128355458">
      <w:marLeft w:val="0"/>
      <w:marRight w:val="0"/>
      <w:marTop w:val="0"/>
      <w:marBottom w:val="0"/>
      <w:divBdr>
        <w:top w:val="none" w:sz="0" w:space="0" w:color="auto"/>
        <w:left w:val="none" w:sz="0" w:space="0" w:color="auto"/>
        <w:bottom w:val="none" w:sz="0" w:space="0" w:color="auto"/>
        <w:right w:val="none" w:sz="0" w:space="0" w:color="auto"/>
      </w:divBdr>
      <w:divsChild>
        <w:div w:id="283508956">
          <w:marLeft w:val="0"/>
          <w:marRight w:val="0"/>
          <w:marTop w:val="547"/>
          <w:marBottom w:val="0"/>
          <w:divBdr>
            <w:top w:val="none" w:sz="0" w:space="0" w:color="auto"/>
            <w:left w:val="none" w:sz="0" w:space="0" w:color="auto"/>
            <w:bottom w:val="none" w:sz="0" w:space="0" w:color="auto"/>
            <w:right w:val="none" w:sz="0" w:space="0" w:color="auto"/>
          </w:divBdr>
        </w:div>
        <w:div w:id="91247666">
          <w:marLeft w:val="0"/>
          <w:marRight w:val="0"/>
          <w:marTop w:val="0"/>
          <w:marBottom w:val="0"/>
          <w:divBdr>
            <w:top w:val="none" w:sz="0" w:space="0" w:color="auto"/>
            <w:left w:val="none" w:sz="0" w:space="0" w:color="auto"/>
            <w:bottom w:val="none" w:sz="0" w:space="0" w:color="auto"/>
            <w:right w:val="none" w:sz="0" w:space="0" w:color="auto"/>
          </w:divBdr>
          <w:divsChild>
            <w:div w:id="319382452">
              <w:marLeft w:val="0"/>
              <w:marRight w:val="0"/>
              <w:marTop w:val="0"/>
              <w:marBottom w:val="0"/>
              <w:divBdr>
                <w:top w:val="none" w:sz="0" w:space="0" w:color="auto"/>
                <w:left w:val="none" w:sz="0" w:space="0" w:color="auto"/>
                <w:bottom w:val="none" w:sz="0" w:space="0" w:color="auto"/>
                <w:right w:val="none" w:sz="0" w:space="0" w:color="auto"/>
              </w:divBdr>
              <w:divsChild>
                <w:div w:id="1316184358">
                  <w:marLeft w:val="0"/>
                  <w:marRight w:val="0"/>
                  <w:marTop w:val="0"/>
                  <w:marBottom w:val="0"/>
                  <w:divBdr>
                    <w:top w:val="none" w:sz="0" w:space="0" w:color="auto"/>
                    <w:left w:val="none" w:sz="0" w:space="0" w:color="auto"/>
                    <w:bottom w:val="none" w:sz="0" w:space="0" w:color="auto"/>
                    <w:right w:val="none" w:sz="0" w:space="0" w:color="auto"/>
                  </w:divBdr>
                </w:div>
              </w:divsChild>
            </w:div>
            <w:div w:id="612712902">
              <w:marLeft w:val="0"/>
              <w:marRight w:val="0"/>
              <w:marTop w:val="0"/>
              <w:marBottom w:val="0"/>
              <w:divBdr>
                <w:top w:val="none" w:sz="0" w:space="0" w:color="auto"/>
                <w:left w:val="none" w:sz="0" w:space="0" w:color="auto"/>
                <w:bottom w:val="none" w:sz="0" w:space="0" w:color="auto"/>
                <w:right w:val="none" w:sz="0" w:space="0" w:color="auto"/>
              </w:divBdr>
              <w:divsChild>
                <w:div w:id="688531400">
                  <w:marLeft w:val="0"/>
                  <w:marRight w:val="0"/>
                  <w:marTop w:val="0"/>
                  <w:marBottom w:val="0"/>
                  <w:divBdr>
                    <w:top w:val="none" w:sz="0" w:space="0" w:color="auto"/>
                    <w:left w:val="none" w:sz="0" w:space="0" w:color="auto"/>
                    <w:bottom w:val="none" w:sz="0" w:space="0" w:color="auto"/>
                    <w:right w:val="none" w:sz="0" w:space="0" w:color="auto"/>
                  </w:divBdr>
                </w:div>
              </w:divsChild>
            </w:div>
            <w:div w:id="135071257">
              <w:marLeft w:val="0"/>
              <w:marRight w:val="0"/>
              <w:marTop w:val="0"/>
              <w:marBottom w:val="0"/>
              <w:divBdr>
                <w:top w:val="none" w:sz="0" w:space="0" w:color="auto"/>
                <w:left w:val="none" w:sz="0" w:space="0" w:color="auto"/>
                <w:bottom w:val="none" w:sz="0" w:space="0" w:color="auto"/>
                <w:right w:val="none" w:sz="0" w:space="0" w:color="auto"/>
              </w:divBdr>
              <w:divsChild>
                <w:div w:id="1788351926">
                  <w:marLeft w:val="0"/>
                  <w:marRight w:val="0"/>
                  <w:marTop w:val="0"/>
                  <w:marBottom w:val="0"/>
                  <w:divBdr>
                    <w:top w:val="none" w:sz="0" w:space="0" w:color="auto"/>
                    <w:left w:val="none" w:sz="0" w:space="0" w:color="auto"/>
                    <w:bottom w:val="none" w:sz="0" w:space="0" w:color="auto"/>
                    <w:right w:val="none" w:sz="0" w:space="0" w:color="auto"/>
                  </w:divBdr>
                </w:div>
              </w:divsChild>
            </w:div>
            <w:div w:id="617952150">
              <w:marLeft w:val="0"/>
              <w:marRight w:val="0"/>
              <w:marTop w:val="0"/>
              <w:marBottom w:val="0"/>
              <w:divBdr>
                <w:top w:val="none" w:sz="0" w:space="0" w:color="auto"/>
                <w:left w:val="none" w:sz="0" w:space="0" w:color="auto"/>
                <w:bottom w:val="none" w:sz="0" w:space="0" w:color="auto"/>
                <w:right w:val="none" w:sz="0" w:space="0" w:color="auto"/>
              </w:divBdr>
              <w:divsChild>
                <w:div w:id="1739815712">
                  <w:marLeft w:val="0"/>
                  <w:marRight w:val="0"/>
                  <w:marTop w:val="0"/>
                  <w:marBottom w:val="0"/>
                  <w:divBdr>
                    <w:top w:val="none" w:sz="0" w:space="0" w:color="auto"/>
                    <w:left w:val="none" w:sz="0" w:space="0" w:color="auto"/>
                    <w:bottom w:val="none" w:sz="0" w:space="0" w:color="auto"/>
                    <w:right w:val="none" w:sz="0" w:space="0" w:color="auto"/>
                  </w:divBdr>
                </w:div>
              </w:divsChild>
            </w:div>
            <w:div w:id="1889299798">
              <w:marLeft w:val="0"/>
              <w:marRight w:val="0"/>
              <w:marTop w:val="0"/>
              <w:marBottom w:val="0"/>
              <w:divBdr>
                <w:top w:val="none" w:sz="0" w:space="0" w:color="auto"/>
                <w:left w:val="none" w:sz="0" w:space="0" w:color="auto"/>
                <w:bottom w:val="none" w:sz="0" w:space="0" w:color="auto"/>
                <w:right w:val="none" w:sz="0" w:space="0" w:color="auto"/>
              </w:divBdr>
              <w:divsChild>
                <w:div w:id="314649049">
                  <w:marLeft w:val="0"/>
                  <w:marRight w:val="0"/>
                  <w:marTop w:val="0"/>
                  <w:marBottom w:val="0"/>
                  <w:divBdr>
                    <w:top w:val="none" w:sz="0" w:space="0" w:color="auto"/>
                    <w:left w:val="none" w:sz="0" w:space="0" w:color="auto"/>
                    <w:bottom w:val="none" w:sz="0" w:space="0" w:color="auto"/>
                    <w:right w:val="none" w:sz="0" w:space="0" w:color="auto"/>
                  </w:divBdr>
                </w:div>
              </w:divsChild>
            </w:div>
            <w:div w:id="1197354503">
              <w:marLeft w:val="0"/>
              <w:marRight w:val="0"/>
              <w:marTop w:val="0"/>
              <w:marBottom w:val="0"/>
              <w:divBdr>
                <w:top w:val="none" w:sz="0" w:space="0" w:color="auto"/>
                <w:left w:val="none" w:sz="0" w:space="0" w:color="auto"/>
                <w:bottom w:val="none" w:sz="0" w:space="0" w:color="auto"/>
                <w:right w:val="none" w:sz="0" w:space="0" w:color="auto"/>
              </w:divBdr>
              <w:divsChild>
                <w:div w:id="359626609">
                  <w:marLeft w:val="0"/>
                  <w:marRight w:val="0"/>
                  <w:marTop w:val="0"/>
                  <w:marBottom w:val="0"/>
                  <w:divBdr>
                    <w:top w:val="none" w:sz="0" w:space="0" w:color="auto"/>
                    <w:left w:val="none" w:sz="0" w:space="0" w:color="auto"/>
                    <w:bottom w:val="none" w:sz="0" w:space="0" w:color="auto"/>
                    <w:right w:val="none" w:sz="0" w:space="0" w:color="auto"/>
                  </w:divBdr>
                </w:div>
              </w:divsChild>
            </w:div>
            <w:div w:id="702025920">
              <w:marLeft w:val="0"/>
              <w:marRight w:val="0"/>
              <w:marTop w:val="0"/>
              <w:marBottom w:val="0"/>
              <w:divBdr>
                <w:top w:val="none" w:sz="0" w:space="0" w:color="auto"/>
                <w:left w:val="none" w:sz="0" w:space="0" w:color="auto"/>
                <w:bottom w:val="none" w:sz="0" w:space="0" w:color="auto"/>
                <w:right w:val="none" w:sz="0" w:space="0" w:color="auto"/>
              </w:divBdr>
              <w:divsChild>
                <w:div w:id="1196576574">
                  <w:marLeft w:val="0"/>
                  <w:marRight w:val="0"/>
                  <w:marTop w:val="0"/>
                  <w:marBottom w:val="0"/>
                  <w:divBdr>
                    <w:top w:val="none" w:sz="0" w:space="0" w:color="auto"/>
                    <w:left w:val="none" w:sz="0" w:space="0" w:color="auto"/>
                    <w:bottom w:val="none" w:sz="0" w:space="0" w:color="auto"/>
                    <w:right w:val="none" w:sz="0" w:space="0" w:color="auto"/>
                  </w:divBdr>
                </w:div>
              </w:divsChild>
            </w:div>
            <w:div w:id="1898467926">
              <w:marLeft w:val="0"/>
              <w:marRight w:val="0"/>
              <w:marTop w:val="0"/>
              <w:marBottom w:val="0"/>
              <w:divBdr>
                <w:top w:val="none" w:sz="0" w:space="0" w:color="auto"/>
                <w:left w:val="none" w:sz="0" w:space="0" w:color="auto"/>
                <w:bottom w:val="none" w:sz="0" w:space="0" w:color="auto"/>
                <w:right w:val="none" w:sz="0" w:space="0" w:color="auto"/>
              </w:divBdr>
              <w:divsChild>
                <w:div w:id="884760472">
                  <w:marLeft w:val="0"/>
                  <w:marRight w:val="0"/>
                  <w:marTop w:val="0"/>
                  <w:marBottom w:val="0"/>
                  <w:divBdr>
                    <w:top w:val="none" w:sz="0" w:space="0" w:color="auto"/>
                    <w:left w:val="none" w:sz="0" w:space="0" w:color="auto"/>
                    <w:bottom w:val="none" w:sz="0" w:space="0" w:color="auto"/>
                    <w:right w:val="none" w:sz="0" w:space="0" w:color="auto"/>
                  </w:divBdr>
                </w:div>
              </w:divsChild>
            </w:div>
            <w:div w:id="1700356039">
              <w:marLeft w:val="0"/>
              <w:marRight w:val="0"/>
              <w:marTop w:val="0"/>
              <w:marBottom w:val="0"/>
              <w:divBdr>
                <w:top w:val="none" w:sz="0" w:space="0" w:color="auto"/>
                <w:left w:val="none" w:sz="0" w:space="0" w:color="auto"/>
                <w:bottom w:val="none" w:sz="0" w:space="0" w:color="auto"/>
                <w:right w:val="none" w:sz="0" w:space="0" w:color="auto"/>
              </w:divBdr>
              <w:divsChild>
                <w:div w:id="1415933846">
                  <w:marLeft w:val="0"/>
                  <w:marRight w:val="0"/>
                  <w:marTop w:val="0"/>
                  <w:marBottom w:val="0"/>
                  <w:divBdr>
                    <w:top w:val="none" w:sz="0" w:space="0" w:color="auto"/>
                    <w:left w:val="none" w:sz="0" w:space="0" w:color="auto"/>
                    <w:bottom w:val="none" w:sz="0" w:space="0" w:color="auto"/>
                    <w:right w:val="none" w:sz="0" w:space="0" w:color="auto"/>
                  </w:divBdr>
                </w:div>
              </w:divsChild>
            </w:div>
            <w:div w:id="922689853">
              <w:marLeft w:val="0"/>
              <w:marRight w:val="0"/>
              <w:marTop w:val="0"/>
              <w:marBottom w:val="0"/>
              <w:divBdr>
                <w:top w:val="none" w:sz="0" w:space="0" w:color="auto"/>
                <w:left w:val="none" w:sz="0" w:space="0" w:color="auto"/>
                <w:bottom w:val="none" w:sz="0" w:space="0" w:color="auto"/>
                <w:right w:val="none" w:sz="0" w:space="0" w:color="auto"/>
              </w:divBdr>
              <w:divsChild>
                <w:div w:id="1862351113">
                  <w:marLeft w:val="0"/>
                  <w:marRight w:val="0"/>
                  <w:marTop w:val="0"/>
                  <w:marBottom w:val="0"/>
                  <w:divBdr>
                    <w:top w:val="none" w:sz="0" w:space="0" w:color="auto"/>
                    <w:left w:val="none" w:sz="0" w:space="0" w:color="auto"/>
                    <w:bottom w:val="none" w:sz="0" w:space="0" w:color="auto"/>
                    <w:right w:val="none" w:sz="0" w:space="0" w:color="auto"/>
                  </w:divBdr>
                </w:div>
              </w:divsChild>
            </w:div>
            <w:div w:id="387997787">
              <w:marLeft w:val="0"/>
              <w:marRight w:val="0"/>
              <w:marTop w:val="0"/>
              <w:marBottom w:val="0"/>
              <w:divBdr>
                <w:top w:val="none" w:sz="0" w:space="0" w:color="auto"/>
                <w:left w:val="none" w:sz="0" w:space="0" w:color="auto"/>
                <w:bottom w:val="none" w:sz="0" w:space="0" w:color="auto"/>
                <w:right w:val="none" w:sz="0" w:space="0" w:color="auto"/>
              </w:divBdr>
              <w:divsChild>
                <w:div w:id="800341130">
                  <w:marLeft w:val="0"/>
                  <w:marRight w:val="0"/>
                  <w:marTop w:val="0"/>
                  <w:marBottom w:val="0"/>
                  <w:divBdr>
                    <w:top w:val="none" w:sz="0" w:space="0" w:color="auto"/>
                    <w:left w:val="none" w:sz="0" w:space="0" w:color="auto"/>
                    <w:bottom w:val="none" w:sz="0" w:space="0" w:color="auto"/>
                    <w:right w:val="none" w:sz="0" w:space="0" w:color="auto"/>
                  </w:divBdr>
                </w:div>
              </w:divsChild>
            </w:div>
            <w:div w:id="2113934398">
              <w:marLeft w:val="0"/>
              <w:marRight w:val="0"/>
              <w:marTop w:val="0"/>
              <w:marBottom w:val="0"/>
              <w:divBdr>
                <w:top w:val="none" w:sz="0" w:space="0" w:color="auto"/>
                <w:left w:val="none" w:sz="0" w:space="0" w:color="auto"/>
                <w:bottom w:val="none" w:sz="0" w:space="0" w:color="auto"/>
                <w:right w:val="none" w:sz="0" w:space="0" w:color="auto"/>
              </w:divBdr>
              <w:divsChild>
                <w:div w:id="449056662">
                  <w:marLeft w:val="0"/>
                  <w:marRight w:val="0"/>
                  <w:marTop w:val="0"/>
                  <w:marBottom w:val="0"/>
                  <w:divBdr>
                    <w:top w:val="none" w:sz="0" w:space="0" w:color="auto"/>
                    <w:left w:val="none" w:sz="0" w:space="0" w:color="auto"/>
                    <w:bottom w:val="none" w:sz="0" w:space="0" w:color="auto"/>
                    <w:right w:val="none" w:sz="0" w:space="0" w:color="auto"/>
                  </w:divBdr>
                </w:div>
              </w:divsChild>
            </w:div>
            <w:div w:id="551773356">
              <w:marLeft w:val="0"/>
              <w:marRight w:val="0"/>
              <w:marTop w:val="0"/>
              <w:marBottom w:val="0"/>
              <w:divBdr>
                <w:top w:val="none" w:sz="0" w:space="0" w:color="auto"/>
                <w:left w:val="none" w:sz="0" w:space="0" w:color="auto"/>
                <w:bottom w:val="none" w:sz="0" w:space="0" w:color="auto"/>
                <w:right w:val="none" w:sz="0" w:space="0" w:color="auto"/>
              </w:divBdr>
              <w:divsChild>
                <w:div w:id="550189217">
                  <w:marLeft w:val="0"/>
                  <w:marRight w:val="0"/>
                  <w:marTop w:val="0"/>
                  <w:marBottom w:val="0"/>
                  <w:divBdr>
                    <w:top w:val="none" w:sz="0" w:space="0" w:color="auto"/>
                    <w:left w:val="none" w:sz="0" w:space="0" w:color="auto"/>
                    <w:bottom w:val="none" w:sz="0" w:space="0" w:color="auto"/>
                    <w:right w:val="none" w:sz="0" w:space="0" w:color="auto"/>
                  </w:divBdr>
                </w:div>
              </w:divsChild>
            </w:div>
            <w:div w:id="2060663560">
              <w:marLeft w:val="0"/>
              <w:marRight w:val="0"/>
              <w:marTop w:val="0"/>
              <w:marBottom w:val="0"/>
              <w:divBdr>
                <w:top w:val="none" w:sz="0" w:space="0" w:color="auto"/>
                <w:left w:val="none" w:sz="0" w:space="0" w:color="auto"/>
                <w:bottom w:val="none" w:sz="0" w:space="0" w:color="auto"/>
                <w:right w:val="none" w:sz="0" w:space="0" w:color="auto"/>
              </w:divBdr>
              <w:divsChild>
                <w:div w:id="1197502455">
                  <w:marLeft w:val="0"/>
                  <w:marRight w:val="0"/>
                  <w:marTop w:val="0"/>
                  <w:marBottom w:val="0"/>
                  <w:divBdr>
                    <w:top w:val="none" w:sz="0" w:space="0" w:color="auto"/>
                    <w:left w:val="none" w:sz="0" w:space="0" w:color="auto"/>
                    <w:bottom w:val="none" w:sz="0" w:space="0" w:color="auto"/>
                    <w:right w:val="none" w:sz="0" w:space="0" w:color="auto"/>
                  </w:divBdr>
                </w:div>
              </w:divsChild>
            </w:div>
            <w:div w:id="1801459660">
              <w:marLeft w:val="0"/>
              <w:marRight w:val="0"/>
              <w:marTop w:val="0"/>
              <w:marBottom w:val="0"/>
              <w:divBdr>
                <w:top w:val="none" w:sz="0" w:space="0" w:color="auto"/>
                <w:left w:val="none" w:sz="0" w:space="0" w:color="auto"/>
                <w:bottom w:val="none" w:sz="0" w:space="0" w:color="auto"/>
                <w:right w:val="none" w:sz="0" w:space="0" w:color="auto"/>
              </w:divBdr>
              <w:divsChild>
                <w:div w:id="736124300">
                  <w:marLeft w:val="0"/>
                  <w:marRight w:val="0"/>
                  <w:marTop w:val="0"/>
                  <w:marBottom w:val="0"/>
                  <w:divBdr>
                    <w:top w:val="none" w:sz="0" w:space="0" w:color="auto"/>
                    <w:left w:val="none" w:sz="0" w:space="0" w:color="auto"/>
                    <w:bottom w:val="none" w:sz="0" w:space="0" w:color="auto"/>
                    <w:right w:val="none" w:sz="0" w:space="0" w:color="auto"/>
                  </w:divBdr>
                </w:div>
              </w:divsChild>
            </w:div>
            <w:div w:id="1334453892">
              <w:marLeft w:val="0"/>
              <w:marRight w:val="0"/>
              <w:marTop w:val="0"/>
              <w:marBottom w:val="0"/>
              <w:divBdr>
                <w:top w:val="none" w:sz="0" w:space="0" w:color="auto"/>
                <w:left w:val="none" w:sz="0" w:space="0" w:color="auto"/>
                <w:bottom w:val="none" w:sz="0" w:space="0" w:color="auto"/>
                <w:right w:val="none" w:sz="0" w:space="0" w:color="auto"/>
              </w:divBdr>
              <w:divsChild>
                <w:div w:id="16662985">
                  <w:marLeft w:val="0"/>
                  <w:marRight w:val="0"/>
                  <w:marTop w:val="0"/>
                  <w:marBottom w:val="0"/>
                  <w:divBdr>
                    <w:top w:val="none" w:sz="0" w:space="0" w:color="auto"/>
                    <w:left w:val="none" w:sz="0" w:space="0" w:color="auto"/>
                    <w:bottom w:val="none" w:sz="0" w:space="0" w:color="auto"/>
                    <w:right w:val="none" w:sz="0" w:space="0" w:color="auto"/>
                  </w:divBdr>
                </w:div>
              </w:divsChild>
            </w:div>
            <w:div w:id="1031953654">
              <w:marLeft w:val="0"/>
              <w:marRight w:val="0"/>
              <w:marTop w:val="0"/>
              <w:marBottom w:val="0"/>
              <w:divBdr>
                <w:top w:val="none" w:sz="0" w:space="0" w:color="auto"/>
                <w:left w:val="none" w:sz="0" w:space="0" w:color="auto"/>
                <w:bottom w:val="none" w:sz="0" w:space="0" w:color="auto"/>
                <w:right w:val="none" w:sz="0" w:space="0" w:color="auto"/>
              </w:divBdr>
              <w:divsChild>
                <w:div w:id="965042094">
                  <w:marLeft w:val="0"/>
                  <w:marRight w:val="0"/>
                  <w:marTop w:val="0"/>
                  <w:marBottom w:val="0"/>
                  <w:divBdr>
                    <w:top w:val="none" w:sz="0" w:space="0" w:color="auto"/>
                    <w:left w:val="none" w:sz="0" w:space="0" w:color="auto"/>
                    <w:bottom w:val="none" w:sz="0" w:space="0" w:color="auto"/>
                    <w:right w:val="none" w:sz="0" w:space="0" w:color="auto"/>
                  </w:divBdr>
                </w:div>
              </w:divsChild>
            </w:div>
            <w:div w:id="998920875">
              <w:marLeft w:val="0"/>
              <w:marRight w:val="0"/>
              <w:marTop w:val="0"/>
              <w:marBottom w:val="0"/>
              <w:divBdr>
                <w:top w:val="none" w:sz="0" w:space="0" w:color="auto"/>
                <w:left w:val="none" w:sz="0" w:space="0" w:color="auto"/>
                <w:bottom w:val="none" w:sz="0" w:space="0" w:color="auto"/>
                <w:right w:val="none" w:sz="0" w:space="0" w:color="auto"/>
              </w:divBdr>
              <w:divsChild>
                <w:div w:id="1624850565">
                  <w:marLeft w:val="0"/>
                  <w:marRight w:val="0"/>
                  <w:marTop w:val="0"/>
                  <w:marBottom w:val="0"/>
                  <w:divBdr>
                    <w:top w:val="none" w:sz="0" w:space="0" w:color="auto"/>
                    <w:left w:val="none" w:sz="0" w:space="0" w:color="auto"/>
                    <w:bottom w:val="none" w:sz="0" w:space="0" w:color="auto"/>
                    <w:right w:val="none" w:sz="0" w:space="0" w:color="auto"/>
                  </w:divBdr>
                </w:div>
              </w:divsChild>
            </w:div>
            <w:div w:id="1276793443">
              <w:marLeft w:val="0"/>
              <w:marRight w:val="0"/>
              <w:marTop w:val="0"/>
              <w:marBottom w:val="0"/>
              <w:divBdr>
                <w:top w:val="none" w:sz="0" w:space="0" w:color="auto"/>
                <w:left w:val="none" w:sz="0" w:space="0" w:color="auto"/>
                <w:bottom w:val="none" w:sz="0" w:space="0" w:color="auto"/>
                <w:right w:val="none" w:sz="0" w:space="0" w:color="auto"/>
              </w:divBdr>
              <w:divsChild>
                <w:div w:id="453404788">
                  <w:marLeft w:val="0"/>
                  <w:marRight w:val="0"/>
                  <w:marTop w:val="0"/>
                  <w:marBottom w:val="0"/>
                  <w:divBdr>
                    <w:top w:val="none" w:sz="0" w:space="0" w:color="auto"/>
                    <w:left w:val="none" w:sz="0" w:space="0" w:color="auto"/>
                    <w:bottom w:val="none" w:sz="0" w:space="0" w:color="auto"/>
                    <w:right w:val="none" w:sz="0" w:space="0" w:color="auto"/>
                  </w:divBdr>
                </w:div>
              </w:divsChild>
            </w:div>
            <w:div w:id="1504197753">
              <w:marLeft w:val="0"/>
              <w:marRight w:val="0"/>
              <w:marTop w:val="0"/>
              <w:marBottom w:val="0"/>
              <w:divBdr>
                <w:top w:val="none" w:sz="0" w:space="0" w:color="auto"/>
                <w:left w:val="none" w:sz="0" w:space="0" w:color="auto"/>
                <w:bottom w:val="none" w:sz="0" w:space="0" w:color="auto"/>
                <w:right w:val="none" w:sz="0" w:space="0" w:color="auto"/>
              </w:divBdr>
              <w:divsChild>
                <w:div w:id="1329626400">
                  <w:marLeft w:val="0"/>
                  <w:marRight w:val="0"/>
                  <w:marTop w:val="0"/>
                  <w:marBottom w:val="0"/>
                  <w:divBdr>
                    <w:top w:val="none" w:sz="0" w:space="0" w:color="auto"/>
                    <w:left w:val="none" w:sz="0" w:space="0" w:color="auto"/>
                    <w:bottom w:val="none" w:sz="0" w:space="0" w:color="auto"/>
                    <w:right w:val="none" w:sz="0" w:space="0" w:color="auto"/>
                  </w:divBdr>
                </w:div>
              </w:divsChild>
            </w:div>
            <w:div w:id="1585603278">
              <w:marLeft w:val="0"/>
              <w:marRight w:val="0"/>
              <w:marTop w:val="0"/>
              <w:marBottom w:val="0"/>
              <w:divBdr>
                <w:top w:val="none" w:sz="0" w:space="0" w:color="auto"/>
                <w:left w:val="none" w:sz="0" w:space="0" w:color="auto"/>
                <w:bottom w:val="none" w:sz="0" w:space="0" w:color="auto"/>
                <w:right w:val="none" w:sz="0" w:space="0" w:color="auto"/>
              </w:divBdr>
              <w:divsChild>
                <w:div w:id="413746567">
                  <w:marLeft w:val="0"/>
                  <w:marRight w:val="0"/>
                  <w:marTop w:val="0"/>
                  <w:marBottom w:val="0"/>
                  <w:divBdr>
                    <w:top w:val="none" w:sz="0" w:space="0" w:color="auto"/>
                    <w:left w:val="none" w:sz="0" w:space="0" w:color="auto"/>
                    <w:bottom w:val="none" w:sz="0" w:space="0" w:color="auto"/>
                    <w:right w:val="none" w:sz="0" w:space="0" w:color="auto"/>
                  </w:divBdr>
                </w:div>
              </w:divsChild>
            </w:div>
            <w:div w:id="1376274375">
              <w:marLeft w:val="0"/>
              <w:marRight w:val="0"/>
              <w:marTop w:val="0"/>
              <w:marBottom w:val="0"/>
              <w:divBdr>
                <w:top w:val="none" w:sz="0" w:space="0" w:color="auto"/>
                <w:left w:val="none" w:sz="0" w:space="0" w:color="auto"/>
                <w:bottom w:val="none" w:sz="0" w:space="0" w:color="auto"/>
                <w:right w:val="none" w:sz="0" w:space="0" w:color="auto"/>
              </w:divBdr>
              <w:divsChild>
                <w:div w:id="328602851">
                  <w:marLeft w:val="0"/>
                  <w:marRight w:val="0"/>
                  <w:marTop w:val="0"/>
                  <w:marBottom w:val="0"/>
                  <w:divBdr>
                    <w:top w:val="none" w:sz="0" w:space="0" w:color="auto"/>
                    <w:left w:val="none" w:sz="0" w:space="0" w:color="auto"/>
                    <w:bottom w:val="none" w:sz="0" w:space="0" w:color="auto"/>
                    <w:right w:val="none" w:sz="0" w:space="0" w:color="auto"/>
                  </w:divBdr>
                </w:div>
              </w:divsChild>
            </w:div>
            <w:div w:id="1884631887">
              <w:marLeft w:val="0"/>
              <w:marRight w:val="0"/>
              <w:marTop w:val="0"/>
              <w:marBottom w:val="0"/>
              <w:divBdr>
                <w:top w:val="none" w:sz="0" w:space="0" w:color="auto"/>
                <w:left w:val="none" w:sz="0" w:space="0" w:color="auto"/>
                <w:bottom w:val="none" w:sz="0" w:space="0" w:color="auto"/>
                <w:right w:val="none" w:sz="0" w:space="0" w:color="auto"/>
              </w:divBdr>
              <w:divsChild>
                <w:div w:id="875391517">
                  <w:marLeft w:val="0"/>
                  <w:marRight w:val="0"/>
                  <w:marTop w:val="0"/>
                  <w:marBottom w:val="0"/>
                  <w:divBdr>
                    <w:top w:val="none" w:sz="0" w:space="0" w:color="auto"/>
                    <w:left w:val="none" w:sz="0" w:space="0" w:color="auto"/>
                    <w:bottom w:val="none" w:sz="0" w:space="0" w:color="auto"/>
                    <w:right w:val="none" w:sz="0" w:space="0" w:color="auto"/>
                  </w:divBdr>
                </w:div>
              </w:divsChild>
            </w:div>
            <w:div w:id="1391996904">
              <w:marLeft w:val="0"/>
              <w:marRight w:val="0"/>
              <w:marTop w:val="0"/>
              <w:marBottom w:val="0"/>
              <w:divBdr>
                <w:top w:val="none" w:sz="0" w:space="0" w:color="auto"/>
                <w:left w:val="none" w:sz="0" w:space="0" w:color="auto"/>
                <w:bottom w:val="none" w:sz="0" w:space="0" w:color="auto"/>
                <w:right w:val="none" w:sz="0" w:space="0" w:color="auto"/>
              </w:divBdr>
              <w:divsChild>
                <w:div w:id="1704011097">
                  <w:marLeft w:val="0"/>
                  <w:marRight w:val="0"/>
                  <w:marTop w:val="0"/>
                  <w:marBottom w:val="0"/>
                  <w:divBdr>
                    <w:top w:val="none" w:sz="0" w:space="0" w:color="auto"/>
                    <w:left w:val="none" w:sz="0" w:space="0" w:color="auto"/>
                    <w:bottom w:val="none" w:sz="0" w:space="0" w:color="auto"/>
                    <w:right w:val="none" w:sz="0" w:space="0" w:color="auto"/>
                  </w:divBdr>
                </w:div>
              </w:divsChild>
            </w:div>
            <w:div w:id="1418750374">
              <w:marLeft w:val="0"/>
              <w:marRight w:val="0"/>
              <w:marTop w:val="0"/>
              <w:marBottom w:val="0"/>
              <w:divBdr>
                <w:top w:val="none" w:sz="0" w:space="0" w:color="auto"/>
                <w:left w:val="none" w:sz="0" w:space="0" w:color="auto"/>
                <w:bottom w:val="none" w:sz="0" w:space="0" w:color="auto"/>
                <w:right w:val="none" w:sz="0" w:space="0" w:color="auto"/>
              </w:divBdr>
              <w:divsChild>
                <w:div w:id="1703439463">
                  <w:marLeft w:val="0"/>
                  <w:marRight w:val="0"/>
                  <w:marTop w:val="0"/>
                  <w:marBottom w:val="0"/>
                  <w:divBdr>
                    <w:top w:val="none" w:sz="0" w:space="0" w:color="auto"/>
                    <w:left w:val="none" w:sz="0" w:space="0" w:color="auto"/>
                    <w:bottom w:val="none" w:sz="0" w:space="0" w:color="auto"/>
                    <w:right w:val="none" w:sz="0" w:space="0" w:color="auto"/>
                  </w:divBdr>
                </w:div>
              </w:divsChild>
            </w:div>
            <w:div w:id="66540580">
              <w:marLeft w:val="0"/>
              <w:marRight w:val="0"/>
              <w:marTop w:val="0"/>
              <w:marBottom w:val="0"/>
              <w:divBdr>
                <w:top w:val="none" w:sz="0" w:space="0" w:color="auto"/>
                <w:left w:val="none" w:sz="0" w:space="0" w:color="auto"/>
                <w:bottom w:val="none" w:sz="0" w:space="0" w:color="auto"/>
                <w:right w:val="none" w:sz="0" w:space="0" w:color="auto"/>
              </w:divBdr>
              <w:divsChild>
                <w:div w:id="56191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39727">
          <w:marLeft w:val="0"/>
          <w:marRight w:val="0"/>
          <w:marTop w:val="0"/>
          <w:marBottom w:val="600"/>
          <w:divBdr>
            <w:top w:val="none" w:sz="0" w:space="0" w:color="auto"/>
            <w:left w:val="none" w:sz="0" w:space="0" w:color="auto"/>
            <w:bottom w:val="none" w:sz="0" w:space="0" w:color="auto"/>
            <w:right w:val="none" w:sz="0" w:space="0" w:color="auto"/>
          </w:divBdr>
        </w:div>
      </w:divsChild>
    </w:div>
    <w:div w:id="1129784443">
      <w:marLeft w:val="0"/>
      <w:marRight w:val="0"/>
      <w:marTop w:val="0"/>
      <w:marBottom w:val="0"/>
      <w:divBdr>
        <w:top w:val="none" w:sz="0" w:space="0" w:color="auto"/>
        <w:left w:val="none" w:sz="0" w:space="0" w:color="auto"/>
        <w:bottom w:val="none" w:sz="0" w:space="0" w:color="auto"/>
        <w:right w:val="none" w:sz="0" w:space="0" w:color="auto"/>
      </w:divBdr>
      <w:divsChild>
        <w:div w:id="267587446">
          <w:marLeft w:val="0"/>
          <w:marRight w:val="0"/>
          <w:marTop w:val="547"/>
          <w:marBottom w:val="0"/>
          <w:divBdr>
            <w:top w:val="none" w:sz="0" w:space="0" w:color="auto"/>
            <w:left w:val="none" w:sz="0" w:space="0" w:color="auto"/>
            <w:bottom w:val="none" w:sz="0" w:space="0" w:color="auto"/>
            <w:right w:val="none" w:sz="0" w:space="0" w:color="auto"/>
          </w:divBdr>
        </w:div>
        <w:div w:id="1814710894">
          <w:marLeft w:val="0"/>
          <w:marRight w:val="0"/>
          <w:marTop w:val="0"/>
          <w:marBottom w:val="0"/>
          <w:divBdr>
            <w:top w:val="none" w:sz="0" w:space="0" w:color="auto"/>
            <w:left w:val="none" w:sz="0" w:space="0" w:color="auto"/>
            <w:bottom w:val="none" w:sz="0" w:space="0" w:color="auto"/>
            <w:right w:val="none" w:sz="0" w:space="0" w:color="auto"/>
          </w:divBdr>
          <w:divsChild>
            <w:div w:id="3753652">
              <w:marLeft w:val="0"/>
              <w:marRight w:val="0"/>
              <w:marTop w:val="0"/>
              <w:marBottom w:val="0"/>
              <w:divBdr>
                <w:top w:val="none" w:sz="0" w:space="0" w:color="auto"/>
                <w:left w:val="none" w:sz="0" w:space="0" w:color="auto"/>
                <w:bottom w:val="none" w:sz="0" w:space="0" w:color="auto"/>
                <w:right w:val="none" w:sz="0" w:space="0" w:color="auto"/>
              </w:divBdr>
              <w:divsChild>
                <w:div w:id="721950241">
                  <w:marLeft w:val="0"/>
                  <w:marRight w:val="0"/>
                  <w:marTop w:val="0"/>
                  <w:marBottom w:val="0"/>
                  <w:divBdr>
                    <w:top w:val="none" w:sz="0" w:space="0" w:color="auto"/>
                    <w:left w:val="none" w:sz="0" w:space="0" w:color="auto"/>
                    <w:bottom w:val="none" w:sz="0" w:space="0" w:color="auto"/>
                    <w:right w:val="none" w:sz="0" w:space="0" w:color="auto"/>
                  </w:divBdr>
                </w:div>
              </w:divsChild>
            </w:div>
            <w:div w:id="67311125">
              <w:marLeft w:val="0"/>
              <w:marRight w:val="0"/>
              <w:marTop w:val="0"/>
              <w:marBottom w:val="0"/>
              <w:divBdr>
                <w:top w:val="none" w:sz="0" w:space="0" w:color="auto"/>
                <w:left w:val="none" w:sz="0" w:space="0" w:color="auto"/>
                <w:bottom w:val="none" w:sz="0" w:space="0" w:color="auto"/>
                <w:right w:val="none" w:sz="0" w:space="0" w:color="auto"/>
              </w:divBdr>
              <w:divsChild>
                <w:div w:id="2051105222">
                  <w:marLeft w:val="0"/>
                  <w:marRight w:val="0"/>
                  <w:marTop w:val="0"/>
                  <w:marBottom w:val="0"/>
                  <w:divBdr>
                    <w:top w:val="none" w:sz="0" w:space="0" w:color="auto"/>
                    <w:left w:val="none" w:sz="0" w:space="0" w:color="auto"/>
                    <w:bottom w:val="none" w:sz="0" w:space="0" w:color="auto"/>
                    <w:right w:val="none" w:sz="0" w:space="0" w:color="auto"/>
                  </w:divBdr>
                </w:div>
              </w:divsChild>
            </w:div>
            <w:div w:id="2025403100">
              <w:marLeft w:val="0"/>
              <w:marRight w:val="0"/>
              <w:marTop w:val="0"/>
              <w:marBottom w:val="0"/>
              <w:divBdr>
                <w:top w:val="none" w:sz="0" w:space="0" w:color="auto"/>
                <w:left w:val="none" w:sz="0" w:space="0" w:color="auto"/>
                <w:bottom w:val="none" w:sz="0" w:space="0" w:color="auto"/>
                <w:right w:val="none" w:sz="0" w:space="0" w:color="auto"/>
              </w:divBdr>
              <w:divsChild>
                <w:div w:id="831264656">
                  <w:marLeft w:val="0"/>
                  <w:marRight w:val="0"/>
                  <w:marTop w:val="0"/>
                  <w:marBottom w:val="0"/>
                  <w:divBdr>
                    <w:top w:val="none" w:sz="0" w:space="0" w:color="auto"/>
                    <w:left w:val="none" w:sz="0" w:space="0" w:color="auto"/>
                    <w:bottom w:val="none" w:sz="0" w:space="0" w:color="auto"/>
                    <w:right w:val="none" w:sz="0" w:space="0" w:color="auto"/>
                  </w:divBdr>
                </w:div>
              </w:divsChild>
            </w:div>
            <w:div w:id="120346910">
              <w:marLeft w:val="0"/>
              <w:marRight w:val="0"/>
              <w:marTop w:val="0"/>
              <w:marBottom w:val="0"/>
              <w:divBdr>
                <w:top w:val="none" w:sz="0" w:space="0" w:color="auto"/>
                <w:left w:val="none" w:sz="0" w:space="0" w:color="auto"/>
                <w:bottom w:val="none" w:sz="0" w:space="0" w:color="auto"/>
                <w:right w:val="none" w:sz="0" w:space="0" w:color="auto"/>
              </w:divBdr>
              <w:divsChild>
                <w:div w:id="1203907794">
                  <w:marLeft w:val="0"/>
                  <w:marRight w:val="0"/>
                  <w:marTop w:val="0"/>
                  <w:marBottom w:val="0"/>
                  <w:divBdr>
                    <w:top w:val="none" w:sz="0" w:space="0" w:color="auto"/>
                    <w:left w:val="none" w:sz="0" w:space="0" w:color="auto"/>
                    <w:bottom w:val="none" w:sz="0" w:space="0" w:color="auto"/>
                    <w:right w:val="none" w:sz="0" w:space="0" w:color="auto"/>
                  </w:divBdr>
                </w:div>
              </w:divsChild>
            </w:div>
            <w:div w:id="178278268">
              <w:marLeft w:val="0"/>
              <w:marRight w:val="0"/>
              <w:marTop w:val="0"/>
              <w:marBottom w:val="0"/>
              <w:divBdr>
                <w:top w:val="none" w:sz="0" w:space="0" w:color="auto"/>
                <w:left w:val="none" w:sz="0" w:space="0" w:color="auto"/>
                <w:bottom w:val="none" w:sz="0" w:space="0" w:color="auto"/>
                <w:right w:val="none" w:sz="0" w:space="0" w:color="auto"/>
              </w:divBdr>
              <w:divsChild>
                <w:div w:id="1990475550">
                  <w:marLeft w:val="0"/>
                  <w:marRight w:val="0"/>
                  <w:marTop w:val="0"/>
                  <w:marBottom w:val="0"/>
                  <w:divBdr>
                    <w:top w:val="none" w:sz="0" w:space="0" w:color="auto"/>
                    <w:left w:val="none" w:sz="0" w:space="0" w:color="auto"/>
                    <w:bottom w:val="none" w:sz="0" w:space="0" w:color="auto"/>
                    <w:right w:val="none" w:sz="0" w:space="0" w:color="auto"/>
                  </w:divBdr>
                </w:div>
              </w:divsChild>
            </w:div>
            <w:div w:id="1882015340">
              <w:marLeft w:val="0"/>
              <w:marRight w:val="0"/>
              <w:marTop w:val="0"/>
              <w:marBottom w:val="0"/>
              <w:divBdr>
                <w:top w:val="none" w:sz="0" w:space="0" w:color="auto"/>
                <w:left w:val="none" w:sz="0" w:space="0" w:color="auto"/>
                <w:bottom w:val="none" w:sz="0" w:space="0" w:color="auto"/>
                <w:right w:val="none" w:sz="0" w:space="0" w:color="auto"/>
              </w:divBdr>
              <w:divsChild>
                <w:div w:id="1539977359">
                  <w:marLeft w:val="0"/>
                  <w:marRight w:val="0"/>
                  <w:marTop w:val="0"/>
                  <w:marBottom w:val="0"/>
                  <w:divBdr>
                    <w:top w:val="none" w:sz="0" w:space="0" w:color="auto"/>
                    <w:left w:val="none" w:sz="0" w:space="0" w:color="auto"/>
                    <w:bottom w:val="none" w:sz="0" w:space="0" w:color="auto"/>
                    <w:right w:val="none" w:sz="0" w:space="0" w:color="auto"/>
                  </w:divBdr>
                </w:div>
              </w:divsChild>
            </w:div>
            <w:div w:id="1527522904">
              <w:marLeft w:val="0"/>
              <w:marRight w:val="0"/>
              <w:marTop w:val="0"/>
              <w:marBottom w:val="0"/>
              <w:divBdr>
                <w:top w:val="none" w:sz="0" w:space="0" w:color="auto"/>
                <w:left w:val="none" w:sz="0" w:space="0" w:color="auto"/>
                <w:bottom w:val="none" w:sz="0" w:space="0" w:color="auto"/>
                <w:right w:val="none" w:sz="0" w:space="0" w:color="auto"/>
              </w:divBdr>
              <w:divsChild>
                <w:div w:id="1195800874">
                  <w:marLeft w:val="0"/>
                  <w:marRight w:val="0"/>
                  <w:marTop w:val="0"/>
                  <w:marBottom w:val="0"/>
                  <w:divBdr>
                    <w:top w:val="none" w:sz="0" w:space="0" w:color="auto"/>
                    <w:left w:val="none" w:sz="0" w:space="0" w:color="auto"/>
                    <w:bottom w:val="none" w:sz="0" w:space="0" w:color="auto"/>
                    <w:right w:val="none" w:sz="0" w:space="0" w:color="auto"/>
                  </w:divBdr>
                </w:div>
              </w:divsChild>
            </w:div>
            <w:div w:id="2125729507">
              <w:marLeft w:val="0"/>
              <w:marRight w:val="0"/>
              <w:marTop w:val="0"/>
              <w:marBottom w:val="0"/>
              <w:divBdr>
                <w:top w:val="none" w:sz="0" w:space="0" w:color="auto"/>
                <w:left w:val="none" w:sz="0" w:space="0" w:color="auto"/>
                <w:bottom w:val="none" w:sz="0" w:space="0" w:color="auto"/>
                <w:right w:val="none" w:sz="0" w:space="0" w:color="auto"/>
              </w:divBdr>
              <w:divsChild>
                <w:div w:id="322123600">
                  <w:marLeft w:val="0"/>
                  <w:marRight w:val="0"/>
                  <w:marTop w:val="0"/>
                  <w:marBottom w:val="0"/>
                  <w:divBdr>
                    <w:top w:val="none" w:sz="0" w:space="0" w:color="auto"/>
                    <w:left w:val="none" w:sz="0" w:space="0" w:color="auto"/>
                    <w:bottom w:val="none" w:sz="0" w:space="0" w:color="auto"/>
                    <w:right w:val="none" w:sz="0" w:space="0" w:color="auto"/>
                  </w:divBdr>
                </w:div>
              </w:divsChild>
            </w:div>
            <w:div w:id="443696172">
              <w:marLeft w:val="0"/>
              <w:marRight w:val="0"/>
              <w:marTop w:val="0"/>
              <w:marBottom w:val="0"/>
              <w:divBdr>
                <w:top w:val="none" w:sz="0" w:space="0" w:color="auto"/>
                <w:left w:val="none" w:sz="0" w:space="0" w:color="auto"/>
                <w:bottom w:val="none" w:sz="0" w:space="0" w:color="auto"/>
                <w:right w:val="none" w:sz="0" w:space="0" w:color="auto"/>
              </w:divBdr>
              <w:divsChild>
                <w:div w:id="385491961">
                  <w:marLeft w:val="0"/>
                  <w:marRight w:val="0"/>
                  <w:marTop w:val="0"/>
                  <w:marBottom w:val="0"/>
                  <w:divBdr>
                    <w:top w:val="none" w:sz="0" w:space="0" w:color="auto"/>
                    <w:left w:val="none" w:sz="0" w:space="0" w:color="auto"/>
                    <w:bottom w:val="none" w:sz="0" w:space="0" w:color="auto"/>
                    <w:right w:val="none" w:sz="0" w:space="0" w:color="auto"/>
                  </w:divBdr>
                </w:div>
              </w:divsChild>
            </w:div>
            <w:div w:id="982658865">
              <w:marLeft w:val="0"/>
              <w:marRight w:val="0"/>
              <w:marTop w:val="0"/>
              <w:marBottom w:val="0"/>
              <w:divBdr>
                <w:top w:val="none" w:sz="0" w:space="0" w:color="auto"/>
                <w:left w:val="none" w:sz="0" w:space="0" w:color="auto"/>
                <w:bottom w:val="none" w:sz="0" w:space="0" w:color="auto"/>
                <w:right w:val="none" w:sz="0" w:space="0" w:color="auto"/>
              </w:divBdr>
              <w:divsChild>
                <w:div w:id="1439450075">
                  <w:marLeft w:val="0"/>
                  <w:marRight w:val="0"/>
                  <w:marTop w:val="0"/>
                  <w:marBottom w:val="0"/>
                  <w:divBdr>
                    <w:top w:val="none" w:sz="0" w:space="0" w:color="auto"/>
                    <w:left w:val="none" w:sz="0" w:space="0" w:color="auto"/>
                    <w:bottom w:val="none" w:sz="0" w:space="0" w:color="auto"/>
                    <w:right w:val="none" w:sz="0" w:space="0" w:color="auto"/>
                  </w:divBdr>
                </w:div>
              </w:divsChild>
            </w:div>
            <w:div w:id="1646668106">
              <w:marLeft w:val="0"/>
              <w:marRight w:val="0"/>
              <w:marTop w:val="0"/>
              <w:marBottom w:val="0"/>
              <w:divBdr>
                <w:top w:val="none" w:sz="0" w:space="0" w:color="auto"/>
                <w:left w:val="none" w:sz="0" w:space="0" w:color="auto"/>
                <w:bottom w:val="none" w:sz="0" w:space="0" w:color="auto"/>
                <w:right w:val="none" w:sz="0" w:space="0" w:color="auto"/>
              </w:divBdr>
              <w:divsChild>
                <w:div w:id="1973245997">
                  <w:marLeft w:val="0"/>
                  <w:marRight w:val="0"/>
                  <w:marTop w:val="0"/>
                  <w:marBottom w:val="0"/>
                  <w:divBdr>
                    <w:top w:val="none" w:sz="0" w:space="0" w:color="auto"/>
                    <w:left w:val="none" w:sz="0" w:space="0" w:color="auto"/>
                    <w:bottom w:val="none" w:sz="0" w:space="0" w:color="auto"/>
                    <w:right w:val="none" w:sz="0" w:space="0" w:color="auto"/>
                  </w:divBdr>
                </w:div>
              </w:divsChild>
            </w:div>
            <w:div w:id="750464256">
              <w:marLeft w:val="0"/>
              <w:marRight w:val="0"/>
              <w:marTop w:val="0"/>
              <w:marBottom w:val="0"/>
              <w:divBdr>
                <w:top w:val="none" w:sz="0" w:space="0" w:color="auto"/>
                <w:left w:val="none" w:sz="0" w:space="0" w:color="auto"/>
                <w:bottom w:val="none" w:sz="0" w:space="0" w:color="auto"/>
                <w:right w:val="none" w:sz="0" w:space="0" w:color="auto"/>
              </w:divBdr>
              <w:divsChild>
                <w:div w:id="99037285">
                  <w:marLeft w:val="0"/>
                  <w:marRight w:val="0"/>
                  <w:marTop w:val="0"/>
                  <w:marBottom w:val="0"/>
                  <w:divBdr>
                    <w:top w:val="none" w:sz="0" w:space="0" w:color="auto"/>
                    <w:left w:val="none" w:sz="0" w:space="0" w:color="auto"/>
                    <w:bottom w:val="none" w:sz="0" w:space="0" w:color="auto"/>
                    <w:right w:val="none" w:sz="0" w:space="0" w:color="auto"/>
                  </w:divBdr>
                </w:div>
              </w:divsChild>
            </w:div>
            <w:div w:id="791635413">
              <w:marLeft w:val="0"/>
              <w:marRight w:val="0"/>
              <w:marTop w:val="0"/>
              <w:marBottom w:val="0"/>
              <w:divBdr>
                <w:top w:val="none" w:sz="0" w:space="0" w:color="auto"/>
                <w:left w:val="none" w:sz="0" w:space="0" w:color="auto"/>
                <w:bottom w:val="none" w:sz="0" w:space="0" w:color="auto"/>
                <w:right w:val="none" w:sz="0" w:space="0" w:color="auto"/>
              </w:divBdr>
              <w:divsChild>
                <w:div w:id="1577010886">
                  <w:marLeft w:val="0"/>
                  <w:marRight w:val="0"/>
                  <w:marTop w:val="0"/>
                  <w:marBottom w:val="0"/>
                  <w:divBdr>
                    <w:top w:val="none" w:sz="0" w:space="0" w:color="auto"/>
                    <w:left w:val="none" w:sz="0" w:space="0" w:color="auto"/>
                    <w:bottom w:val="none" w:sz="0" w:space="0" w:color="auto"/>
                    <w:right w:val="none" w:sz="0" w:space="0" w:color="auto"/>
                  </w:divBdr>
                </w:div>
              </w:divsChild>
            </w:div>
            <w:div w:id="733890215">
              <w:marLeft w:val="0"/>
              <w:marRight w:val="0"/>
              <w:marTop w:val="0"/>
              <w:marBottom w:val="0"/>
              <w:divBdr>
                <w:top w:val="none" w:sz="0" w:space="0" w:color="auto"/>
                <w:left w:val="none" w:sz="0" w:space="0" w:color="auto"/>
                <w:bottom w:val="none" w:sz="0" w:space="0" w:color="auto"/>
                <w:right w:val="none" w:sz="0" w:space="0" w:color="auto"/>
              </w:divBdr>
              <w:divsChild>
                <w:div w:id="916094279">
                  <w:marLeft w:val="0"/>
                  <w:marRight w:val="0"/>
                  <w:marTop w:val="0"/>
                  <w:marBottom w:val="0"/>
                  <w:divBdr>
                    <w:top w:val="none" w:sz="0" w:space="0" w:color="auto"/>
                    <w:left w:val="none" w:sz="0" w:space="0" w:color="auto"/>
                    <w:bottom w:val="none" w:sz="0" w:space="0" w:color="auto"/>
                    <w:right w:val="none" w:sz="0" w:space="0" w:color="auto"/>
                  </w:divBdr>
                </w:div>
              </w:divsChild>
            </w:div>
            <w:div w:id="1999577604">
              <w:marLeft w:val="0"/>
              <w:marRight w:val="0"/>
              <w:marTop w:val="0"/>
              <w:marBottom w:val="0"/>
              <w:divBdr>
                <w:top w:val="none" w:sz="0" w:space="0" w:color="auto"/>
                <w:left w:val="none" w:sz="0" w:space="0" w:color="auto"/>
                <w:bottom w:val="none" w:sz="0" w:space="0" w:color="auto"/>
                <w:right w:val="none" w:sz="0" w:space="0" w:color="auto"/>
              </w:divBdr>
              <w:divsChild>
                <w:div w:id="63572255">
                  <w:marLeft w:val="0"/>
                  <w:marRight w:val="0"/>
                  <w:marTop w:val="0"/>
                  <w:marBottom w:val="0"/>
                  <w:divBdr>
                    <w:top w:val="none" w:sz="0" w:space="0" w:color="auto"/>
                    <w:left w:val="none" w:sz="0" w:space="0" w:color="auto"/>
                    <w:bottom w:val="none" w:sz="0" w:space="0" w:color="auto"/>
                    <w:right w:val="none" w:sz="0" w:space="0" w:color="auto"/>
                  </w:divBdr>
                </w:div>
              </w:divsChild>
            </w:div>
            <w:div w:id="157618728">
              <w:marLeft w:val="0"/>
              <w:marRight w:val="0"/>
              <w:marTop w:val="0"/>
              <w:marBottom w:val="0"/>
              <w:divBdr>
                <w:top w:val="none" w:sz="0" w:space="0" w:color="auto"/>
                <w:left w:val="none" w:sz="0" w:space="0" w:color="auto"/>
                <w:bottom w:val="none" w:sz="0" w:space="0" w:color="auto"/>
                <w:right w:val="none" w:sz="0" w:space="0" w:color="auto"/>
              </w:divBdr>
              <w:divsChild>
                <w:div w:id="239102580">
                  <w:marLeft w:val="0"/>
                  <w:marRight w:val="0"/>
                  <w:marTop w:val="0"/>
                  <w:marBottom w:val="0"/>
                  <w:divBdr>
                    <w:top w:val="none" w:sz="0" w:space="0" w:color="auto"/>
                    <w:left w:val="none" w:sz="0" w:space="0" w:color="auto"/>
                    <w:bottom w:val="none" w:sz="0" w:space="0" w:color="auto"/>
                    <w:right w:val="none" w:sz="0" w:space="0" w:color="auto"/>
                  </w:divBdr>
                </w:div>
              </w:divsChild>
            </w:div>
            <w:div w:id="920453952">
              <w:marLeft w:val="0"/>
              <w:marRight w:val="0"/>
              <w:marTop w:val="0"/>
              <w:marBottom w:val="0"/>
              <w:divBdr>
                <w:top w:val="none" w:sz="0" w:space="0" w:color="auto"/>
                <w:left w:val="none" w:sz="0" w:space="0" w:color="auto"/>
                <w:bottom w:val="none" w:sz="0" w:space="0" w:color="auto"/>
                <w:right w:val="none" w:sz="0" w:space="0" w:color="auto"/>
              </w:divBdr>
              <w:divsChild>
                <w:div w:id="191304937">
                  <w:marLeft w:val="0"/>
                  <w:marRight w:val="0"/>
                  <w:marTop w:val="0"/>
                  <w:marBottom w:val="0"/>
                  <w:divBdr>
                    <w:top w:val="none" w:sz="0" w:space="0" w:color="auto"/>
                    <w:left w:val="none" w:sz="0" w:space="0" w:color="auto"/>
                    <w:bottom w:val="none" w:sz="0" w:space="0" w:color="auto"/>
                    <w:right w:val="none" w:sz="0" w:space="0" w:color="auto"/>
                  </w:divBdr>
                </w:div>
              </w:divsChild>
            </w:div>
            <w:div w:id="255946729">
              <w:marLeft w:val="0"/>
              <w:marRight w:val="0"/>
              <w:marTop w:val="0"/>
              <w:marBottom w:val="0"/>
              <w:divBdr>
                <w:top w:val="none" w:sz="0" w:space="0" w:color="auto"/>
                <w:left w:val="none" w:sz="0" w:space="0" w:color="auto"/>
                <w:bottom w:val="none" w:sz="0" w:space="0" w:color="auto"/>
                <w:right w:val="none" w:sz="0" w:space="0" w:color="auto"/>
              </w:divBdr>
              <w:divsChild>
                <w:div w:id="1172182828">
                  <w:marLeft w:val="0"/>
                  <w:marRight w:val="0"/>
                  <w:marTop w:val="0"/>
                  <w:marBottom w:val="0"/>
                  <w:divBdr>
                    <w:top w:val="none" w:sz="0" w:space="0" w:color="auto"/>
                    <w:left w:val="none" w:sz="0" w:space="0" w:color="auto"/>
                    <w:bottom w:val="none" w:sz="0" w:space="0" w:color="auto"/>
                    <w:right w:val="none" w:sz="0" w:space="0" w:color="auto"/>
                  </w:divBdr>
                </w:div>
              </w:divsChild>
            </w:div>
            <w:div w:id="1243181741">
              <w:marLeft w:val="0"/>
              <w:marRight w:val="0"/>
              <w:marTop w:val="0"/>
              <w:marBottom w:val="0"/>
              <w:divBdr>
                <w:top w:val="none" w:sz="0" w:space="0" w:color="auto"/>
                <w:left w:val="none" w:sz="0" w:space="0" w:color="auto"/>
                <w:bottom w:val="none" w:sz="0" w:space="0" w:color="auto"/>
                <w:right w:val="none" w:sz="0" w:space="0" w:color="auto"/>
              </w:divBdr>
              <w:divsChild>
                <w:div w:id="2032797465">
                  <w:marLeft w:val="0"/>
                  <w:marRight w:val="0"/>
                  <w:marTop w:val="0"/>
                  <w:marBottom w:val="0"/>
                  <w:divBdr>
                    <w:top w:val="none" w:sz="0" w:space="0" w:color="auto"/>
                    <w:left w:val="none" w:sz="0" w:space="0" w:color="auto"/>
                    <w:bottom w:val="none" w:sz="0" w:space="0" w:color="auto"/>
                    <w:right w:val="none" w:sz="0" w:space="0" w:color="auto"/>
                  </w:divBdr>
                </w:div>
              </w:divsChild>
            </w:div>
            <w:div w:id="1644699943">
              <w:marLeft w:val="0"/>
              <w:marRight w:val="0"/>
              <w:marTop w:val="0"/>
              <w:marBottom w:val="0"/>
              <w:divBdr>
                <w:top w:val="none" w:sz="0" w:space="0" w:color="auto"/>
                <w:left w:val="none" w:sz="0" w:space="0" w:color="auto"/>
                <w:bottom w:val="none" w:sz="0" w:space="0" w:color="auto"/>
                <w:right w:val="none" w:sz="0" w:space="0" w:color="auto"/>
              </w:divBdr>
              <w:divsChild>
                <w:div w:id="2086218554">
                  <w:marLeft w:val="0"/>
                  <w:marRight w:val="0"/>
                  <w:marTop w:val="0"/>
                  <w:marBottom w:val="0"/>
                  <w:divBdr>
                    <w:top w:val="none" w:sz="0" w:space="0" w:color="auto"/>
                    <w:left w:val="none" w:sz="0" w:space="0" w:color="auto"/>
                    <w:bottom w:val="none" w:sz="0" w:space="0" w:color="auto"/>
                    <w:right w:val="none" w:sz="0" w:space="0" w:color="auto"/>
                  </w:divBdr>
                </w:div>
              </w:divsChild>
            </w:div>
            <w:div w:id="1735396470">
              <w:marLeft w:val="0"/>
              <w:marRight w:val="0"/>
              <w:marTop w:val="0"/>
              <w:marBottom w:val="0"/>
              <w:divBdr>
                <w:top w:val="none" w:sz="0" w:space="0" w:color="auto"/>
                <w:left w:val="none" w:sz="0" w:space="0" w:color="auto"/>
                <w:bottom w:val="none" w:sz="0" w:space="0" w:color="auto"/>
                <w:right w:val="none" w:sz="0" w:space="0" w:color="auto"/>
              </w:divBdr>
              <w:divsChild>
                <w:div w:id="1677222681">
                  <w:marLeft w:val="0"/>
                  <w:marRight w:val="0"/>
                  <w:marTop w:val="0"/>
                  <w:marBottom w:val="0"/>
                  <w:divBdr>
                    <w:top w:val="none" w:sz="0" w:space="0" w:color="auto"/>
                    <w:left w:val="none" w:sz="0" w:space="0" w:color="auto"/>
                    <w:bottom w:val="none" w:sz="0" w:space="0" w:color="auto"/>
                    <w:right w:val="none" w:sz="0" w:space="0" w:color="auto"/>
                  </w:divBdr>
                </w:div>
              </w:divsChild>
            </w:div>
            <w:div w:id="1394499946">
              <w:marLeft w:val="0"/>
              <w:marRight w:val="0"/>
              <w:marTop w:val="0"/>
              <w:marBottom w:val="0"/>
              <w:divBdr>
                <w:top w:val="none" w:sz="0" w:space="0" w:color="auto"/>
                <w:left w:val="none" w:sz="0" w:space="0" w:color="auto"/>
                <w:bottom w:val="none" w:sz="0" w:space="0" w:color="auto"/>
                <w:right w:val="none" w:sz="0" w:space="0" w:color="auto"/>
              </w:divBdr>
              <w:divsChild>
                <w:div w:id="90862809">
                  <w:marLeft w:val="0"/>
                  <w:marRight w:val="0"/>
                  <w:marTop w:val="0"/>
                  <w:marBottom w:val="0"/>
                  <w:divBdr>
                    <w:top w:val="none" w:sz="0" w:space="0" w:color="auto"/>
                    <w:left w:val="none" w:sz="0" w:space="0" w:color="auto"/>
                    <w:bottom w:val="none" w:sz="0" w:space="0" w:color="auto"/>
                    <w:right w:val="none" w:sz="0" w:space="0" w:color="auto"/>
                  </w:divBdr>
                </w:div>
              </w:divsChild>
            </w:div>
            <w:div w:id="279459229">
              <w:marLeft w:val="0"/>
              <w:marRight w:val="0"/>
              <w:marTop w:val="0"/>
              <w:marBottom w:val="0"/>
              <w:divBdr>
                <w:top w:val="none" w:sz="0" w:space="0" w:color="auto"/>
                <w:left w:val="none" w:sz="0" w:space="0" w:color="auto"/>
                <w:bottom w:val="none" w:sz="0" w:space="0" w:color="auto"/>
                <w:right w:val="none" w:sz="0" w:space="0" w:color="auto"/>
              </w:divBdr>
              <w:divsChild>
                <w:div w:id="995836763">
                  <w:marLeft w:val="0"/>
                  <w:marRight w:val="0"/>
                  <w:marTop w:val="0"/>
                  <w:marBottom w:val="0"/>
                  <w:divBdr>
                    <w:top w:val="none" w:sz="0" w:space="0" w:color="auto"/>
                    <w:left w:val="none" w:sz="0" w:space="0" w:color="auto"/>
                    <w:bottom w:val="none" w:sz="0" w:space="0" w:color="auto"/>
                    <w:right w:val="none" w:sz="0" w:space="0" w:color="auto"/>
                  </w:divBdr>
                </w:div>
              </w:divsChild>
            </w:div>
            <w:div w:id="1174490368">
              <w:marLeft w:val="0"/>
              <w:marRight w:val="0"/>
              <w:marTop w:val="0"/>
              <w:marBottom w:val="0"/>
              <w:divBdr>
                <w:top w:val="none" w:sz="0" w:space="0" w:color="auto"/>
                <w:left w:val="none" w:sz="0" w:space="0" w:color="auto"/>
                <w:bottom w:val="none" w:sz="0" w:space="0" w:color="auto"/>
                <w:right w:val="none" w:sz="0" w:space="0" w:color="auto"/>
              </w:divBdr>
              <w:divsChild>
                <w:div w:id="1690599088">
                  <w:marLeft w:val="0"/>
                  <w:marRight w:val="0"/>
                  <w:marTop w:val="0"/>
                  <w:marBottom w:val="0"/>
                  <w:divBdr>
                    <w:top w:val="none" w:sz="0" w:space="0" w:color="auto"/>
                    <w:left w:val="none" w:sz="0" w:space="0" w:color="auto"/>
                    <w:bottom w:val="none" w:sz="0" w:space="0" w:color="auto"/>
                    <w:right w:val="none" w:sz="0" w:space="0" w:color="auto"/>
                  </w:divBdr>
                </w:div>
              </w:divsChild>
            </w:div>
            <w:div w:id="120271310">
              <w:marLeft w:val="0"/>
              <w:marRight w:val="0"/>
              <w:marTop w:val="0"/>
              <w:marBottom w:val="0"/>
              <w:divBdr>
                <w:top w:val="none" w:sz="0" w:space="0" w:color="auto"/>
                <w:left w:val="none" w:sz="0" w:space="0" w:color="auto"/>
                <w:bottom w:val="none" w:sz="0" w:space="0" w:color="auto"/>
                <w:right w:val="none" w:sz="0" w:space="0" w:color="auto"/>
              </w:divBdr>
              <w:divsChild>
                <w:div w:id="16221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0374">
          <w:marLeft w:val="0"/>
          <w:marRight w:val="0"/>
          <w:marTop w:val="0"/>
          <w:marBottom w:val="600"/>
          <w:divBdr>
            <w:top w:val="none" w:sz="0" w:space="0" w:color="auto"/>
            <w:left w:val="none" w:sz="0" w:space="0" w:color="auto"/>
            <w:bottom w:val="none" w:sz="0" w:space="0" w:color="auto"/>
            <w:right w:val="none" w:sz="0" w:space="0" w:color="auto"/>
          </w:divBdr>
        </w:div>
      </w:divsChild>
    </w:div>
    <w:div w:id="1141191604">
      <w:marLeft w:val="0"/>
      <w:marRight w:val="0"/>
      <w:marTop w:val="0"/>
      <w:marBottom w:val="0"/>
      <w:divBdr>
        <w:top w:val="none" w:sz="0" w:space="0" w:color="auto"/>
        <w:left w:val="none" w:sz="0" w:space="0" w:color="auto"/>
        <w:bottom w:val="none" w:sz="0" w:space="0" w:color="auto"/>
        <w:right w:val="none" w:sz="0" w:space="0" w:color="auto"/>
      </w:divBdr>
      <w:divsChild>
        <w:div w:id="1826555015">
          <w:marLeft w:val="0"/>
          <w:marRight w:val="0"/>
          <w:marTop w:val="547"/>
          <w:marBottom w:val="0"/>
          <w:divBdr>
            <w:top w:val="none" w:sz="0" w:space="0" w:color="auto"/>
            <w:left w:val="none" w:sz="0" w:space="0" w:color="auto"/>
            <w:bottom w:val="none" w:sz="0" w:space="0" w:color="auto"/>
            <w:right w:val="none" w:sz="0" w:space="0" w:color="auto"/>
          </w:divBdr>
        </w:div>
        <w:div w:id="741029026">
          <w:marLeft w:val="0"/>
          <w:marRight w:val="0"/>
          <w:marTop w:val="0"/>
          <w:marBottom w:val="0"/>
          <w:divBdr>
            <w:top w:val="none" w:sz="0" w:space="0" w:color="auto"/>
            <w:left w:val="none" w:sz="0" w:space="0" w:color="auto"/>
            <w:bottom w:val="none" w:sz="0" w:space="0" w:color="auto"/>
            <w:right w:val="none" w:sz="0" w:space="0" w:color="auto"/>
          </w:divBdr>
          <w:divsChild>
            <w:div w:id="1132212357">
              <w:marLeft w:val="0"/>
              <w:marRight w:val="0"/>
              <w:marTop w:val="0"/>
              <w:marBottom w:val="0"/>
              <w:divBdr>
                <w:top w:val="none" w:sz="0" w:space="0" w:color="auto"/>
                <w:left w:val="none" w:sz="0" w:space="0" w:color="auto"/>
                <w:bottom w:val="none" w:sz="0" w:space="0" w:color="auto"/>
                <w:right w:val="none" w:sz="0" w:space="0" w:color="auto"/>
              </w:divBdr>
              <w:divsChild>
                <w:div w:id="728310678">
                  <w:marLeft w:val="0"/>
                  <w:marRight w:val="0"/>
                  <w:marTop w:val="0"/>
                  <w:marBottom w:val="0"/>
                  <w:divBdr>
                    <w:top w:val="none" w:sz="0" w:space="0" w:color="auto"/>
                    <w:left w:val="none" w:sz="0" w:space="0" w:color="auto"/>
                    <w:bottom w:val="none" w:sz="0" w:space="0" w:color="auto"/>
                    <w:right w:val="none" w:sz="0" w:space="0" w:color="auto"/>
                  </w:divBdr>
                </w:div>
              </w:divsChild>
            </w:div>
            <w:div w:id="919749274">
              <w:marLeft w:val="0"/>
              <w:marRight w:val="0"/>
              <w:marTop w:val="0"/>
              <w:marBottom w:val="0"/>
              <w:divBdr>
                <w:top w:val="none" w:sz="0" w:space="0" w:color="auto"/>
                <w:left w:val="none" w:sz="0" w:space="0" w:color="auto"/>
                <w:bottom w:val="none" w:sz="0" w:space="0" w:color="auto"/>
                <w:right w:val="none" w:sz="0" w:space="0" w:color="auto"/>
              </w:divBdr>
              <w:divsChild>
                <w:div w:id="1767387985">
                  <w:marLeft w:val="0"/>
                  <w:marRight w:val="0"/>
                  <w:marTop w:val="0"/>
                  <w:marBottom w:val="0"/>
                  <w:divBdr>
                    <w:top w:val="none" w:sz="0" w:space="0" w:color="auto"/>
                    <w:left w:val="none" w:sz="0" w:space="0" w:color="auto"/>
                    <w:bottom w:val="none" w:sz="0" w:space="0" w:color="auto"/>
                    <w:right w:val="none" w:sz="0" w:space="0" w:color="auto"/>
                  </w:divBdr>
                </w:div>
              </w:divsChild>
            </w:div>
            <w:div w:id="953442467">
              <w:marLeft w:val="0"/>
              <w:marRight w:val="0"/>
              <w:marTop w:val="0"/>
              <w:marBottom w:val="0"/>
              <w:divBdr>
                <w:top w:val="none" w:sz="0" w:space="0" w:color="auto"/>
                <w:left w:val="none" w:sz="0" w:space="0" w:color="auto"/>
                <w:bottom w:val="none" w:sz="0" w:space="0" w:color="auto"/>
                <w:right w:val="none" w:sz="0" w:space="0" w:color="auto"/>
              </w:divBdr>
              <w:divsChild>
                <w:div w:id="379327064">
                  <w:marLeft w:val="0"/>
                  <w:marRight w:val="0"/>
                  <w:marTop w:val="0"/>
                  <w:marBottom w:val="0"/>
                  <w:divBdr>
                    <w:top w:val="none" w:sz="0" w:space="0" w:color="auto"/>
                    <w:left w:val="none" w:sz="0" w:space="0" w:color="auto"/>
                    <w:bottom w:val="none" w:sz="0" w:space="0" w:color="auto"/>
                    <w:right w:val="none" w:sz="0" w:space="0" w:color="auto"/>
                  </w:divBdr>
                </w:div>
              </w:divsChild>
            </w:div>
            <w:div w:id="722407739">
              <w:marLeft w:val="0"/>
              <w:marRight w:val="0"/>
              <w:marTop w:val="0"/>
              <w:marBottom w:val="0"/>
              <w:divBdr>
                <w:top w:val="none" w:sz="0" w:space="0" w:color="auto"/>
                <w:left w:val="none" w:sz="0" w:space="0" w:color="auto"/>
                <w:bottom w:val="none" w:sz="0" w:space="0" w:color="auto"/>
                <w:right w:val="none" w:sz="0" w:space="0" w:color="auto"/>
              </w:divBdr>
              <w:divsChild>
                <w:div w:id="2100442710">
                  <w:marLeft w:val="0"/>
                  <w:marRight w:val="0"/>
                  <w:marTop w:val="0"/>
                  <w:marBottom w:val="0"/>
                  <w:divBdr>
                    <w:top w:val="none" w:sz="0" w:space="0" w:color="auto"/>
                    <w:left w:val="none" w:sz="0" w:space="0" w:color="auto"/>
                    <w:bottom w:val="none" w:sz="0" w:space="0" w:color="auto"/>
                    <w:right w:val="none" w:sz="0" w:space="0" w:color="auto"/>
                  </w:divBdr>
                </w:div>
              </w:divsChild>
            </w:div>
            <w:div w:id="1827479209">
              <w:marLeft w:val="0"/>
              <w:marRight w:val="0"/>
              <w:marTop w:val="0"/>
              <w:marBottom w:val="0"/>
              <w:divBdr>
                <w:top w:val="none" w:sz="0" w:space="0" w:color="auto"/>
                <w:left w:val="none" w:sz="0" w:space="0" w:color="auto"/>
                <w:bottom w:val="none" w:sz="0" w:space="0" w:color="auto"/>
                <w:right w:val="none" w:sz="0" w:space="0" w:color="auto"/>
              </w:divBdr>
              <w:divsChild>
                <w:div w:id="388501271">
                  <w:marLeft w:val="0"/>
                  <w:marRight w:val="0"/>
                  <w:marTop w:val="0"/>
                  <w:marBottom w:val="0"/>
                  <w:divBdr>
                    <w:top w:val="none" w:sz="0" w:space="0" w:color="auto"/>
                    <w:left w:val="none" w:sz="0" w:space="0" w:color="auto"/>
                    <w:bottom w:val="none" w:sz="0" w:space="0" w:color="auto"/>
                    <w:right w:val="none" w:sz="0" w:space="0" w:color="auto"/>
                  </w:divBdr>
                </w:div>
              </w:divsChild>
            </w:div>
            <w:div w:id="347610620">
              <w:marLeft w:val="0"/>
              <w:marRight w:val="0"/>
              <w:marTop w:val="0"/>
              <w:marBottom w:val="0"/>
              <w:divBdr>
                <w:top w:val="none" w:sz="0" w:space="0" w:color="auto"/>
                <w:left w:val="none" w:sz="0" w:space="0" w:color="auto"/>
                <w:bottom w:val="none" w:sz="0" w:space="0" w:color="auto"/>
                <w:right w:val="none" w:sz="0" w:space="0" w:color="auto"/>
              </w:divBdr>
              <w:divsChild>
                <w:div w:id="1490101461">
                  <w:marLeft w:val="0"/>
                  <w:marRight w:val="0"/>
                  <w:marTop w:val="0"/>
                  <w:marBottom w:val="0"/>
                  <w:divBdr>
                    <w:top w:val="none" w:sz="0" w:space="0" w:color="auto"/>
                    <w:left w:val="none" w:sz="0" w:space="0" w:color="auto"/>
                    <w:bottom w:val="none" w:sz="0" w:space="0" w:color="auto"/>
                    <w:right w:val="none" w:sz="0" w:space="0" w:color="auto"/>
                  </w:divBdr>
                </w:div>
              </w:divsChild>
            </w:div>
            <w:div w:id="2117405040">
              <w:marLeft w:val="0"/>
              <w:marRight w:val="0"/>
              <w:marTop w:val="0"/>
              <w:marBottom w:val="0"/>
              <w:divBdr>
                <w:top w:val="none" w:sz="0" w:space="0" w:color="auto"/>
                <w:left w:val="none" w:sz="0" w:space="0" w:color="auto"/>
                <w:bottom w:val="none" w:sz="0" w:space="0" w:color="auto"/>
                <w:right w:val="none" w:sz="0" w:space="0" w:color="auto"/>
              </w:divBdr>
              <w:divsChild>
                <w:div w:id="1277524153">
                  <w:marLeft w:val="0"/>
                  <w:marRight w:val="0"/>
                  <w:marTop w:val="0"/>
                  <w:marBottom w:val="0"/>
                  <w:divBdr>
                    <w:top w:val="none" w:sz="0" w:space="0" w:color="auto"/>
                    <w:left w:val="none" w:sz="0" w:space="0" w:color="auto"/>
                    <w:bottom w:val="none" w:sz="0" w:space="0" w:color="auto"/>
                    <w:right w:val="none" w:sz="0" w:space="0" w:color="auto"/>
                  </w:divBdr>
                </w:div>
              </w:divsChild>
            </w:div>
            <w:div w:id="1120882962">
              <w:marLeft w:val="0"/>
              <w:marRight w:val="0"/>
              <w:marTop w:val="0"/>
              <w:marBottom w:val="0"/>
              <w:divBdr>
                <w:top w:val="none" w:sz="0" w:space="0" w:color="auto"/>
                <w:left w:val="none" w:sz="0" w:space="0" w:color="auto"/>
                <w:bottom w:val="none" w:sz="0" w:space="0" w:color="auto"/>
                <w:right w:val="none" w:sz="0" w:space="0" w:color="auto"/>
              </w:divBdr>
              <w:divsChild>
                <w:div w:id="641085882">
                  <w:marLeft w:val="0"/>
                  <w:marRight w:val="0"/>
                  <w:marTop w:val="0"/>
                  <w:marBottom w:val="0"/>
                  <w:divBdr>
                    <w:top w:val="none" w:sz="0" w:space="0" w:color="auto"/>
                    <w:left w:val="none" w:sz="0" w:space="0" w:color="auto"/>
                    <w:bottom w:val="none" w:sz="0" w:space="0" w:color="auto"/>
                    <w:right w:val="none" w:sz="0" w:space="0" w:color="auto"/>
                  </w:divBdr>
                </w:div>
              </w:divsChild>
            </w:div>
            <w:div w:id="226768715">
              <w:marLeft w:val="0"/>
              <w:marRight w:val="0"/>
              <w:marTop w:val="0"/>
              <w:marBottom w:val="0"/>
              <w:divBdr>
                <w:top w:val="none" w:sz="0" w:space="0" w:color="auto"/>
                <w:left w:val="none" w:sz="0" w:space="0" w:color="auto"/>
                <w:bottom w:val="none" w:sz="0" w:space="0" w:color="auto"/>
                <w:right w:val="none" w:sz="0" w:space="0" w:color="auto"/>
              </w:divBdr>
              <w:divsChild>
                <w:div w:id="1029721360">
                  <w:marLeft w:val="0"/>
                  <w:marRight w:val="0"/>
                  <w:marTop w:val="0"/>
                  <w:marBottom w:val="0"/>
                  <w:divBdr>
                    <w:top w:val="none" w:sz="0" w:space="0" w:color="auto"/>
                    <w:left w:val="none" w:sz="0" w:space="0" w:color="auto"/>
                    <w:bottom w:val="none" w:sz="0" w:space="0" w:color="auto"/>
                    <w:right w:val="none" w:sz="0" w:space="0" w:color="auto"/>
                  </w:divBdr>
                </w:div>
              </w:divsChild>
            </w:div>
            <w:div w:id="1723559273">
              <w:marLeft w:val="0"/>
              <w:marRight w:val="0"/>
              <w:marTop w:val="0"/>
              <w:marBottom w:val="0"/>
              <w:divBdr>
                <w:top w:val="none" w:sz="0" w:space="0" w:color="auto"/>
                <w:left w:val="none" w:sz="0" w:space="0" w:color="auto"/>
                <w:bottom w:val="none" w:sz="0" w:space="0" w:color="auto"/>
                <w:right w:val="none" w:sz="0" w:space="0" w:color="auto"/>
              </w:divBdr>
              <w:divsChild>
                <w:div w:id="1334802810">
                  <w:marLeft w:val="0"/>
                  <w:marRight w:val="0"/>
                  <w:marTop w:val="0"/>
                  <w:marBottom w:val="0"/>
                  <w:divBdr>
                    <w:top w:val="none" w:sz="0" w:space="0" w:color="auto"/>
                    <w:left w:val="none" w:sz="0" w:space="0" w:color="auto"/>
                    <w:bottom w:val="none" w:sz="0" w:space="0" w:color="auto"/>
                    <w:right w:val="none" w:sz="0" w:space="0" w:color="auto"/>
                  </w:divBdr>
                </w:div>
              </w:divsChild>
            </w:div>
            <w:div w:id="1060404973">
              <w:marLeft w:val="0"/>
              <w:marRight w:val="0"/>
              <w:marTop w:val="0"/>
              <w:marBottom w:val="0"/>
              <w:divBdr>
                <w:top w:val="none" w:sz="0" w:space="0" w:color="auto"/>
                <w:left w:val="none" w:sz="0" w:space="0" w:color="auto"/>
                <w:bottom w:val="none" w:sz="0" w:space="0" w:color="auto"/>
                <w:right w:val="none" w:sz="0" w:space="0" w:color="auto"/>
              </w:divBdr>
              <w:divsChild>
                <w:div w:id="86078143">
                  <w:marLeft w:val="0"/>
                  <w:marRight w:val="0"/>
                  <w:marTop w:val="0"/>
                  <w:marBottom w:val="0"/>
                  <w:divBdr>
                    <w:top w:val="none" w:sz="0" w:space="0" w:color="auto"/>
                    <w:left w:val="none" w:sz="0" w:space="0" w:color="auto"/>
                    <w:bottom w:val="none" w:sz="0" w:space="0" w:color="auto"/>
                    <w:right w:val="none" w:sz="0" w:space="0" w:color="auto"/>
                  </w:divBdr>
                </w:div>
              </w:divsChild>
            </w:div>
            <w:div w:id="948045122">
              <w:marLeft w:val="0"/>
              <w:marRight w:val="0"/>
              <w:marTop w:val="0"/>
              <w:marBottom w:val="0"/>
              <w:divBdr>
                <w:top w:val="none" w:sz="0" w:space="0" w:color="auto"/>
                <w:left w:val="none" w:sz="0" w:space="0" w:color="auto"/>
                <w:bottom w:val="none" w:sz="0" w:space="0" w:color="auto"/>
                <w:right w:val="none" w:sz="0" w:space="0" w:color="auto"/>
              </w:divBdr>
              <w:divsChild>
                <w:div w:id="57680102">
                  <w:marLeft w:val="0"/>
                  <w:marRight w:val="0"/>
                  <w:marTop w:val="0"/>
                  <w:marBottom w:val="0"/>
                  <w:divBdr>
                    <w:top w:val="none" w:sz="0" w:space="0" w:color="auto"/>
                    <w:left w:val="none" w:sz="0" w:space="0" w:color="auto"/>
                    <w:bottom w:val="none" w:sz="0" w:space="0" w:color="auto"/>
                    <w:right w:val="none" w:sz="0" w:space="0" w:color="auto"/>
                  </w:divBdr>
                </w:div>
              </w:divsChild>
            </w:div>
            <w:div w:id="1775976473">
              <w:marLeft w:val="0"/>
              <w:marRight w:val="0"/>
              <w:marTop w:val="0"/>
              <w:marBottom w:val="0"/>
              <w:divBdr>
                <w:top w:val="none" w:sz="0" w:space="0" w:color="auto"/>
                <w:left w:val="none" w:sz="0" w:space="0" w:color="auto"/>
                <w:bottom w:val="none" w:sz="0" w:space="0" w:color="auto"/>
                <w:right w:val="none" w:sz="0" w:space="0" w:color="auto"/>
              </w:divBdr>
              <w:divsChild>
                <w:div w:id="1165633154">
                  <w:marLeft w:val="0"/>
                  <w:marRight w:val="0"/>
                  <w:marTop w:val="0"/>
                  <w:marBottom w:val="0"/>
                  <w:divBdr>
                    <w:top w:val="none" w:sz="0" w:space="0" w:color="auto"/>
                    <w:left w:val="none" w:sz="0" w:space="0" w:color="auto"/>
                    <w:bottom w:val="none" w:sz="0" w:space="0" w:color="auto"/>
                    <w:right w:val="none" w:sz="0" w:space="0" w:color="auto"/>
                  </w:divBdr>
                </w:div>
              </w:divsChild>
            </w:div>
            <w:div w:id="247427886">
              <w:marLeft w:val="0"/>
              <w:marRight w:val="0"/>
              <w:marTop w:val="0"/>
              <w:marBottom w:val="0"/>
              <w:divBdr>
                <w:top w:val="none" w:sz="0" w:space="0" w:color="auto"/>
                <w:left w:val="none" w:sz="0" w:space="0" w:color="auto"/>
                <w:bottom w:val="none" w:sz="0" w:space="0" w:color="auto"/>
                <w:right w:val="none" w:sz="0" w:space="0" w:color="auto"/>
              </w:divBdr>
              <w:divsChild>
                <w:div w:id="7119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3176">
          <w:marLeft w:val="0"/>
          <w:marRight w:val="0"/>
          <w:marTop w:val="0"/>
          <w:marBottom w:val="600"/>
          <w:divBdr>
            <w:top w:val="none" w:sz="0" w:space="0" w:color="auto"/>
            <w:left w:val="none" w:sz="0" w:space="0" w:color="auto"/>
            <w:bottom w:val="none" w:sz="0" w:space="0" w:color="auto"/>
            <w:right w:val="none" w:sz="0" w:space="0" w:color="auto"/>
          </w:divBdr>
        </w:div>
      </w:divsChild>
    </w:div>
    <w:div w:id="1193573907">
      <w:marLeft w:val="0"/>
      <w:marRight w:val="0"/>
      <w:marTop w:val="0"/>
      <w:marBottom w:val="0"/>
      <w:divBdr>
        <w:top w:val="none" w:sz="0" w:space="0" w:color="auto"/>
        <w:left w:val="none" w:sz="0" w:space="0" w:color="auto"/>
        <w:bottom w:val="none" w:sz="0" w:space="0" w:color="auto"/>
        <w:right w:val="none" w:sz="0" w:space="0" w:color="auto"/>
      </w:divBdr>
      <w:divsChild>
        <w:div w:id="798885623">
          <w:marLeft w:val="0"/>
          <w:marRight w:val="0"/>
          <w:marTop w:val="547"/>
          <w:marBottom w:val="0"/>
          <w:divBdr>
            <w:top w:val="none" w:sz="0" w:space="0" w:color="auto"/>
            <w:left w:val="none" w:sz="0" w:space="0" w:color="auto"/>
            <w:bottom w:val="none" w:sz="0" w:space="0" w:color="auto"/>
            <w:right w:val="none" w:sz="0" w:space="0" w:color="auto"/>
          </w:divBdr>
        </w:div>
        <w:div w:id="1080710109">
          <w:marLeft w:val="0"/>
          <w:marRight w:val="0"/>
          <w:marTop w:val="0"/>
          <w:marBottom w:val="0"/>
          <w:divBdr>
            <w:top w:val="none" w:sz="0" w:space="0" w:color="auto"/>
            <w:left w:val="none" w:sz="0" w:space="0" w:color="auto"/>
            <w:bottom w:val="none" w:sz="0" w:space="0" w:color="auto"/>
            <w:right w:val="none" w:sz="0" w:space="0" w:color="auto"/>
          </w:divBdr>
        </w:div>
        <w:div w:id="1446002601">
          <w:marLeft w:val="0"/>
          <w:marRight w:val="0"/>
          <w:marTop w:val="0"/>
          <w:marBottom w:val="600"/>
          <w:divBdr>
            <w:top w:val="none" w:sz="0" w:space="0" w:color="auto"/>
            <w:left w:val="none" w:sz="0" w:space="0" w:color="auto"/>
            <w:bottom w:val="none" w:sz="0" w:space="0" w:color="auto"/>
            <w:right w:val="none" w:sz="0" w:space="0" w:color="auto"/>
          </w:divBdr>
        </w:div>
      </w:divsChild>
    </w:div>
    <w:div w:id="1217429455">
      <w:marLeft w:val="0"/>
      <w:marRight w:val="0"/>
      <w:marTop w:val="0"/>
      <w:marBottom w:val="0"/>
      <w:divBdr>
        <w:top w:val="none" w:sz="0" w:space="0" w:color="auto"/>
        <w:left w:val="none" w:sz="0" w:space="0" w:color="auto"/>
        <w:bottom w:val="none" w:sz="0" w:space="0" w:color="auto"/>
        <w:right w:val="none" w:sz="0" w:space="0" w:color="auto"/>
      </w:divBdr>
      <w:divsChild>
        <w:div w:id="949122708">
          <w:marLeft w:val="0"/>
          <w:marRight w:val="0"/>
          <w:marTop w:val="547"/>
          <w:marBottom w:val="0"/>
          <w:divBdr>
            <w:top w:val="none" w:sz="0" w:space="0" w:color="auto"/>
            <w:left w:val="none" w:sz="0" w:space="0" w:color="auto"/>
            <w:bottom w:val="none" w:sz="0" w:space="0" w:color="auto"/>
            <w:right w:val="none" w:sz="0" w:space="0" w:color="auto"/>
          </w:divBdr>
        </w:div>
        <w:div w:id="1092045749">
          <w:marLeft w:val="0"/>
          <w:marRight w:val="0"/>
          <w:marTop w:val="0"/>
          <w:marBottom w:val="0"/>
          <w:divBdr>
            <w:top w:val="none" w:sz="0" w:space="0" w:color="auto"/>
            <w:left w:val="none" w:sz="0" w:space="0" w:color="auto"/>
            <w:bottom w:val="none" w:sz="0" w:space="0" w:color="auto"/>
            <w:right w:val="none" w:sz="0" w:space="0" w:color="auto"/>
          </w:divBdr>
        </w:div>
        <w:div w:id="2008170496">
          <w:marLeft w:val="0"/>
          <w:marRight w:val="0"/>
          <w:marTop w:val="0"/>
          <w:marBottom w:val="600"/>
          <w:divBdr>
            <w:top w:val="none" w:sz="0" w:space="0" w:color="auto"/>
            <w:left w:val="none" w:sz="0" w:space="0" w:color="auto"/>
            <w:bottom w:val="none" w:sz="0" w:space="0" w:color="auto"/>
            <w:right w:val="none" w:sz="0" w:space="0" w:color="auto"/>
          </w:divBdr>
        </w:div>
      </w:divsChild>
    </w:div>
    <w:div w:id="1254360776">
      <w:marLeft w:val="0"/>
      <w:marRight w:val="0"/>
      <w:marTop w:val="0"/>
      <w:marBottom w:val="0"/>
      <w:divBdr>
        <w:top w:val="none" w:sz="0" w:space="0" w:color="auto"/>
        <w:left w:val="none" w:sz="0" w:space="0" w:color="auto"/>
        <w:bottom w:val="none" w:sz="0" w:space="0" w:color="auto"/>
        <w:right w:val="none" w:sz="0" w:space="0" w:color="auto"/>
      </w:divBdr>
      <w:divsChild>
        <w:div w:id="1347757654">
          <w:marLeft w:val="0"/>
          <w:marRight w:val="0"/>
          <w:marTop w:val="547"/>
          <w:marBottom w:val="0"/>
          <w:divBdr>
            <w:top w:val="none" w:sz="0" w:space="0" w:color="auto"/>
            <w:left w:val="none" w:sz="0" w:space="0" w:color="auto"/>
            <w:bottom w:val="none" w:sz="0" w:space="0" w:color="auto"/>
            <w:right w:val="none" w:sz="0" w:space="0" w:color="auto"/>
          </w:divBdr>
        </w:div>
        <w:div w:id="97257996">
          <w:marLeft w:val="0"/>
          <w:marRight w:val="0"/>
          <w:marTop w:val="0"/>
          <w:marBottom w:val="0"/>
          <w:divBdr>
            <w:top w:val="none" w:sz="0" w:space="0" w:color="auto"/>
            <w:left w:val="none" w:sz="0" w:space="0" w:color="auto"/>
            <w:bottom w:val="none" w:sz="0" w:space="0" w:color="auto"/>
            <w:right w:val="none" w:sz="0" w:space="0" w:color="auto"/>
          </w:divBdr>
          <w:divsChild>
            <w:div w:id="682896464">
              <w:marLeft w:val="0"/>
              <w:marRight w:val="0"/>
              <w:marTop w:val="0"/>
              <w:marBottom w:val="0"/>
              <w:divBdr>
                <w:top w:val="none" w:sz="0" w:space="0" w:color="auto"/>
                <w:left w:val="none" w:sz="0" w:space="0" w:color="auto"/>
                <w:bottom w:val="none" w:sz="0" w:space="0" w:color="auto"/>
                <w:right w:val="none" w:sz="0" w:space="0" w:color="auto"/>
              </w:divBdr>
              <w:divsChild>
                <w:div w:id="1401905480">
                  <w:marLeft w:val="0"/>
                  <w:marRight w:val="0"/>
                  <w:marTop w:val="0"/>
                  <w:marBottom w:val="0"/>
                  <w:divBdr>
                    <w:top w:val="none" w:sz="0" w:space="0" w:color="auto"/>
                    <w:left w:val="none" w:sz="0" w:space="0" w:color="auto"/>
                    <w:bottom w:val="none" w:sz="0" w:space="0" w:color="auto"/>
                    <w:right w:val="none" w:sz="0" w:space="0" w:color="auto"/>
                  </w:divBdr>
                </w:div>
              </w:divsChild>
            </w:div>
            <w:div w:id="1180898500">
              <w:marLeft w:val="0"/>
              <w:marRight w:val="0"/>
              <w:marTop w:val="0"/>
              <w:marBottom w:val="0"/>
              <w:divBdr>
                <w:top w:val="none" w:sz="0" w:space="0" w:color="auto"/>
                <w:left w:val="none" w:sz="0" w:space="0" w:color="auto"/>
                <w:bottom w:val="none" w:sz="0" w:space="0" w:color="auto"/>
                <w:right w:val="none" w:sz="0" w:space="0" w:color="auto"/>
              </w:divBdr>
              <w:divsChild>
                <w:div w:id="2126776162">
                  <w:marLeft w:val="0"/>
                  <w:marRight w:val="0"/>
                  <w:marTop w:val="0"/>
                  <w:marBottom w:val="0"/>
                  <w:divBdr>
                    <w:top w:val="none" w:sz="0" w:space="0" w:color="auto"/>
                    <w:left w:val="none" w:sz="0" w:space="0" w:color="auto"/>
                    <w:bottom w:val="none" w:sz="0" w:space="0" w:color="auto"/>
                    <w:right w:val="none" w:sz="0" w:space="0" w:color="auto"/>
                  </w:divBdr>
                </w:div>
              </w:divsChild>
            </w:div>
            <w:div w:id="607350067">
              <w:marLeft w:val="0"/>
              <w:marRight w:val="0"/>
              <w:marTop w:val="0"/>
              <w:marBottom w:val="0"/>
              <w:divBdr>
                <w:top w:val="none" w:sz="0" w:space="0" w:color="auto"/>
                <w:left w:val="none" w:sz="0" w:space="0" w:color="auto"/>
                <w:bottom w:val="none" w:sz="0" w:space="0" w:color="auto"/>
                <w:right w:val="none" w:sz="0" w:space="0" w:color="auto"/>
              </w:divBdr>
              <w:divsChild>
                <w:div w:id="809127005">
                  <w:marLeft w:val="0"/>
                  <w:marRight w:val="0"/>
                  <w:marTop w:val="0"/>
                  <w:marBottom w:val="0"/>
                  <w:divBdr>
                    <w:top w:val="none" w:sz="0" w:space="0" w:color="auto"/>
                    <w:left w:val="none" w:sz="0" w:space="0" w:color="auto"/>
                    <w:bottom w:val="none" w:sz="0" w:space="0" w:color="auto"/>
                    <w:right w:val="none" w:sz="0" w:space="0" w:color="auto"/>
                  </w:divBdr>
                </w:div>
              </w:divsChild>
            </w:div>
            <w:div w:id="1183780001">
              <w:marLeft w:val="0"/>
              <w:marRight w:val="0"/>
              <w:marTop w:val="0"/>
              <w:marBottom w:val="0"/>
              <w:divBdr>
                <w:top w:val="none" w:sz="0" w:space="0" w:color="auto"/>
                <w:left w:val="none" w:sz="0" w:space="0" w:color="auto"/>
                <w:bottom w:val="none" w:sz="0" w:space="0" w:color="auto"/>
                <w:right w:val="none" w:sz="0" w:space="0" w:color="auto"/>
              </w:divBdr>
              <w:divsChild>
                <w:div w:id="1651405774">
                  <w:marLeft w:val="0"/>
                  <w:marRight w:val="0"/>
                  <w:marTop w:val="0"/>
                  <w:marBottom w:val="0"/>
                  <w:divBdr>
                    <w:top w:val="none" w:sz="0" w:space="0" w:color="auto"/>
                    <w:left w:val="none" w:sz="0" w:space="0" w:color="auto"/>
                    <w:bottom w:val="none" w:sz="0" w:space="0" w:color="auto"/>
                    <w:right w:val="none" w:sz="0" w:space="0" w:color="auto"/>
                  </w:divBdr>
                </w:div>
              </w:divsChild>
            </w:div>
            <w:div w:id="870648643">
              <w:marLeft w:val="0"/>
              <w:marRight w:val="0"/>
              <w:marTop w:val="0"/>
              <w:marBottom w:val="0"/>
              <w:divBdr>
                <w:top w:val="none" w:sz="0" w:space="0" w:color="auto"/>
                <w:left w:val="none" w:sz="0" w:space="0" w:color="auto"/>
                <w:bottom w:val="none" w:sz="0" w:space="0" w:color="auto"/>
                <w:right w:val="none" w:sz="0" w:space="0" w:color="auto"/>
              </w:divBdr>
              <w:divsChild>
                <w:div w:id="1976139759">
                  <w:marLeft w:val="0"/>
                  <w:marRight w:val="0"/>
                  <w:marTop w:val="0"/>
                  <w:marBottom w:val="0"/>
                  <w:divBdr>
                    <w:top w:val="none" w:sz="0" w:space="0" w:color="auto"/>
                    <w:left w:val="none" w:sz="0" w:space="0" w:color="auto"/>
                    <w:bottom w:val="none" w:sz="0" w:space="0" w:color="auto"/>
                    <w:right w:val="none" w:sz="0" w:space="0" w:color="auto"/>
                  </w:divBdr>
                </w:div>
              </w:divsChild>
            </w:div>
            <w:div w:id="551814844">
              <w:marLeft w:val="0"/>
              <w:marRight w:val="0"/>
              <w:marTop w:val="0"/>
              <w:marBottom w:val="0"/>
              <w:divBdr>
                <w:top w:val="none" w:sz="0" w:space="0" w:color="auto"/>
                <w:left w:val="none" w:sz="0" w:space="0" w:color="auto"/>
                <w:bottom w:val="none" w:sz="0" w:space="0" w:color="auto"/>
                <w:right w:val="none" w:sz="0" w:space="0" w:color="auto"/>
              </w:divBdr>
              <w:divsChild>
                <w:div w:id="626546151">
                  <w:marLeft w:val="0"/>
                  <w:marRight w:val="0"/>
                  <w:marTop w:val="0"/>
                  <w:marBottom w:val="0"/>
                  <w:divBdr>
                    <w:top w:val="none" w:sz="0" w:space="0" w:color="auto"/>
                    <w:left w:val="none" w:sz="0" w:space="0" w:color="auto"/>
                    <w:bottom w:val="none" w:sz="0" w:space="0" w:color="auto"/>
                    <w:right w:val="none" w:sz="0" w:space="0" w:color="auto"/>
                  </w:divBdr>
                </w:div>
              </w:divsChild>
            </w:div>
            <w:div w:id="2141531794">
              <w:marLeft w:val="0"/>
              <w:marRight w:val="0"/>
              <w:marTop w:val="0"/>
              <w:marBottom w:val="0"/>
              <w:divBdr>
                <w:top w:val="none" w:sz="0" w:space="0" w:color="auto"/>
                <w:left w:val="none" w:sz="0" w:space="0" w:color="auto"/>
                <w:bottom w:val="none" w:sz="0" w:space="0" w:color="auto"/>
                <w:right w:val="none" w:sz="0" w:space="0" w:color="auto"/>
              </w:divBdr>
              <w:divsChild>
                <w:div w:id="1515652580">
                  <w:marLeft w:val="0"/>
                  <w:marRight w:val="0"/>
                  <w:marTop w:val="0"/>
                  <w:marBottom w:val="0"/>
                  <w:divBdr>
                    <w:top w:val="none" w:sz="0" w:space="0" w:color="auto"/>
                    <w:left w:val="none" w:sz="0" w:space="0" w:color="auto"/>
                    <w:bottom w:val="none" w:sz="0" w:space="0" w:color="auto"/>
                    <w:right w:val="none" w:sz="0" w:space="0" w:color="auto"/>
                  </w:divBdr>
                </w:div>
              </w:divsChild>
            </w:div>
            <w:div w:id="517350798">
              <w:marLeft w:val="0"/>
              <w:marRight w:val="0"/>
              <w:marTop w:val="0"/>
              <w:marBottom w:val="0"/>
              <w:divBdr>
                <w:top w:val="none" w:sz="0" w:space="0" w:color="auto"/>
                <w:left w:val="none" w:sz="0" w:space="0" w:color="auto"/>
                <w:bottom w:val="none" w:sz="0" w:space="0" w:color="auto"/>
                <w:right w:val="none" w:sz="0" w:space="0" w:color="auto"/>
              </w:divBdr>
              <w:divsChild>
                <w:div w:id="520171314">
                  <w:marLeft w:val="0"/>
                  <w:marRight w:val="0"/>
                  <w:marTop w:val="0"/>
                  <w:marBottom w:val="0"/>
                  <w:divBdr>
                    <w:top w:val="none" w:sz="0" w:space="0" w:color="auto"/>
                    <w:left w:val="none" w:sz="0" w:space="0" w:color="auto"/>
                    <w:bottom w:val="none" w:sz="0" w:space="0" w:color="auto"/>
                    <w:right w:val="none" w:sz="0" w:space="0" w:color="auto"/>
                  </w:divBdr>
                </w:div>
              </w:divsChild>
            </w:div>
            <w:div w:id="2119249353">
              <w:marLeft w:val="0"/>
              <w:marRight w:val="0"/>
              <w:marTop w:val="0"/>
              <w:marBottom w:val="0"/>
              <w:divBdr>
                <w:top w:val="none" w:sz="0" w:space="0" w:color="auto"/>
                <w:left w:val="none" w:sz="0" w:space="0" w:color="auto"/>
                <w:bottom w:val="none" w:sz="0" w:space="0" w:color="auto"/>
                <w:right w:val="none" w:sz="0" w:space="0" w:color="auto"/>
              </w:divBdr>
            </w:div>
          </w:divsChild>
        </w:div>
        <w:div w:id="164370729">
          <w:marLeft w:val="0"/>
          <w:marRight w:val="0"/>
          <w:marTop w:val="0"/>
          <w:marBottom w:val="600"/>
          <w:divBdr>
            <w:top w:val="none" w:sz="0" w:space="0" w:color="auto"/>
            <w:left w:val="none" w:sz="0" w:space="0" w:color="auto"/>
            <w:bottom w:val="none" w:sz="0" w:space="0" w:color="auto"/>
            <w:right w:val="none" w:sz="0" w:space="0" w:color="auto"/>
          </w:divBdr>
        </w:div>
      </w:divsChild>
    </w:div>
    <w:div w:id="1283730813">
      <w:marLeft w:val="0"/>
      <w:marRight w:val="0"/>
      <w:marTop w:val="0"/>
      <w:marBottom w:val="0"/>
      <w:divBdr>
        <w:top w:val="none" w:sz="0" w:space="0" w:color="auto"/>
        <w:left w:val="none" w:sz="0" w:space="0" w:color="auto"/>
        <w:bottom w:val="none" w:sz="0" w:space="0" w:color="auto"/>
        <w:right w:val="none" w:sz="0" w:space="0" w:color="auto"/>
      </w:divBdr>
      <w:divsChild>
        <w:div w:id="132842356">
          <w:marLeft w:val="0"/>
          <w:marRight w:val="0"/>
          <w:marTop w:val="547"/>
          <w:marBottom w:val="0"/>
          <w:divBdr>
            <w:top w:val="none" w:sz="0" w:space="0" w:color="auto"/>
            <w:left w:val="none" w:sz="0" w:space="0" w:color="auto"/>
            <w:bottom w:val="none" w:sz="0" w:space="0" w:color="auto"/>
            <w:right w:val="none" w:sz="0" w:space="0" w:color="auto"/>
          </w:divBdr>
        </w:div>
        <w:div w:id="1990283094">
          <w:marLeft w:val="0"/>
          <w:marRight w:val="0"/>
          <w:marTop w:val="0"/>
          <w:marBottom w:val="0"/>
          <w:divBdr>
            <w:top w:val="none" w:sz="0" w:space="0" w:color="auto"/>
            <w:left w:val="none" w:sz="0" w:space="0" w:color="auto"/>
            <w:bottom w:val="none" w:sz="0" w:space="0" w:color="auto"/>
            <w:right w:val="none" w:sz="0" w:space="0" w:color="auto"/>
          </w:divBdr>
        </w:div>
        <w:div w:id="762650174">
          <w:marLeft w:val="0"/>
          <w:marRight w:val="0"/>
          <w:marTop w:val="0"/>
          <w:marBottom w:val="600"/>
          <w:divBdr>
            <w:top w:val="none" w:sz="0" w:space="0" w:color="auto"/>
            <w:left w:val="none" w:sz="0" w:space="0" w:color="auto"/>
            <w:bottom w:val="none" w:sz="0" w:space="0" w:color="auto"/>
            <w:right w:val="none" w:sz="0" w:space="0" w:color="auto"/>
          </w:divBdr>
        </w:div>
      </w:divsChild>
    </w:div>
    <w:div w:id="1286043691">
      <w:marLeft w:val="0"/>
      <w:marRight w:val="0"/>
      <w:marTop w:val="0"/>
      <w:marBottom w:val="0"/>
      <w:divBdr>
        <w:top w:val="none" w:sz="0" w:space="0" w:color="auto"/>
        <w:left w:val="none" w:sz="0" w:space="0" w:color="auto"/>
        <w:bottom w:val="none" w:sz="0" w:space="0" w:color="auto"/>
        <w:right w:val="none" w:sz="0" w:space="0" w:color="auto"/>
      </w:divBdr>
      <w:divsChild>
        <w:div w:id="112679366">
          <w:marLeft w:val="0"/>
          <w:marRight w:val="0"/>
          <w:marTop w:val="547"/>
          <w:marBottom w:val="0"/>
          <w:divBdr>
            <w:top w:val="none" w:sz="0" w:space="0" w:color="auto"/>
            <w:left w:val="none" w:sz="0" w:space="0" w:color="auto"/>
            <w:bottom w:val="none" w:sz="0" w:space="0" w:color="auto"/>
            <w:right w:val="none" w:sz="0" w:space="0" w:color="auto"/>
          </w:divBdr>
        </w:div>
        <w:div w:id="734744739">
          <w:marLeft w:val="0"/>
          <w:marRight w:val="0"/>
          <w:marTop w:val="0"/>
          <w:marBottom w:val="0"/>
          <w:divBdr>
            <w:top w:val="none" w:sz="0" w:space="0" w:color="auto"/>
            <w:left w:val="none" w:sz="0" w:space="0" w:color="auto"/>
            <w:bottom w:val="none" w:sz="0" w:space="0" w:color="auto"/>
            <w:right w:val="none" w:sz="0" w:space="0" w:color="auto"/>
          </w:divBdr>
        </w:div>
        <w:div w:id="716928961">
          <w:marLeft w:val="0"/>
          <w:marRight w:val="0"/>
          <w:marTop w:val="0"/>
          <w:marBottom w:val="600"/>
          <w:divBdr>
            <w:top w:val="none" w:sz="0" w:space="0" w:color="auto"/>
            <w:left w:val="none" w:sz="0" w:space="0" w:color="auto"/>
            <w:bottom w:val="none" w:sz="0" w:space="0" w:color="auto"/>
            <w:right w:val="none" w:sz="0" w:space="0" w:color="auto"/>
          </w:divBdr>
        </w:div>
      </w:divsChild>
    </w:div>
    <w:div w:id="1301768019">
      <w:marLeft w:val="0"/>
      <w:marRight w:val="0"/>
      <w:marTop w:val="0"/>
      <w:marBottom w:val="0"/>
      <w:divBdr>
        <w:top w:val="none" w:sz="0" w:space="0" w:color="auto"/>
        <w:left w:val="none" w:sz="0" w:space="0" w:color="auto"/>
        <w:bottom w:val="none" w:sz="0" w:space="0" w:color="auto"/>
        <w:right w:val="none" w:sz="0" w:space="0" w:color="auto"/>
      </w:divBdr>
      <w:divsChild>
        <w:div w:id="1502309495">
          <w:marLeft w:val="0"/>
          <w:marRight w:val="0"/>
          <w:marTop w:val="547"/>
          <w:marBottom w:val="0"/>
          <w:divBdr>
            <w:top w:val="none" w:sz="0" w:space="0" w:color="auto"/>
            <w:left w:val="none" w:sz="0" w:space="0" w:color="auto"/>
            <w:bottom w:val="none" w:sz="0" w:space="0" w:color="auto"/>
            <w:right w:val="none" w:sz="0" w:space="0" w:color="auto"/>
          </w:divBdr>
        </w:div>
        <w:div w:id="987055225">
          <w:marLeft w:val="0"/>
          <w:marRight w:val="0"/>
          <w:marTop w:val="0"/>
          <w:marBottom w:val="0"/>
          <w:divBdr>
            <w:top w:val="none" w:sz="0" w:space="0" w:color="auto"/>
            <w:left w:val="none" w:sz="0" w:space="0" w:color="auto"/>
            <w:bottom w:val="none" w:sz="0" w:space="0" w:color="auto"/>
            <w:right w:val="none" w:sz="0" w:space="0" w:color="auto"/>
          </w:divBdr>
          <w:divsChild>
            <w:div w:id="168832712">
              <w:marLeft w:val="0"/>
              <w:marRight w:val="0"/>
              <w:marTop w:val="0"/>
              <w:marBottom w:val="0"/>
              <w:divBdr>
                <w:top w:val="none" w:sz="0" w:space="0" w:color="auto"/>
                <w:left w:val="none" w:sz="0" w:space="0" w:color="auto"/>
                <w:bottom w:val="none" w:sz="0" w:space="0" w:color="auto"/>
                <w:right w:val="none" w:sz="0" w:space="0" w:color="auto"/>
              </w:divBdr>
              <w:divsChild>
                <w:div w:id="1033113371">
                  <w:marLeft w:val="0"/>
                  <w:marRight w:val="0"/>
                  <w:marTop w:val="0"/>
                  <w:marBottom w:val="0"/>
                  <w:divBdr>
                    <w:top w:val="none" w:sz="0" w:space="0" w:color="auto"/>
                    <w:left w:val="none" w:sz="0" w:space="0" w:color="auto"/>
                    <w:bottom w:val="none" w:sz="0" w:space="0" w:color="auto"/>
                    <w:right w:val="none" w:sz="0" w:space="0" w:color="auto"/>
                  </w:divBdr>
                </w:div>
              </w:divsChild>
            </w:div>
            <w:div w:id="1708944060">
              <w:marLeft w:val="0"/>
              <w:marRight w:val="0"/>
              <w:marTop w:val="0"/>
              <w:marBottom w:val="0"/>
              <w:divBdr>
                <w:top w:val="none" w:sz="0" w:space="0" w:color="auto"/>
                <w:left w:val="none" w:sz="0" w:space="0" w:color="auto"/>
                <w:bottom w:val="none" w:sz="0" w:space="0" w:color="auto"/>
                <w:right w:val="none" w:sz="0" w:space="0" w:color="auto"/>
              </w:divBdr>
              <w:divsChild>
                <w:div w:id="1318142973">
                  <w:marLeft w:val="0"/>
                  <w:marRight w:val="0"/>
                  <w:marTop w:val="0"/>
                  <w:marBottom w:val="0"/>
                  <w:divBdr>
                    <w:top w:val="none" w:sz="0" w:space="0" w:color="auto"/>
                    <w:left w:val="none" w:sz="0" w:space="0" w:color="auto"/>
                    <w:bottom w:val="none" w:sz="0" w:space="0" w:color="auto"/>
                    <w:right w:val="none" w:sz="0" w:space="0" w:color="auto"/>
                  </w:divBdr>
                </w:div>
              </w:divsChild>
            </w:div>
            <w:div w:id="207766229">
              <w:marLeft w:val="0"/>
              <w:marRight w:val="0"/>
              <w:marTop w:val="0"/>
              <w:marBottom w:val="0"/>
              <w:divBdr>
                <w:top w:val="none" w:sz="0" w:space="0" w:color="auto"/>
                <w:left w:val="none" w:sz="0" w:space="0" w:color="auto"/>
                <w:bottom w:val="none" w:sz="0" w:space="0" w:color="auto"/>
                <w:right w:val="none" w:sz="0" w:space="0" w:color="auto"/>
              </w:divBdr>
              <w:divsChild>
                <w:div w:id="1759398390">
                  <w:marLeft w:val="0"/>
                  <w:marRight w:val="0"/>
                  <w:marTop w:val="0"/>
                  <w:marBottom w:val="0"/>
                  <w:divBdr>
                    <w:top w:val="none" w:sz="0" w:space="0" w:color="auto"/>
                    <w:left w:val="none" w:sz="0" w:space="0" w:color="auto"/>
                    <w:bottom w:val="none" w:sz="0" w:space="0" w:color="auto"/>
                    <w:right w:val="none" w:sz="0" w:space="0" w:color="auto"/>
                  </w:divBdr>
                </w:div>
              </w:divsChild>
            </w:div>
            <w:div w:id="1742365670">
              <w:marLeft w:val="0"/>
              <w:marRight w:val="0"/>
              <w:marTop w:val="0"/>
              <w:marBottom w:val="0"/>
              <w:divBdr>
                <w:top w:val="none" w:sz="0" w:space="0" w:color="auto"/>
                <w:left w:val="none" w:sz="0" w:space="0" w:color="auto"/>
                <w:bottom w:val="none" w:sz="0" w:space="0" w:color="auto"/>
                <w:right w:val="none" w:sz="0" w:space="0" w:color="auto"/>
              </w:divBdr>
              <w:divsChild>
                <w:div w:id="124349076">
                  <w:marLeft w:val="0"/>
                  <w:marRight w:val="0"/>
                  <w:marTop w:val="0"/>
                  <w:marBottom w:val="0"/>
                  <w:divBdr>
                    <w:top w:val="none" w:sz="0" w:space="0" w:color="auto"/>
                    <w:left w:val="none" w:sz="0" w:space="0" w:color="auto"/>
                    <w:bottom w:val="none" w:sz="0" w:space="0" w:color="auto"/>
                    <w:right w:val="none" w:sz="0" w:space="0" w:color="auto"/>
                  </w:divBdr>
                </w:div>
              </w:divsChild>
            </w:div>
            <w:div w:id="603928457">
              <w:marLeft w:val="0"/>
              <w:marRight w:val="0"/>
              <w:marTop w:val="0"/>
              <w:marBottom w:val="0"/>
              <w:divBdr>
                <w:top w:val="none" w:sz="0" w:space="0" w:color="auto"/>
                <w:left w:val="none" w:sz="0" w:space="0" w:color="auto"/>
                <w:bottom w:val="none" w:sz="0" w:space="0" w:color="auto"/>
                <w:right w:val="none" w:sz="0" w:space="0" w:color="auto"/>
              </w:divBdr>
              <w:divsChild>
                <w:div w:id="570307388">
                  <w:marLeft w:val="0"/>
                  <w:marRight w:val="0"/>
                  <w:marTop w:val="0"/>
                  <w:marBottom w:val="0"/>
                  <w:divBdr>
                    <w:top w:val="none" w:sz="0" w:space="0" w:color="auto"/>
                    <w:left w:val="none" w:sz="0" w:space="0" w:color="auto"/>
                    <w:bottom w:val="none" w:sz="0" w:space="0" w:color="auto"/>
                    <w:right w:val="none" w:sz="0" w:space="0" w:color="auto"/>
                  </w:divBdr>
                </w:div>
              </w:divsChild>
            </w:div>
            <w:div w:id="1109738745">
              <w:marLeft w:val="0"/>
              <w:marRight w:val="0"/>
              <w:marTop w:val="0"/>
              <w:marBottom w:val="0"/>
              <w:divBdr>
                <w:top w:val="none" w:sz="0" w:space="0" w:color="auto"/>
                <w:left w:val="none" w:sz="0" w:space="0" w:color="auto"/>
                <w:bottom w:val="none" w:sz="0" w:space="0" w:color="auto"/>
                <w:right w:val="none" w:sz="0" w:space="0" w:color="auto"/>
              </w:divBdr>
              <w:divsChild>
                <w:div w:id="257758932">
                  <w:marLeft w:val="0"/>
                  <w:marRight w:val="0"/>
                  <w:marTop w:val="0"/>
                  <w:marBottom w:val="0"/>
                  <w:divBdr>
                    <w:top w:val="none" w:sz="0" w:space="0" w:color="auto"/>
                    <w:left w:val="none" w:sz="0" w:space="0" w:color="auto"/>
                    <w:bottom w:val="none" w:sz="0" w:space="0" w:color="auto"/>
                    <w:right w:val="none" w:sz="0" w:space="0" w:color="auto"/>
                  </w:divBdr>
                </w:div>
              </w:divsChild>
            </w:div>
            <w:div w:id="1317106236">
              <w:marLeft w:val="0"/>
              <w:marRight w:val="0"/>
              <w:marTop w:val="0"/>
              <w:marBottom w:val="0"/>
              <w:divBdr>
                <w:top w:val="none" w:sz="0" w:space="0" w:color="auto"/>
                <w:left w:val="none" w:sz="0" w:space="0" w:color="auto"/>
                <w:bottom w:val="none" w:sz="0" w:space="0" w:color="auto"/>
                <w:right w:val="none" w:sz="0" w:space="0" w:color="auto"/>
              </w:divBdr>
              <w:divsChild>
                <w:div w:id="535771485">
                  <w:marLeft w:val="0"/>
                  <w:marRight w:val="0"/>
                  <w:marTop w:val="0"/>
                  <w:marBottom w:val="0"/>
                  <w:divBdr>
                    <w:top w:val="none" w:sz="0" w:space="0" w:color="auto"/>
                    <w:left w:val="none" w:sz="0" w:space="0" w:color="auto"/>
                    <w:bottom w:val="none" w:sz="0" w:space="0" w:color="auto"/>
                    <w:right w:val="none" w:sz="0" w:space="0" w:color="auto"/>
                  </w:divBdr>
                </w:div>
              </w:divsChild>
            </w:div>
            <w:div w:id="1335691062">
              <w:marLeft w:val="0"/>
              <w:marRight w:val="0"/>
              <w:marTop w:val="0"/>
              <w:marBottom w:val="0"/>
              <w:divBdr>
                <w:top w:val="none" w:sz="0" w:space="0" w:color="auto"/>
                <w:left w:val="none" w:sz="0" w:space="0" w:color="auto"/>
                <w:bottom w:val="none" w:sz="0" w:space="0" w:color="auto"/>
                <w:right w:val="none" w:sz="0" w:space="0" w:color="auto"/>
              </w:divBdr>
              <w:divsChild>
                <w:div w:id="454102633">
                  <w:marLeft w:val="0"/>
                  <w:marRight w:val="0"/>
                  <w:marTop w:val="0"/>
                  <w:marBottom w:val="0"/>
                  <w:divBdr>
                    <w:top w:val="none" w:sz="0" w:space="0" w:color="auto"/>
                    <w:left w:val="none" w:sz="0" w:space="0" w:color="auto"/>
                    <w:bottom w:val="none" w:sz="0" w:space="0" w:color="auto"/>
                    <w:right w:val="none" w:sz="0" w:space="0" w:color="auto"/>
                  </w:divBdr>
                </w:div>
              </w:divsChild>
            </w:div>
            <w:div w:id="681054604">
              <w:marLeft w:val="0"/>
              <w:marRight w:val="0"/>
              <w:marTop w:val="0"/>
              <w:marBottom w:val="0"/>
              <w:divBdr>
                <w:top w:val="none" w:sz="0" w:space="0" w:color="auto"/>
                <w:left w:val="none" w:sz="0" w:space="0" w:color="auto"/>
                <w:bottom w:val="none" w:sz="0" w:space="0" w:color="auto"/>
                <w:right w:val="none" w:sz="0" w:space="0" w:color="auto"/>
              </w:divBdr>
              <w:divsChild>
                <w:div w:id="999380826">
                  <w:marLeft w:val="0"/>
                  <w:marRight w:val="0"/>
                  <w:marTop w:val="0"/>
                  <w:marBottom w:val="0"/>
                  <w:divBdr>
                    <w:top w:val="none" w:sz="0" w:space="0" w:color="auto"/>
                    <w:left w:val="none" w:sz="0" w:space="0" w:color="auto"/>
                    <w:bottom w:val="none" w:sz="0" w:space="0" w:color="auto"/>
                    <w:right w:val="none" w:sz="0" w:space="0" w:color="auto"/>
                  </w:divBdr>
                </w:div>
              </w:divsChild>
            </w:div>
            <w:div w:id="1484197723">
              <w:marLeft w:val="0"/>
              <w:marRight w:val="0"/>
              <w:marTop w:val="0"/>
              <w:marBottom w:val="0"/>
              <w:divBdr>
                <w:top w:val="none" w:sz="0" w:space="0" w:color="auto"/>
                <w:left w:val="none" w:sz="0" w:space="0" w:color="auto"/>
                <w:bottom w:val="none" w:sz="0" w:space="0" w:color="auto"/>
                <w:right w:val="none" w:sz="0" w:space="0" w:color="auto"/>
              </w:divBdr>
              <w:divsChild>
                <w:div w:id="1014770887">
                  <w:marLeft w:val="0"/>
                  <w:marRight w:val="0"/>
                  <w:marTop w:val="0"/>
                  <w:marBottom w:val="0"/>
                  <w:divBdr>
                    <w:top w:val="none" w:sz="0" w:space="0" w:color="auto"/>
                    <w:left w:val="none" w:sz="0" w:space="0" w:color="auto"/>
                    <w:bottom w:val="none" w:sz="0" w:space="0" w:color="auto"/>
                    <w:right w:val="none" w:sz="0" w:space="0" w:color="auto"/>
                  </w:divBdr>
                </w:div>
              </w:divsChild>
            </w:div>
            <w:div w:id="1684748233">
              <w:marLeft w:val="0"/>
              <w:marRight w:val="0"/>
              <w:marTop w:val="0"/>
              <w:marBottom w:val="0"/>
              <w:divBdr>
                <w:top w:val="none" w:sz="0" w:space="0" w:color="auto"/>
                <w:left w:val="none" w:sz="0" w:space="0" w:color="auto"/>
                <w:bottom w:val="none" w:sz="0" w:space="0" w:color="auto"/>
                <w:right w:val="none" w:sz="0" w:space="0" w:color="auto"/>
              </w:divBdr>
              <w:divsChild>
                <w:div w:id="505755164">
                  <w:marLeft w:val="0"/>
                  <w:marRight w:val="0"/>
                  <w:marTop w:val="0"/>
                  <w:marBottom w:val="0"/>
                  <w:divBdr>
                    <w:top w:val="none" w:sz="0" w:space="0" w:color="auto"/>
                    <w:left w:val="none" w:sz="0" w:space="0" w:color="auto"/>
                    <w:bottom w:val="none" w:sz="0" w:space="0" w:color="auto"/>
                    <w:right w:val="none" w:sz="0" w:space="0" w:color="auto"/>
                  </w:divBdr>
                </w:div>
              </w:divsChild>
            </w:div>
            <w:div w:id="1888252858">
              <w:marLeft w:val="0"/>
              <w:marRight w:val="0"/>
              <w:marTop w:val="0"/>
              <w:marBottom w:val="0"/>
              <w:divBdr>
                <w:top w:val="none" w:sz="0" w:space="0" w:color="auto"/>
                <w:left w:val="none" w:sz="0" w:space="0" w:color="auto"/>
                <w:bottom w:val="none" w:sz="0" w:space="0" w:color="auto"/>
                <w:right w:val="none" w:sz="0" w:space="0" w:color="auto"/>
              </w:divBdr>
              <w:divsChild>
                <w:div w:id="599794950">
                  <w:marLeft w:val="0"/>
                  <w:marRight w:val="0"/>
                  <w:marTop w:val="0"/>
                  <w:marBottom w:val="0"/>
                  <w:divBdr>
                    <w:top w:val="none" w:sz="0" w:space="0" w:color="auto"/>
                    <w:left w:val="none" w:sz="0" w:space="0" w:color="auto"/>
                    <w:bottom w:val="none" w:sz="0" w:space="0" w:color="auto"/>
                    <w:right w:val="none" w:sz="0" w:space="0" w:color="auto"/>
                  </w:divBdr>
                </w:div>
              </w:divsChild>
            </w:div>
            <w:div w:id="544026511">
              <w:marLeft w:val="0"/>
              <w:marRight w:val="0"/>
              <w:marTop w:val="0"/>
              <w:marBottom w:val="0"/>
              <w:divBdr>
                <w:top w:val="none" w:sz="0" w:space="0" w:color="auto"/>
                <w:left w:val="none" w:sz="0" w:space="0" w:color="auto"/>
                <w:bottom w:val="none" w:sz="0" w:space="0" w:color="auto"/>
                <w:right w:val="none" w:sz="0" w:space="0" w:color="auto"/>
              </w:divBdr>
              <w:divsChild>
                <w:div w:id="1152718370">
                  <w:marLeft w:val="0"/>
                  <w:marRight w:val="0"/>
                  <w:marTop w:val="0"/>
                  <w:marBottom w:val="0"/>
                  <w:divBdr>
                    <w:top w:val="none" w:sz="0" w:space="0" w:color="auto"/>
                    <w:left w:val="none" w:sz="0" w:space="0" w:color="auto"/>
                    <w:bottom w:val="none" w:sz="0" w:space="0" w:color="auto"/>
                    <w:right w:val="none" w:sz="0" w:space="0" w:color="auto"/>
                  </w:divBdr>
                </w:div>
              </w:divsChild>
            </w:div>
            <w:div w:id="1674844038">
              <w:marLeft w:val="0"/>
              <w:marRight w:val="0"/>
              <w:marTop w:val="0"/>
              <w:marBottom w:val="0"/>
              <w:divBdr>
                <w:top w:val="none" w:sz="0" w:space="0" w:color="auto"/>
                <w:left w:val="none" w:sz="0" w:space="0" w:color="auto"/>
                <w:bottom w:val="none" w:sz="0" w:space="0" w:color="auto"/>
                <w:right w:val="none" w:sz="0" w:space="0" w:color="auto"/>
              </w:divBdr>
              <w:divsChild>
                <w:div w:id="32355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4839">
          <w:marLeft w:val="0"/>
          <w:marRight w:val="0"/>
          <w:marTop w:val="0"/>
          <w:marBottom w:val="600"/>
          <w:divBdr>
            <w:top w:val="none" w:sz="0" w:space="0" w:color="auto"/>
            <w:left w:val="none" w:sz="0" w:space="0" w:color="auto"/>
            <w:bottom w:val="none" w:sz="0" w:space="0" w:color="auto"/>
            <w:right w:val="none" w:sz="0" w:space="0" w:color="auto"/>
          </w:divBdr>
        </w:div>
      </w:divsChild>
    </w:div>
    <w:div w:id="1310940106">
      <w:marLeft w:val="0"/>
      <w:marRight w:val="0"/>
      <w:marTop w:val="0"/>
      <w:marBottom w:val="0"/>
      <w:divBdr>
        <w:top w:val="none" w:sz="0" w:space="0" w:color="auto"/>
        <w:left w:val="none" w:sz="0" w:space="0" w:color="auto"/>
        <w:bottom w:val="none" w:sz="0" w:space="0" w:color="auto"/>
        <w:right w:val="none" w:sz="0" w:space="0" w:color="auto"/>
      </w:divBdr>
      <w:divsChild>
        <w:div w:id="1458135165">
          <w:marLeft w:val="0"/>
          <w:marRight w:val="0"/>
          <w:marTop w:val="547"/>
          <w:marBottom w:val="0"/>
          <w:divBdr>
            <w:top w:val="none" w:sz="0" w:space="0" w:color="auto"/>
            <w:left w:val="none" w:sz="0" w:space="0" w:color="auto"/>
            <w:bottom w:val="none" w:sz="0" w:space="0" w:color="auto"/>
            <w:right w:val="none" w:sz="0" w:space="0" w:color="auto"/>
          </w:divBdr>
        </w:div>
        <w:div w:id="1729256858">
          <w:marLeft w:val="0"/>
          <w:marRight w:val="0"/>
          <w:marTop w:val="0"/>
          <w:marBottom w:val="0"/>
          <w:divBdr>
            <w:top w:val="none" w:sz="0" w:space="0" w:color="auto"/>
            <w:left w:val="none" w:sz="0" w:space="0" w:color="auto"/>
            <w:bottom w:val="none" w:sz="0" w:space="0" w:color="auto"/>
            <w:right w:val="none" w:sz="0" w:space="0" w:color="auto"/>
          </w:divBdr>
          <w:divsChild>
            <w:div w:id="1848784469">
              <w:marLeft w:val="0"/>
              <w:marRight w:val="0"/>
              <w:marTop w:val="0"/>
              <w:marBottom w:val="0"/>
              <w:divBdr>
                <w:top w:val="none" w:sz="0" w:space="0" w:color="auto"/>
                <w:left w:val="none" w:sz="0" w:space="0" w:color="auto"/>
                <w:bottom w:val="none" w:sz="0" w:space="0" w:color="auto"/>
                <w:right w:val="none" w:sz="0" w:space="0" w:color="auto"/>
              </w:divBdr>
              <w:divsChild>
                <w:div w:id="1363241704">
                  <w:marLeft w:val="0"/>
                  <w:marRight w:val="0"/>
                  <w:marTop w:val="0"/>
                  <w:marBottom w:val="0"/>
                  <w:divBdr>
                    <w:top w:val="none" w:sz="0" w:space="0" w:color="auto"/>
                    <w:left w:val="none" w:sz="0" w:space="0" w:color="auto"/>
                    <w:bottom w:val="none" w:sz="0" w:space="0" w:color="auto"/>
                    <w:right w:val="none" w:sz="0" w:space="0" w:color="auto"/>
                  </w:divBdr>
                </w:div>
              </w:divsChild>
            </w:div>
            <w:div w:id="1592930725">
              <w:marLeft w:val="0"/>
              <w:marRight w:val="0"/>
              <w:marTop w:val="0"/>
              <w:marBottom w:val="0"/>
              <w:divBdr>
                <w:top w:val="none" w:sz="0" w:space="0" w:color="auto"/>
                <w:left w:val="none" w:sz="0" w:space="0" w:color="auto"/>
                <w:bottom w:val="none" w:sz="0" w:space="0" w:color="auto"/>
                <w:right w:val="none" w:sz="0" w:space="0" w:color="auto"/>
              </w:divBdr>
              <w:divsChild>
                <w:div w:id="1914578726">
                  <w:marLeft w:val="0"/>
                  <w:marRight w:val="0"/>
                  <w:marTop w:val="0"/>
                  <w:marBottom w:val="0"/>
                  <w:divBdr>
                    <w:top w:val="none" w:sz="0" w:space="0" w:color="auto"/>
                    <w:left w:val="none" w:sz="0" w:space="0" w:color="auto"/>
                    <w:bottom w:val="none" w:sz="0" w:space="0" w:color="auto"/>
                    <w:right w:val="none" w:sz="0" w:space="0" w:color="auto"/>
                  </w:divBdr>
                </w:div>
              </w:divsChild>
            </w:div>
            <w:div w:id="170029772">
              <w:marLeft w:val="0"/>
              <w:marRight w:val="0"/>
              <w:marTop w:val="0"/>
              <w:marBottom w:val="0"/>
              <w:divBdr>
                <w:top w:val="none" w:sz="0" w:space="0" w:color="auto"/>
                <w:left w:val="none" w:sz="0" w:space="0" w:color="auto"/>
                <w:bottom w:val="none" w:sz="0" w:space="0" w:color="auto"/>
                <w:right w:val="none" w:sz="0" w:space="0" w:color="auto"/>
              </w:divBdr>
              <w:divsChild>
                <w:div w:id="425351802">
                  <w:marLeft w:val="0"/>
                  <w:marRight w:val="0"/>
                  <w:marTop w:val="0"/>
                  <w:marBottom w:val="0"/>
                  <w:divBdr>
                    <w:top w:val="none" w:sz="0" w:space="0" w:color="auto"/>
                    <w:left w:val="none" w:sz="0" w:space="0" w:color="auto"/>
                    <w:bottom w:val="none" w:sz="0" w:space="0" w:color="auto"/>
                    <w:right w:val="none" w:sz="0" w:space="0" w:color="auto"/>
                  </w:divBdr>
                </w:div>
              </w:divsChild>
            </w:div>
            <w:div w:id="377315491">
              <w:marLeft w:val="0"/>
              <w:marRight w:val="0"/>
              <w:marTop w:val="0"/>
              <w:marBottom w:val="0"/>
              <w:divBdr>
                <w:top w:val="none" w:sz="0" w:space="0" w:color="auto"/>
                <w:left w:val="none" w:sz="0" w:space="0" w:color="auto"/>
                <w:bottom w:val="none" w:sz="0" w:space="0" w:color="auto"/>
                <w:right w:val="none" w:sz="0" w:space="0" w:color="auto"/>
              </w:divBdr>
              <w:divsChild>
                <w:div w:id="374938590">
                  <w:marLeft w:val="0"/>
                  <w:marRight w:val="0"/>
                  <w:marTop w:val="0"/>
                  <w:marBottom w:val="0"/>
                  <w:divBdr>
                    <w:top w:val="none" w:sz="0" w:space="0" w:color="auto"/>
                    <w:left w:val="none" w:sz="0" w:space="0" w:color="auto"/>
                    <w:bottom w:val="none" w:sz="0" w:space="0" w:color="auto"/>
                    <w:right w:val="none" w:sz="0" w:space="0" w:color="auto"/>
                  </w:divBdr>
                </w:div>
              </w:divsChild>
            </w:div>
            <w:div w:id="1843398122">
              <w:marLeft w:val="0"/>
              <w:marRight w:val="0"/>
              <w:marTop w:val="0"/>
              <w:marBottom w:val="0"/>
              <w:divBdr>
                <w:top w:val="none" w:sz="0" w:space="0" w:color="auto"/>
                <w:left w:val="none" w:sz="0" w:space="0" w:color="auto"/>
                <w:bottom w:val="none" w:sz="0" w:space="0" w:color="auto"/>
                <w:right w:val="none" w:sz="0" w:space="0" w:color="auto"/>
              </w:divBdr>
              <w:divsChild>
                <w:div w:id="25911699">
                  <w:marLeft w:val="0"/>
                  <w:marRight w:val="0"/>
                  <w:marTop w:val="0"/>
                  <w:marBottom w:val="0"/>
                  <w:divBdr>
                    <w:top w:val="none" w:sz="0" w:space="0" w:color="auto"/>
                    <w:left w:val="none" w:sz="0" w:space="0" w:color="auto"/>
                    <w:bottom w:val="none" w:sz="0" w:space="0" w:color="auto"/>
                    <w:right w:val="none" w:sz="0" w:space="0" w:color="auto"/>
                  </w:divBdr>
                </w:div>
              </w:divsChild>
            </w:div>
            <w:div w:id="310602300">
              <w:marLeft w:val="0"/>
              <w:marRight w:val="0"/>
              <w:marTop w:val="0"/>
              <w:marBottom w:val="0"/>
              <w:divBdr>
                <w:top w:val="none" w:sz="0" w:space="0" w:color="auto"/>
                <w:left w:val="none" w:sz="0" w:space="0" w:color="auto"/>
                <w:bottom w:val="none" w:sz="0" w:space="0" w:color="auto"/>
                <w:right w:val="none" w:sz="0" w:space="0" w:color="auto"/>
              </w:divBdr>
              <w:divsChild>
                <w:div w:id="1941444964">
                  <w:marLeft w:val="0"/>
                  <w:marRight w:val="0"/>
                  <w:marTop w:val="0"/>
                  <w:marBottom w:val="0"/>
                  <w:divBdr>
                    <w:top w:val="none" w:sz="0" w:space="0" w:color="auto"/>
                    <w:left w:val="none" w:sz="0" w:space="0" w:color="auto"/>
                    <w:bottom w:val="none" w:sz="0" w:space="0" w:color="auto"/>
                    <w:right w:val="none" w:sz="0" w:space="0" w:color="auto"/>
                  </w:divBdr>
                </w:div>
              </w:divsChild>
            </w:div>
            <w:div w:id="1133212220">
              <w:marLeft w:val="0"/>
              <w:marRight w:val="0"/>
              <w:marTop w:val="0"/>
              <w:marBottom w:val="0"/>
              <w:divBdr>
                <w:top w:val="none" w:sz="0" w:space="0" w:color="auto"/>
                <w:left w:val="none" w:sz="0" w:space="0" w:color="auto"/>
                <w:bottom w:val="none" w:sz="0" w:space="0" w:color="auto"/>
                <w:right w:val="none" w:sz="0" w:space="0" w:color="auto"/>
              </w:divBdr>
              <w:divsChild>
                <w:div w:id="8058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747634">
          <w:marLeft w:val="0"/>
          <w:marRight w:val="0"/>
          <w:marTop w:val="0"/>
          <w:marBottom w:val="600"/>
          <w:divBdr>
            <w:top w:val="none" w:sz="0" w:space="0" w:color="auto"/>
            <w:left w:val="none" w:sz="0" w:space="0" w:color="auto"/>
            <w:bottom w:val="none" w:sz="0" w:space="0" w:color="auto"/>
            <w:right w:val="none" w:sz="0" w:space="0" w:color="auto"/>
          </w:divBdr>
        </w:div>
      </w:divsChild>
    </w:div>
    <w:div w:id="1314945231">
      <w:marLeft w:val="0"/>
      <w:marRight w:val="0"/>
      <w:marTop w:val="0"/>
      <w:marBottom w:val="0"/>
      <w:divBdr>
        <w:top w:val="none" w:sz="0" w:space="0" w:color="auto"/>
        <w:left w:val="none" w:sz="0" w:space="0" w:color="auto"/>
        <w:bottom w:val="none" w:sz="0" w:space="0" w:color="auto"/>
        <w:right w:val="none" w:sz="0" w:space="0" w:color="auto"/>
      </w:divBdr>
    </w:div>
    <w:div w:id="1379743407">
      <w:marLeft w:val="0"/>
      <w:marRight w:val="0"/>
      <w:marTop w:val="0"/>
      <w:marBottom w:val="0"/>
      <w:divBdr>
        <w:top w:val="none" w:sz="0" w:space="0" w:color="auto"/>
        <w:left w:val="none" w:sz="0" w:space="0" w:color="auto"/>
        <w:bottom w:val="none" w:sz="0" w:space="0" w:color="auto"/>
        <w:right w:val="none" w:sz="0" w:space="0" w:color="auto"/>
      </w:divBdr>
      <w:divsChild>
        <w:div w:id="1269000034">
          <w:marLeft w:val="0"/>
          <w:marRight w:val="0"/>
          <w:marTop w:val="547"/>
          <w:marBottom w:val="0"/>
          <w:divBdr>
            <w:top w:val="none" w:sz="0" w:space="0" w:color="auto"/>
            <w:left w:val="none" w:sz="0" w:space="0" w:color="auto"/>
            <w:bottom w:val="none" w:sz="0" w:space="0" w:color="auto"/>
            <w:right w:val="none" w:sz="0" w:space="0" w:color="auto"/>
          </w:divBdr>
        </w:div>
        <w:div w:id="1269461032">
          <w:marLeft w:val="0"/>
          <w:marRight w:val="0"/>
          <w:marTop w:val="0"/>
          <w:marBottom w:val="0"/>
          <w:divBdr>
            <w:top w:val="none" w:sz="0" w:space="0" w:color="auto"/>
            <w:left w:val="none" w:sz="0" w:space="0" w:color="auto"/>
            <w:bottom w:val="none" w:sz="0" w:space="0" w:color="auto"/>
            <w:right w:val="none" w:sz="0" w:space="0" w:color="auto"/>
          </w:divBdr>
        </w:div>
        <w:div w:id="1381779500">
          <w:marLeft w:val="0"/>
          <w:marRight w:val="0"/>
          <w:marTop w:val="0"/>
          <w:marBottom w:val="600"/>
          <w:divBdr>
            <w:top w:val="none" w:sz="0" w:space="0" w:color="auto"/>
            <w:left w:val="none" w:sz="0" w:space="0" w:color="auto"/>
            <w:bottom w:val="none" w:sz="0" w:space="0" w:color="auto"/>
            <w:right w:val="none" w:sz="0" w:space="0" w:color="auto"/>
          </w:divBdr>
        </w:div>
      </w:divsChild>
    </w:div>
    <w:div w:id="1408769208">
      <w:marLeft w:val="0"/>
      <w:marRight w:val="0"/>
      <w:marTop w:val="0"/>
      <w:marBottom w:val="0"/>
      <w:divBdr>
        <w:top w:val="none" w:sz="0" w:space="0" w:color="auto"/>
        <w:left w:val="none" w:sz="0" w:space="0" w:color="auto"/>
        <w:bottom w:val="none" w:sz="0" w:space="0" w:color="auto"/>
        <w:right w:val="none" w:sz="0" w:space="0" w:color="auto"/>
      </w:divBdr>
      <w:divsChild>
        <w:div w:id="2101681801">
          <w:marLeft w:val="0"/>
          <w:marRight w:val="0"/>
          <w:marTop w:val="547"/>
          <w:marBottom w:val="0"/>
          <w:divBdr>
            <w:top w:val="none" w:sz="0" w:space="0" w:color="auto"/>
            <w:left w:val="none" w:sz="0" w:space="0" w:color="auto"/>
            <w:bottom w:val="none" w:sz="0" w:space="0" w:color="auto"/>
            <w:right w:val="none" w:sz="0" w:space="0" w:color="auto"/>
          </w:divBdr>
        </w:div>
        <w:div w:id="138771961">
          <w:marLeft w:val="0"/>
          <w:marRight w:val="0"/>
          <w:marTop w:val="0"/>
          <w:marBottom w:val="0"/>
          <w:divBdr>
            <w:top w:val="none" w:sz="0" w:space="0" w:color="auto"/>
            <w:left w:val="none" w:sz="0" w:space="0" w:color="auto"/>
            <w:bottom w:val="none" w:sz="0" w:space="0" w:color="auto"/>
            <w:right w:val="none" w:sz="0" w:space="0" w:color="auto"/>
          </w:divBdr>
        </w:div>
        <w:div w:id="1491823646">
          <w:marLeft w:val="0"/>
          <w:marRight w:val="0"/>
          <w:marTop w:val="0"/>
          <w:marBottom w:val="600"/>
          <w:divBdr>
            <w:top w:val="none" w:sz="0" w:space="0" w:color="auto"/>
            <w:left w:val="none" w:sz="0" w:space="0" w:color="auto"/>
            <w:bottom w:val="none" w:sz="0" w:space="0" w:color="auto"/>
            <w:right w:val="none" w:sz="0" w:space="0" w:color="auto"/>
          </w:divBdr>
        </w:div>
      </w:divsChild>
    </w:div>
    <w:div w:id="1432699124">
      <w:marLeft w:val="0"/>
      <w:marRight w:val="0"/>
      <w:marTop w:val="0"/>
      <w:marBottom w:val="0"/>
      <w:divBdr>
        <w:top w:val="none" w:sz="0" w:space="0" w:color="auto"/>
        <w:left w:val="none" w:sz="0" w:space="0" w:color="auto"/>
        <w:bottom w:val="none" w:sz="0" w:space="0" w:color="auto"/>
        <w:right w:val="none" w:sz="0" w:space="0" w:color="auto"/>
      </w:divBdr>
      <w:divsChild>
        <w:div w:id="1665039282">
          <w:marLeft w:val="0"/>
          <w:marRight w:val="0"/>
          <w:marTop w:val="547"/>
          <w:marBottom w:val="0"/>
          <w:divBdr>
            <w:top w:val="none" w:sz="0" w:space="0" w:color="auto"/>
            <w:left w:val="none" w:sz="0" w:space="0" w:color="auto"/>
            <w:bottom w:val="none" w:sz="0" w:space="0" w:color="auto"/>
            <w:right w:val="none" w:sz="0" w:space="0" w:color="auto"/>
          </w:divBdr>
        </w:div>
        <w:div w:id="250890026">
          <w:marLeft w:val="0"/>
          <w:marRight w:val="0"/>
          <w:marTop w:val="0"/>
          <w:marBottom w:val="0"/>
          <w:divBdr>
            <w:top w:val="none" w:sz="0" w:space="0" w:color="auto"/>
            <w:left w:val="none" w:sz="0" w:space="0" w:color="auto"/>
            <w:bottom w:val="none" w:sz="0" w:space="0" w:color="auto"/>
            <w:right w:val="none" w:sz="0" w:space="0" w:color="auto"/>
          </w:divBdr>
        </w:div>
        <w:div w:id="1030571932">
          <w:marLeft w:val="0"/>
          <w:marRight w:val="0"/>
          <w:marTop w:val="0"/>
          <w:marBottom w:val="600"/>
          <w:divBdr>
            <w:top w:val="none" w:sz="0" w:space="0" w:color="auto"/>
            <w:left w:val="none" w:sz="0" w:space="0" w:color="auto"/>
            <w:bottom w:val="none" w:sz="0" w:space="0" w:color="auto"/>
            <w:right w:val="none" w:sz="0" w:space="0" w:color="auto"/>
          </w:divBdr>
        </w:div>
      </w:divsChild>
    </w:div>
    <w:div w:id="1441535163">
      <w:marLeft w:val="0"/>
      <w:marRight w:val="0"/>
      <w:marTop w:val="0"/>
      <w:marBottom w:val="0"/>
      <w:divBdr>
        <w:top w:val="none" w:sz="0" w:space="0" w:color="auto"/>
        <w:left w:val="none" w:sz="0" w:space="0" w:color="auto"/>
        <w:bottom w:val="none" w:sz="0" w:space="0" w:color="auto"/>
        <w:right w:val="none" w:sz="0" w:space="0" w:color="auto"/>
      </w:divBdr>
      <w:divsChild>
        <w:div w:id="1059329876">
          <w:marLeft w:val="0"/>
          <w:marRight w:val="0"/>
          <w:marTop w:val="547"/>
          <w:marBottom w:val="0"/>
          <w:divBdr>
            <w:top w:val="none" w:sz="0" w:space="0" w:color="auto"/>
            <w:left w:val="none" w:sz="0" w:space="0" w:color="auto"/>
            <w:bottom w:val="none" w:sz="0" w:space="0" w:color="auto"/>
            <w:right w:val="none" w:sz="0" w:space="0" w:color="auto"/>
          </w:divBdr>
        </w:div>
        <w:div w:id="1342663127">
          <w:marLeft w:val="0"/>
          <w:marRight w:val="0"/>
          <w:marTop w:val="0"/>
          <w:marBottom w:val="0"/>
          <w:divBdr>
            <w:top w:val="none" w:sz="0" w:space="0" w:color="auto"/>
            <w:left w:val="none" w:sz="0" w:space="0" w:color="auto"/>
            <w:bottom w:val="none" w:sz="0" w:space="0" w:color="auto"/>
            <w:right w:val="none" w:sz="0" w:space="0" w:color="auto"/>
          </w:divBdr>
        </w:div>
        <w:div w:id="25758923">
          <w:marLeft w:val="0"/>
          <w:marRight w:val="0"/>
          <w:marTop w:val="0"/>
          <w:marBottom w:val="600"/>
          <w:divBdr>
            <w:top w:val="none" w:sz="0" w:space="0" w:color="auto"/>
            <w:left w:val="none" w:sz="0" w:space="0" w:color="auto"/>
            <w:bottom w:val="none" w:sz="0" w:space="0" w:color="auto"/>
            <w:right w:val="none" w:sz="0" w:space="0" w:color="auto"/>
          </w:divBdr>
        </w:div>
      </w:divsChild>
    </w:div>
    <w:div w:id="1483157497">
      <w:marLeft w:val="0"/>
      <w:marRight w:val="0"/>
      <w:marTop w:val="0"/>
      <w:marBottom w:val="0"/>
      <w:divBdr>
        <w:top w:val="none" w:sz="0" w:space="0" w:color="auto"/>
        <w:left w:val="none" w:sz="0" w:space="0" w:color="auto"/>
        <w:bottom w:val="none" w:sz="0" w:space="0" w:color="auto"/>
        <w:right w:val="none" w:sz="0" w:space="0" w:color="auto"/>
      </w:divBdr>
      <w:divsChild>
        <w:div w:id="1891064714">
          <w:marLeft w:val="0"/>
          <w:marRight w:val="0"/>
          <w:marTop w:val="547"/>
          <w:marBottom w:val="0"/>
          <w:divBdr>
            <w:top w:val="none" w:sz="0" w:space="0" w:color="auto"/>
            <w:left w:val="none" w:sz="0" w:space="0" w:color="auto"/>
            <w:bottom w:val="none" w:sz="0" w:space="0" w:color="auto"/>
            <w:right w:val="none" w:sz="0" w:space="0" w:color="auto"/>
          </w:divBdr>
        </w:div>
        <w:div w:id="1432818264">
          <w:marLeft w:val="0"/>
          <w:marRight w:val="0"/>
          <w:marTop w:val="0"/>
          <w:marBottom w:val="0"/>
          <w:divBdr>
            <w:top w:val="none" w:sz="0" w:space="0" w:color="auto"/>
            <w:left w:val="none" w:sz="0" w:space="0" w:color="auto"/>
            <w:bottom w:val="none" w:sz="0" w:space="0" w:color="auto"/>
            <w:right w:val="none" w:sz="0" w:space="0" w:color="auto"/>
          </w:divBdr>
        </w:div>
        <w:div w:id="1279920241">
          <w:marLeft w:val="0"/>
          <w:marRight w:val="0"/>
          <w:marTop w:val="0"/>
          <w:marBottom w:val="600"/>
          <w:divBdr>
            <w:top w:val="none" w:sz="0" w:space="0" w:color="auto"/>
            <w:left w:val="none" w:sz="0" w:space="0" w:color="auto"/>
            <w:bottom w:val="none" w:sz="0" w:space="0" w:color="auto"/>
            <w:right w:val="none" w:sz="0" w:space="0" w:color="auto"/>
          </w:divBdr>
        </w:div>
      </w:divsChild>
    </w:div>
    <w:div w:id="1489398473">
      <w:marLeft w:val="0"/>
      <w:marRight w:val="0"/>
      <w:marTop w:val="0"/>
      <w:marBottom w:val="0"/>
      <w:divBdr>
        <w:top w:val="none" w:sz="0" w:space="0" w:color="auto"/>
        <w:left w:val="none" w:sz="0" w:space="0" w:color="auto"/>
        <w:bottom w:val="none" w:sz="0" w:space="0" w:color="auto"/>
        <w:right w:val="none" w:sz="0" w:space="0" w:color="auto"/>
      </w:divBdr>
      <w:divsChild>
        <w:div w:id="1247496358">
          <w:marLeft w:val="0"/>
          <w:marRight w:val="0"/>
          <w:marTop w:val="547"/>
          <w:marBottom w:val="0"/>
          <w:divBdr>
            <w:top w:val="none" w:sz="0" w:space="0" w:color="auto"/>
            <w:left w:val="none" w:sz="0" w:space="0" w:color="auto"/>
            <w:bottom w:val="none" w:sz="0" w:space="0" w:color="auto"/>
            <w:right w:val="none" w:sz="0" w:space="0" w:color="auto"/>
          </w:divBdr>
        </w:div>
        <w:div w:id="815296392">
          <w:marLeft w:val="0"/>
          <w:marRight w:val="0"/>
          <w:marTop w:val="0"/>
          <w:marBottom w:val="0"/>
          <w:divBdr>
            <w:top w:val="none" w:sz="0" w:space="0" w:color="auto"/>
            <w:left w:val="none" w:sz="0" w:space="0" w:color="auto"/>
            <w:bottom w:val="none" w:sz="0" w:space="0" w:color="auto"/>
            <w:right w:val="none" w:sz="0" w:space="0" w:color="auto"/>
          </w:divBdr>
        </w:div>
        <w:div w:id="1428455388">
          <w:marLeft w:val="0"/>
          <w:marRight w:val="0"/>
          <w:marTop w:val="0"/>
          <w:marBottom w:val="600"/>
          <w:divBdr>
            <w:top w:val="none" w:sz="0" w:space="0" w:color="auto"/>
            <w:left w:val="none" w:sz="0" w:space="0" w:color="auto"/>
            <w:bottom w:val="none" w:sz="0" w:space="0" w:color="auto"/>
            <w:right w:val="none" w:sz="0" w:space="0" w:color="auto"/>
          </w:divBdr>
        </w:div>
      </w:divsChild>
    </w:div>
    <w:div w:id="1512404745">
      <w:marLeft w:val="0"/>
      <w:marRight w:val="0"/>
      <w:marTop w:val="0"/>
      <w:marBottom w:val="0"/>
      <w:divBdr>
        <w:top w:val="none" w:sz="0" w:space="0" w:color="auto"/>
        <w:left w:val="none" w:sz="0" w:space="0" w:color="auto"/>
        <w:bottom w:val="none" w:sz="0" w:space="0" w:color="auto"/>
        <w:right w:val="none" w:sz="0" w:space="0" w:color="auto"/>
      </w:divBdr>
      <w:divsChild>
        <w:div w:id="1094866053">
          <w:marLeft w:val="0"/>
          <w:marRight w:val="0"/>
          <w:marTop w:val="547"/>
          <w:marBottom w:val="0"/>
          <w:divBdr>
            <w:top w:val="none" w:sz="0" w:space="0" w:color="auto"/>
            <w:left w:val="none" w:sz="0" w:space="0" w:color="auto"/>
            <w:bottom w:val="none" w:sz="0" w:space="0" w:color="auto"/>
            <w:right w:val="none" w:sz="0" w:space="0" w:color="auto"/>
          </w:divBdr>
        </w:div>
        <w:div w:id="229199363">
          <w:marLeft w:val="0"/>
          <w:marRight w:val="0"/>
          <w:marTop w:val="0"/>
          <w:marBottom w:val="0"/>
          <w:divBdr>
            <w:top w:val="none" w:sz="0" w:space="0" w:color="auto"/>
            <w:left w:val="none" w:sz="0" w:space="0" w:color="auto"/>
            <w:bottom w:val="none" w:sz="0" w:space="0" w:color="auto"/>
            <w:right w:val="none" w:sz="0" w:space="0" w:color="auto"/>
          </w:divBdr>
        </w:div>
        <w:div w:id="1553276015">
          <w:marLeft w:val="0"/>
          <w:marRight w:val="0"/>
          <w:marTop w:val="0"/>
          <w:marBottom w:val="600"/>
          <w:divBdr>
            <w:top w:val="none" w:sz="0" w:space="0" w:color="auto"/>
            <w:left w:val="none" w:sz="0" w:space="0" w:color="auto"/>
            <w:bottom w:val="none" w:sz="0" w:space="0" w:color="auto"/>
            <w:right w:val="none" w:sz="0" w:space="0" w:color="auto"/>
          </w:divBdr>
        </w:div>
      </w:divsChild>
    </w:div>
    <w:div w:id="1534615871">
      <w:marLeft w:val="0"/>
      <w:marRight w:val="0"/>
      <w:marTop w:val="0"/>
      <w:marBottom w:val="0"/>
      <w:divBdr>
        <w:top w:val="none" w:sz="0" w:space="0" w:color="auto"/>
        <w:left w:val="none" w:sz="0" w:space="0" w:color="auto"/>
        <w:bottom w:val="none" w:sz="0" w:space="0" w:color="auto"/>
        <w:right w:val="none" w:sz="0" w:space="0" w:color="auto"/>
      </w:divBdr>
      <w:divsChild>
        <w:div w:id="1600747215">
          <w:marLeft w:val="0"/>
          <w:marRight w:val="0"/>
          <w:marTop w:val="547"/>
          <w:marBottom w:val="0"/>
          <w:divBdr>
            <w:top w:val="none" w:sz="0" w:space="0" w:color="auto"/>
            <w:left w:val="none" w:sz="0" w:space="0" w:color="auto"/>
            <w:bottom w:val="none" w:sz="0" w:space="0" w:color="auto"/>
            <w:right w:val="none" w:sz="0" w:space="0" w:color="auto"/>
          </w:divBdr>
        </w:div>
        <w:div w:id="1434090832">
          <w:marLeft w:val="0"/>
          <w:marRight w:val="0"/>
          <w:marTop w:val="0"/>
          <w:marBottom w:val="0"/>
          <w:divBdr>
            <w:top w:val="none" w:sz="0" w:space="0" w:color="auto"/>
            <w:left w:val="none" w:sz="0" w:space="0" w:color="auto"/>
            <w:bottom w:val="none" w:sz="0" w:space="0" w:color="auto"/>
            <w:right w:val="none" w:sz="0" w:space="0" w:color="auto"/>
          </w:divBdr>
        </w:div>
        <w:div w:id="623585805">
          <w:marLeft w:val="0"/>
          <w:marRight w:val="0"/>
          <w:marTop w:val="0"/>
          <w:marBottom w:val="600"/>
          <w:divBdr>
            <w:top w:val="none" w:sz="0" w:space="0" w:color="auto"/>
            <w:left w:val="none" w:sz="0" w:space="0" w:color="auto"/>
            <w:bottom w:val="none" w:sz="0" w:space="0" w:color="auto"/>
            <w:right w:val="none" w:sz="0" w:space="0" w:color="auto"/>
          </w:divBdr>
        </w:div>
      </w:divsChild>
    </w:div>
    <w:div w:id="1565095139">
      <w:marLeft w:val="0"/>
      <w:marRight w:val="0"/>
      <w:marTop w:val="0"/>
      <w:marBottom w:val="0"/>
      <w:divBdr>
        <w:top w:val="none" w:sz="0" w:space="0" w:color="auto"/>
        <w:left w:val="none" w:sz="0" w:space="0" w:color="auto"/>
        <w:bottom w:val="none" w:sz="0" w:space="0" w:color="auto"/>
        <w:right w:val="none" w:sz="0" w:space="0" w:color="auto"/>
      </w:divBdr>
      <w:divsChild>
        <w:div w:id="1784416859">
          <w:marLeft w:val="0"/>
          <w:marRight w:val="0"/>
          <w:marTop w:val="547"/>
          <w:marBottom w:val="0"/>
          <w:divBdr>
            <w:top w:val="none" w:sz="0" w:space="0" w:color="auto"/>
            <w:left w:val="none" w:sz="0" w:space="0" w:color="auto"/>
            <w:bottom w:val="none" w:sz="0" w:space="0" w:color="auto"/>
            <w:right w:val="none" w:sz="0" w:space="0" w:color="auto"/>
          </w:divBdr>
        </w:div>
        <w:div w:id="1134325290">
          <w:marLeft w:val="0"/>
          <w:marRight w:val="0"/>
          <w:marTop w:val="0"/>
          <w:marBottom w:val="0"/>
          <w:divBdr>
            <w:top w:val="none" w:sz="0" w:space="0" w:color="auto"/>
            <w:left w:val="none" w:sz="0" w:space="0" w:color="auto"/>
            <w:bottom w:val="none" w:sz="0" w:space="0" w:color="auto"/>
            <w:right w:val="none" w:sz="0" w:space="0" w:color="auto"/>
          </w:divBdr>
          <w:divsChild>
            <w:div w:id="713314564">
              <w:marLeft w:val="0"/>
              <w:marRight w:val="0"/>
              <w:marTop w:val="0"/>
              <w:marBottom w:val="0"/>
              <w:divBdr>
                <w:top w:val="none" w:sz="0" w:space="0" w:color="auto"/>
                <w:left w:val="none" w:sz="0" w:space="0" w:color="auto"/>
                <w:bottom w:val="none" w:sz="0" w:space="0" w:color="auto"/>
                <w:right w:val="none" w:sz="0" w:space="0" w:color="auto"/>
              </w:divBdr>
              <w:divsChild>
                <w:div w:id="1582375145">
                  <w:marLeft w:val="0"/>
                  <w:marRight w:val="0"/>
                  <w:marTop w:val="0"/>
                  <w:marBottom w:val="0"/>
                  <w:divBdr>
                    <w:top w:val="none" w:sz="0" w:space="0" w:color="auto"/>
                    <w:left w:val="none" w:sz="0" w:space="0" w:color="auto"/>
                    <w:bottom w:val="none" w:sz="0" w:space="0" w:color="auto"/>
                    <w:right w:val="none" w:sz="0" w:space="0" w:color="auto"/>
                  </w:divBdr>
                </w:div>
              </w:divsChild>
            </w:div>
            <w:div w:id="982201840">
              <w:marLeft w:val="0"/>
              <w:marRight w:val="0"/>
              <w:marTop w:val="0"/>
              <w:marBottom w:val="0"/>
              <w:divBdr>
                <w:top w:val="none" w:sz="0" w:space="0" w:color="auto"/>
                <w:left w:val="none" w:sz="0" w:space="0" w:color="auto"/>
                <w:bottom w:val="none" w:sz="0" w:space="0" w:color="auto"/>
                <w:right w:val="none" w:sz="0" w:space="0" w:color="auto"/>
              </w:divBdr>
              <w:divsChild>
                <w:div w:id="886725937">
                  <w:marLeft w:val="0"/>
                  <w:marRight w:val="0"/>
                  <w:marTop w:val="0"/>
                  <w:marBottom w:val="0"/>
                  <w:divBdr>
                    <w:top w:val="none" w:sz="0" w:space="0" w:color="auto"/>
                    <w:left w:val="none" w:sz="0" w:space="0" w:color="auto"/>
                    <w:bottom w:val="none" w:sz="0" w:space="0" w:color="auto"/>
                    <w:right w:val="none" w:sz="0" w:space="0" w:color="auto"/>
                  </w:divBdr>
                </w:div>
              </w:divsChild>
            </w:div>
            <w:div w:id="1100953556">
              <w:marLeft w:val="0"/>
              <w:marRight w:val="0"/>
              <w:marTop w:val="0"/>
              <w:marBottom w:val="0"/>
              <w:divBdr>
                <w:top w:val="none" w:sz="0" w:space="0" w:color="auto"/>
                <w:left w:val="none" w:sz="0" w:space="0" w:color="auto"/>
                <w:bottom w:val="none" w:sz="0" w:space="0" w:color="auto"/>
                <w:right w:val="none" w:sz="0" w:space="0" w:color="auto"/>
              </w:divBdr>
              <w:divsChild>
                <w:div w:id="1212572731">
                  <w:marLeft w:val="0"/>
                  <w:marRight w:val="0"/>
                  <w:marTop w:val="0"/>
                  <w:marBottom w:val="0"/>
                  <w:divBdr>
                    <w:top w:val="none" w:sz="0" w:space="0" w:color="auto"/>
                    <w:left w:val="none" w:sz="0" w:space="0" w:color="auto"/>
                    <w:bottom w:val="none" w:sz="0" w:space="0" w:color="auto"/>
                    <w:right w:val="none" w:sz="0" w:space="0" w:color="auto"/>
                  </w:divBdr>
                </w:div>
              </w:divsChild>
            </w:div>
            <w:div w:id="546379589">
              <w:marLeft w:val="0"/>
              <w:marRight w:val="0"/>
              <w:marTop w:val="0"/>
              <w:marBottom w:val="0"/>
              <w:divBdr>
                <w:top w:val="none" w:sz="0" w:space="0" w:color="auto"/>
                <w:left w:val="none" w:sz="0" w:space="0" w:color="auto"/>
                <w:bottom w:val="none" w:sz="0" w:space="0" w:color="auto"/>
                <w:right w:val="none" w:sz="0" w:space="0" w:color="auto"/>
              </w:divBdr>
              <w:divsChild>
                <w:div w:id="1686590017">
                  <w:marLeft w:val="0"/>
                  <w:marRight w:val="0"/>
                  <w:marTop w:val="0"/>
                  <w:marBottom w:val="0"/>
                  <w:divBdr>
                    <w:top w:val="none" w:sz="0" w:space="0" w:color="auto"/>
                    <w:left w:val="none" w:sz="0" w:space="0" w:color="auto"/>
                    <w:bottom w:val="none" w:sz="0" w:space="0" w:color="auto"/>
                    <w:right w:val="none" w:sz="0" w:space="0" w:color="auto"/>
                  </w:divBdr>
                </w:div>
              </w:divsChild>
            </w:div>
            <w:div w:id="618881095">
              <w:marLeft w:val="0"/>
              <w:marRight w:val="0"/>
              <w:marTop w:val="0"/>
              <w:marBottom w:val="0"/>
              <w:divBdr>
                <w:top w:val="none" w:sz="0" w:space="0" w:color="auto"/>
                <w:left w:val="none" w:sz="0" w:space="0" w:color="auto"/>
                <w:bottom w:val="none" w:sz="0" w:space="0" w:color="auto"/>
                <w:right w:val="none" w:sz="0" w:space="0" w:color="auto"/>
              </w:divBdr>
              <w:divsChild>
                <w:div w:id="787506177">
                  <w:marLeft w:val="0"/>
                  <w:marRight w:val="0"/>
                  <w:marTop w:val="0"/>
                  <w:marBottom w:val="0"/>
                  <w:divBdr>
                    <w:top w:val="none" w:sz="0" w:space="0" w:color="auto"/>
                    <w:left w:val="none" w:sz="0" w:space="0" w:color="auto"/>
                    <w:bottom w:val="none" w:sz="0" w:space="0" w:color="auto"/>
                    <w:right w:val="none" w:sz="0" w:space="0" w:color="auto"/>
                  </w:divBdr>
                </w:div>
              </w:divsChild>
            </w:div>
            <w:div w:id="1549996960">
              <w:marLeft w:val="0"/>
              <w:marRight w:val="0"/>
              <w:marTop w:val="0"/>
              <w:marBottom w:val="0"/>
              <w:divBdr>
                <w:top w:val="none" w:sz="0" w:space="0" w:color="auto"/>
                <w:left w:val="none" w:sz="0" w:space="0" w:color="auto"/>
                <w:bottom w:val="none" w:sz="0" w:space="0" w:color="auto"/>
                <w:right w:val="none" w:sz="0" w:space="0" w:color="auto"/>
              </w:divBdr>
              <w:divsChild>
                <w:div w:id="956059346">
                  <w:marLeft w:val="0"/>
                  <w:marRight w:val="0"/>
                  <w:marTop w:val="0"/>
                  <w:marBottom w:val="0"/>
                  <w:divBdr>
                    <w:top w:val="none" w:sz="0" w:space="0" w:color="auto"/>
                    <w:left w:val="none" w:sz="0" w:space="0" w:color="auto"/>
                    <w:bottom w:val="none" w:sz="0" w:space="0" w:color="auto"/>
                    <w:right w:val="none" w:sz="0" w:space="0" w:color="auto"/>
                  </w:divBdr>
                </w:div>
              </w:divsChild>
            </w:div>
            <w:div w:id="1544100170">
              <w:marLeft w:val="0"/>
              <w:marRight w:val="0"/>
              <w:marTop w:val="0"/>
              <w:marBottom w:val="0"/>
              <w:divBdr>
                <w:top w:val="none" w:sz="0" w:space="0" w:color="auto"/>
                <w:left w:val="none" w:sz="0" w:space="0" w:color="auto"/>
                <w:bottom w:val="none" w:sz="0" w:space="0" w:color="auto"/>
                <w:right w:val="none" w:sz="0" w:space="0" w:color="auto"/>
              </w:divBdr>
              <w:divsChild>
                <w:div w:id="1958679662">
                  <w:marLeft w:val="0"/>
                  <w:marRight w:val="0"/>
                  <w:marTop w:val="0"/>
                  <w:marBottom w:val="0"/>
                  <w:divBdr>
                    <w:top w:val="none" w:sz="0" w:space="0" w:color="auto"/>
                    <w:left w:val="none" w:sz="0" w:space="0" w:color="auto"/>
                    <w:bottom w:val="none" w:sz="0" w:space="0" w:color="auto"/>
                    <w:right w:val="none" w:sz="0" w:space="0" w:color="auto"/>
                  </w:divBdr>
                </w:div>
              </w:divsChild>
            </w:div>
            <w:div w:id="1731803925">
              <w:marLeft w:val="0"/>
              <w:marRight w:val="0"/>
              <w:marTop w:val="0"/>
              <w:marBottom w:val="0"/>
              <w:divBdr>
                <w:top w:val="none" w:sz="0" w:space="0" w:color="auto"/>
                <w:left w:val="none" w:sz="0" w:space="0" w:color="auto"/>
                <w:bottom w:val="none" w:sz="0" w:space="0" w:color="auto"/>
                <w:right w:val="none" w:sz="0" w:space="0" w:color="auto"/>
              </w:divBdr>
              <w:divsChild>
                <w:div w:id="764692161">
                  <w:marLeft w:val="0"/>
                  <w:marRight w:val="0"/>
                  <w:marTop w:val="0"/>
                  <w:marBottom w:val="0"/>
                  <w:divBdr>
                    <w:top w:val="none" w:sz="0" w:space="0" w:color="auto"/>
                    <w:left w:val="none" w:sz="0" w:space="0" w:color="auto"/>
                    <w:bottom w:val="none" w:sz="0" w:space="0" w:color="auto"/>
                    <w:right w:val="none" w:sz="0" w:space="0" w:color="auto"/>
                  </w:divBdr>
                </w:div>
              </w:divsChild>
            </w:div>
            <w:div w:id="1112362687">
              <w:marLeft w:val="0"/>
              <w:marRight w:val="0"/>
              <w:marTop w:val="0"/>
              <w:marBottom w:val="0"/>
              <w:divBdr>
                <w:top w:val="none" w:sz="0" w:space="0" w:color="auto"/>
                <w:left w:val="none" w:sz="0" w:space="0" w:color="auto"/>
                <w:bottom w:val="none" w:sz="0" w:space="0" w:color="auto"/>
                <w:right w:val="none" w:sz="0" w:space="0" w:color="auto"/>
              </w:divBdr>
              <w:divsChild>
                <w:div w:id="662196948">
                  <w:marLeft w:val="0"/>
                  <w:marRight w:val="0"/>
                  <w:marTop w:val="0"/>
                  <w:marBottom w:val="0"/>
                  <w:divBdr>
                    <w:top w:val="none" w:sz="0" w:space="0" w:color="auto"/>
                    <w:left w:val="none" w:sz="0" w:space="0" w:color="auto"/>
                    <w:bottom w:val="none" w:sz="0" w:space="0" w:color="auto"/>
                    <w:right w:val="none" w:sz="0" w:space="0" w:color="auto"/>
                  </w:divBdr>
                </w:div>
              </w:divsChild>
            </w:div>
            <w:div w:id="1777678044">
              <w:marLeft w:val="0"/>
              <w:marRight w:val="0"/>
              <w:marTop w:val="0"/>
              <w:marBottom w:val="0"/>
              <w:divBdr>
                <w:top w:val="none" w:sz="0" w:space="0" w:color="auto"/>
                <w:left w:val="none" w:sz="0" w:space="0" w:color="auto"/>
                <w:bottom w:val="none" w:sz="0" w:space="0" w:color="auto"/>
                <w:right w:val="none" w:sz="0" w:space="0" w:color="auto"/>
              </w:divBdr>
              <w:divsChild>
                <w:div w:id="205528893">
                  <w:marLeft w:val="0"/>
                  <w:marRight w:val="0"/>
                  <w:marTop w:val="0"/>
                  <w:marBottom w:val="0"/>
                  <w:divBdr>
                    <w:top w:val="none" w:sz="0" w:space="0" w:color="auto"/>
                    <w:left w:val="none" w:sz="0" w:space="0" w:color="auto"/>
                    <w:bottom w:val="none" w:sz="0" w:space="0" w:color="auto"/>
                    <w:right w:val="none" w:sz="0" w:space="0" w:color="auto"/>
                  </w:divBdr>
                </w:div>
              </w:divsChild>
            </w:div>
            <w:div w:id="1187908110">
              <w:marLeft w:val="0"/>
              <w:marRight w:val="0"/>
              <w:marTop w:val="0"/>
              <w:marBottom w:val="0"/>
              <w:divBdr>
                <w:top w:val="none" w:sz="0" w:space="0" w:color="auto"/>
                <w:left w:val="none" w:sz="0" w:space="0" w:color="auto"/>
                <w:bottom w:val="none" w:sz="0" w:space="0" w:color="auto"/>
                <w:right w:val="none" w:sz="0" w:space="0" w:color="auto"/>
              </w:divBdr>
              <w:divsChild>
                <w:div w:id="465856344">
                  <w:marLeft w:val="0"/>
                  <w:marRight w:val="0"/>
                  <w:marTop w:val="0"/>
                  <w:marBottom w:val="0"/>
                  <w:divBdr>
                    <w:top w:val="none" w:sz="0" w:space="0" w:color="auto"/>
                    <w:left w:val="none" w:sz="0" w:space="0" w:color="auto"/>
                    <w:bottom w:val="none" w:sz="0" w:space="0" w:color="auto"/>
                    <w:right w:val="none" w:sz="0" w:space="0" w:color="auto"/>
                  </w:divBdr>
                </w:div>
              </w:divsChild>
            </w:div>
            <w:div w:id="228931456">
              <w:marLeft w:val="0"/>
              <w:marRight w:val="0"/>
              <w:marTop w:val="0"/>
              <w:marBottom w:val="0"/>
              <w:divBdr>
                <w:top w:val="none" w:sz="0" w:space="0" w:color="auto"/>
                <w:left w:val="none" w:sz="0" w:space="0" w:color="auto"/>
                <w:bottom w:val="none" w:sz="0" w:space="0" w:color="auto"/>
                <w:right w:val="none" w:sz="0" w:space="0" w:color="auto"/>
              </w:divBdr>
              <w:divsChild>
                <w:div w:id="1428160846">
                  <w:marLeft w:val="0"/>
                  <w:marRight w:val="0"/>
                  <w:marTop w:val="0"/>
                  <w:marBottom w:val="0"/>
                  <w:divBdr>
                    <w:top w:val="none" w:sz="0" w:space="0" w:color="auto"/>
                    <w:left w:val="none" w:sz="0" w:space="0" w:color="auto"/>
                    <w:bottom w:val="none" w:sz="0" w:space="0" w:color="auto"/>
                    <w:right w:val="none" w:sz="0" w:space="0" w:color="auto"/>
                  </w:divBdr>
                </w:div>
              </w:divsChild>
            </w:div>
            <w:div w:id="571935459">
              <w:marLeft w:val="0"/>
              <w:marRight w:val="0"/>
              <w:marTop w:val="0"/>
              <w:marBottom w:val="0"/>
              <w:divBdr>
                <w:top w:val="none" w:sz="0" w:space="0" w:color="auto"/>
                <w:left w:val="none" w:sz="0" w:space="0" w:color="auto"/>
                <w:bottom w:val="none" w:sz="0" w:space="0" w:color="auto"/>
                <w:right w:val="none" w:sz="0" w:space="0" w:color="auto"/>
              </w:divBdr>
              <w:divsChild>
                <w:div w:id="1091703156">
                  <w:marLeft w:val="0"/>
                  <w:marRight w:val="0"/>
                  <w:marTop w:val="0"/>
                  <w:marBottom w:val="0"/>
                  <w:divBdr>
                    <w:top w:val="none" w:sz="0" w:space="0" w:color="auto"/>
                    <w:left w:val="none" w:sz="0" w:space="0" w:color="auto"/>
                    <w:bottom w:val="none" w:sz="0" w:space="0" w:color="auto"/>
                    <w:right w:val="none" w:sz="0" w:space="0" w:color="auto"/>
                  </w:divBdr>
                </w:div>
              </w:divsChild>
            </w:div>
            <w:div w:id="1655603051">
              <w:marLeft w:val="0"/>
              <w:marRight w:val="0"/>
              <w:marTop w:val="0"/>
              <w:marBottom w:val="0"/>
              <w:divBdr>
                <w:top w:val="none" w:sz="0" w:space="0" w:color="auto"/>
                <w:left w:val="none" w:sz="0" w:space="0" w:color="auto"/>
                <w:bottom w:val="none" w:sz="0" w:space="0" w:color="auto"/>
                <w:right w:val="none" w:sz="0" w:space="0" w:color="auto"/>
              </w:divBdr>
              <w:divsChild>
                <w:div w:id="925958280">
                  <w:marLeft w:val="0"/>
                  <w:marRight w:val="0"/>
                  <w:marTop w:val="0"/>
                  <w:marBottom w:val="0"/>
                  <w:divBdr>
                    <w:top w:val="none" w:sz="0" w:space="0" w:color="auto"/>
                    <w:left w:val="none" w:sz="0" w:space="0" w:color="auto"/>
                    <w:bottom w:val="none" w:sz="0" w:space="0" w:color="auto"/>
                    <w:right w:val="none" w:sz="0" w:space="0" w:color="auto"/>
                  </w:divBdr>
                </w:div>
              </w:divsChild>
            </w:div>
            <w:div w:id="1383141378">
              <w:marLeft w:val="0"/>
              <w:marRight w:val="0"/>
              <w:marTop w:val="0"/>
              <w:marBottom w:val="0"/>
              <w:divBdr>
                <w:top w:val="none" w:sz="0" w:space="0" w:color="auto"/>
                <w:left w:val="none" w:sz="0" w:space="0" w:color="auto"/>
                <w:bottom w:val="none" w:sz="0" w:space="0" w:color="auto"/>
                <w:right w:val="none" w:sz="0" w:space="0" w:color="auto"/>
              </w:divBdr>
              <w:divsChild>
                <w:div w:id="1495142877">
                  <w:marLeft w:val="0"/>
                  <w:marRight w:val="0"/>
                  <w:marTop w:val="0"/>
                  <w:marBottom w:val="0"/>
                  <w:divBdr>
                    <w:top w:val="none" w:sz="0" w:space="0" w:color="auto"/>
                    <w:left w:val="none" w:sz="0" w:space="0" w:color="auto"/>
                    <w:bottom w:val="none" w:sz="0" w:space="0" w:color="auto"/>
                    <w:right w:val="none" w:sz="0" w:space="0" w:color="auto"/>
                  </w:divBdr>
                </w:div>
              </w:divsChild>
            </w:div>
            <w:div w:id="905456238">
              <w:marLeft w:val="0"/>
              <w:marRight w:val="0"/>
              <w:marTop w:val="0"/>
              <w:marBottom w:val="0"/>
              <w:divBdr>
                <w:top w:val="none" w:sz="0" w:space="0" w:color="auto"/>
                <w:left w:val="none" w:sz="0" w:space="0" w:color="auto"/>
                <w:bottom w:val="none" w:sz="0" w:space="0" w:color="auto"/>
                <w:right w:val="none" w:sz="0" w:space="0" w:color="auto"/>
              </w:divBdr>
              <w:divsChild>
                <w:div w:id="959386160">
                  <w:marLeft w:val="0"/>
                  <w:marRight w:val="0"/>
                  <w:marTop w:val="0"/>
                  <w:marBottom w:val="0"/>
                  <w:divBdr>
                    <w:top w:val="none" w:sz="0" w:space="0" w:color="auto"/>
                    <w:left w:val="none" w:sz="0" w:space="0" w:color="auto"/>
                    <w:bottom w:val="none" w:sz="0" w:space="0" w:color="auto"/>
                    <w:right w:val="none" w:sz="0" w:space="0" w:color="auto"/>
                  </w:divBdr>
                </w:div>
              </w:divsChild>
            </w:div>
            <w:div w:id="669647295">
              <w:marLeft w:val="0"/>
              <w:marRight w:val="0"/>
              <w:marTop w:val="0"/>
              <w:marBottom w:val="0"/>
              <w:divBdr>
                <w:top w:val="none" w:sz="0" w:space="0" w:color="auto"/>
                <w:left w:val="none" w:sz="0" w:space="0" w:color="auto"/>
                <w:bottom w:val="none" w:sz="0" w:space="0" w:color="auto"/>
                <w:right w:val="none" w:sz="0" w:space="0" w:color="auto"/>
              </w:divBdr>
              <w:divsChild>
                <w:div w:id="1503856151">
                  <w:marLeft w:val="0"/>
                  <w:marRight w:val="0"/>
                  <w:marTop w:val="0"/>
                  <w:marBottom w:val="0"/>
                  <w:divBdr>
                    <w:top w:val="none" w:sz="0" w:space="0" w:color="auto"/>
                    <w:left w:val="none" w:sz="0" w:space="0" w:color="auto"/>
                    <w:bottom w:val="none" w:sz="0" w:space="0" w:color="auto"/>
                    <w:right w:val="none" w:sz="0" w:space="0" w:color="auto"/>
                  </w:divBdr>
                </w:div>
              </w:divsChild>
            </w:div>
            <w:div w:id="1075322927">
              <w:marLeft w:val="0"/>
              <w:marRight w:val="0"/>
              <w:marTop w:val="0"/>
              <w:marBottom w:val="0"/>
              <w:divBdr>
                <w:top w:val="none" w:sz="0" w:space="0" w:color="auto"/>
                <w:left w:val="none" w:sz="0" w:space="0" w:color="auto"/>
                <w:bottom w:val="none" w:sz="0" w:space="0" w:color="auto"/>
                <w:right w:val="none" w:sz="0" w:space="0" w:color="auto"/>
              </w:divBdr>
              <w:divsChild>
                <w:div w:id="19189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28298">
          <w:marLeft w:val="0"/>
          <w:marRight w:val="0"/>
          <w:marTop w:val="0"/>
          <w:marBottom w:val="600"/>
          <w:divBdr>
            <w:top w:val="none" w:sz="0" w:space="0" w:color="auto"/>
            <w:left w:val="none" w:sz="0" w:space="0" w:color="auto"/>
            <w:bottom w:val="none" w:sz="0" w:space="0" w:color="auto"/>
            <w:right w:val="none" w:sz="0" w:space="0" w:color="auto"/>
          </w:divBdr>
        </w:div>
      </w:divsChild>
    </w:div>
    <w:div w:id="1572033353">
      <w:marLeft w:val="0"/>
      <w:marRight w:val="0"/>
      <w:marTop w:val="0"/>
      <w:marBottom w:val="0"/>
      <w:divBdr>
        <w:top w:val="none" w:sz="0" w:space="0" w:color="auto"/>
        <w:left w:val="none" w:sz="0" w:space="0" w:color="auto"/>
        <w:bottom w:val="none" w:sz="0" w:space="0" w:color="auto"/>
        <w:right w:val="none" w:sz="0" w:space="0" w:color="auto"/>
      </w:divBdr>
      <w:divsChild>
        <w:div w:id="1464347870">
          <w:marLeft w:val="0"/>
          <w:marRight w:val="0"/>
          <w:marTop w:val="547"/>
          <w:marBottom w:val="0"/>
          <w:divBdr>
            <w:top w:val="none" w:sz="0" w:space="0" w:color="auto"/>
            <w:left w:val="none" w:sz="0" w:space="0" w:color="auto"/>
            <w:bottom w:val="none" w:sz="0" w:space="0" w:color="auto"/>
            <w:right w:val="none" w:sz="0" w:space="0" w:color="auto"/>
          </w:divBdr>
        </w:div>
        <w:div w:id="1362851990">
          <w:marLeft w:val="0"/>
          <w:marRight w:val="0"/>
          <w:marTop w:val="0"/>
          <w:marBottom w:val="0"/>
          <w:divBdr>
            <w:top w:val="none" w:sz="0" w:space="0" w:color="auto"/>
            <w:left w:val="none" w:sz="0" w:space="0" w:color="auto"/>
            <w:bottom w:val="none" w:sz="0" w:space="0" w:color="auto"/>
            <w:right w:val="none" w:sz="0" w:space="0" w:color="auto"/>
          </w:divBdr>
        </w:div>
        <w:div w:id="861240061">
          <w:marLeft w:val="0"/>
          <w:marRight w:val="0"/>
          <w:marTop w:val="0"/>
          <w:marBottom w:val="600"/>
          <w:divBdr>
            <w:top w:val="none" w:sz="0" w:space="0" w:color="auto"/>
            <w:left w:val="none" w:sz="0" w:space="0" w:color="auto"/>
            <w:bottom w:val="none" w:sz="0" w:space="0" w:color="auto"/>
            <w:right w:val="none" w:sz="0" w:space="0" w:color="auto"/>
          </w:divBdr>
        </w:div>
      </w:divsChild>
    </w:div>
    <w:div w:id="1582569484">
      <w:marLeft w:val="0"/>
      <w:marRight w:val="0"/>
      <w:marTop w:val="0"/>
      <w:marBottom w:val="0"/>
      <w:divBdr>
        <w:top w:val="none" w:sz="0" w:space="0" w:color="auto"/>
        <w:left w:val="none" w:sz="0" w:space="0" w:color="auto"/>
        <w:bottom w:val="none" w:sz="0" w:space="0" w:color="auto"/>
        <w:right w:val="none" w:sz="0" w:space="0" w:color="auto"/>
      </w:divBdr>
      <w:divsChild>
        <w:div w:id="964821211">
          <w:marLeft w:val="0"/>
          <w:marRight w:val="0"/>
          <w:marTop w:val="547"/>
          <w:marBottom w:val="0"/>
          <w:divBdr>
            <w:top w:val="none" w:sz="0" w:space="0" w:color="auto"/>
            <w:left w:val="none" w:sz="0" w:space="0" w:color="auto"/>
            <w:bottom w:val="none" w:sz="0" w:space="0" w:color="auto"/>
            <w:right w:val="none" w:sz="0" w:space="0" w:color="auto"/>
          </w:divBdr>
        </w:div>
        <w:div w:id="202332979">
          <w:marLeft w:val="0"/>
          <w:marRight w:val="0"/>
          <w:marTop w:val="0"/>
          <w:marBottom w:val="0"/>
          <w:divBdr>
            <w:top w:val="none" w:sz="0" w:space="0" w:color="auto"/>
            <w:left w:val="none" w:sz="0" w:space="0" w:color="auto"/>
            <w:bottom w:val="none" w:sz="0" w:space="0" w:color="auto"/>
            <w:right w:val="none" w:sz="0" w:space="0" w:color="auto"/>
          </w:divBdr>
          <w:divsChild>
            <w:div w:id="1413507672">
              <w:marLeft w:val="0"/>
              <w:marRight w:val="0"/>
              <w:marTop w:val="0"/>
              <w:marBottom w:val="0"/>
              <w:divBdr>
                <w:top w:val="none" w:sz="0" w:space="0" w:color="auto"/>
                <w:left w:val="none" w:sz="0" w:space="0" w:color="auto"/>
                <w:bottom w:val="none" w:sz="0" w:space="0" w:color="auto"/>
                <w:right w:val="none" w:sz="0" w:space="0" w:color="auto"/>
              </w:divBdr>
              <w:divsChild>
                <w:div w:id="162280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6527">
          <w:marLeft w:val="0"/>
          <w:marRight w:val="0"/>
          <w:marTop w:val="0"/>
          <w:marBottom w:val="600"/>
          <w:divBdr>
            <w:top w:val="none" w:sz="0" w:space="0" w:color="auto"/>
            <w:left w:val="none" w:sz="0" w:space="0" w:color="auto"/>
            <w:bottom w:val="none" w:sz="0" w:space="0" w:color="auto"/>
            <w:right w:val="none" w:sz="0" w:space="0" w:color="auto"/>
          </w:divBdr>
        </w:div>
      </w:divsChild>
    </w:div>
    <w:div w:id="1612086317">
      <w:marLeft w:val="0"/>
      <w:marRight w:val="0"/>
      <w:marTop w:val="0"/>
      <w:marBottom w:val="0"/>
      <w:divBdr>
        <w:top w:val="none" w:sz="0" w:space="0" w:color="auto"/>
        <w:left w:val="none" w:sz="0" w:space="0" w:color="auto"/>
        <w:bottom w:val="none" w:sz="0" w:space="0" w:color="auto"/>
        <w:right w:val="none" w:sz="0" w:space="0" w:color="auto"/>
      </w:divBdr>
      <w:divsChild>
        <w:div w:id="1036614569">
          <w:marLeft w:val="0"/>
          <w:marRight w:val="0"/>
          <w:marTop w:val="144"/>
          <w:marBottom w:val="0"/>
          <w:divBdr>
            <w:top w:val="none" w:sz="0" w:space="0" w:color="auto"/>
            <w:left w:val="none" w:sz="0" w:space="0" w:color="auto"/>
            <w:bottom w:val="none" w:sz="0" w:space="0" w:color="auto"/>
            <w:right w:val="none" w:sz="0" w:space="0" w:color="auto"/>
          </w:divBdr>
        </w:div>
        <w:div w:id="684094127">
          <w:marLeft w:val="0"/>
          <w:marRight w:val="0"/>
          <w:marTop w:val="0"/>
          <w:marBottom w:val="0"/>
          <w:divBdr>
            <w:top w:val="none" w:sz="0" w:space="0" w:color="auto"/>
            <w:left w:val="none" w:sz="0" w:space="0" w:color="auto"/>
            <w:bottom w:val="none" w:sz="0" w:space="0" w:color="auto"/>
            <w:right w:val="none" w:sz="0" w:space="0" w:color="auto"/>
          </w:divBdr>
          <w:divsChild>
            <w:div w:id="773405989">
              <w:marLeft w:val="0"/>
              <w:marRight w:val="0"/>
              <w:marTop w:val="0"/>
              <w:marBottom w:val="0"/>
              <w:divBdr>
                <w:top w:val="none" w:sz="0" w:space="0" w:color="auto"/>
                <w:left w:val="none" w:sz="0" w:space="0" w:color="auto"/>
                <w:bottom w:val="none" w:sz="0" w:space="0" w:color="auto"/>
                <w:right w:val="none" w:sz="0" w:space="0" w:color="auto"/>
              </w:divBdr>
              <w:divsChild>
                <w:div w:id="1156535280">
                  <w:marLeft w:val="0"/>
                  <w:marRight w:val="0"/>
                  <w:marTop w:val="0"/>
                  <w:marBottom w:val="0"/>
                  <w:divBdr>
                    <w:top w:val="none" w:sz="0" w:space="0" w:color="auto"/>
                    <w:left w:val="none" w:sz="0" w:space="0" w:color="auto"/>
                    <w:bottom w:val="none" w:sz="0" w:space="0" w:color="auto"/>
                    <w:right w:val="none" w:sz="0" w:space="0" w:color="auto"/>
                  </w:divBdr>
                </w:div>
              </w:divsChild>
            </w:div>
            <w:div w:id="1069306438">
              <w:marLeft w:val="0"/>
              <w:marRight w:val="0"/>
              <w:marTop w:val="0"/>
              <w:marBottom w:val="0"/>
              <w:divBdr>
                <w:top w:val="none" w:sz="0" w:space="0" w:color="auto"/>
                <w:left w:val="none" w:sz="0" w:space="0" w:color="auto"/>
                <w:bottom w:val="none" w:sz="0" w:space="0" w:color="auto"/>
                <w:right w:val="none" w:sz="0" w:space="0" w:color="auto"/>
              </w:divBdr>
              <w:divsChild>
                <w:div w:id="1575818743">
                  <w:marLeft w:val="0"/>
                  <w:marRight w:val="0"/>
                  <w:marTop w:val="0"/>
                  <w:marBottom w:val="0"/>
                  <w:divBdr>
                    <w:top w:val="none" w:sz="0" w:space="0" w:color="auto"/>
                    <w:left w:val="none" w:sz="0" w:space="0" w:color="auto"/>
                    <w:bottom w:val="none" w:sz="0" w:space="0" w:color="auto"/>
                    <w:right w:val="none" w:sz="0" w:space="0" w:color="auto"/>
                  </w:divBdr>
                </w:div>
              </w:divsChild>
            </w:div>
            <w:div w:id="543294186">
              <w:marLeft w:val="0"/>
              <w:marRight w:val="0"/>
              <w:marTop w:val="0"/>
              <w:marBottom w:val="0"/>
              <w:divBdr>
                <w:top w:val="none" w:sz="0" w:space="0" w:color="auto"/>
                <w:left w:val="none" w:sz="0" w:space="0" w:color="auto"/>
                <w:bottom w:val="none" w:sz="0" w:space="0" w:color="auto"/>
                <w:right w:val="none" w:sz="0" w:space="0" w:color="auto"/>
              </w:divBdr>
              <w:divsChild>
                <w:div w:id="1831404415">
                  <w:marLeft w:val="0"/>
                  <w:marRight w:val="0"/>
                  <w:marTop w:val="0"/>
                  <w:marBottom w:val="0"/>
                  <w:divBdr>
                    <w:top w:val="none" w:sz="0" w:space="0" w:color="auto"/>
                    <w:left w:val="none" w:sz="0" w:space="0" w:color="auto"/>
                    <w:bottom w:val="none" w:sz="0" w:space="0" w:color="auto"/>
                    <w:right w:val="none" w:sz="0" w:space="0" w:color="auto"/>
                  </w:divBdr>
                </w:div>
              </w:divsChild>
            </w:div>
            <w:div w:id="904880639">
              <w:marLeft w:val="0"/>
              <w:marRight w:val="0"/>
              <w:marTop w:val="0"/>
              <w:marBottom w:val="0"/>
              <w:divBdr>
                <w:top w:val="none" w:sz="0" w:space="0" w:color="auto"/>
                <w:left w:val="none" w:sz="0" w:space="0" w:color="auto"/>
                <w:bottom w:val="none" w:sz="0" w:space="0" w:color="auto"/>
                <w:right w:val="none" w:sz="0" w:space="0" w:color="auto"/>
              </w:divBdr>
              <w:divsChild>
                <w:div w:id="155249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851661">
      <w:marLeft w:val="0"/>
      <w:marRight w:val="0"/>
      <w:marTop w:val="0"/>
      <w:marBottom w:val="0"/>
      <w:divBdr>
        <w:top w:val="none" w:sz="0" w:space="0" w:color="auto"/>
        <w:left w:val="none" w:sz="0" w:space="0" w:color="auto"/>
        <w:bottom w:val="none" w:sz="0" w:space="0" w:color="auto"/>
        <w:right w:val="none" w:sz="0" w:space="0" w:color="auto"/>
      </w:divBdr>
      <w:divsChild>
        <w:div w:id="217937974">
          <w:marLeft w:val="0"/>
          <w:marRight w:val="0"/>
          <w:marTop w:val="547"/>
          <w:marBottom w:val="0"/>
          <w:divBdr>
            <w:top w:val="none" w:sz="0" w:space="0" w:color="auto"/>
            <w:left w:val="none" w:sz="0" w:space="0" w:color="auto"/>
            <w:bottom w:val="none" w:sz="0" w:space="0" w:color="auto"/>
            <w:right w:val="none" w:sz="0" w:space="0" w:color="auto"/>
          </w:divBdr>
        </w:div>
        <w:div w:id="2079665476">
          <w:marLeft w:val="0"/>
          <w:marRight w:val="0"/>
          <w:marTop w:val="0"/>
          <w:marBottom w:val="0"/>
          <w:divBdr>
            <w:top w:val="none" w:sz="0" w:space="0" w:color="auto"/>
            <w:left w:val="none" w:sz="0" w:space="0" w:color="auto"/>
            <w:bottom w:val="none" w:sz="0" w:space="0" w:color="auto"/>
            <w:right w:val="none" w:sz="0" w:space="0" w:color="auto"/>
          </w:divBdr>
          <w:divsChild>
            <w:div w:id="1482383662">
              <w:marLeft w:val="418"/>
              <w:marRight w:val="0"/>
              <w:marTop w:val="0"/>
              <w:marBottom w:val="240"/>
              <w:divBdr>
                <w:top w:val="none" w:sz="0" w:space="0" w:color="auto"/>
                <w:left w:val="none" w:sz="0" w:space="0" w:color="auto"/>
                <w:bottom w:val="none" w:sz="0" w:space="0" w:color="auto"/>
                <w:right w:val="none" w:sz="0" w:space="0" w:color="auto"/>
              </w:divBdr>
            </w:div>
            <w:div w:id="1445661130">
              <w:marLeft w:val="418"/>
              <w:marRight w:val="0"/>
              <w:marTop w:val="0"/>
              <w:marBottom w:val="240"/>
              <w:divBdr>
                <w:top w:val="none" w:sz="0" w:space="0" w:color="auto"/>
                <w:left w:val="none" w:sz="0" w:space="0" w:color="auto"/>
                <w:bottom w:val="none" w:sz="0" w:space="0" w:color="auto"/>
                <w:right w:val="none" w:sz="0" w:space="0" w:color="auto"/>
              </w:divBdr>
            </w:div>
            <w:div w:id="1001738118">
              <w:marLeft w:val="418"/>
              <w:marRight w:val="0"/>
              <w:marTop w:val="0"/>
              <w:marBottom w:val="240"/>
              <w:divBdr>
                <w:top w:val="none" w:sz="0" w:space="0" w:color="auto"/>
                <w:left w:val="none" w:sz="0" w:space="0" w:color="auto"/>
                <w:bottom w:val="none" w:sz="0" w:space="0" w:color="auto"/>
                <w:right w:val="none" w:sz="0" w:space="0" w:color="auto"/>
              </w:divBdr>
            </w:div>
            <w:div w:id="1982733602">
              <w:marLeft w:val="418"/>
              <w:marRight w:val="0"/>
              <w:marTop w:val="0"/>
              <w:marBottom w:val="240"/>
              <w:divBdr>
                <w:top w:val="none" w:sz="0" w:space="0" w:color="auto"/>
                <w:left w:val="none" w:sz="0" w:space="0" w:color="auto"/>
                <w:bottom w:val="none" w:sz="0" w:space="0" w:color="auto"/>
                <w:right w:val="none" w:sz="0" w:space="0" w:color="auto"/>
              </w:divBdr>
            </w:div>
            <w:div w:id="550730874">
              <w:marLeft w:val="418"/>
              <w:marRight w:val="0"/>
              <w:marTop w:val="0"/>
              <w:marBottom w:val="240"/>
              <w:divBdr>
                <w:top w:val="none" w:sz="0" w:space="0" w:color="auto"/>
                <w:left w:val="none" w:sz="0" w:space="0" w:color="auto"/>
                <w:bottom w:val="none" w:sz="0" w:space="0" w:color="auto"/>
                <w:right w:val="none" w:sz="0" w:space="0" w:color="auto"/>
              </w:divBdr>
            </w:div>
            <w:div w:id="1164517481">
              <w:marLeft w:val="418"/>
              <w:marRight w:val="0"/>
              <w:marTop w:val="0"/>
              <w:marBottom w:val="240"/>
              <w:divBdr>
                <w:top w:val="none" w:sz="0" w:space="0" w:color="auto"/>
                <w:left w:val="none" w:sz="0" w:space="0" w:color="auto"/>
                <w:bottom w:val="none" w:sz="0" w:space="0" w:color="auto"/>
                <w:right w:val="none" w:sz="0" w:space="0" w:color="auto"/>
              </w:divBdr>
            </w:div>
            <w:div w:id="1861814819">
              <w:marLeft w:val="418"/>
              <w:marRight w:val="0"/>
              <w:marTop w:val="0"/>
              <w:marBottom w:val="0"/>
              <w:divBdr>
                <w:top w:val="none" w:sz="0" w:space="0" w:color="auto"/>
                <w:left w:val="none" w:sz="0" w:space="0" w:color="auto"/>
                <w:bottom w:val="none" w:sz="0" w:space="0" w:color="auto"/>
                <w:right w:val="none" w:sz="0" w:space="0" w:color="auto"/>
              </w:divBdr>
            </w:div>
          </w:divsChild>
        </w:div>
        <w:div w:id="327057069">
          <w:marLeft w:val="0"/>
          <w:marRight w:val="0"/>
          <w:marTop w:val="0"/>
          <w:marBottom w:val="600"/>
          <w:divBdr>
            <w:top w:val="none" w:sz="0" w:space="0" w:color="auto"/>
            <w:left w:val="none" w:sz="0" w:space="0" w:color="auto"/>
            <w:bottom w:val="none" w:sz="0" w:space="0" w:color="auto"/>
            <w:right w:val="none" w:sz="0" w:space="0" w:color="auto"/>
          </w:divBdr>
        </w:div>
      </w:divsChild>
    </w:div>
    <w:div w:id="1697004918">
      <w:marLeft w:val="0"/>
      <w:marRight w:val="0"/>
      <w:marTop w:val="0"/>
      <w:marBottom w:val="0"/>
      <w:divBdr>
        <w:top w:val="none" w:sz="0" w:space="0" w:color="auto"/>
        <w:left w:val="none" w:sz="0" w:space="0" w:color="auto"/>
        <w:bottom w:val="none" w:sz="0" w:space="0" w:color="auto"/>
        <w:right w:val="none" w:sz="0" w:space="0" w:color="auto"/>
      </w:divBdr>
      <w:divsChild>
        <w:div w:id="1062290138">
          <w:marLeft w:val="0"/>
          <w:marRight w:val="0"/>
          <w:marTop w:val="547"/>
          <w:marBottom w:val="0"/>
          <w:divBdr>
            <w:top w:val="none" w:sz="0" w:space="0" w:color="auto"/>
            <w:left w:val="none" w:sz="0" w:space="0" w:color="auto"/>
            <w:bottom w:val="none" w:sz="0" w:space="0" w:color="auto"/>
            <w:right w:val="none" w:sz="0" w:space="0" w:color="auto"/>
          </w:divBdr>
        </w:div>
        <w:div w:id="720129760">
          <w:marLeft w:val="0"/>
          <w:marRight w:val="0"/>
          <w:marTop w:val="0"/>
          <w:marBottom w:val="0"/>
          <w:divBdr>
            <w:top w:val="none" w:sz="0" w:space="0" w:color="auto"/>
            <w:left w:val="none" w:sz="0" w:space="0" w:color="auto"/>
            <w:bottom w:val="none" w:sz="0" w:space="0" w:color="auto"/>
            <w:right w:val="none" w:sz="0" w:space="0" w:color="auto"/>
          </w:divBdr>
        </w:div>
        <w:div w:id="292368784">
          <w:marLeft w:val="0"/>
          <w:marRight w:val="0"/>
          <w:marTop w:val="0"/>
          <w:marBottom w:val="600"/>
          <w:divBdr>
            <w:top w:val="none" w:sz="0" w:space="0" w:color="auto"/>
            <w:left w:val="none" w:sz="0" w:space="0" w:color="auto"/>
            <w:bottom w:val="none" w:sz="0" w:space="0" w:color="auto"/>
            <w:right w:val="none" w:sz="0" w:space="0" w:color="auto"/>
          </w:divBdr>
        </w:div>
      </w:divsChild>
    </w:div>
    <w:div w:id="1697348026">
      <w:marLeft w:val="0"/>
      <w:marRight w:val="0"/>
      <w:marTop w:val="0"/>
      <w:marBottom w:val="0"/>
      <w:divBdr>
        <w:top w:val="none" w:sz="0" w:space="0" w:color="auto"/>
        <w:left w:val="none" w:sz="0" w:space="0" w:color="auto"/>
        <w:bottom w:val="none" w:sz="0" w:space="0" w:color="auto"/>
        <w:right w:val="none" w:sz="0" w:space="0" w:color="auto"/>
      </w:divBdr>
      <w:divsChild>
        <w:div w:id="951320754">
          <w:marLeft w:val="0"/>
          <w:marRight w:val="0"/>
          <w:marTop w:val="547"/>
          <w:marBottom w:val="0"/>
          <w:divBdr>
            <w:top w:val="none" w:sz="0" w:space="0" w:color="auto"/>
            <w:left w:val="none" w:sz="0" w:space="0" w:color="auto"/>
            <w:bottom w:val="none" w:sz="0" w:space="0" w:color="auto"/>
            <w:right w:val="none" w:sz="0" w:space="0" w:color="auto"/>
          </w:divBdr>
        </w:div>
        <w:div w:id="1746535674">
          <w:marLeft w:val="0"/>
          <w:marRight w:val="0"/>
          <w:marTop w:val="0"/>
          <w:marBottom w:val="0"/>
          <w:divBdr>
            <w:top w:val="none" w:sz="0" w:space="0" w:color="auto"/>
            <w:left w:val="none" w:sz="0" w:space="0" w:color="auto"/>
            <w:bottom w:val="none" w:sz="0" w:space="0" w:color="auto"/>
            <w:right w:val="none" w:sz="0" w:space="0" w:color="auto"/>
          </w:divBdr>
          <w:divsChild>
            <w:div w:id="1203206439">
              <w:marLeft w:val="0"/>
              <w:marRight w:val="0"/>
              <w:marTop w:val="0"/>
              <w:marBottom w:val="0"/>
              <w:divBdr>
                <w:top w:val="none" w:sz="0" w:space="0" w:color="auto"/>
                <w:left w:val="none" w:sz="0" w:space="0" w:color="auto"/>
                <w:bottom w:val="none" w:sz="0" w:space="0" w:color="auto"/>
                <w:right w:val="none" w:sz="0" w:space="0" w:color="auto"/>
              </w:divBdr>
              <w:divsChild>
                <w:div w:id="1117916670">
                  <w:marLeft w:val="0"/>
                  <w:marRight w:val="0"/>
                  <w:marTop w:val="0"/>
                  <w:marBottom w:val="0"/>
                  <w:divBdr>
                    <w:top w:val="none" w:sz="0" w:space="0" w:color="auto"/>
                    <w:left w:val="none" w:sz="0" w:space="0" w:color="auto"/>
                    <w:bottom w:val="none" w:sz="0" w:space="0" w:color="auto"/>
                    <w:right w:val="none" w:sz="0" w:space="0" w:color="auto"/>
                  </w:divBdr>
                </w:div>
              </w:divsChild>
            </w:div>
            <w:div w:id="604769480">
              <w:marLeft w:val="0"/>
              <w:marRight w:val="0"/>
              <w:marTop w:val="0"/>
              <w:marBottom w:val="0"/>
              <w:divBdr>
                <w:top w:val="none" w:sz="0" w:space="0" w:color="auto"/>
                <w:left w:val="none" w:sz="0" w:space="0" w:color="auto"/>
                <w:bottom w:val="none" w:sz="0" w:space="0" w:color="auto"/>
                <w:right w:val="none" w:sz="0" w:space="0" w:color="auto"/>
              </w:divBdr>
              <w:divsChild>
                <w:div w:id="1790274361">
                  <w:marLeft w:val="0"/>
                  <w:marRight w:val="0"/>
                  <w:marTop w:val="0"/>
                  <w:marBottom w:val="0"/>
                  <w:divBdr>
                    <w:top w:val="none" w:sz="0" w:space="0" w:color="auto"/>
                    <w:left w:val="none" w:sz="0" w:space="0" w:color="auto"/>
                    <w:bottom w:val="none" w:sz="0" w:space="0" w:color="auto"/>
                    <w:right w:val="none" w:sz="0" w:space="0" w:color="auto"/>
                  </w:divBdr>
                </w:div>
              </w:divsChild>
            </w:div>
            <w:div w:id="339624749">
              <w:marLeft w:val="0"/>
              <w:marRight w:val="0"/>
              <w:marTop w:val="0"/>
              <w:marBottom w:val="0"/>
              <w:divBdr>
                <w:top w:val="none" w:sz="0" w:space="0" w:color="auto"/>
                <w:left w:val="none" w:sz="0" w:space="0" w:color="auto"/>
                <w:bottom w:val="none" w:sz="0" w:space="0" w:color="auto"/>
                <w:right w:val="none" w:sz="0" w:space="0" w:color="auto"/>
              </w:divBdr>
              <w:divsChild>
                <w:div w:id="1541936330">
                  <w:marLeft w:val="0"/>
                  <w:marRight w:val="0"/>
                  <w:marTop w:val="0"/>
                  <w:marBottom w:val="0"/>
                  <w:divBdr>
                    <w:top w:val="none" w:sz="0" w:space="0" w:color="auto"/>
                    <w:left w:val="none" w:sz="0" w:space="0" w:color="auto"/>
                    <w:bottom w:val="none" w:sz="0" w:space="0" w:color="auto"/>
                    <w:right w:val="none" w:sz="0" w:space="0" w:color="auto"/>
                  </w:divBdr>
                </w:div>
              </w:divsChild>
            </w:div>
            <w:div w:id="396168156">
              <w:marLeft w:val="0"/>
              <w:marRight w:val="0"/>
              <w:marTop w:val="0"/>
              <w:marBottom w:val="0"/>
              <w:divBdr>
                <w:top w:val="none" w:sz="0" w:space="0" w:color="auto"/>
                <w:left w:val="none" w:sz="0" w:space="0" w:color="auto"/>
                <w:bottom w:val="none" w:sz="0" w:space="0" w:color="auto"/>
                <w:right w:val="none" w:sz="0" w:space="0" w:color="auto"/>
              </w:divBdr>
              <w:divsChild>
                <w:div w:id="867717940">
                  <w:marLeft w:val="0"/>
                  <w:marRight w:val="0"/>
                  <w:marTop w:val="0"/>
                  <w:marBottom w:val="0"/>
                  <w:divBdr>
                    <w:top w:val="none" w:sz="0" w:space="0" w:color="auto"/>
                    <w:left w:val="none" w:sz="0" w:space="0" w:color="auto"/>
                    <w:bottom w:val="none" w:sz="0" w:space="0" w:color="auto"/>
                    <w:right w:val="none" w:sz="0" w:space="0" w:color="auto"/>
                  </w:divBdr>
                </w:div>
              </w:divsChild>
            </w:div>
            <w:div w:id="522591743">
              <w:marLeft w:val="0"/>
              <w:marRight w:val="0"/>
              <w:marTop w:val="0"/>
              <w:marBottom w:val="0"/>
              <w:divBdr>
                <w:top w:val="none" w:sz="0" w:space="0" w:color="auto"/>
                <w:left w:val="none" w:sz="0" w:space="0" w:color="auto"/>
                <w:bottom w:val="none" w:sz="0" w:space="0" w:color="auto"/>
                <w:right w:val="none" w:sz="0" w:space="0" w:color="auto"/>
              </w:divBdr>
              <w:divsChild>
                <w:div w:id="2065375178">
                  <w:marLeft w:val="0"/>
                  <w:marRight w:val="0"/>
                  <w:marTop w:val="0"/>
                  <w:marBottom w:val="0"/>
                  <w:divBdr>
                    <w:top w:val="none" w:sz="0" w:space="0" w:color="auto"/>
                    <w:left w:val="none" w:sz="0" w:space="0" w:color="auto"/>
                    <w:bottom w:val="none" w:sz="0" w:space="0" w:color="auto"/>
                    <w:right w:val="none" w:sz="0" w:space="0" w:color="auto"/>
                  </w:divBdr>
                </w:div>
              </w:divsChild>
            </w:div>
            <w:div w:id="963581495">
              <w:marLeft w:val="0"/>
              <w:marRight w:val="0"/>
              <w:marTop w:val="0"/>
              <w:marBottom w:val="0"/>
              <w:divBdr>
                <w:top w:val="none" w:sz="0" w:space="0" w:color="auto"/>
                <w:left w:val="none" w:sz="0" w:space="0" w:color="auto"/>
                <w:bottom w:val="none" w:sz="0" w:space="0" w:color="auto"/>
                <w:right w:val="none" w:sz="0" w:space="0" w:color="auto"/>
              </w:divBdr>
              <w:divsChild>
                <w:div w:id="1292053889">
                  <w:marLeft w:val="0"/>
                  <w:marRight w:val="0"/>
                  <w:marTop w:val="0"/>
                  <w:marBottom w:val="0"/>
                  <w:divBdr>
                    <w:top w:val="none" w:sz="0" w:space="0" w:color="auto"/>
                    <w:left w:val="none" w:sz="0" w:space="0" w:color="auto"/>
                    <w:bottom w:val="none" w:sz="0" w:space="0" w:color="auto"/>
                    <w:right w:val="none" w:sz="0" w:space="0" w:color="auto"/>
                  </w:divBdr>
                </w:div>
              </w:divsChild>
            </w:div>
            <w:div w:id="27263402">
              <w:marLeft w:val="0"/>
              <w:marRight w:val="0"/>
              <w:marTop w:val="0"/>
              <w:marBottom w:val="0"/>
              <w:divBdr>
                <w:top w:val="none" w:sz="0" w:space="0" w:color="auto"/>
                <w:left w:val="none" w:sz="0" w:space="0" w:color="auto"/>
                <w:bottom w:val="none" w:sz="0" w:space="0" w:color="auto"/>
                <w:right w:val="none" w:sz="0" w:space="0" w:color="auto"/>
              </w:divBdr>
              <w:divsChild>
                <w:div w:id="1376349328">
                  <w:marLeft w:val="0"/>
                  <w:marRight w:val="0"/>
                  <w:marTop w:val="0"/>
                  <w:marBottom w:val="0"/>
                  <w:divBdr>
                    <w:top w:val="none" w:sz="0" w:space="0" w:color="auto"/>
                    <w:left w:val="none" w:sz="0" w:space="0" w:color="auto"/>
                    <w:bottom w:val="none" w:sz="0" w:space="0" w:color="auto"/>
                    <w:right w:val="none" w:sz="0" w:space="0" w:color="auto"/>
                  </w:divBdr>
                </w:div>
              </w:divsChild>
            </w:div>
            <w:div w:id="1338339079">
              <w:marLeft w:val="0"/>
              <w:marRight w:val="0"/>
              <w:marTop w:val="0"/>
              <w:marBottom w:val="0"/>
              <w:divBdr>
                <w:top w:val="none" w:sz="0" w:space="0" w:color="auto"/>
                <w:left w:val="none" w:sz="0" w:space="0" w:color="auto"/>
                <w:bottom w:val="none" w:sz="0" w:space="0" w:color="auto"/>
                <w:right w:val="none" w:sz="0" w:space="0" w:color="auto"/>
              </w:divBdr>
              <w:divsChild>
                <w:div w:id="1728529295">
                  <w:marLeft w:val="0"/>
                  <w:marRight w:val="0"/>
                  <w:marTop w:val="0"/>
                  <w:marBottom w:val="0"/>
                  <w:divBdr>
                    <w:top w:val="none" w:sz="0" w:space="0" w:color="auto"/>
                    <w:left w:val="none" w:sz="0" w:space="0" w:color="auto"/>
                    <w:bottom w:val="none" w:sz="0" w:space="0" w:color="auto"/>
                    <w:right w:val="none" w:sz="0" w:space="0" w:color="auto"/>
                  </w:divBdr>
                </w:div>
              </w:divsChild>
            </w:div>
            <w:div w:id="488711117">
              <w:marLeft w:val="0"/>
              <w:marRight w:val="0"/>
              <w:marTop w:val="0"/>
              <w:marBottom w:val="0"/>
              <w:divBdr>
                <w:top w:val="none" w:sz="0" w:space="0" w:color="auto"/>
                <w:left w:val="none" w:sz="0" w:space="0" w:color="auto"/>
                <w:bottom w:val="none" w:sz="0" w:space="0" w:color="auto"/>
                <w:right w:val="none" w:sz="0" w:space="0" w:color="auto"/>
              </w:divBdr>
              <w:divsChild>
                <w:div w:id="1986080048">
                  <w:marLeft w:val="0"/>
                  <w:marRight w:val="0"/>
                  <w:marTop w:val="0"/>
                  <w:marBottom w:val="0"/>
                  <w:divBdr>
                    <w:top w:val="none" w:sz="0" w:space="0" w:color="auto"/>
                    <w:left w:val="none" w:sz="0" w:space="0" w:color="auto"/>
                    <w:bottom w:val="none" w:sz="0" w:space="0" w:color="auto"/>
                    <w:right w:val="none" w:sz="0" w:space="0" w:color="auto"/>
                  </w:divBdr>
                </w:div>
              </w:divsChild>
            </w:div>
            <w:div w:id="278225913">
              <w:marLeft w:val="0"/>
              <w:marRight w:val="0"/>
              <w:marTop w:val="0"/>
              <w:marBottom w:val="0"/>
              <w:divBdr>
                <w:top w:val="none" w:sz="0" w:space="0" w:color="auto"/>
                <w:left w:val="none" w:sz="0" w:space="0" w:color="auto"/>
                <w:bottom w:val="none" w:sz="0" w:space="0" w:color="auto"/>
                <w:right w:val="none" w:sz="0" w:space="0" w:color="auto"/>
              </w:divBdr>
              <w:divsChild>
                <w:div w:id="1920942695">
                  <w:marLeft w:val="0"/>
                  <w:marRight w:val="0"/>
                  <w:marTop w:val="0"/>
                  <w:marBottom w:val="0"/>
                  <w:divBdr>
                    <w:top w:val="none" w:sz="0" w:space="0" w:color="auto"/>
                    <w:left w:val="none" w:sz="0" w:space="0" w:color="auto"/>
                    <w:bottom w:val="none" w:sz="0" w:space="0" w:color="auto"/>
                    <w:right w:val="none" w:sz="0" w:space="0" w:color="auto"/>
                  </w:divBdr>
                </w:div>
              </w:divsChild>
            </w:div>
            <w:div w:id="809789672">
              <w:marLeft w:val="0"/>
              <w:marRight w:val="0"/>
              <w:marTop w:val="0"/>
              <w:marBottom w:val="0"/>
              <w:divBdr>
                <w:top w:val="none" w:sz="0" w:space="0" w:color="auto"/>
                <w:left w:val="none" w:sz="0" w:space="0" w:color="auto"/>
                <w:bottom w:val="none" w:sz="0" w:space="0" w:color="auto"/>
                <w:right w:val="none" w:sz="0" w:space="0" w:color="auto"/>
              </w:divBdr>
              <w:divsChild>
                <w:div w:id="2068406246">
                  <w:marLeft w:val="0"/>
                  <w:marRight w:val="0"/>
                  <w:marTop w:val="0"/>
                  <w:marBottom w:val="0"/>
                  <w:divBdr>
                    <w:top w:val="none" w:sz="0" w:space="0" w:color="auto"/>
                    <w:left w:val="none" w:sz="0" w:space="0" w:color="auto"/>
                    <w:bottom w:val="none" w:sz="0" w:space="0" w:color="auto"/>
                    <w:right w:val="none" w:sz="0" w:space="0" w:color="auto"/>
                  </w:divBdr>
                </w:div>
              </w:divsChild>
            </w:div>
            <w:div w:id="207761573">
              <w:marLeft w:val="0"/>
              <w:marRight w:val="0"/>
              <w:marTop w:val="0"/>
              <w:marBottom w:val="0"/>
              <w:divBdr>
                <w:top w:val="none" w:sz="0" w:space="0" w:color="auto"/>
                <w:left w:val="none" w:sz="0" w:space="0" w:color="auto"/>
                <w:bottom w:val="none" w:sz="0" w:space="0" w:color="auto"/>
                <w:right w:val="none" w:sz="0" w:space="0" w:color="auto"/>
              </w:divBdr>
              <w:divsChild>
                <w:div w:id="765033361">
                  <w:marLeft w:val="0"/>
                  <w:marRight w:val="0"/>
                  <w:marTop w:val="0"/>
                  <w:marBottom w:val="0"/>
                  <w:divBdr>
                    <w:top w:val="none" w:sz="0" w:space="0" w:color="auto"/>
                    <w:left w:val="none" w:sz="0" w:space="0" w:color="auto"/>
                    <w:bottom w:val="none" w:sz="0" w:space="0" w:color="auto"/>
                    <w:right w:val="none" w:sz="0" w:space="0" w:color="auto"/>
                  </w:divBdr>
                </w:div>
              </w:divsChild>
            </w:div>
            <w:div w:id="1369063943">
              <w:marLeft w:val="0"/>
              <w:marRight w:val="0"/>
              <w:marTop w:val="0"/>
              <w:marBottom w:val="0"/>
              <w:divBdr>
                <w:top w:val="none" w:sz="0" w:space="0" w:color="auto"/>
                <w:left w:val="none" w:sz="0" w:space="0" w:color="auto"/>
                <w:bottom w:val="none" w:sz="0" w:space="0" w:color="auto"/>
                <w:right w:val="none" w:sz="0" w:space="0" w:color="auto"/>
              </w:divBdr>
              <w:divsChild>
                <w:div w:id="1294402852">
                  <w:marLeft w:val="0"/>
                  <w:marRight w:val="0"/>
                  <w:marTop w:val="0"/>
                  <w:marBottom w:val="0"/>
                  <w:divBdr>
                    <w:top w:val="none" w:sz="0" w:space="0" w:color="auto"/>
                    <w:left w:val="none" w:sz="0" w:space="0" w:color="auto"/>
                    <w:bottom w:val="none" w:sz="0" w:space="0" w:color="auto"/>
                    <w:right w:val="none" w:sz="0" w:space="0" w:color="auto"/>
                  </w:divBdr>
                </w:div>
              </w:divsChild>
            </w:div>
            <w:div w:id="590049247">
              <w:marLeft w:val="0"/>
              <w:marRight w:val="0"/>
              <w:marTop w:val="0"/>
              <w:marBottom w:val="0"/>
              <w:divBdr>
                <w:top w:val="none" w:sz="0" w:space="0" w:color="auto"/>
                <w:left w:val="none" w:sz="0" w:space="0" w:color="auto"/>
                <w:bottom w:val="none" w:sz="0" w:space="0" w:color="auto"/>
                <w:right w:val="none" w:sz="0" w:space="0" w:color="auto"/>
              </w:divBdr>
              <w:divsChild>
                <w:div w:id="519466836">
                  <w:marLeft w:val="0"/>
                  <w:marRight w:val="0"/>
                  <w:marTop w:val="0"/>
                  <w:marBottom w:val="0"/>
                  <w:divBdr>
                    <w:top w:val="none" w:sz="0" w:space="0" w:color="auto"/>
                    <w:left w:val="none" w:sz="0" w:space="0" w:color="auto"/>
                    <w:bottom w:val="none" w:sz="0" w:space="0" w:color="auto"/>
                    <w:right w:val="none" w:sz="0" w:space="0" w:color="auto"/>
                  </w:divBdr>
                </w:div>
              </w:divsChild>
            </w:div>
            <w:div w:id="1350714867">
              <w:marLeft w:val="0"/>
              <w:marRight w:val="0"/>
              <w:marTop w:val="0"/>
              <w:marBottom w:val="0"/>
              <w:divBdr>
                <w:top w:val="none" w:sz="0" w:space="0" w:color="auto"/>
                <w:left w:val="none" w:sz="0" w:space="0" w:color="auto"/>
                <w:bottom w:val="none" w:sz="0" w:space="0" w:color="auto"/>
                <w:right w:val="none" w:sz="0" w:space="0" w:color="auto"/>
              </w:divBdr>
              <w:divsChild>
                <w:div w:id="1849369324">
                  <w:marLeft w:val="0"/>
                  <w:marRight w:val="0"/>
                  <w:marTop w:val="0"/>
                  <w:marBottom w:val="0"/>
                  <w:divBdr>
                    <w:top w:val="none" w:sz="0" w:space="0" w:color="auto"/>
                    <w:left w:val="none" w:sz="0" w:space="0" w:color="auto"/>
                    <w:bottom w:val="none" w:sz="0" w:space="0" w:color="auto"/>
                    <w:right w:val="none" w:sz="0" w:space="0" w:color="auto"/>
                  </w:divBdr>
                </w:div>
              </w:divsChild>
            </w:div>
            <w:div w:id="1525359152">
              <w:marLeft w:val="0"/>
              <w:marRight w:val="0"/>
              <w:marTop w:val="0"/>
              <w:marBottom w:val="0"/>
              <w:divBdr>
                <w:top w:val="none" w:sz="0" w:space="0" w:color="auto"/>
                <w:left w:val="none" w:sz="0" w:space="0" w:color="auto"/>
                <w:bottom w:val="none" w:sz="0" w:space="0" w:color="auto"/>
                <w:right w:val="none" w:sz="0" w:space="0" w:color="auto"/>
              </w:divBdr>
              <w:divsChild>
                <w:div w:id="338043578">
                  <w:marLeft w:val="0"/>
                  <w:marRight w:val="0"/>
                  <w:marTop w:val="0"/>
                  <w:marBottom w:val="0"/>
                  <w:divBdr>
                    <w:top w:val="none" w:sz="0" w:space="0" w:color="auto"/>
                    <w:left w:val="none" w:sz="0" w:space="0" w:color="auto"/>
                    <w:bottom w:val="none" w:sz="0" w:space="0" w:color="auto"/>
                    <w:right w:val="none" w:sz="0" w:space="0" w:color="auto"/>
                  </w:divBdr>
                </w:div>
              </w:divsChild>
            </w:div>
            <w:div w:id="331373308">
              <w:marLeft w:val="0"/>
              <w:marRight w:val="0"/>
              <w:marTop w:val="0"/>
              <w:marBottom w:val="0"/>
              <w:divBdr>
                <w:top w:val="none" w:sz="0" w:space="0" w:color="auto"/>
                <w:left w:val="none" w:sz="0" w:space="0" w:color="auto"/>
                <w:bottom w:val="none" w:sz="0" w:space="0" w:color="auto"/>
                <w:right w:val="none" w:sz="0" w:space="0" w:color="auto"/>
              </w:divBdr>
              <w:divsChild>
                <w:div w:id="625896109">
                  <w:marLeft w:val="0"/>
                  <w:marRight w:val="0"/>
                  <w:marTop w:val="0"/>
                  <w:marBottom w:val="0"/>
                  <w:divBdr>
                    <w:top w:val="none" w:sz="0" w:space="0" w:color="auto"/>
                    <w:left w:val="none" w:sz="0" w:space="0" w:color="auto"/>
                    <w:bottom w:val="none" w:sz="0" w:space="0" w:color="auto"/>
                    <w:right w:val="none" w:sz="0" w:space="0" w:color="auto"/>
                  </w:divBdr>
                </w:div>
              </w:divsChild>
            </w:div>
            <w:div w:id="1819959288">
              <w:marLeft w:val="0"/>
              <w:marRight w:val="0"/>
              <w:marTop w:val="0"/>
              <w:marBottom w:val="0"/>
              <w:divBdr>
                <w:top w:val="none" w:sz="0" w:space="0" w:color="auto"/>
                <w:left w:val="none" w:sz="0" w:space="0" w:color="auto"/>
                <w:bottom w:val="none" w:sz="0" w:space="0" w:color="auto"/>
                <w:right w:val="none" w:sz="0" w:space="0" w:color="auto"/>
              </w:divBdr>
              <w:divsChild>
                <w:div w:id="464782596">
                  <w:marLeft w:val="0"/>
                  <w:marRight w:val="0"/>
                  <w:marTop w:val="0"/>
                  <w:marBottom w:val="0"/>
                  <w:divBdr>
                    <w:top w:val="none" w:sz="0" w:space="0" w:color="auto"/>
                    <w:left w:val="none" w:sz="0" w:space="0" w:color="auto"/>
                    <w:bottom w:val="none" w:sz="0" w:space="0" w:color="auto"/>
                    <w:right w:val="none" w:sz="0" w:space="0" w:color="auto"/>
                  </w:divBdr>
                </w:div>
              </w:divsChild>
            </w:div>
            <w:div w:id="1773353222">
              <w:marLeft w:val="0"/>
              <w:marRight w:val="0"/>
              <w:marTop w:val="0"/>
              <w:marBottom w:val="0"/>
              <w:divBdr>
                <w:top w:val="none" w:sz="0" w:space="0" w:color="auto"/>
                <w:left w:val="none" w:sz="0" w:space="0" w:color="auto"/>
                <w:bottom w:val="none" w:sz="0" w:space="0" w:color="auto"/>
                <w:right w:val="none" w:sz="0" w:space="0" w:color="auto"/>
              </w:divBdr>
              <w:divsChild>
                <w:div w:id="1312368906">
                  <w:marLeft w:val="0"/>
                  <w:marRight w:val="0"/>
                  <w:marTop w:val="0"/>
                  <w:marBottom w:val="0"/>
                  <w:divBdr>
                    <w:top w:val="none" w:sz="0" w:space="0" w:color="auto"/>
                    <w:left w:val="none" w:sz="0" w:space="0" w:color="auto"/>
                    <w:bottom w:val="none" w:sz="0" w:space="0" w:color="auto"/>
                    <w:right w:val="none" w:sz="0" w:space="0" w:color="auto"/>
                  </w:divBdr>
                </w:div>
              </w:divsChild>
            </w:div>
            <w:div w:id="187373067">
              <w:marLeft w:val="0"/>
              <w:marRight w:val="0"/>
              <w:marTop w:val="0"/>
              <w:marBottom w:val="0"/>
              <w:divBdr>
                <w:top w:val="none" w:sz="0" w:space="0" w:color="auto"/>
                <w:left w:val="none" w:sz="0" w:space="0" w:color="auto"/>
                <w:bottom w:val="none" w:sz="0" w:space="0" w:color="auto"/>
                <w:right w:val="none" w:sz="0" w:space="0" w:color="auto"/>
              </w:divBdr>
              <w:divsChild>
                <w:div w:id="946696630">
                  <w:marLeft w:val="0"/>
                  <w:marRight w:val="0"/>
                  <w:marTop w:val="0"/>
                  <w:marBottom w:val="0"/>
                  <w:divBdr>
                    <w:top w:val="none" w:sz="0" w:space="0" w:color="auto"/>
                    <w:left w:val="none" w:sz="0" w:space="0" w:color="auto"/>
                    <w:bottom w:val="none" w:sz="0" w:space="0" w:color="auto"/>
                    <w:right w:val="none" w:sz="0" w:space="0" w:color="auto"/>
                  </w:divBdr>
                </w:div>
              </w:divsChild>
            </w:div>
            <w:div w:id="776877127">
              <w:marLeft w:val="0"/>
              <w:marRight w:val="0"/>
              <w:marTop w:val="0"/>
              <w:marBottom w:val="0"/>
              <w:divBdr>
                <w:top w:val="none" w:sz="0" w:space="0" w:color="auto"/>
                <w:left w:val="none" w:sz="0" w:space="0" w:color="auto"/>
                <w:bottom w:val="none" w:sz="0" w:space="0" w:color="auto"/>
                <w:right w:val="none" w:sz="0" w:space="0" w:color="auto"/>
              </w:divBdr>
              <w:divsChild>
                <w:div w:id="1126777715">
                  <w:marLeft w:val="0"/>
                  <w:marRight w:val="0"/>
                  <w:marTop w:val="0"/>
                  <w:marBottom w:val="0"/>
                  <w:divBdr>
                    <w:top w:val="none" w:sz="0" w:space="0" w:color="auto"/>
                    <w:left w:val="none" w:sz="0" w:space="0" w:color="auto"/>
                    <w:bottom w:val="none" w:sz="0" w:space="0" w:color="auto"/>
                    <w:right w:val="none" w:sz="0" w:space="0" w:color="auto"/>
                  </w:divBdr>
                </w:div>
              </w:divsChild>
            </w:div>
            <w:div w:id="1955357675">
              <w:marLeft w:val="0"/>
              <w:marRight w:val="0"/>
              <w:marTop w:val="0"/>
              <w:marBottom w:val="0"/>
              <w:divBdr>
                <w:top w:val="none" w:sz="0" w:space="0" w:color="auto"/>
                <w:left w:val="none" w:sz="0" w:space="0" w:color="auto"/>
                <w:bottom w:val="none" w:sz="0" w:space="0" w:color="auto"/>
                <w:right w:val="none" w:sz="0" w:space="0" w:color="auto"/>
              </w:divBdr>
              <w:divsChild>
                <w:div w:id="827088065">
                  <w:marLeft w:val="0"/>
                  <w:marRight w:val="0"/>
                  <w:marTop w:val="0"/>
                  <w:marBottom w:val="0"/>
                  <w:divBdr>
                    <w:top w:val="none" w:sz="0" w:space="0" w:color="auto"/>
                    <w:left w:val="none" w:sz="0" w:space="0" w:color="auto"/>
                    <w:bottom w:val="none" w:sz="0" w:space="0" w:color="auto"/>
                    <w:right w:val="none" w:sz="0" w:space="0" w:color="auto"/>
                  </w:divBdr>
                </w:div>
              </w:divsChild>
            </w:div>
            <w:div w:id="986544888">
              <w:marLeft w:val="0"/>
              <w:marRight w:val="0"/>
              <w:marTop w:val="0"/>
              <w:marBottom w:val="0"/>
              <w:divBdr>
                <w:top w:val="none" w:sz="0" w:space="0" w:color="auto"/>
                <w:left w:val="none" w:sz="0" w:space="0" w:color="auto"/>
                <w:bottom w:val="none" w:sz="0" w:space="0" w:color="auto"/>
                <w:right w:val="none" w:sz="0" w:space="0" w:color="auto"/>
              </w:divBdr>
              <w:divsChild>
                <w:div w:id="1132402678">
                  <w:marLeft w:val="0"/>
                  <w:marRight w:val="0"/>
                  <w:marTop w:val="0"/>
                  <w:marBottom w:val="0"/>
                  <w:divBdr>
                    <w:top w:val="none" w:sz="0" w:space="0" w:color="auto"/>
                    <w:left w:val="none" w:sz="0" w:space="0" w:color="auto"/>
                    <w:bottom w:val="none" w:sz="0" w:space="0" w:color="auto"/>
                    <w:right w:val="none" w:sz="0" w:space="0" w:color="auto"/>
                  </w:divBdr>
                </w:div>
              </w:divsChild>
            </w:div>
            <w:div w:id="1241448993">
              <w:marLeft w:val="0"/>
              <w:marRight w:val="0"/>
              <w:marTop w:val="0"/>
              <w:marBottom w:val="0"/>
              <w:divBdr>
                <w:top w:val="none" w:sz="0" w:space="0" w:color="auto"/>
                <w:left w:val="none" w:sz="0" w:space="0" w:color="auto"/>
                <w:bottom w:val="none" w:sz="0" w:space="0" w:color="auto"/>
                <w:right w:val="none" w:sz="0" w:space="0" w:color="auto"/>
              </w:divBdr>
              <w:divsChild>
                <w:div w:id="626736601">
                  <w:marLeft w:val="0"/>
                  <w:marRight w:val="0"/>
                  <w:marTop w:val="0"/>
                  <w:marBottom w:val="0"/>
                  <w:divBdr>
                    <w:top w:val="none" w:sz="0" w:space="0" w:color="auto"/>
                    <w:left w:val="none" w:sz="0" w:space="0" w:color="auto"/>
                    <w:bottom w:val="none" w:sz="0" w:space="0" w:color="auto"/>
                    <w:right w:val="none" w:sz="0" w:space="0" w:color="auto"/>
                  </w:divBdr>
                </w:div>
              </w:divsChild>
            </w:div>
            <w:div w:id="1076903647">
              <w:marLeft w:val="0"/>
              <w:marRight w:val="0"/>
              <w:marTop w:val="0"/>
              <w:marBottom w:val="0"/>
              <w:divBdr>
                <w:top w:val="none" w:sz="0" w:space="0" w:color="auto"/>
                <w:left w:val="none" w:sz="0" w:space="0" w:color="auto"/>
                <w:bottom w:val="none" w:sz="0" w:space="0" w:color="auto"/>
                <w:right w:val="none" w:sz="0" w:space="0" w:color="auto"/>
              </w:divBdr>
              <w:divsChild>
                <w:div w:id="628556058">
                  <w:marLeft w:val="0"/>
                  <w:marRight w:val="0"/>
                  <w:marTop w:val="0"/>
                  <w:marBottom w:val="0"/>
                  <w:divBdr>
                    <w:top w:val="none" w:sz="0" w:space="0" w:color="auto"/>
                    <w:left w:val="none" w:sz="0" w:space="0" w:color="auto"/>
                    <w:bottom w:val="none" w:sz="0" w:space="0" w:color="auto"/>
                    <w:right w:val="none" w:sz="0" w:space="0" w:color="auto"/>
                  </w:divBdr>
                </w:div>
              </w:divsChild>
            </w:div>
            <w:div w:id="362873128">
              <w:marLeft w:val="0"/>
              <w:marRight w:val="0"/>
              <w:marTop w:val="0"/>
              <w:marBottom w:val="0"/>
              <w:divBdr>
                <w:top w:val="none" w:sz="0" w:space="0" w:color="auto"/>
                <w:left w:val="none" w:sz="0" w:space="0" w:color="auto"/>
                <w:bottom w:val="none" w:sz="0" w:space="0" w:color="auto"/>
                <w:right w:val="none" w:sz="0" w:space="0" w:color="auto"/>
              </w:divBdr>
              <w:divsChild>
                <w:div w:id="804348969">
                  <w:marLeft w:val="0"/>
                  <w:marRight w:val="0"/>
                  <w:marTop w:val="0"/>
                  <w:marBottom w:val="0"/>
                  <w:divBdr>
                    <w:top w:val="none" w:sz="0" w:space="0" w:color="auto"/>
                    <w:left w:val="none" w:sz="0" w:space="0" w:color="auto"/>
                    <w:bottom w:val="none" w:sz="0" w:space="0" w:color="auto"/>
                    <w:right w:val="none" w:sz="0" w:space="0" w:color="auto"/>
                  </w:divBdr>
                </w:div>
              </w:divsChild>
            </w:div>
            <w:div w:id="646325127">
              <w:marLeft w:val="0"/>
              <w:marRight w:val="0"/>
              <w:marTop w:val="0"/>
              <w:marBottom w:val="0"/>
              <w:divBdr>
                <w:top w:val="none" w:sz="0" w:space="0" w:color="auto"/>
                <w:left w:val="none" w:sz="0" w:space="0" w:color="auto"/>
                <w:bottom w:val="none" w:sz="0" w:space="0" w:color="auto"/>
                <w:right w:val="none" w:sz="0" w:space="0" w:color="auto"/>
              </w:divBdr>
              <w:divsChild>
                <w:div w:id="1626740225">
                  <w:marLeft w:val="0"/>
                  <w:marRight w:val="0"/>
                  <w:marTop w:val="0"/>
                  <w:marBottom w:val="0"/>
                  <w:divBdr>
                    <w:top w:val="none" w:sz="0" w:space="0" w:color="auto"/>
                    <w:left w:val="none" w:sz="0" w:space="0" w:color="auto"/>
                    <w:bottom w:val="none" w:sz="0" w:space="0" w:color="auto"/>
                    <w:right w:val="none" w:sz="0" w:space="0" w:color="auto"/>
                  </w:divBdr>
                </w:div>
              </w:divsChild>
            </w:div>
            <w:div w:id="1858083140">
              <w:marLeft w:val="0"/>
              <w:marRight w:val="0"/>
              <w:marTop w:val="0"/>
              <w:marBottom w:val="0"/>
              <w:divBdr>
                <w:top w:val="none" w:sz="0" w:space="0" w:color="auto"/>
                <w:left w:val="none" w:sz="0" w:space="0" w:color="auto"/>
                <w:bottom w:val="none" w:sz="0" w:space="0" w:color="auto"/>
                <w:right w:val="none" w:sz="0" w:space="0" w:color="auto"/>
              </w:divBdr>
              <w:divsChild>
                <w:div w:id="29501429">
                  <w:marLeft w:val="0"/>
                  <w:marRight w:val="0"/>
                  <w:marTop w:val="0"/>
                  <w:marBottom w:val="0"/>
                  <w:divBdr>
                    <w:top w:val="none" w:sz="0" w:space="0" w:color="auto"/>
                    <w:left w:val="none" w:sz="0" w:space="0" w:color="auto"/>
                    <w:bottom w:val="none" w:sz="0" w:space="0" w:color="auto"/>
                    <w:right w:val="none" w:sz="0" w:space="0" w:color="auto"/>
                  </w:divBdr>
                </w:div>
              </w:divsChild>
            </w:div>
            <w:div w:id="182206548">
              <w:marLeft w:val="0"/>
              <w:marRight w:val="0"/>
              <w:marTop w:val="0"/>
              <w:marBottom w:val="0"/>
              <w:divBdr>
                <w:top w:val="none" w:sz="0" w:space="0" w:color="auto"/>
                <w:left w:val="none" w:sz="0" w:space="0" w:color="auto"/>
                <w:bottom w:val="none" w:sz="0" w:space="0" w:color="auto"/>
                <w:right w:val="none" w:sz="0" w:space="0" w:color="auto"/>
              </w:divBdr>
              <w:divsChild>
                <w:div w:id="1338342539">
                  <w:marLeft w:val="0"/>
                  <w:marRight w:val="0"/>
                  <w:marTop w:val="0"/>
                  <w:marBottom w:val="0"/>
                  <w:divBdr>
                    <w:top w:val="none" w:sz="0" w:space="0" w:color="auto"/>
                    <w:left w:val="none" w:sz="0" w:space="0" w:color="auto"/>
                    <w:bottom w:val="none" w:sz="0" w:space="0" w:color="auto"/>
                    <w:right w:val="none" w:sz="0" w:space="0" w:color="auto"/>
                  </w:divBdr>
                </w:div>
              </w:divsChild>
            </w:div>
            <w:div w:id="2001888977">
              <w:marLeft w:val="0"/>
              <w:marRight w:val="0"/>
              <w:marTop w:val="0"/>
              <w:marBottom w:val="0"/>
              <w:divBdr>
                <w:top w:val="none" w:sz="0" w:space="0" w:color="auto"/>
                <w:left w:val="none" w:sz="0" w:space="0" w:color="auto"/>
                <w:bottom w:val="none" w:sz="0" w:space="0" w:color="auto"/>
                <w:right w:val="none" w:sz="0" w:space="0" w:color="auto"/>
              </w:divBdr>
              <w:divsChild>
                <w:div w:id="1873495792">
                  <w:marLeft w:val="0"/>
                  <w:marRight w:val="0"/>
                  <w:marTop w:val="0"/>
                  <w:marBottom w:val="0"/>
                  <w:divBdr>
                    <w:top w:val="none" w:sz="0" w:space="0" w:color="auto"/>
                    <w:left w:val="none" w:sz="0" w:space="0" w:color="auto"/>
                    <w:bottom w:val="none" w:sz="0" w:space="0" w:color="auto"/>
                    <w:right w:val="none" w:sz="0" w:space="0" w:color="auto"/>
                  </w:divBdr>
                </w:div>
              </w:divsChild>
            </w:div>
            <w:div w:id="759911666">
              <w:marLeft w:val="0"/>
              <w:marRight w:val="0"/>
              <w:marTop w:val="0"/>
              <w:marBottom w:val="0"/>
              <w:divBdr>
                <w:top w:val="none" w:sz="0" w:space="0" w:color="auto"/>
                <w:left w:val="none" w:sz="0" w:space="0" w:color="auto"/>
                <w:bottom w:val="none" w:sz="0" w:space="0" w:color="auto"/>
                <w:right w:val="none" w:sz="0" w:space="0" w:color="auto"/>
              </w:divBdr>
              <w:divsChild>
                <w:div w:id="151800311">
                  <w:marLeft w:val="0"/>
                  <w:marRight w:val="0"/>
                  <w:marTop w:val="0"/>
                  <w:marBottom w:val="0"/>
                  <w:divBdr>
                    <w:top w:val="none" w:sz="0" w:space="0" w:color="auto"/>
                    <w:left w:val="none" w:sz="0" w:space="0" w:color="auto"/>
                    <w:bottom w:val="none" w:sz="0" w:space="0" w:color="auto"/>
                    <w:right w:val="none" w:sz="0" w:space="0" w:color="auto"/>
                  </w:divBdr>
                </w:div>
              </w:divsChild>
            </w:div>
            <w:div w:id="1186674480">
              <w:marLeft w:val="0"/>
              <w:marRight w:val="0"/>
              <w:marTop w:val="0"/>
              <w:marBottom w:val="0"/>
              <w:divBdr>
                <w:top w:val="none" w:sz="0" w:space="0" w:color="auto"/>
                <w:left w:val="none" w:sz="0" w:space="0" w:color="auto"/>
                <w:bottom w:val="none" w:sz="0" w:space="0" w:color="auto"/>
                <w:right w:val="none" w:sz="0" w:space="0" w:color="auto"/>
              </w:divBdr>
              <w:divsChild>
                <w:div w:id="1634796893">
                  <w:marLeft w:val="0"/>
                  <w:marRight w:val="0"/>
                  <w:marTop w:val="0"/>
                  <w:marBottom w:val="0"/>
                  <w:divBdr>
                    <w:top w:val="none" w:sz="0" w:space="0" w:color="auto"/>
                    <w:left w:val="none" w:sz="0" w:space="0" w:color="auto"/>
                    <w:bottom w:val="none" w:sz="0" w:space="0" w:color="auto"/>
                    <w:right w:val="none" w:sz="0" w:space="0" w:color="auto"/>
                  </w:divBdr>
                </w:div>
              </w:divsChild>
            </w:div>
            <w:div w:id="267395098">
              <w:marLeft w:val="0"/>
              <w:marRight w:val="0"/>
              <w:marTop w:val="0"/>
              <w:marBottom w:val="0"/>
              <w:divBdr>
                <w:top w:val="none" w:sz="0" w:space="0" w:color="auto"/>
                <w:left w:val="none" w:sz="0" w:space="0" w:color="auto"/>
                <w:bottom w:val="none" w:sz="0" w:space="0" w:color="auto"/>
                <w:right w:val="none" w:sz="0" w:space="0" w:color="auto"/>
              </w:divBdr>
              <w:divsChild>
                <w:div w:id="946278752">
                  <w:marLeft w:val="0"/>
                  <w:marRight w:val="0"/>
                  <w:marTop w:val="0"/>
                  <w:marBottom w:val="0"/>
                  <w:divBdr>
                    <w:top w:val="none" w:sz="0" w:space="0" w:color="auto"/>
                    <w:left w:val="none" w:sz="0" w:space="0" w:color="auto"/>
                    <w:bottom w:val="none" w:sz="0" w:space="0" w:color="auto"/>
                    <w:right w:val="none" w:sz="0" w:space="0" w:color="auto"/>
                  </w:divBdr>
                </w:div>
              </w:divsChild>
            </w:div>
            <w:div w:id="1076049031">
              <w:marLeft w:val="0"/>
              <w:marRight w:val="0"/>
              <w:marTop w:val="0"/>
              <w:marBottom w:val="0"/>
              <w:divBdr>
                <w:top w:val="none" w:sz="0" w:space="0" w:color="auto"/>
                <w:left w:val="none" w:sz="0" w:space="0" w:color="auto"/>
                <w:bottom w:val="none" w:sz="0" w:space="0" w:color="auto"/>
                <w:right w:val="none" w:sz="0" w:space="0" w:color="auto"/>
              </w:divBdr>
              <w:divsChild>
                <w:div w:id="581112098">
                  <w:marLeft w:val="0"/>
                  <w:marRight w:val="0"/>
                  <w:marTop w:val="0"/>
                  <w:marBottom w:val="0"/>
                  <w:divBdr>
                    <w:top w:val="none" w:sz="0" w:space="0" w:color="auto"/>
                    <w:left w:val="none" w:sz="0" w:space="0" w:color="auto"/>
                    <w:bottom w:val="none" w:sz="0" w:space="0" w:color="auto"/>
                    <w:right w:val="none" w:sz="0" w:space="0" w:color="auto"/>
                  </w:divBdr>
                </w:div>
              </w:divsChild>
            </w:div>
            <w:div w:id="1952084981">
              <w:marLeft w:val="0"/>
              <w:marRight w:val="0"/>
              <w:marTop w:val="0"/>
              <w:marBottom w:val="0"/>
              <w:divBdr>
                <w:top w:val="none" w:sz="0" w:space="0" w:color="auto"/>
                <w:left w:val="none" w:sz="0" w:space="0" w:color="auto"/>
                <w:bottom w:val="none" w:sz="0" w:space="0" w:color="auto"/>
                <w:right w:val="none" w:sz="0" w:space="0" w:color="auto"/>
              </w:divBdr>
              <w:divsChild>
                <w:div w:id="1219244379">
                  <w:marLeft w:val="0"/>
                  <w:marRight w:val="0"/>
                  <w:marTop w:val="0"/>
                  <w:marBottom w:val="0"/>
                  <w:divBdr>
                    <w:top w:val="none" w:sz="0" w:space="0" w:color="auto"/>
                    <w:left w:val="none" w:sz="0" w:space="0" w:color="auto"/>
                    <w:bottom w:val="none" w:sz="0" w:space="0" w:color="auto"/>
                    <w:right w:val="none" w:sz="0" w:space="0" w:color="auto"/>
                  </w:divBdr>
                </w:div>
              </w:divsChild>
            </w:div>
            <w:div w:id="1826896314">
              <w:marLeft w:val="0"/>
              <w:marRight w:val="0"/>
              <w:marTop w:val="0"/>
              <w:marBottom w:val="0"/>
              <w:divBdr>
                <w:top w:val="none" w:sz="0" w:space="0" w:color="auto"/>
                <w:left w:val="none" w:sz="0" w:space="0" w:color="auto"/>
                <w:bottom w:val="none" w:sz="0" w:space="0" w:color="auto"/>
                <w:right w:val="none" w:sz="0" w:space="0" w:color="auto"/>
              </w:divBdr>
              <w:divsChild>
                <w:div w:id="730888163">
                  <w:marLeft w:val="0"/>
                  <w:marRight w:val="0"/>
                  <w:marTop w:val="0"/>
                  <w:marBottom w:val="0"/>
                  <w:divBdr>
                    <w:top w:val="none" w:sz="0" w:space="0" w:color="auto"/>
                    <w:left w:val="none" w:sz="0" w:space="0" w:color="auto"/>
                    <w:bottom w:val="none" w:sz="0" w:space="0" w:color="auto"/>
                    <w:right w:val="none" w:sz="0" w:space="0" w:color="auto"/>
                  </w:divBdr>
                </w:div>
              </w:divsChild>
            </w:div>
            <w:div w:id="1370103366">
              <w:marLeft w:val="0"/>
              <w:marRight w:val="0"/>
              <w:marTop w:val="0"/>
              <w:marBottom w:val="0"/>
              <w:divBdr>
                <w:top w:val="none" w:sz="0" w:space="0" w:color="auto"/>
                <w:left w:val="none" w:sz="0" w:space="0" w:color="auto"/>
                <w:bottom w:val="none" w:sz="0" w:space="0" w:color="auto"/>
                <w:right w:val="none" w:sz="0" w:space="0" w:color="auto"/>
              </w:divBdr>
              <w:divsChild>
                <w:div w:id="569736203">
                  <w:marLeft w:val="0"/>
                  <w:marRight w:val="0"/>
                  <w:marTop w:val="0"/>
                  <w:marBottom w:val="0"/>
                  <w:divBdr>
                    <w:top w:val="none" w:sz="0" w:space="0" w:color="auto"/>
                    <w:left w:val="none" w:sz="0" w:space="0" w:color="auto"/>
                    <w:bottom w:val="none" w:sz="0" w:space="0" w:color="auto"/>
                    <w:right w:val="none" w:sz="0" w:space="0" w:color="auto"/>
                  </w:divBdr>
                </w:div>
              </w:divsChild>
            </w:div>
            <w:div w:id="921378987">
              <w:marLeft w:val="0"/>
              <w:marRight w:val="0"/>
              <w:marTop w:val="0"/>
              <w:marBottom w:val="0"/>
              <w:divBdr>
                <w:top w:val="none" w:sz="0" w:space="0" w:color="auto"/>
                <w:left w:val="none" w:sz="0" w:space="0" w:color="auto"/>
                <w:bottom w:val="none" w:sz="0" w:space="0" w:color="auto"/>
                <w:right w:val="none" w:sz="0" w:space="0" w:color="auto"/>
              </w:divBdr>
              <w:divsChild>
                <w:div w:id="2093623867">
                  <w:marLeft w:val="0"/>
                  <w:marRight w:val="0"/>
                  <w:marTop w:val="0"/>
                  <w:marBottom w:val="0"/>
                  <w:divBdr>
                    <w:top w:val="none" w:sz="0" w:space="0" w:color="auto"/>
                    <w:left w:val="none" w:sz="0" w:space="0" w:color="auto"/>
                    <w:bottom w:val="none" w:sz="0" w:space="0" w:color="auto"/>
                    <w:right w:val="none" w:sz="0" w:space="0" w:color="auto"/>
                  </w:divBdr>
                </w:div>
              </w:divsChild>
            </w:div>
            <w:div w:id="901252846">
              <w:marLeft w:val="0"/>
              <w:marRight w:val="0"/>
              <w:marTop w:val="0"/>
              <w:marBottom w:val="0"/>
              <w:divBdr>
                <w:top w:val="none" w:sz="0" w:space="0" w:color="auto"/>
                <w:left w:val="none" w:sz="0" w:space="0" w:color="auto"/>
                <w:bottom w:val="none" w:sz="0" w:space="0" w:color="auto"/>
                <w:right w:val="none" w:sz="0" w:space="0" w:color="auto"/>
              </w:divBdr>
              <w:divsChild>
                <w:div w:id="1302468471">
                  <w:marLeft w:val="0"/>
                  <w:marRight w:val="0"/>
                  <w:marTop w:val="0"/>
                  <w:marBottom w:val="0"/>
                  <w:divBdr>
                    <w:top w:val="none" w:sz="0" w:space="0" w:color="auto"/>
                    <w:left w:val="none" w:sz="0" w:space="0" w:color="auto"/>
                    <w:bottom w:val="none" w:sz="0" w:space="0" w:color="auto"/>
                    <w:right w:val="none" w:sz="0" w:space="0" w:color="auto"/>
                  </w:divBdr>
                </w:div>
              </w:divsChild>
            </w:div>
            <w:div w:id="484316446">
              <w:marLeft w:val="0"/>
              <w:marRight w:val="0"/>
              <w:marTop w:val="0"/>
              <w:marBottom w:val="0"/>
              <w:divBdr>
                <w:top w:val="none" w:sz="0" w:space="0" w:color="auto"/>
                <w:left w:val="none" w:sz="0" w:space="0" w:color="auto"/>
                <w:bottom w:val="none" w:sz="0" w:space="0" w:color="auto"/>
                <w:right w:val="none" w:sz="0" w:space="0" w:color="auto"/>
              </w:divBdr>
              <w:divsChild>
                <w:div w:id="1954434234">
                  <w:marLeft w:val="0"/>
                  <w:marRight w:val="0"/>
                  <w:marTop w:val="0"/>
                  <w:marBottom w:val="0"/>
                  <w:divBdr>
                    <w:top w:val="none" w:sz="0" w:space="0" w:color="auto"/>
                    <w:left w:val="none" w:sz="0" w:space="0" w:color="auto"/>
                    <w:bottom w:val="none" w:sz="0" w:space="0" w:color="auto"/>
                    <w:right w:val="none" w:sz="0" w:space="0" w:color="auto"/>
                  </w:divBdr>
                </w:div>
              </w:divsChild>
            </w:div>
            <w:div w:id="156578515">
              <w:marLeft w:val="0"/>
              <w:marRight w:val="0"/>
              <w:marTop w:val="0"/>
              <w:marBottom w:val="0"/>
              <w:divBdr>
                <w:top w:val="none" w:sz="0" w:space="0" w:color="auto"/>
                <w:left w:val="none" w:sz="0" w:space="0" w:color="auto"/>
                <w:bottom w:val="none" w:sz="0" w:space="0" w:color="auto"/>
                <w:right w:val="none" w:sz="0" w:space="0" w:color="auto"/>
              </w:divBdr>
              <w:divsChild>
                <w:div w:id="874849323">
                  <w:marLeft w:val="0"/>
                  <w:marRight w:val="0"/>
                  <w:marTop w:val="0"/>
                  <w:marBottom w:val="0"/>
                  <w:divBdr>
                    <w:top w:val="none" w:sz="0" w:space="0" w:color="auto"/>
                    <w:left w:val="none" w:sz="0" w:space="0" w:color="auto"/>
                    <w:bottom w:val="none" w:sz="0" w:space="0" w:color="auto"/>
                    <w:right w:val="none" w:sz="0" w:space="0" w:color="auto"/>
                  </w:divBdr>
                </w:div>
              </w:divsChild>
            </w:div>
            <w:div w:id="120804128">
              <w:marLeft w:val="0"/>
              <w:marRight w:val="0"/>
              <w:marTop w:val="0"/>
              <w:marBottom w:val="0"/>
              <w:divBdr>
                <w:top w:val="none" w:sz="0" w:space="0" w:color="auto"/>
                <w:left w:val="none" w:sz="0" w:space="0" w:color="auto"/>
                <w:bottom w:val="none" w:sz="0" w:space="0" w:color="auto"/>
                <w:right w:val="none" w:sz="0" w:space="0" w:color="auto"/>
              </w:divBdr>
              <w:divsChild>
                <w:div w:id="1318650974">
                  <w:marLeft w:val="0"/>
                  <w:marRight w:val="0"/>
                  <w:marTop w:val="0"/>
                  <w:marBottom w:val="0"/>
                  <w:divBdr>
                    <w:top w:val="none" w:sz="0" w:space="0" w:color="auto"/>
                    <w:left w:val="none" w:sz="0" w:space="0" w:color="auto"/>
                    <w:bottom w:val="none" w:sz="0" w:space="0" w:color="auto"/>
                    <w:right w:val="none" w:sz="0" w:space="0" w:color="auto"/>
                  </w:divBdr>
                </w:div>
              </w:divsChild>
            </w:div>
            <w:div w:id="24983263">
              <w:marLeft w:val="0"/>
              <w:marRight w:val="0"/>
              <w:marTop w:val="0"/>
              <w:marBottom w:val="0"/>
              <w:divBdr>
                <w:top w:val="none" w:sz="0" w:space="0" w:color="auto"/>
                <w:left w:val="none" w:sz="0" w:space="0" w:color="auto"/>
                <w:bottom w:val="none" w:sz="0" w:space="0" w:color="auto"/>
                <w:right w:val="none" w:sz="0" w:space="0" w:color="auto"/>
              </w:divBdr>
              <w:divsChild>
                <w:div w:id="469055679">
                  <w:marLeft w:val="0"/>
                  <w:marRight w:val="0"/>
                  <w:marTop w:val="0"/>
                  <w:marBottom w:val="0"/>
                  <w:divBdr>
                    <w:top w:val="none" w:sz="0" w:space="0" w:color="auto"/>
                    <w:left w:val="none" w:sz="0" w:space="0" w:color="auto"/>
                    <w:bottom w:val="none" w:sz="0" w:space="0" w:color="auto"/>
                    <w:right w:val="none" w:sz="0" w:space="0" w:color="auto"/>
                  </w:divBdr>
                </w:div>
              </w:divsChild>
            </w:div>
            <w:div w:id="240257053">
              <w:marLeft w:val="0"/>
              <w:marRight w:val="0"/>
              <w:marTop w:val="0"/>
              <w:marBottom w:val="0"/>
              <w:divBdr>
                <w:top w:val="none" w:sz="0" w:space="0" w:color="auto"/>
                <w:left w:val="none" w:sz="0" w:space="0" w:color="auto"/>
                <w:bottom w:val="none" w:sz="0" w:space="0" w:color="auto"/>
                <w:right w:val="none" w:sz="0" w:space="0" w:color="auto"/>
              </w:divBdr>
              <w:divsChild>
                <w:div w:id="317459210">
                  <w:marLeft w:val="0"/>
                  <w:marRight w:val="0"/>
                  <w:marTop w:val="0"/>
                  <w:marBottom w:val="0"/>
                  <w:divBdr>
                    <w:top w:val="none" w:sz="0" w:space="0" w:color="auto"/>
                    <w:left w:val="none" w:sz="0" w:space="0" w:color="auto"/>
                    <w:bottom w:val="none" w:sz="0" w:space="0" w:color="auto"/>
                    <w:right w:val="none" w:sz="0" w:space="0" w:color="auto"/>
                  </w:divBdr>
                </w:div>
              </w:divsChild>
            </w:div>
            <w:div w:id="1483153822">
              <w:marLeft w:val="0"/>
              <w:marRight w:val="0"/>
              <w:marTop w:val="0"/>
              <w:marBottom w:val="0"/>
              <w:divBdr>
                <w:top w:val="none" w:sz="0" w:space="0" w:color="auto"/>
                <w:left w:val="none" w:sz="0" w:space="0" w:color="auto"/>
                <w:bottom w:val="none" w:sz="0" w:space="0" w:color="auto"/>
                <w:right w:val="none" w:sz="0" w:space="0" w:color="auto"/>
              </w:divBdr>
              <w:divsChild>
                <w:div w:id="1414932715">
                  <w:marLeft w:val="0"/>
                  <w:marRight w:val="0"/>
                  <w:marTop w:val="0"/>
                  <w:marBottom w:val="0"/>
                  <w:divBdr>
                    <w:top w:val="none" w:sz="0" w:space="0" w:color="auto"/>
                    <w:left w:val="none" w:sz="0" w:space="0" w:color="auto"/>
                    <w:bottom w:val="none" w:sz="0" w:space="0" w:color="auto"/>
                    <w:right w:val="none" w:sz="0" w:space="0" w:color="auto"/>
                  </w:divBdr>
                </w:div>
              </w:divsChild>
            </w:div>
            <w:div w:id="1887451543">
              <w:marLeft w:val="0"/>
              <w:marRight w:val="0"/>
              <w:marTop w:val="0"/>
              <w:marBottom w:val="0"/>
              <w:divBdr>
                <w:top w:val="none" w:sz="0" w:space="0" w:color="auto"/>
                <w:left w:val="none" w:sz="0" w:space="0" w:color="auto"/>
                <w:bottom w:val="none" w:sz="0" w:space="0" w:color="auto"/>
                <w:right w:val="none" w:sz="0" w:space="0" w:color="auto"/>
              </w:divBdr>
              <w:divsChild>
                <w:div w:id="1117528573">
                  <w:marLeft w:val="0"/>
                  <w:marRight w:val="0"/>
                  <w:marTop w:val="0"/>
                  <w:marBottom w:val="0"/>
                  <w:divBdr>
                    <w:top w:val="none" w:sz="0" w:space="0" w:color="auto"/>
                    <w:left w:val="none" w:sz="0" w:space="0" w:color="auto"/>
                    <w:bottom w:val="none" w:sz="0" w:space="0" w:color="auto"/>
                    <w:right w:val="none" w:sz="0" w:space="0" w:color="auto"/>
                  </w:divBdr>
                </w:div>
              </w:divsChild>
            </w:div>
            <w:div w:id="1120607196">
              <w:marLeft w:val="0"/>
              <w:marRight w:val="0"/>
              <w:marTop w:val="0"/>
              <w:marBottom w:val="0"/>
              <w:divBdr>
                <w:top w:val="none" w:sz="0" w:space="0" w:color="auto"/>
                <w:left w:val="none" w:sz="0" w:space="0" w:color="auto"/>
                <w:bottom w:val="none" w:sz="0" w:space="0" w:color="auto"/>
                <w:right w:val="none" w:sz="0" w:space="0" w:color="auto"/>
              </w:divBdr>
              <w:divsChild>
                <w:div w:id="1769228245">
                  <w:marLeft w:val="0"/>
                  <w:marRight w:val="0"/>
                  <w:marTop w:val="0"/>
                  <w:marBottom w:val="0"/>
                  <w:divBdr>
                    <w:top w:val="none" w:sz="0" w:space="0" w:color="auto"/>
                    <w:left w:val="none" w:sz="0" w:space="0" w:color="auto"/>
                    <w:bottom w:val="none" w:sz="0" w:space="0" w:color="auto"/>
                    <w:right w:val="none" w:sz="0" w:space="0" w:color="auto"/>
                  </w:divBdr>
                </w:div>
              </w:divsChild>
            </w:div>
            <w:div w:id="277562932">
              <w:marLeft w:val="0"/>
              <w:marRight w:val="0"/>
              <w:marTop w:val="0"/>
              <w:marBottom w:val="0"/>
              <w:divBdr>
                <w:top w:val="none" w:sz="0" w:space="0" w:color="auto"/>
                <w:left w:val="none" w:sz="0" w:space="0" w:color="auto"/>
                <w:bottom w:val="none" w:sz="0" w:space="0" w:color="auto"/>
                <w:right w:val="none" w:sz="0" w:space="0" w:color="auto"/>
              </w:divBdr>
              <w:divsChild>
                <w:div w:id="1611350725">
                  <w:marLeft w:val="0"/>
                  <w:marRight w:val="0"/>
                  <w:marTop w:val="0"/>
                  <w:marBottom w:val="0"/>
                  <w:divBdr>
                    <w:top w:val="none" w:sz="0" w:space="0" w:color="auto"/>
                    <w:left w:val="none" w:sz="0" w:space="0" w:color="auto"/>
                    <w:bottom w:val="none" w:sz="0" w:space="0" w:color="auto"/>
                    <w:right w:val="none" w:sz="0" w:space="0" w:color="auto"/>
                  </w:divBdr>
                </w:div>
              </w:divsChild>
            </w:div>
            <w:div w:id="1667853355">
              <w:marLeft w:val="0"/>
              <w:marRight w:val="0"/>
              <w:marTop w:val="0"/>
              <w:marBottom w:val="0"/>
              <w:divBdr>
                <w:top w:val="none" w:sz="0" w:space="0" w:color="auto"/>
                <w:left w:val="none" w:sz="0" w:space="0" w:color="auto"/>
                <w:bottom w:val="none" w:sz="0" w:space="0" w:color="auto"/>
                <w:right w:val="none" w:sz="0" w:space="0" w:color="auto"/>
              </w:divBdr>
              <w:divsChild>
                <w:div w:id="1669092567">
                  <w:marLeft w:val="0"/>
                  <w:marRight w:val="0"/>
                  <w:marTop w:val="0"/>
                  <w:marBottom w:val="0"/>
                  <w:divBdr>
                    <w:top w:val="none" w:sz="0" w:space="0" w:color="auto"/>
                    <w:left w:val="none" w:sz="0" w:space="0" w:color="auto"/>
                    <w:bottom w:val="none" w:sz="0" w:space="0" w:color="auto"/>
                    <w:right w:val="none" w:sz="0" w:space="0" w:color="auto"/>
                  </w:divBdr>
                </w:div>
              </w:divsChild>
            </w:div>
            <w:div w:id="1709985237">
              <w:marLeft w:val="0"/>
              <w:marRight w:val="0"/>
              <w:marTop w:val="0"/>
              <w:marBottom w:val="0"/>
              <w:divBdr>
                <w:top w:val="none" w:sz="0" w:space="0" w:color="auto"/>
                <w:left w:val="none" w:sz="0" w:space="0" w:color="auto"/>
                <w:bottom w:val="none" w:sz="0" w:space="0" w:color="auto"/>
                <w:right w:val="none" w:sz="0" w:space="0" w:color="auto"/>
              </w:divBdr>
              <w:divsChild>
                <w:div w:id="126237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1104">
          <w:marLeft w:val="0"/>
          <w:marRight w:val="0"/>
          <w:marTop w:val="0"/>
          <w:marBottom w:val="600"/>
          <w:divBdr>
            <w:top w:val="none" w:sz="0" w:space="0" w:color="auto"/>
            <w:left w:val="none" w:sz="0" w:space="0" w:color="auto"/>
            <w:bottom w:val="none" w:sz="0" w:space="0" w:color="auto"/>
            <w:right w:val="none" w:sz="0" w:space="0" w:color="auto"/>
          </w:divBdr>
        </w:div>
      </w:divsChild>
    </w:div>
    <w:div w:id="1724790117">
      <w:marLeft w:val="0"/>
      <w:marRight w:val="0"/>
      <w:marTop w:val="0"/>
      <w:marBottom w:val="0"/>
      <w:divBdr>
        <w:top w:val="none" w:sz="0" w:space="0" w:color="auto"/>
        <w:left w:val="none" w:sz="0" w:space="0" w:color="auto"/>
        <w:bottom w:val="none" w:sz="0" w:space="0" w:color="auto"/>
        <w:right w:val="none" w:sz="0" w:space="0" w:color="auto"/>
      </w:divBdr>
      <w:divsChild>
        <w:div w:id="1446197215">
          <w:marLeft w:val="0"/>
          <w:marRight w:val="0"/>
          <w:marTop w:val="547"/>
          <w:marBottom w:val="0"/>
          <w:divBdr>
            <w:top w:val="none" w:sz="0" w:space="0" w:color="auto"/>
            <w:left w:val="none" w:sz="0" w:space="0" w:color="auto"/>
            <w:bottom w:val="none" w:sz="0" w:space="0" w:color="auto"/>
            <w:right w:val="none" w:sz="0" w:space="0" w:color="auto"/>
          </w:divBdr>
        </w:div>
        <w:div w:id="1116413121">
          <w:marLeft w:val="0"/>
          <w:marRight w:val="0"/>
          <w:marTop w:val="0"/>
          <w:marBottom w:val="0"/>
          <w:divBdr>
            <w:top w:val="none" w:sz="0" w:space="0" w:color="auto"/>
            <w:left w:val="none" w:sz="0" w:space="0" w:color="auto"/>
            <w:bottom w:val="none" w:sz="0" w:space="0" w:color="auto"/>
            <w:right w:val="none" w:sz="0" w:space="0" w:color="auto"/>
          </w:divBdr>
          <w:divsChild>
            <w:div w:id="225116929">
              <w:marLeft w:val="0"/>
              <w:marRight w:val="0"/>
              <w:marTop w:val="0"/>
              <w:marBottom w:val="0"/>
              <w:divBdr>
                <w:top w:val="none" w:sz="0" w:space="0" w:color="auto"/>
                <w:left w:val="none" w:sz="0" w:space="0" w:color="auto"/>
                <w:bottom w:val="none" w:sz="0" w:space="0" w:color="auto"/>
                <w:right w:val="none" w:sz="0" w:space="0" w:color="auto"/>
              </w:divBdr>
              <w:divsChild>
                <w:div w:id="1934972581">
                  <w:marLeft w:val="0"/>
                  <w:marRight w:val="0"/>
                  <w:marTop w:val="0"/>
                  <w:marBottom w:val="0"/>
                  <w:divBdr>
                    <w:top w:val="none" w:sz="0" w:space="0" w:color="auto"/>
                    <w:left w:val="none" w:sz="0" w:space="0" w:color="auto"/>
                    <w:bottom w:val="none" w:sz="0" w:space="0" w:color="auto"/>
                    <w:right w:val="none" w:sz="0" w:space="0" w:color="auto"/>
                  </w:divBdr>
                </w:div>
              </w:divsChild>
            </w:div>
            <w:div w:id="717052959">
              <w:marLeft w:val="0"/>
              <w:marRight w:val="0"/>
              <w:marTop w:val="0"/>
              <w:marBottom w:val="0"/>
              <w:divBdr>
                <w:top w:val="none" w:sz="0" w:space="0" w:color="auto"/>
                <w:left w:val="none" w:sz="0" w:space="0" w:color="auto"/>
                <w:bottom w:val="none" w:sz="0" w:space="0" w:color="auto"/>
                <w:right w:val="none" w:sz="0" w:space="0" w:color="auto"/>
              </w:divBdr>
              <w:divsChild>
                <w:div w:id="1093862658">
                  <w:marLeft w:val="0"/>
                  <w:marRight w:val="0"/>
                  <w:marTop w:val="0"/>
                  <w:marBottom w:val="0"/>
                  <w:divBdr>
                    <w:top w:val="none" w:sz="0" w:space="0" w:color="auto"/>
                    <w:left w:val="none" w:sz="0" w:space="0" w:color="auto"/>
                    <w:bottom w:val="none" w:sz="0" w:space="0" w:color="auto"/>
                    <w:right w:val="none" w:sz="0" w:space="0" w:color="auto"/>
                  </w:divBdr>
                </w:div>
              </w:divsChild>
            </w:div>
            <w:div w:id="1715735975">
              <w:marLeft w:val="0"/>
              <w:marRight w:val="0"/>
              <w:marTop w:val="0"/>
              <w:marBottom w:val="0"/>
              <w:divBdr>
                <w:top w:val="none" w:sz="0" w:space="0" w:color="auto"/>
                <w:left w:val="none" w:sz="0" w:space="0" w:color="auto"/>
                <w:bottom w:val="none" w:sz="0" w:space="0" w:color="auto"/>
                <w:right w:val="none" w:sz="0" w:space="0" w:color="auto"/>
              </w:divBdr>
              <w:divsChild>
                <w:div w:id="1043941180">
                  <w:marLeft w:val="0"/>
                  <w:marRight w:val="0"/>
                  <w:marTop w:val="0"/>
                  <w:marBottom w:val="0"/>
                  <w:divBdr>
                    <w:top w:val="none" w:sz="0" w:space="0" w:color="auto"/>
                    <w:left w:val="none" w:sz="0" w:space="0" w:color="auto"/>
                    <w:bottom w:val="none" w:sz="0" w:space="0" w:color="auto"/>
                    <w:right w:val="none" w:sz="0" w:space="0" w:color="auto"/>
                  </w:divBdr>
                </w:div>
              </w:divsChild>
            </w:div>
            <w:div w:id="1605186266">
              <w:marLeft w:val="0"/>
              <w:marRight w:val="0"/>
              <w:marTop w:val="0"/>
              <w:marBottom w:val="0"/>
              <w:divBdr>
                <w:top w:val="none" w:sz="0" w:space="0" w:color="auto"/>
                <w:left w:val="none" w:sz="0" w:space="0" w:color="auto"/>
                <w:bottom w:val="none" w:sz="0" w:space="0" w:color="auto"/>
                <w:right w:val="none" w:sz="0" w:space="0" w:color="auto"/>
              </w:divBdr>
              <w:divsChild>
                <w:div w:id="1529564248">
                  <w:marLeft w:val="0"/>
                  <w:marRight w:val="0"/>
                  <w:marTop w:val="0"/>
                  <w:marBottom w:val="0"/>
                  <w:divBdr>
                    <w:top w:val="none" w:sz="0" w:space="0" w:color="auto"/>
                    <w:left w:val="none" w:sz="0" w:space="0" w:color="auto"/>
                    <w:bottom w:val="none" w:sz="0" w:space="0" w:color="auto"/>
                    <w:right w:val="none" w:sz="0" w:space="0" w:color="auto"/>
                  </w:divBdr>
                </w:div>
              </w:divsChild>
            </w:div>
            <w:div w:id="1025980443">
              <w:marLeft w:val="0"/>
              <w:marRight w:val="0"/>
              <w:marTop w:val="0"/>
              <w:marBottom w:val="0"/>
              <w:divBdr>
                <w:top w:val="none" w:sz="0" w:space="0" w:color="auto"/>
                <w:left w:val="none" w:sz="0" w:space="0" w:color="auto"/>
                <w:bottom w:val="none" w:sz="0" w:space="0" w:color="auto"/>
                <w:right w:val="none" w:sz="0" w:space="0" w:color="auto"/>
              </w:divBdr>
              <w:divsChild>
                <w:div w:id="2083598965">
                  <w:marLeft w:val="0"/>
                  <w:marRight w:val="0"/>
                  <w:marTop w:val="0"/>
                  <w:marBottom w:val="0"/>
                  <w:divBdr>
                    <w:top w:val="none" w:sz="0" w:space="0" w:color="auto"/>
                    <w:left w:val="none" w:sz="0" w:space="0" w:color="auto"/>
                    <w:bottom w:val="none" w:sz="0" w:space="0" w:color="auto"/>
                    <w:right w:val="none" w:sz="0" w:space="0" w:color="auto"/>
                  </w:divBdr>
                </w:div>
              </w:divsChild>
            </w:div>
            <w:div w:id="2015914027">
              <w:marLeft w:val="0"/>
              <w:marRight w:val="0"/>
              <w:marTop w:val="0"/>
              <w:marBottom w:val="0"/>
              <w:divBdr>
                <w:top w:val="none" w:sz="0" w:space="0" w:color="auto"/>
                <w:left w:val="none" w:sz="0" w:space="0" w:color="auto"/>
                <w:bottom w:val="none" w:sz="0" w:space="0" w:color="auto"/>
                <w:right w:val="none" w:sz="0" w:space="0" w:color="auto"/>
              </w:divBdr>
              <w:divsChild>
                <w:div w:id="2007633994">
                  <w:marLeft w:val="0"/>
                  <w:marRight w:val="0"/>
                  <w:marTop w:val="0"/>
                  <w:marBottom w:val="0"/>
                  <w:divBdr>
                    <w:top w:val="none" w:sz="0" w:space="0" w:color="auto"/>
                    <w:left w:val="none" w:sz="0" w:space="0" w:color="auto"/>
                    <w:bottom w:val="none" w:sz="0" w:space="0" w:color="auto"/>
                    <w:right w:val="none" w:sz="0" w:space="0" w:color="auto"/>
                  </w:divBdr>
                </w:div>
              </w:divsChild>
            </w:div>
            <w:div w:id="1269774800">
              <w:marLeft w:val="0"/>
              <w:marRight w:val="0"/>
              <w:marTop w:val="0"/>
              <w:marBottom w:val="0"/>
              <w:divBdr>
                <w:top w:val="none" w:sz="0" w:space="0" w:color="auto"/>
                <w:left w:val="none" w:sz="0" w:space="0" w:color="auto"/>
                <w:bottom w:val="none" w:sz="0" w:space="0" w:color="auto"/>
                <w:right w:val="none" w:sz="0" w:space="0" w:color="auto"/>
              </w:divBdr>
              <w:divsChild>
                <w:div w:id="1306813609">
                  <w:marLeft w:val="0"/>
                  <w:marRight w:val="0"/>
                  <w:marTop w:val="0"/>
                  <w:marBottom w:val="0"/>
                  <w:divBdr>
                    <w:top w:val="none" w:sz="0" w:space="0" w:color="auto"/>
                    <w:left w:val="none" w:sz="0" w:space="0" w:color="auto"/>
                    <w:bottom w:val="none" w:sz="0" w:space="0" w:color="auto"/>
                    <w:right w:val="none" w:sz="0" w:space="0" w:color="auto"/>
                  </w:divBdr>
                </w:div>
              </w:divsChild>
            </w:div>
            <w:div w:id="1028677016">
              <w:marLeft w:val="0"/>
              <w:marRight w:val="0"/>
              <w:marTop w:val="0"/>
              <w:marBottom w:val="0"/>
              <w:divBdr>
                <w:top w:val="none" w:sz="0" w:space="0" w:color="auto"/>
                <w:left w:val="none" w:sz="0" w:space="0" w:color="auto"/>
                <w:bottom w:val="none" w:sz="0" w:space="0" w:color="auto"/>
                <w:right w:val="none" w:sz="0" w:space="0" w:color="auto"/>
              </w:divBdr>
              <w:divsChild>
                <w:div w:id="1858808870">
                  <w:marLeft w:val="0"/>
                  <w:marRight w:val="0"/>
                  <w:marTop w:val="0"/>
                  <w:marBottom w:val="0"/>
                  <w:divBdr>
                    <w:top w:val="none" w:sz="0" w:space="0" w:color="auto"/>
                    <w:left w:val="none" w:sz="0" w:space="0" w:color="auto"/>
                    <w:bottom w:val="none" w:sz="0" w:space="0" w:color="auto"/>
                    <w:right w:val="none" w:sz="0" w:space="0" w:color="auto"/>
                  </w:divBdr>
                </w:div>
              </w:divsChild>
            </w:div>
            <w:div w:id="1688942115">
              <w:marLeft w:val="0"/>
              <w:marRight w:val="0"/>
              <w:marTop w:val="0"/>
              <w:marBottom w:val="0"/>
              <w:divBdr>
                <w:top w:val="none" w:sz="0" w:space="0" w:color="auto"/>
                <w:left w:val="none" w:sz="0" w:space="0" w:color="auto"/>
                <w:bottom w:val="none" w:sz="0" w:space="0" w:color="auto"/>
                <w:right w:val="none" w:sz="0" w:space="0" w:color="auto"/>
              </w:divBdr>
              <w:divsChild>
                <w:div w:id="1142694733">
                  <w:marLeft w:val="0"/>
                  <w:marRight w:val="0"/>
                  <w:marTop w:val="0"/>
                  <w:marBottom w:val="0"/>
                  <w:divBdr>
                    <w:top w:val="none" w:sz="0" w:space="0" w:color="auto"/>
                    <w:left w:val="none" w:sz="0" w:space="0" w:color="auto"/>
                    <w:bottom w:val="none" w:sz="0" w:space="0" w:color="auto"/>
                    <w:right w:val="none" w:sz="0" w:space="0" w:color="auto"/>
                  </w:divBdr>
                </w:div>
              </w:divsChild>
            </w:div>
            <w:div w:id="1190874934">
              <w:marLeft w:val="0"/>
              <w:marRight w:val="0"/>
              <w:marTop w:val="0"/>
              <w:marBottom w:val="0"/>
              <w:divBdr>
                <w:top w:val="none" w:sz="0" w:space="0" w:color="auto"/>
                <w:left w:val="none" w:sz="0" w:space="0" w:color="auto"/>
                <w:bottom w:val="none" w:sz="0" w:space="0" w:color="auto"/>
                <w:right w:val="none" w:sz="0" w:space="0" w:color="auto"/>
              </w:divBdr>
              <w:divsChild>
                <w:div w:id="1836918028">
                  <w:marLeft w:val="0"/>
                  <w:marRight w:val="0"/>
                  <w:marTop w:val="0"/>
                  <w:marBottom w:val="0"/>
                  <w:divBdr>
                    <w:top w:val="none" w:sz="0" w:space="0" w:color="auto"/>
                    <w:left w:val="none" w:sz="0" w:space="0" w:color="auto"/>
                    <w:bottom w:val="none" w:sz="0" w:space="0" w:color="auto"/>
                    <w:right w:val="none" w:sz="0" w:space="0" w:color="auto"/>
                  </w:divBdr>
                </w:div>
              </w:divsChild>
            </w:div>
            <w:div w:id="836386543">
              <w:marLeft w:val="0"/>
              <w:marRight w:val="0"/>
              <w:marTop w:val="0"/>
              <w:marBottom w:val="0"/>
              <w:divBdr>
                <w:top w:val="none" w:sz="0" w:space="0" w:color="auto"/>
                <w:left w:val="none" w:sz="0" w:space="0" w:color="auto"/>
                <w:bottom w:val="none" w:sz="0" w:space="0" w:color="auto"/>
                <w:right w:val="none" w:sz="0" w:space="0" w:color="auto"/>
              </w:divBdr>
              <w:divsChild>
                <w:div w:id="1808891060">
                  <w:marLeft w:val="0"/>
                  <w:marRight w:val="0"/>
                  <w:marTop w:val="0"/>
                  <w:marBottom w:val="0"/>
                  <w:divBdr>
                    <w:top w:val="none" w:sz="0" w:space="0" w:color="auto"/>
                    <w:left w:val="none" w:sz="0" w:space="0" w:color="auto"/>
                    <w:bottom w:val="none" w:sz="0" w:space="0" w:color="auto"/>
                    <w:right w:val="none" w:sz="0" w:space="0" w:color="auto"/>
                  </w:divBdr>
                </w:div>
              </w:divsChild>
            </w:div>
            <w:div w:id="1012688176">
              <w:marLeft w:val="0"/>
              <w:marRight w:val="0"/>
              <w:marTop w:val="0"/>
              <w:marBottom w:val="0"/>
              <w:divBdr>
                <w:top w:val="none" w:sz="0" w:space="0" w:color="auto"/>
                <w:left w:val="none" w:sz="0" w:space="0" w:color="auto"/>
                <w:bottom w:val="none" w:sz="0" w:space="0" w:color="auto"/>
                <w:right w:val="none" w:sz="0" w:space="0" w:color="auto"/>
              </w:divBdr>
              <w:divsChild>
                <w:div w:id="11763192">
                  <w:marLeft w:val="0"/>
                  <w:marRight w:val="0"/>
                  <w:marTop w:val="0"/>
                  <w:marBottom w:val="0"/>
                  <w:divBdr>
                    <w:top w:val="none" w:sz="0" w:space="0" w:color="auto"/>
                    <w:left w:val="none" w:sz="0" w:space="0" w:color="auto"/>
                    <w:bottom w:val="none" w:sz="0" w:space="0" w:color="auto"/>
                    <w:right w:val="none" w:sz="0" w:space="0" w:color="auto"/>
                  </w:divBdr>
                </w:div>
              </w:divsChild>
            </w:div>
            <w:div w:id="1858737701">
              <w:marLeft w:val="0"/>
              <w:marRight w:val="0"/>
              <w:marTop w:val="0"/>
              <w:marBottom w:val="0"/>
              <w:divBdr>
                <w:top w:val="none" w:sz="0" w:space="0" w:color="auto"/>
                <w:left w:val="none" w:sz="0" w:space="0" w:color="auto"/>
                <w:bottom w:val="none" w:sz="0" w:space="0" w:color="auto"/>
                <w:right w:val="none" w:sz="0" w:space="0" w:color="auto"/>
              </w:divBdr>
              <w:divsChild>
                <w:div w:id="4497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8202">
          <w:marLeft w:val="0"/>
          <w:marRight w:val="0"/>
          <w:marTop w:val="0"/>
          <w:marBottom w:val="600"/>
          <w:divBdr>
            <w:top w:val="none" w:sz="0" w:space="0" w:color="auto"/>
            <w:left w:val="none" w:sz="0" w:space="0" w:color="auto"/>
            <w:bottom w:val="none" w:sz="0" w:space="0" w:color="auto"/>
            <w:right w:val="none" w:sz="0" w:space="0" w:color="auto"/>
          </w:divBdr>
        </w:div>
      </w:divsChild>
    </w:div>
    <w:div w:id="1756509135">
      <w:marLeft w:val="0"/>
      <w:marRight w:val="0"/>
      <w:marTop w:val="0"/>
      <w:marBottom w:val="0"/>
      <w:divBdr>
        <w:top w:val="none" w:sz="0" w:space="0" w:color="auto"/>
        <w:left w:val="none" w:sz="0" w:space="0" w:color="auto"/>
        <w:bottom w:val="none" w:sz="0" w:space="0" w:color="auto"/>
        <w:right w:val="none" w:sz="0" w:space="0" w:color="auto"/>
      </w:divBdr>
      <w:divsChild>
        <w:div w:id="551111575">
          <w:marLeft w:val="0"/>
          <w:marRight w:val="0"/>
          <w:marTop w:val="547"/>
          <w:marBottom w:val="0"/>
          <w:divBdr>
            <w:top w:val="none" w:sz="0" w:space="0" w:color="auto"/>
            <w:left w:val="none" w:sz="0" w:space="0" w:color="auto"/>
            <w:bottom w:val="none" w:sz="0" w:space="0" w:color="auto"/>
            <w:right w:val="none" w:sz="0" w:space="0" w:color="auto"/>
          </w:divBdr>
        </w:div>
        <w:div w:id="177550993">
          <w:marLeft w:val="0"/>
          <w:marRight w:val="0"/>
          <w:marTop w:val="0"/>
          <w:marBottom w:val="0"/>
          <w:divBdr>
            <w:top w:val="none" w:sz="0" w:space="0" w:color="auto"/>
            <w:left w:val="none" w:sz="0" w:space="0" w:color="auto"/>
            <w:bottom w:val="none" w:sz="0" w:space="0" w:color="auto"/>
            <w:right w:val="none" w:sz="0" w:space="0" w:color="auto"/>
          </w:divBdr>
        </w:div>
        <w:div w:id="1627201934">
          <w:marLeft w:val="0"/>
          <w:marRight w:val="0"/>
          <w:marTop w:val="0"/>
          <w:marBottom w:val="600"/>
          <w:divBdr>
            <w:top w:val="none" w:sz="0" w:space="0" w:color="auto"/>
            <w:left w:val="none" w:sz="0" w:space="0" w:color="auto"/>
            <w:bottom w:val="none" w:sz="0" w:space="0" w:color="auto"/>
            <w:right w:val="none" w:sz="0" w:space="0" w:color="auto"/>
          </w:divBdr>
        </w:div>
      </w:divsChild>
    </w:div>
    <w:div w:id="1876234577">
      <w:marLeft w:val="0"/>
      <w:marRight w:val="0"/>
      <w:marTop w:val="0"/>
      <w:marBottom w:val="0"/>
      <w:divBdr>
        <w:top w:val="none" w:sz="0" w:space="0" w:color="auto"/>
        <w:left w:val="none" w:sz="0" w:space="0" w:color="auto"/>
        <w:bottom w:val="none" w:sz="0" w:space="0" w:color="auto"/>
        <w:right w:val="none" w:sz="0" w:space="0" w:color="auto"/>
      </w:divBdr>
      <w:divsChild>
        <w:div w:id="597908034">
          <w:marLeft w:val="0"/>
          <w:marRight w:val="0"/>
          <w:marTop w:val="547"/>
          <w:marBottom w:val="0"/>
          <w:divBdr>
            <w:top w:val="none" w:sz="0" w:space="0" w:color="auto"/>
            <w:left w:val="none" w:sz="0" w:space="0" w:color="auto"/>
            <w:bottom w:val="none" w:sz="0" w:space="0" w:color="auto"/>
            <w:right w:val="none" w:sz="0" w:space="0" w:color="auto"/>
          </w:divBdr>
        </w:div>
        <w:div w:id="947464488">
          <w:marLeft w:val="0"/>
          <w:marRight w:val="0"/>
          <w:marTop w:val="0"/>
          <w:marBottom w:val="0"/>
          <w:divBdr>
            <w:top w:val="none" w:sz="0" w:space="0" w:color="auto"/>
            <w:left w:val="none" w:sz="0" w:space="0" w:color="auto"/>
            <w:bottom w:val="none" w:sz="0" w:space="0" w:color="auto"/>
            <w:right w:val="none" w:sz="0" w:space="0" w:color="auto"/>
          </w:divBdr>
        </w:div>
        <w:div w:id="2097437648">
          <w:marLeft w:val="0"/>
          <w:marRight w:val="0"/>
          <w:marTop w:val="0"/>
          <w:marBottom w:val="600"/>
          <w:divBdr>
            <w:top w:val="none" w:sz="0" w:space="0" w:color="auto"/>
            <w:left w:val="none" w:sz="0" w:space="0" w:color="auto"/>
            <w:bottom w:val="none" w:sz="0" w:space="0" w:color="auto"/>
            <w:right w:val="none" w:sz="0" w:space="0" w:color="auto"/>
          </w:divBdr>
        </w:div>
      </w:divsChild>
    </w:div>
    <w:div w:id="1890606919">
      <w:marLeft w:val="0"/>
      <w:marRight w:val="0"/>
      <w:marTop w:val="0"/>
      <w:marBottom w:val="0"/>
      <w:divBdr>
        <w:top w:val="none" w:sz="0" w:space="0" w:color="auto"/>
        <w:left w:val="none" w:sz="0" w:space="0" w:color="auto"/>
        <w:bottom w:val="none" w:sz="0" w:space="0" w:color="auto"/>
        <w:right w:val="none" w:sz="0" w:space="0" w:color="auto"/>
      </w:divBdr>
      <w:divsChild>
        <w:div w:id="1454863778">
          <w:marLeft w:val="0"/>
          <w:marRight w:val="0"/>
          <w:marTop w:val="547"/>
          <w:marBottom w:val="0"/>
          <w:divBdr>
            <w:top w:val="none" w:sz="0" w:space="0" w:color="auto"/>
            <w:left w:val="none" w:sz="0" w:space="0" w:color="auto"/>
            <w:bottom w:val="none" w:sz="0" w:space="0" w:color="auto"/>
            <w:right w:val="none" w:sz="0" w:space="0" w:color="auto"/>
          </w:divBdr>
        </w:div>
        <w:div w:id="1741173492">
          <w:marLeft w:val="0"/>
          <w:marRight w:val="0"/>
          <w:marTop w:val="0"/>
          <w:marBottom w:val="0"/>
          <w:divBdr>
            <w:top w:val="none" w:sz="0" w:space="0" w:color="auto"/>
            <w:left w:val="none" w:sz="0" w:space="0" w:color="auto"/>
            <w:bottom w:val="none" w:sz="0" w:space="0" w:color="auto"/>
            <w:right w:val="none" w:sz="0" w:space="0" w:color="auto"/>
          </w:divBdr>
        </w:div>
        <w:div w:id="1112282950">
          <w:marLeft w:val="0"/>
          <w:marRight w:val="0"/>
          <w:marTop w:val="0"/>
          <w:marBottom w:val="600"/>
          <w:divBdr>
            <w:top w:val="none" w:sz="0" w:space="0" w:color="auto"/>
            <w:left w:val="none" w:sz="0" w:space="0" w:color="auto"/>
            <w:bottom w:val="none" w:sz="0" w:space="0" w:color="auto"/>
            <w:right w:val="none" w:sz="0" w:space="0" w:color="auto"/>
          </w:divBdr>
        </w:div>
      </w:divsChild>
    </w:div>
    <w:div w:id="1943224327">
      <w:marLeft w:val="0"/>
      <w:marRight w:val="0"/>
      <w:marTop w:val="0"/>
      <w:marBottom w:val="0"/>
      <w:divBdr>
        <w:top w:val="none" w:sz="0" w:space="0" w:color="auto"/>
        <w:left w:val="none" w:sz="0" w:space="0" w:color="auto"/>
        <w:bottom w:val="none" w:sz="0" w:space="0" w:color="auto"/>
        <w:right w:val="none" w:sz="0" w:space="0" w:color="auto"/>
      </w:divBdr>
      <w:divsChild>
        <w:div w:id="1243415685">
          <w:marLeft w:val="0"/>
          <w:marRight w:val="0"/>
          <w:marTop w:val="547"/>
          <w:marBottom w:val="0"/>
          <w:divBdr>
            <w:top w:val="none" w:sz="0" w:space="0" w:color="auto"/>
            <w:left w:val="none" w:sz="0" w:space="0" w:color="auto"/>
            <w:bottom w:val="none" w:sz="0" w:space="0" w:color="auto"/>
            <w:right w:val="none" w:sz="0" w:space="0" w:color="auto"/>
          </w:divBdr>
        </w:div>
        <w:div w:id="1772816880">
          <w:marLeft w:val="0"/>
          <w:marRight w:val="0"/>
          <w:marTop w:val="0"/>
          <w:marBottom w:val="0"/>
          <w:divBdr>
            <w:top w:val="none" w:sz="0" w:space="0" w:color="auto"/>
            <w:left w:val="none" w:sz="0" w:space="0" w:color="auto"/>
            <w:bottom w:val="none" w:sz="0" w:space="0" w:color="auto"/>
            <w:right w:val="none" w:sz="0" w:space="0" w:color="auto"/>
          </w:divBdr>
        </w:div>
        <w:div w:id="1387603303">
          <w:marLeft w:val="0"/>
          <w:marRight w:val="0"/>
          <w:marTop w:val="0"/>
          <w:marBottom w:val="600"/>
          <w:divBdr>
            <w:top w:val="none" w:sz="0" w:space="0" w:color="auto"/>
            <w:left w:val="none" w:sz="0" w:space="0" w:color="auto"/>
            <w:bottom w:val="none" w:sz="0" w:space="0" w:color="auto"/>
            <w:right w:val="none" w:sz="0" w:space="0" w:color="auto"/>
          </w:divBdr>
        </w:div>
      </w:divsChild>
    </w:div>
    <w:div w:id="1958559672">
      <w:marLeft w:val="0"/>
      <w:marRight w:val="0"/>
      <w:marTop w:val="0"/>
      <w:marBottom w:val="0"/>
      <w:divBdr>
        <w:top w:val="none" w:sz="0" w:space="0" w:color="auto"/>
        <w:left w:val="none" w:sz="0" w:space="0" w:color="auto"/>
        <w:bottom w:val="none" w:sz="0" w:space="0" w:color="auto"/>
        <w:right w:val="none" w:sz="0" w:space="0" w:color="auto"/>
      </w:divBdr>
      <w:divsChild>
        <w:div w:id="435714184">
          <w:marLeft w:val="0"/>
          <w:marRight w:val="0"/>
          <w:marTop w:val="547"/>
          <w:marBottom w:val="0"/>
          <w:divBdr>
            <w:top w:val="none" w:sz="0" w:space="0" w:color="auto"/>
            <w:left w:val="none" w:sz="0" w:space="0" w:color="auto"/>
            <w:bottom w:val="none" w:sz="0" w:space="0" w:color="auto"/>
            <w:right w:val="none" w:sz="0" w:space="0" w:color="auto"/>
          </w:divBdr>
        </w:div>
        <w:div w:id="885800166">
          <w:marLeft w:val="0"/>
          <w:marRight w:val="0"/>
          <w:marTop w:val="0"/>
          <w:marBottom w:val="0"/>
          <w:divBdr>
            <w:top w:val="none" w:sz="0" w:space="0" w:color="auto"/>
            <w:left w:val="none" w:sz="0" w:space="0" w:color="auto"/>
            <w:bottom w:val="none" w:sz="0" w:space="0" w:color="auto"/>
            <w:right w:val="none" w:sz="0" w:space="0" w:color="auto"/>
          </w:divBdr>
        </w:div>
        <w:div w:id="1751538237">
          <w:marLeft w:val="0"/>
          <w:marRight w:val="0"/>
          <w:marTop w:val="0"/>
          <w:marBottom w:val="600"/>
          <w:divBdr>
            <w:top w:val="none" w:sz="0" w:space="0" w:color="auto"/>
            <w:left w:val="none" w:sz="0" w:space="0" w:color="auto"/>
            <w:bottom w:val="none" w:sz="0" w:space="0" w:color="auto"/>
            <w:right w:val="none" w:sz="0" w:space="0" w:color="auto"/>
          </w:divBdr>
        </w:div>
      </w:divsChild>
    </w:div>
    <w:div w:id="1963338750">
      <w:marLeft w:val="0"/>
      <w:marRight w:val="0"/>
      <w:marTop w:val="0"/>
      <w:marBottom w:val="0"/>
      <w:divBdr>
        <w:top w:val="none" w:sz="0" w:space="0" w:color="auto"/>
        <w:left w:val="none" w:sz="0" w:space="0" w:color="auto"/>
        <w:bottom w:val="none" w:sz="0" w:space="0" w:color="auto"/>
        <w:right w:val="none" w:sz="0" w:space="0" w:color="auto"/>
      </w:divBdr>
      <w:divsChild>
        <w:div w:id="493909439">
          <w:marLeft w:val="0"/>
          <w:marRight w:val="0"/>
          <w:marTop w:val="547"/>
          <w:marBottom w:val="0"/>
          <w:divBdr>
            <w:top w:val="none" w:sz="0" w:space="0" w:color="auto"/>
            <w:left w:val="none" w:sz="0" w:space="0" w:color="auto"/>
            <w:bottom w:val="none" w:sz="0" w:space="0" w:color="auto"/>
            <w:right w:val="none" w:sz="0" w:space="0" w:color="auto"/>
          </w:divBdr>
        </w:div>
        <w:div w:id="442264756">
          <w:marLeft w:val="0"/>
          <w:marRight w:val="0"/>
          <w:marTop w:val="0"/>
          <w:marBottom w:val="0"/>
          <w:divBdr>
            <w:top w:val="none" w:sz="0" w:space="0" w:color="auto"/>
            <w:left w:val="none" w:sz="0" w:space="0" w:color="auto"/>
            <w:bottom w:val="none" w:sz="0" w:space="0" w:color="auto"/>
            <w:right w:val="none" w:sz="0" w:space="0" w:color="auto"/>
          </w:divBdr>
          <w:divsChild>
            <w:div w:id="1703942372">
              <w:marLeft w:val="0"/>
              <w:marRight w:val="0"/>
              <w:marTop w:val="0"/>
              <w:marBottom w:val="0"/>
              <w:divBdr>
                <w:top w:val="none" w:sz="0" w:space="0" w:color="auto"/>
                <w:left w:val="none" w:sz="0" w:space="0" w:color="auto"/>
                <w:bottom w:val="none" w:sz="0" w:space="0" w:color="auto"/>
                <w:right w:val="none" w:sz="0" w:space="0" w:color="auto"/>
              </w:divBdr>
              <w:divsChild>
                <w:div w:id="1459295993">
                  <w:marLeft w:val="0"/>
                  <w:marRight w:val="0"/>
                  <w:marTop w:val="0"/>
                  <w:marBottom w:val="0"/>
                  <w:divBdr>
                    <w:top w:val="none" w:sz="0" w:space="0" w:color="auto"/>
                    <w:left w:val="none" w:sz="0" w:space="0" w:color="auto"/>
                    <w:bottom w:val="none" w:sz="0" w:space="0" w:color="auto"/>
                    <w:right w:val="none" w:sz="0" w:space="0" w:color="auto"/>
                  </w:divBdr>
                </w:div>
              </w:divsChild>
            </w:div>
            <w:div w:id="2081175136">
              <w:marLeft w:val="0"/>
              <w:marRight w:val="0"/>
              <w:marTop w:val="0"/>
              <w:marBottom w:val="0"/>
              <w:divBdr>
                <w:top w:val="none" w:sz="0" w:space="0" w:color="auto"/>
                <w:left w:val="none" w:sz="0" w:space="0" w:color="auto"/>
                <w:bottom w:val="none" w:sz="0" w:space="0" w:color="auto"/>
                <w:right w:val="none" w:sz="0" w:space="0" w:color="auto"/>
              </w:divBdr>
              <w:divsChild>
                <w:div w:id="1597012550">
                  <w:marLeft w:val="0"/>
                  <w:marRight w:val="0"/>
                  <w:marTop w:val="0"/>
                  <w:marBottom w:val="0"/>
                  <w:divBdr>
                    <w:top w:val="none" w:sz="0" w:space="0" w:color="auto"/>
                    <w:left w:val="none" w:sz="0" w:space="0" w:color="auto"/>
                    <w:bottom w:val="none" w:sz="0" w:space="0" w:color="auto"/>
                    <w:right w:val="none" w:sz="0" w:space="0" w:color="auto"/>
                  </w:divBdr>
                </w:div>
              </w:divsChild>
            </w:div>
            <w:div w:id="1141770440">
              <w:marLeft w:val="0"/>
              <w:marRight w:val="0"/>
              <w:marTop w:val="0"/>
              <w:marBottom w:val="0"/>
              <w:divBdr>
                <w:top w:val="none" w:sz="0" w:space="0" w:color="auto"/>
                <w:left w:val="none" w:sz="0" w:space="0" w:color="auto"/>
                <w:bottom w:val="none" w:sz="0" w:space="0" w:color="auto"/>
                <w:right w:val="none" w:sz="0" w:space="0" w:color="auto"/>
              </w:divBdr>
              <w:divsChild>
                <w:div w:id="580530748">
                  <w:marLeft w:val="0"/>
                  <w:marRight w:val="0"/>
                  <w:marTop w:val="0"/>
                  <w:marBottom w:val="0"/>
                  <w:divBdr>
                    <w:top w:val="none" w:sz="0" w:space="0" w:color="auto"/>
                    <w:left w:val="none" w:sz="0" w:space="0" w:color="auto"/>
                    <w:bottom w:val="none" w:sz="0" w:space="0" w:color="auto"/>
                    <w:right w:val="none" w:sz="0" w:space="0" w:color="auto"/>
                  </w:divBdr>
                </w:div>
              </w:divsChild>
            </w:div>
            <w:div w:id="1682318343">
              <w:marLeft w:val="0"/>
              <w:marRight w:val="0"/>
              <w:marTop w:val="0"/>
              <w:marBottom w:val="0"/>
              <w:divBdr>
                <w:top w:val="none" w:sz="0" w:space="0" w:color="auto"/>
                <w:left w:val="none" w:sz="0" w:space="0" w:color="auto"/>
                <w:bottom w:val="none" w:sz="0" w:space="0" w:color="auto"/>
                <w:right w:val="none" w:sz="0" w:space="0" w:color="auto"/>
              </w:divBdr>
              <w:divsChild>
                <w:div w:id="1793285876">
                  <w:marLeft w:val="0"/>
                  <w:marRight w:val="0"/>
                  <w:marTop w:val="0"/>
                  <w:marBottom w:val="0"/>
                  <w:divBdr>
                    <w:top w:val="none" w:sz="0" w:space="0" w:color="auto"/>
                    <w:left w:val="none" w:sz="0" w:space="0" w:color="auto"/>
                    <w:bottom w:val="none" w:sz="0" w:space="0" w:color="auto"/>
                    <w:right w:val="none" w:sz="0" w:space="0" w:color="auto"/>
                  </w:divBdr>
                </w:div>
              </w:divsChild>
            </w:div>
            <w:div w:id="178592134">
              <w:marLeft w:val="0"/>
              <w:marRight w:val="0"/>
              <w:marTop w:val="0"/>
              <w:marBottom w:val="0"/>
              <w:divBdr>
                <w:top w:val="none" w:sz="0" w:space="0" w:color="auto"/>
                <w:left w:val="none" w:sz="0" w:space="0" w:color="auto"/>
                <w:bottom w:val="none" w:sz="0" w:space="0" w:color="auto"/>
                <w:right w:val="none" w:sz="0" w:space="0" w:color="auto"/>
              </w:divBdr>
              <w:divsChild>
                <w:div w:id="712844811">
                  <w:marLeft w:val="0"/>
                  <w:marRight w:val="0"/>
                  <w:marTop w:val="0"/>
                  <w:marBottom w:val="0"/>
                  <w:divBdr>
                    <w:top w:val="none" w:sz="0" w:space="0" w:color="auto"/>
                    <w:left w:val="none" w:sz="0" w:space="0" w:color="auto"/>
                    <w:bottom w:val="none" w:sz="0" w:space="0" w:color="auto"/>
                    <w:right w:val="none" w:sz="0" w:space="0" w:color="auto"/>
                  </w:divBdr>
                </w:div>
              </w:divsChild>
            </w:div>
            <w:div w:id="1786583115">
              <w:marLeft w:val="0"/>
              <w:marRight w:val="0"/>
              <w:marTop w:val="0"/>
              <w:marBottom w:val="0"/>
              <w:divBdr>
                <w:top w:val="none" w:sz="0" w:space="0" w:color="auto"/>
                <w:left w:val="none" w:sz="0" w:space="0" w:color="auto"/>
                <w:bottom w:val="none" w:sz="0" w:space="0" w:color="auto"/>
                <w:right w:val="none" w:sz="0" w:space="0" w:color="auto"/>
              </w:divBdr>
              <w:divsChild>
                <w:div w:id="996037731">
                  <w:marLeft w:val="0"/>
                  <w:marRight w:val="0"/>
                  <w:marTop w:val="0"/>
                  <w:marBottom w:val="0"/>
                  <w:divBdr>
                    <w:top w:val="none" w:sz="0" w:space="0" w:color="auto"/>
                    <w:left w:val="none" w:sz="0" w:space="0" w:color="auto"/>
                    <w:bottom w:val="none" w:sz="0" w:space="0" w:color="auto"/>
                    <w:right w:val="none" w:sz="0" w:space="0" w:color="auto"/>
                  </w:divBdr>
                </w:div>
              </w:divsChild>
            </w:div>
            <w:div w:id="2142993122">
              <w:marLeft w:val="0"/>
              <w:marRight w:val="0"/>
              <w:marTop w:val="0"/>
              <w:marBottom w:val="0"/>
              <w:divBdr>
                <w:top w:val="none" w:sz="0" w:space="0" w:color="auto"/>
                <w:left w:val="none" w:sz="0" w:space="0" w:color="auto"/>
                <w:bottom w:val="none" w:sz="0" w:space="0" w:color="auto"/>
                <w:right w:val="none" w:sz="0" w:space="0" w:color="auto"/>
              </w:divBdr>
              <w:divsChild>
                <w:div w:id="1969385586">
                  <w:marLeft w:val="0"/>
                  <w:marRight w:val="0"/>
                  <w:marTop w:val="0"/>
                  <w:marBottom w:val="0"/>
                  <w:divBdr>
                    <w:top w:val="none" w:sz="0" w:space="0" w:color="auto"/>
                    <w:left w:val="none" w:sz="0" w:space="0" w:color="auto"/>
                    <w:bottom w:val="none" w:sz="0" w:space="0" w:color="auto"/>
                    <w:right w:val="none" w:sz="0" w:space="0" w:color="auto"/>
                  </w:divBdr>
                </w:div>
              </w:divsChild>
            </w:div>
            <w:div w:id="2115395695">
              <w:marLeft w:val="0"/>
              <w:marRight w:val="0"/>
              <w:marTop w:val="0"/>
              <w:marBottom w:val="0"/>
              <w:divBdr>
                <w:top w:val="none" w:sz="0" w:space="0" w:color="auto"/>
                <w:left w:val="none" w:sz="0" w:space="0" w:color="auto"/>
                <w:bottom w:val="none" w:sz="0" w:space="0" w:color="auto"/>
                <w:right w:val="none" w:sz="0" w:space="0" w:color="auto"/>
              </w:divBdr>
              <w:divsChild>
                <w:div w:id="1760635937">
                  <w:marLeft w:val="0"/>
                  <w:marRight w:val="0"/>
                  <w:marTop w:val="0"/>
                  <w:marBottom w:val="0"/>
                  <w:divBdr>
                    <w:top w:val="none" w:sz="0" w:space="0" w:color="auto"/>
                    <w:left w:val="none" w:sz="0" w:space="0" w:color="auto"/>
                    <w:bottom w:val="none" w:sz="0" w:space="0" w:color="auto"/>
                    <w:right w:val="none" w:sz="0" w:space="0" w:color="auto"/>
                  </w:divBdr>
                </w:div>
              </w:divsChild>
            </w:div>
            <w:div w:id="793670459">
              <w:marLeft w:val="0"/>
              <w:marRight w:val="0"/>
              <w:marTop w:val="0"/>
              <w:marBottom w:val="0"/>
              <w:divBdr>
                <w:top w:val="none" w:sz="0" w:space="0" w:color="auto"/>
                <w:left w:val="none" w:sz="0" w:space="0" w:color="auto"/>
                <w:bottom w:val="none" w:sz="0" w:space="0" w:color="auto"/>
                <w:right w:val="none" w:sz="0" w:space="0" w:color="auto"/>
              </w:divBdr>
              <w:divsChild>
                <w:div w:id="889613467">
                  <w:marLeft w:val="0"/>
                  <w:marRight w:val="0"/>
                  <w:marTop w:val="0"/>
                  <w:marBottom w:val="0"/>
                  <w:divBdr>
                    <w:top w:val="none" w:sz="0" w:space="0" w:color="auto"/>
                    <w:left w:val="none" w:sz="0" w:space="0" w:color="auto"/>
                    <w:bottom w:val="none" w:sz="0" w:space="0" w:color="auto"/>
                    <w:right w:val="none" w:sz="0" w:space="0" w:color="auto"/>
                  </w:divBdr>
                </w:div>
              </w:divsChild>
            </w:div>
            <w:div w:id="72051940">
              <w:marLeft w:val="0"/>
              <w:marRight w:val="0"/>
              <w:marTop w:val="0"/>
              <w:marBottom w:val="0"/>
              <w:divBdr>
                <w:top w:val="none" w:sz="0" w:space="0" w:color="auto"/>
                <w:left w:val="none" w:sz="0" w:space="0" w:color="auto"/>
                <w:bottom w:val="none" w:sz="0" w:space="0" w:color="auto"/>
                <w:right w:val="none" w:sz="0" w:space="0" w:color="auto"/>
              </w:divBdr>
              <w:divsChild>
                <w:div w:id="1090079919">
                  <w:marLeft w:val="0"/>
                  <w:marRight w:val="0"/>
                  <w:marTop w:val="0"/>
                  <w:marBottom w:val="0"/>
                  <w:divBdr>
                    <w:top w:val="none" w:sz="0" w:space="0" w:color="auto"/>
                    <w:left w:val="none" w:sz="0" w:space="0" w:color="auto"/>
                    <w:bottom w:val="none" w:sz="0" w:space="0" w:color="auto"/>
                    <w:right w:val="none" w:sz="0" w:space="0" w:color="auto"/>
                  </w:divBdr>
                </w:div>
              </w:divsChild>
            </w:div>
            <w:div w:id="1715813346">
              <w:marLeft w:val="0"/>
              <w:marRight w:val="0"/>
              <w:marTop w:val="0"/>
              <w:marBottom w:val="0"/>
              <w:divBdr>
                <w:top w:val="none" w:sz="0" w:space="0" w:color="auto"/>
                <w:left w:val="none" w:sz="0" w:space="0" w:color="auto"/>
                <w:bottom w:val="none" w:sz="0" w:space="0" w:color="auto"/>
                <w:right w:val="none" w:sz="0" w:space="0" w:color="auto"/>
              </w:divBdr>
              <w:divsChild>
                <w:div w:id="279268123">
                  <w:marLeft w:val="0"/>
                  <w:marRight w:val="0"/>
                  <w:marTop w:val="0"/>
                  <w:marBottom w:val="0"/>
                  <w:divBdr>
                    <w:top w:val="none" w:sz="0" w:space="0" w:color="auto"/>
                    <w:left w:val="none" w:sz="0" w:space="0" w:color="auto"/>
                    <w:bottom w:val="none" w:sz="0" w:space="0" w:color="auto"/>
                    <w:right w:val="none" w:sz="0" w:space="0" w:color="auto"/>
                  </w:divBdr>
                </w:div>
              </w:divsChild>
            </w:div>
            <w:div w:id="122576269">
              <w:marLeft w:val="0"/>
              <w:marRight w:val="0"/>
              <w:marTop w:val="0"/>
              <w:marBottom w:val="0"/>
              <w:divBdr>
                <w:top w:val="none" w:sz="0" w:space="0" w:color="auto"/>
                <w:left w:val="none" w:sz="0" w:space="0" w:color="auto"/>
                <w:bottom w:val="none" w:sz="0" w:space="0" w:color="auto"/>
                <w:right w:val="none" w:sz="0" w:space="0" w:color="auto"/>
              </w:divBdr>
              <w:divsChild>
                <w:div w:id="1631132220">
                  <w:marLeft w:val="0"/>
                  <w:marRight w:val="0"/>
                  <w:marTop w:val="0"/>
                  <w:marBottom w:val="0"/>
                  <w:divBdr>
                    <w:top w:val="none" w:sz="0" w:space="0" w:color="auto"/>
                    <w:left w:val="none" w:sz="0" w:space="0" w:color="auto"/>
                    <w:bottom w:val="none" w:sz="0" w:space="0" w:color="auto"/>
                    <w:right w:val="none" w:sz="0" w:space="0" w:color="auto"/>
                  </w:divBdr>
                </w:div>
              </w:divsChild>
            </w:div>
            <w:div w:id="1935280464">
              <w:marLeft w:val="0"/>
              <w:marRight w:val="0"/>
              <w:marTop w:val="0"/>
              <w:marBottom w:val="0"/>
              <w:divBdr>
                <w:top w:val="none" w:sz="0" w:space="0" w:color="auto"/>
                <w:left w:val="none" w:sz="0" w:space="0" w:color="auto"/>
                <w:bottom w:val="none" w:sz="0" w:space="0" w:color="auto"/>
                <w:right w:val="none" w:sz="0" w:space="0" w:color="auto"/>
              </w:divBdr>
              <w:divsChild>
                <w:div w:id="341586043">
                  <w:marLeft w:val="0"/>
                  <w:marRight w:val="0"/>
                  <w:marTop w:val="0"/>
                  <w:marBottom w:val="0"/>
                  <w:divBdr>
                    <w:top w:val="none" w:sz="0" w:space="0" w:color="auto"/>
                    <w:left w:val="none" w:sz="0" w:space="0" w:color="auto"/>
                    <w:bottom w:val="none" w:sz="0" w:space="0" w:color="auto"/>
                    <w:right w:val="none" w:sz="0" w:space="0" w:color="auto"/>
                  </w:divBdr>
                </w:div>
              </w:divsChild>
            </w:div>
            <w:div w:id="774253027">
              <w:marLeft w:val="0"/>
              <w:marRight w:val="0"/>
              <w:marTop w:val="0"/>
              <w:marBottom w:val="0"/>
              <w:divBdr>
                <w:top w:val="none" w:sz="0" w:space="0" w:color="auto"/>
                <w:left w:val="none" w:sz="0" w:space="0" w:color="auto"/>
                <w:bottom w:val="none" w:sz="0" w:space="0" w:color="auto"/>
                <w:right w:val="none" w:sz="0" w:space="0" w:color="auto"/>
              </w:divBdr>
              <w:divsChild>
                <w:div w:id="982393976">
                  <w:marLeft w:val="0"/>
                  <w:marRight w:val="0"/>
                  <w:marTop w:val="0"/>
                  <w:marBottom w:val="0"/>
                  <w:divBdr>
                    <w:top w:val="none" w:sz="0" w:space="0" w:color="auto"/>
                    <w:left w:val="none" w:sz="0" w:space="0" w:color="auto"/>
                    <w:bottom w:val="none" w:sz="0" w:space="0" w:color="auto"/>
                    <w:right w:val="none" w:sz="0" w:space="0" w:color="auto"/>
                  </w:divBdr>
                </w:div>
              </w:divsChild>
            </w:div>
            <w:div w:id="1911455622">
              <w:marLeft w:val="0"/>
              <w:marRight w:val="0"/>
              <w:marTop w:val="0"/>
              <w:marBottom w:val="0"/>
              <w:divBdr>
                <w:top w:val="none" w:sz="0" w:space="0" w:color="auto"/>
                <w:left w:val="none" w:sz="0" w:space="0" w:color="auto"/>
                <w:bottom w:val="none" w:sz="0" w:space="0" w:color="auto"/>
                <w:right w:val="none" w:sz="0" w:space="0" w:color="auto"/>
              </w:divBdr>
              <w:divsChild>
                <w:div w:id="1652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2692">
          <w:marLeft w:val="0"/>
          <w:marRight w:val="0"/>
          <w:marTop w:val="0"/>
          <w:marBottom w:val="600"/>
          <w:divBdr>
            <w:top w:val="none" w:sz="0" w:space="0" w:color="auto"/>
            <w:left w:val="none" w:sz="0" w:space="0" w:color="auto"/>
            <w:bottom w:val="none" w:sz="0" w:space="0" w:color="auto"/>
            <w:right w:val="none" w:sz="0" w:space="0" w:color="auto"/>
          </w:divBdr>
        </w:div>
      </w:divsChild>
    </w:div>
    <w:div w:id="2096508893">
      <w:marLeft w:val="0"/>
      <w:marRight w:val="0"/>
      <w:marTop w:val="0"/>
      <w:marBottom w:val="0"/>
      <w:divBdr>
        <w:top w:val="none" w:sz="0" w:space="0" w:color="auto"/>
        <w:left w:val="none" w:sz="0" w:space="0" w:color="auto"/>
        <w:bottom w:val="none" w:sz="0" w:space="0" w:color="auto"/>
        <w:right w:val="none" w:sz="0" w:space="0" w:color="auto"/>
      </w:divBdr>
      <w:divsChild>
        <w:div w:id="1716810459">
          <w:marLeft w:val="0"/>
          <w:marRight w:val="0"/>
          <w:marTop w:val="547"/>
          <w:marBottom w:val="0"/>
          <w:divBdr>
            <w:top w:val="none" w:sz="0" w:space="0" w:color="auto"/>
            <w:left w:val="none" w:sz="0" w:space="0" w:color="auto"/>
            <w:bottom w:val="none" w:sz="0" w:space="0" w:color="auto"/>
            <w:right w:val="none" w:sz="0" w:space="0" w:color="auto"/>
          </w:divBdr>
        </w:div>
        <w:div w:id="1756702823">
          <w:marLeft w:val="0"/>
          <w:marRight w:val="0"/>
          <w:marTop w:val="0"/>
          <w:marBottom w:val="0"/>
          <w:divBdr>
            <w:top w:val="none" w:sz="0" w:space="0" w:color="auto"/>
            <w:left w:val="none" w:sz="0" w:space="0" w:color="auto"/>
            <w:bottom w:val="none" w:sz="0" w:space="0" w:color="auto"/>
            <w:right w:val="none" w:sz="0" w:space="0" w:color="auto"/>
          </w:divBdr>
        </w:div>
        <w:div w:id="2142308246">
          <w:marLeft w:val="0"/>
          <w:marRight w:val="0"/>
          <w:marTop w:val="0"/>
          <w:marBottom w:val="600"/>
          <w:divBdr>
            <w:top w:val="none" w:sz="0" w:space="0" w:color="auto"/>
            <w:left w:val="none" w:sz="0" w:space="0" w:color="auto"/>
            <w:bottom w:val="none" w:sz="0" w:space="0" w:color="auto"/>
            <w:right w:val="none" w:sz="0" w:space="0" w:color="auto"/>
          </w:divBdr>
        </w:div>
      </w:divsChild>
    </w:div>
    <w:div w:id="2102988184">
      <w:marLeft w:val="0"/>
      <w:marRight w:val="0"/>
      <w:marTop w:val="0"/>
      <w:marBottom w:val="0"/>
      <w:divBdr>
        <w:top w:val="none" w:sz="0" w:space="0" w:color="auto"/>
        <w:left w:val="none" w:sz="0" w:space="0" w:color="auto"/>
        <w:bottom w:val="none" w:sz="0" w:space="0" w:color="auto"/>
        <w:right w:val="none" w:sz="0" w:space="0" w:color="auto"/>
      </w:divBdr>
      <w:divsChild>
        <w:div w:id="279453717">
          <w:marLeft w:val="0"/>
          <w:marRight w:val="0"/>
          <w:marTop w:val="547"/>
          <w:marBottom w:val="0"/>
          <w:divBdr>
            <w:top w:val="none" w:sz="0" w:space="0" w:color="auto"/>
            <w:left w:val="none" w:sz="0" w:space="0" w:color="auto"/>
            <w:bottom w:val="none" w:sz="0" w:space="0" w:color="auto"/>
            <w:right w:val="none" w:sz="0" w:space="0" w:color="auto"/>
          </w:divBdr>
        </w:div>
        <w:div w:id="376517233">
          <w:marLeft w:val="0"/>
          <w:marRight w:val="0"/>
          <w:marTop w:val="0"/>
          <w:marBottom w:val="0"/>
          <w:divBdr>
            <w:top w:val="none" w:sz="0" w:space="0" w:color="auto"/>
            <w:left w:val="none" w:sz="0" w:space="0" w:color="auto"/>
            <w:bottom w:val="none" w:sz="0" w:space="0" w:color="auto"/>
            <w:right w:val="none" w:sz="0" w:space="0" w:color="auto"/>
          </w:divBdr>
        </w:div>
        <w:div w:id="576745173">
          <w:marLeft w:val="0"/>
          <w:marRight w:val="0"/>
          <w:marTop w:val="0"/>
          <w:marBottom w:val="600"/>
          <w:divBdr>
            <w:top w:val="none" w:sz="0" w:space="0" w:color="auto"/>
            <w:left w:val="none" w:sz="0" w:space="0" w:color="auto"/>
            <w:bottom w:val="none" w:sz="0" w:space="0" w:color="auto"/>
            <w:right w:val="none" w:sz="0" w:space="0" w:color="auto"/>
          </w:divBdr>
        </w:div>
      </w:divsChild>
    </w:div>
    <w:div w:id="2113741598">
      <w:marLeft w:val="0"/>
      <w:marRight w:val="0"/>
      <w:marTop w:val="0"/>
      <w:marBottom w:val="0"/>
      <w:divBdr>
        <w:top w:val="none" w:sz="0" w:space="0" w:color="auto"/>
        <w:left w:val="none" w:sz="0" w:space="0" w:color="auto"/>
        <w:bottom w:val="none" w:sz="0" w:space="0" w:color="auto"/>
        <w:right w:val="none" w:sz="0" w:space="0" w:color="auto"/>
      </w:divBdr>
      <w:divsChild>
        <w:div w:id="1924295746">
          <w:marLeft w:val="0"/>
          <w:marRight w:val="0"/>
          <w:marTop w:val="547"/>
          <w:marBottom w:val="0"/>
          <w:divBdr>
            <w:top w:val="none" w:sz="0" w:space="0" w:color="auto"/>
            <w:left w:val="none" w:sz="0" w:space="0" w:color="auto"/>
            <w:bottom w:val="none" w:sz="0" w:space="0" w:color="auto"/>
            <w:right w:val="none" w:sz="0" w:space="0" w:color="auto"/>
          </w:divBdr>
        </w:div>
        <w:div w:id="625770472">
          <w:marLeft w:val="0"/>
          <w:marRight w:val="0"/>
          <w:marTop w:val="0"/>
          <w:marBottom w:val="0"/>
          <w:divBdr>
            <w:top w:val="none" w:sz="0" w:space="0" w:color="auto"/>
            <w:left w:val="none" w:sz="0" w:space="0" w:color="auto"/>
            <w:bottom w:val="none" w:sz="0" w:space="0" w:color="auto"/>
            <w:right w:val="none" w:sz="0" w:space="0" w:color="auto"/>
          </w:divBdr>
          <w:divsChild>
            <w:div w:id="423494952">
              <w:marLeft w:val="0"/>
              <w:marRight w:val="0"/>
              <w:marTop w:val="0"/>
              <w:marBottom w:val="0"/>
              <w:divBdr>
                <w:top w:val="none" w:sz="0" w:space="0" w:color="auto"/>
                <w:left w:val="none" w:sz="0" w:space="0" w:color="auto"/>
                <w:bottom w:val="none" w:sz="0" w:space="0" w:color="auto"/>
                <w:right w:val="none" w:sz="0" w:space="0" w:color="auto"/>
              </w:divBdr>
              <w:divsChild>
                <w:div w:id="1515722841">
                  <w:marLeft w:val="0"/>
                  <w:marRight w:val="0"/>
                  <w:marTop w:val="0"/>
                  <w:marBottom w:val="0"/>
                  <w:divBdr>
                    <w:top w:val="none" w:sz="0" w:space="0" w:color="auto"/>
                    <w:left w:val="none" w:sz="0" w:space="0" w:color="auto"/>
                    <w:bottom w:val="none" w:sz="0" w:space="0" w:color="auto"/>
                    <w:right w:val="none" w:sz="0" w:space="0" w:color="auto"/>
                  </w:divBdr>
                </w:div>
              </w:divsChild>
            </w:div>
            <w:div w:id="1146125489">
              <w:marLeft w:val="0"/>
              <w:marRight w:val="0"/>
              <w:marTop w:val="0"/>
              <w:marBottom w:val="0"/>
              <w:divBdr>
                <w:top w:val="none" w:sz="0" w:space="0" w:color="auto"/>
                <w:left w:val="none" w:sz="0" w:space="0" w:color="auto"/>
                <w:bottom w:val="none" w:sz="0" w:space="0" w:color="auto"/>
                <w:right w:val="none" w:sz="0" w:space="0" w:color="auto"/>
              </w:divBdr>
              <w:divsChild>
                <w:div w:id="15142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78649">
          <w:marLeft w:val="0"/>
          <w:marRight w:val="0"/>
          <w:marTop w:val="0"/>
          <w:marBottom w:val="60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bph-20190630xex32.htm" TargetMode="External"/><Relationship Id="rId3" Type="http://schemas.openxmlformats.org/officeDocument/2006/relationships/webSettings" Target="webSettings.xml"/><Relationship Id="rId7" Type="http://schemas.openxmlformats.org/officeDocument/2006/relationships/hyperlink" Target="tbph-20190630ex3129eb423.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tbph-20190630ex311fce379.htm" TargetMode="External"/><Relationship Id="rId5" Type="http://schemas.openxmlformats.org/officeDocument/2006/relationships/hyperlink" Target="tbph-20190630ex102a8169b.htm" TargetMode="External"/><Relationship Id="rId10" Type="http://schemas.openxmlformats.org/officeDocument/2006/relationships/theme" Target="theme/theme1.xml"/><Relationship Id="rId4" Type="http://schemas.openxmlformats.org/officeDocument/2006/relationships/hyperlink" Target="tbph-20190630ex1017d2103.htm"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46229</Words>
  <Characters>263507</Characters>
  <Application>Microsoft Office Word</Application>
  <DocSecurity>0</DocSecurity>
  <Lines>2195</Lines>
  <Paragraphs>618</Paragraphs>
  <ScaleCrop>false</ScaleCrop>
  <Company/>
  <LinksUpToDate>false</LinksUpToDate>
  <CharactersWithSpaces>309118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dc:title>
  <dc:subject/>
  <dc:creator>Chongjian.Yue</dc:creator>
  <cp:keywords/>
  <dc:description/>
  <cp:lastModifiedBy>Yue Chongjian</cp:lastModifiedBy>
  <cp:revision>1</cp:revision>
  <dcterms:created xsi:type="dcterms:W3CDTF">2024-01-04T16:15:00Z</dcterms:created>
  <dcterms:modified xsi:type="dcterms:W3CDTF">2024-01-04T16:15:00Z</dcterms:modified>
</cp:coreProperties>
</file>