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9E81C" w14:textId="77777777" w:rsidR="00000000" w:rsidRDefault="00097612">
      <w:pPr>
        <w:divId w:val="1786197019"/>
        <w:rPr>
          <w:rFonts w:eastAsia="Times New Roman"/>
          <w:vanish/>
        </w:rPr>
      </w:pPr>
      <w:r>
        <w:rPr>
          <w:rFonts w:eastAsia="Times New Roman"/>
          <w:vanish/>
        </w:rPr>
        <w:t>56762000us-gaap:OperatingLeaseRightOfUseAssetus-gaap:OtherAccruedLiabilitiesCurrentus-gaap:OperatingLeaseLiabilityNoncurrent000000055681000false0001583107--12-312019Q30001583107tbph:MylanMember2015-01-302015-01-300001583107</w:t>
      </w:r>
      <w:r>
        <w:rPr>
          <w:rFonts w:eastAsia="Times New Roman"/>
          <w:vanish/>
        </w:rPr>
        <w:t>us-gaap:RetainedEarningsMember2019-09-300001583107us-gaap:AdditionalPaidInCapitalMember2019-09-300001583107us-gaap:AccumulatedOtherComprehensiveIncomeMember2019-09-300001583107us-gaap:RetainedEarningsMember2019-06-300001583107us-gaap:AdditionalPaidInCapita</w:t>
      </w:r>
      <w:r>
        <w:rPr>
          <w:rFonts w:eastAsia="Times New Roman"/>
          <w:vanish/>
        </w:rPr>
        <w:t>lMember2019-06-300001583107us-gaap:AccumulatedOtherComprehensiveIncomeMember2019-06-3000015831072019-06-300001583107us-gaap:RetainedEarningsMember2018-12-310001583107us-gaap:AdditionalPaidInCapitalMember2018-12-310001583107us-gaap:AccumulatedOtherComprehen</w:t>
      </w:r>
      <w:r>
        <w:rPr>
          <w:rFonts w:eastAsia="Times New Roman"/>
          <w:vanish/>
        </w:rPr>
        <w:t>siveIncomeMember2018-12-310001583107us-gaap:RetainedEarningsMember2018-09-300001583107us-gaap:AdditionalPaidInCapitalMember2018-09-300001583107us-gaap:AccumulatedOtherComprehensiveIncomeMember2018-09-300001583107us-gaap:RetainedEarningsMember2018-06-300001</w:t>
      </w:r>
      <w:r>
        <w:rPr>
          <w:rFonts w:eastAsia="Times New Roman"/>
          <w:vanish/>
        </w:rPr>
        <w:t>583107us-gaap:AdditionalPaidInCapitalMember2018-06-300001583107us-gaap:AccumulatedOtherComprehensiveIncomeMember2018-06-3000015831072018-06-300001583107us-gaap:RetainedEarningsMember2017-12-310001583107us-gaap:AdditionalPaidInCapitalMember2017-12-310001583</w:t>
      </w:r>
      <w:r>
        <w:rPr>
          <w:rFonts w:eastAsia="Times New Roman"/>
          <w:vanish/>
        </w:rPr>
        <w:t>107us-gaap:AccumulatedOtherComprehensiveIncomeMember2017-12-310001583107tbph:MylanMembertbph:OrdinarySharePurchaseAgreementMember2015-01-300001583107tbph:EmployeePerformanceRestrictedStockUnitsRSUMembertbph:ShareBasedCompensationAwardPerformanceMilestoneFi</w:t>
      </w:r>
      <w:r>
        <w:rPr>
          <w:rFonts w:eastAsia="Times New Roman"/>
          <w:vanish/>
        </w:rPr>
        <w:t>rstAndSecondMember2019-09-300001583107tbph:EmployeePerformanceRestrictedStockUnitsRSUMembertbph:SharebasedcompensationawardperformancemilestonefirstandsecondandthirdMember2019-09-300001583107tbph:EmployeePerformanceRestrictedStockUnitsRSUMember2019-03-3100</w:t>
      </w:r>
      <w:r>
        <w:rPr>
          <w:rFonts w:eastAsia="Times New Roman"/>
          <w:vanish/>
        </w:rPr>
        <w:t>01583107us-gaap:ScenarioPlanMemberus-gaap:ShareBasedPaymentArrangementEmployeeMember2018-12-310001583107tbph:EmployeePerformanceRestrictedStockUnitsRSUMember2016-03-310001583107tbph:EmployeePerformanceRestrictedStockMember2016-03-310001583107tbph:EmployeeP</w:t>
      </w:r>
      <w:r>
        <w:rPr>
          <w:rFonts w:eastAsia="Times New Roman"/>
          <w:vanish/>
        </w:rPr>
        <w:t>erformanceRestrictedStockUnitsRSUMember2019-09-300001583107tbph:EmployeePerformanceRestrictedStockMember2019-09-300001583107tbph:EmployeePerformanceRestrictedStockUnitsRSUMember2018-09-300001583107tbph:EmployeePerformanceRestrictedStockMember2018-09-300001</w:t>
      </w:r>
      <w:r>
        <w:rPr>
          <w:rFonts w:eastAsia="Times New Roman"/>
          <w:vanish/>
        </w:rPr>
        <w:t>583107tbph:EmployeePerformanceRestrictedStockMember2016-01-012016-03-310001583107tbph:TheravanceRespiratoryCompanyLlcMember2019-07-012019-09-300001583107tbph:TheravanceRespiratoryCompanyLlcMember2018-07-012018-09-300001583107tbph:TheravanceRespiratoryCompa</w:t>
      </w:r>
      <w:r>
        <w:rPr>
          <w:rFonts w:eastAsia="Times New Roman"/>
          <w:vanish/>
        </w:rPr>
        <w:t>nyLlcMember2018-01-012018-09-300001583107tbph:MylanMember2015-12-310001583107tbph:OthersMember2019-07-012019-09-300001583107tbph:CoPromoteAgreementMember2019-07-012019-09-300001583107tbph:CollaborativeArrangementRevenueMember2019-07-012019-09-300001583107t</w:t>
      </w:r>
      <w:r>
        <w:rPr>
          <w:rFonts w:eastAsia="Times New Roman"/>
          <w:vanish/>
        </w:rPr>
        <w:t>bph:AlfasigmaMember2019-07-012019-09-300001583107us-gaap:LicenseMember2019-01-012019-09-300001583107tbph:OthersMember2019-01-012019-09-300001583107tbph:CoPromoteAgreementMember2019-01-012019-09-300001583107tbph:CollaborativeArrangementRevenueMember2019-01-</w:t>
      </w:r>
      <w:r>
        <w:rPr>
          <w:rFonts w:eastAsia="Times New Roman"/>
          <w:vanish/>
        </w:rPr>
        <w:t>012019-09-300001583107tbph:AlfasigmaMember2019-01-012019-09-300001583107us-gaap:ProductMember2018-07-012018-09-300001583107tbph:OthersMember2018-07-012018-09-300001583107tbph:CollaborativeArrangementRevenueMember2018-07-012018-09-300001583107tbph:Alfasigma</w:t>
      </w:r>
      <w:r>
        <w:rPr>
          <w:rFonts w:eastAsia="Times New Roman"/>
          <w:vanish/>
        </w:rPr>
        <w:t>Member2018-07-012018-09-300001583107us-gaap:ProductMember2018-01-012018-09-300001583107tbph:OthersMember2018-01-012018-09-300001583107tbph:CollaborativeArrangementRevenueMember2018-01-012018-09-300001583107tbph:AlfasigmaMember2018-01-012018-09-300001583107</w:t>
      </w:r>
      <w:r>
        <w:rPr>
          <w:rFonts w:eastAsia="Times New Roman"/>
          <w:vanish/>
        </w:rPr>
        <w:t>tbph:MylanMembertbph:Milestone50PercentEnrollmentInPhase3Member2016-01-012016-12-3100015831072019-01-012019-01-310001583107us-gaap:SeniorNotesMember2019-01-012019-09-300001583107tbph:NonRecourseDebt2033Member2018-11-012018-11-300001583107country:IE2019-01-</w:t>
      </w:r>
      <w:r>
        <w:rPr>
          <w:rFonts w:eastAsia="Times New Roman"/>
          <w:vanish/>
        </w:rPr>
        <w:t>012019-09-300001583107tbph:TheravanceRespiratoryCompanyLlcMember2018-12-310001583107srt:MaximumMemberus-gaap:ScenarioPlanMemberus-gaap:RestrictedStockUnitsRSUMemberus-gaap:ShareBasedPaymentArrangementEmployeeMember2018-12-310001583107tbph:TheravanceRespira</w:t>
      </w:r>
      <w:r>
        <w:rPr>
          <w:rFonts w:eastAsia="Times New Roman"/>
          <w:vanish/>
        </w:rPr>
        <w:t>toryCompanyLlcMember2019-09-300001583107tbph:ArbitrationAgainstInnovivaAndTrcMember2019-06-300001583107srt:RestatementAdjustmentMemberus-gaap:AccountingStandardsUpdate201602Member2019-01-010001583107tbph:TheravanceBiopharmaRAndDIncMembertbph:NonRecourseDeb</w:t>
      </w:r>
      <w:r>
        <w:rPr>
          <w:rFonts w:eastAsia="Times New Roman"/>
          <w:vanish/>
        </w:rPr>
        <w:t>t2033Member2018-11-300001583107tbph:NonRecourseDebt2033Member2018-11-300001583107us-gaap:FairValueInputsLevel2Membertbph:NonRecourseDebt2033Member2019-09-300001583107us-gaap:SeniorNotesMember2019-09-300001583107tbph:NonRecourseDebt2033Member2019-09-3000015</w:t>
      </w:r>
      <w:r>
        <w:rPr>
          <w:rFonts w:eastAsia="Times New Roman"/>
          <w:vanish/>
        </w:rPr>
        <w:t>83107tbph:MylanMember2019-09-300001583107tbph:JanssenBiotechIncMember2019-09-300001583107us-gaap:CommonStockMember2019-09-300001583107us-gaap:CommonStockMember2019-06-300001583107us-gaap:CommonStockMember2018-12-310001583107us-gaap:CommonStockMember2018-09</w:t>
      </w:r>
      <w:r>
        <w:rPr>
          <w:rFonts w:eastAsia="Times New Roman"/>
          <w:vanish/>
        </w:rPr>
        <w:t>-300001583107us-gaap:CommonStockMember2018-06-300001583107us-gaap:CommonStockMember2017-12-3100015831072017-12-3100015831072018-09-300001583107tbph:MylanMembertbph:YupelriMonotherapyMembertbph:SalesMilestonesMember2019-09-300001583107tbph:MylanMembertbph:F</w:t>
      </w:r>
      <w:r>
        <w:rPr>
          <w:rFonts w:eastAsia="Times New Roman"/>
          <w:vanish/>
        </w:rPr>
        <w:t>uturePotentialCombinationProductsMembertbph:DevelopmentAndSalesMilestonesMember2019-09-300001583107tbph:MylanMembertbph:YupelriMonotherapyMember2019-09-300001583107tbph:MylanMembertbph:FuturePotentialCombinationProductsMember2019-09-300001583107tbph:MylanM</w:t>
      </w:r>
      <w:r>
        <w:rPr>
          <w:rFonts w:eastAsia="Times New Roman"/>
          <w:vanish/>
        </w:rPr>
        <w:t>embertbph:YupelriMonotherapyMembertbph:SalesMilestonesMember2015-01-310001583107tbph:MylanMembertbph:YupelriMonotherapyMembertbph:EuropeanUnionRegulatoryIssuesMember2015-01-310001583107tbph:MylanMembertbph:YupelriMonotherapyMember2015-01-310001583107tbph:M</w:t>
      </w:r>
      <w:r>
        <w:rPr>
          <w:rFonts w:eastAsia="Times New Roman"/>
          <w:vanish/>
        </w:rPr>
        <w:t>ylanMembertbph:FuturePotentialCombinationProductsMember2015-01-310001583107tbph:MylanMember2015-01-310001583107us-gaap:FairValueInputsLevel2Memberus-gaap:CorporateNoteSecuritiesMember2019-09-300001583107us-gaap:FairValueInputsLevel2Memberus-gaap:Commercial</w:t>
      </w:r>
      <w:r>
        <w:rPr>
          <w:rFonts w:eastAsia="Times New Roman"/>
          <w:vanish/>
        </w:rPr>
        <w:t>PaperMember2019-09-300001583107us-gaap:FairValueInputsLevel1Memberus-gaap:USTreasuryAndGovernmentMember2019-09-300001583107us-gaap:FairValueInputsLevel1Memberus-gaap:MoneyMarketFundsMember2019-09-300001583107tbph:MarketableSecuritiesMember2019-09-300001583</w:t>
      </w:r>
      <w:r>
        <w:rPr>
          <w:rFonts w:eastAsia="Times New Roman"/>
          <w:vanish/>
        </w:rPr>
        <w:t>107us-gaap:FairValueInputsLevel2Memberus-gaap:USGovernmentAgenciesDebtSecuritiesMember2018-12-310001583107us-gaap:FairValueInputsLevel2Memberus-gaap:CorporateNoteSecuritiesMember2018-12-310001583107us-gaap:FairValueInputsLevel2Memberus-gaap:CommercialPaper</w:t>
      </w:r>
      <w:r>
        <w:rPr>
          <w:rFonts w:eastAsia="Times New Roman"/>
          <w:vanish/>
        </w:rPr>
        <w:t>Member2018-12-310001583107us-gaap:FairValueInputsLevel1Memberus-gaap:USTreasuryAndGovernmentMember2018-12-310001583107us-gaap:FairValueInputsLevel1Memberus-gaap:MoneyMarketFundsMember2018-12-310001583107tbph:MarketableSecuritiesMember2018-12-310001583107us</w:t>
      </w:r>
      <w:r>
        <w:rPr>
          <w:rFonts w:eastAsia="Times New Roman"/>
          <w:vanish/>
        </w:rPr>
        <w:t>-gaap:StockCompensationPlanMember2019-07-012019-09-300001583107us-gaap:ConvertibleSubordinatedDebtMember2019-07-012019-09-300001583107us-gaap:StockCompensationPlanMember2019-01-012019-09-300001583107us-gaap:PerformanceSharesMember2019-01-012019-09-30000158</w:t>
      </w:r>
      <w:r>
        <w:rPr>
          <w:rFonts w:eastAsia="Times New Roman"/>
          <w:vanish/>
        </w:rPr>
        <w:t>3107us-gaap:ConvertibleSubordinatedDebtMember2019-01-012019-09-300001583107us-gaap:StockCompensationPlanMember2018-04-012018-06-300001583107us-gaap:RestrictedStockMember2018-04-012018-06-300001583107us-gaap:ConvertibleSubordinatedDebtMember2018-04-012018-0</w:t>
      </w:r>
      <w:r>
        <w:rPr>
          <w:rFonts w:eastAsia="Times New Roman"/>
          <w:vanish/>
        </w:rPr>
        <w:t>6-3000015831072018-04-012018-06-300001583107us-gaap:StockCompensationPlanMember2018-01-012018-09-300001583107us-gaap:RestrictedStockMember2018-01-012018-09-300001583107us-gaap:PerformanceSharesMember2018-01-012018-09-300001583107us-gaap:ConvertibleSubordin</w:t>
      </w:r>
      <w:r>
        <w:rPr>
          <w:rFonts w:eastAsia="Times New Roman"/>
          <w:vanish/>
        </w:rPr>
        <w:t>atedDebtMember2018-01-012018-09-300001583107us-gaap:ScenarioPlanMembertbph:EmployeePerformanceRestrictedStockUnitsRSUMembertbph:SharebasedcompensationawardperformancemilestonefirstandsecondandthirdMember2019-07-012019-09-300001583107us-gaap:ScenarioPlanMem</w:t>
      </w:r>
      <w:r>
        <w:rPr>
          <w:rFonts w:eastAsia="Times New Roman"/>
          <w:vanish/>
        </w:rPr>
        <w:t>bertbph:EmployeePerformanceRestrictedStockUnitsRSUMember2019-07-012019-09-300001583107us-gaap:ShareBasedCompensationAwardTrancheTwoMember2019-07-012019-09-300001583107us-gaap:ShareBasedCompensationAwardTrancheOneMember2019-07-012019-09-300001583107us-gaap:</w:t>
      </w:r>
      <w:r>
        <w:rPr>
          <w:rFonts w:eastAsia="Times New Roman"/>
          <w:vanish/>
        </w:rPr>
        <w:t>SellingGeneralAndAdministrativeExpensesMember2019-07-012019-09-300001583107us-gaap:ResearchAndDevelopmentExpenseMember2019-07-012019-09-300001583107us-gaap:ScenarioPlanMemberus-gaap:SellingGeneralAndAdministrativeExpensesMemberus-gaap:ShareBasedCompensatio</w:t>
      </w:r>
      <w:r>
        <w:rPr>
          <w:rFonts w:eastAsia="Times New Roman"/>
          <w:vanish/>
        </w:rPr>
        <w:t>nAwardTrancheTwoMember2019-01-012019-09-300001583107us-gaap:ScenarioPlanMemberus-gaap:SellingGeneralAndAdministrativeExpensesMemberus-gaap:ShareBasedCompensationAwardTrancheThreeMember2019-01-012019-09-300001583107us-gaap:ScenarioPlanMemberus-gaap:Research</w:t>
      </w:r>
      <w:r>
        <w:rPr>
          <w:rFonts w:eastAsia="Times New Roman"/>
          <w:vanish/>
        </w:rPr>
        <w:t>AndDevelopmentExpenseMemberus-gaap:ShareBasedCompensationAwardTrancheTwoMember2019-01-012019-09-300001583107us-gaap:ScenarioPlanMemberus-gaap:ResearchAndDevelopmentExpenseMemberus-gaap:ShareBasedCompensationAwardTrancheThreeMember2019-01-012019-09-30000158</w:t>
      </w:r>
      <w:r>
        <w:rPr>
          <w:rFonts w:eastAsia="Times New Roman"/>
          <w:vanish/>
        </w:rPr>
        <w:t>3107us-gaap:ScenarioPlanMembertbph:EmployeePerformanceRestrictedStockUnitsRSUMembertbph:ShareBasedCompensationAwardPerformanceMilestoneFirstAndSecondMember2019-01-012019-09-300001583107us-gaap:ScenarioPlanMemberus-gaap:ShareBasedCompensationAwardTrancheTwo</w:t>
      </w:r>
      <w:r>
        <w:rPr>
          <w:rFonts w:eastAsia="Times New Roman"/>
          <w:vanish/>
        </w:rPr>
        <w:t>Member2019-01-012019-09-300001583107us-gaap:ScenarioPlanMemberus-gaap:ShareBasedCompensationAwardTrancheThreeMember2019-01-012019-09-300001583107us-gaap:ScenarioPlanMembertbph:EmployeePerformanceRestrictedStockUnitsRSUMember2019-01-012019-09-300001583107us</w:t>
      </w:r>
      <w:r>
        <w:rPr>
          <w:rFonts w:eastAsia="Times New Roman"/>
          <w:vanish/>
        </w:rPr>
        <w:t>-gaap:ShareBasedCompensationAwardTrancheTwoMember2019-01-012019-09-300001583107us-gaap:ShareBasedCompensationAwardTrancheThreeMember2019-01-012019-09-300001583107us-gaap:SellingGeneralAndAdministrativeExpensesMember2019-01-012019-09-300001583107us-gaap:Res</w:t>
      </w:r>
      <w:r>
        <w:rPr>
          <w:rFonts w:eastAsia="Times New Roman"/>
          <w:vanish/>
        </w:rPr>
        <w:t>earchAndDevelopmentExpenseMember2019-01-012019-09-300001583107us-gaap:ShareBasedCompensationAwardTrancheTwoMember2018-07-012018-09-300001583107us-gaap:SellingGeneralAndAdministrativeExpensesMember2018-07-012018-09-300001583107us-gaap:ResearchAndDevelopment</w:t>
      </w:r>
      <w:r>
        <w:rPr>
          <w:rFonts w:eastAsia="Times New Roman"/>
          <w:vanish/>
        </w:rPr>
        <w:t>ExpenseMember2018-07-012018-09-300001583107us-gaap:ShareBasedCompensationAwardTrancheTwoMember2018-01-012018-09-300001583107us-gaap:ShareBasedCompensationAwardTrancheOneMember2018-01-012018-09-300001583107us-gaap:SellingGeneralAndAdministrativeExpensesMemb</w:t>
      </w:r>
      <w:r>
        <w:rPr>
          <w:rFonts w:eastAsia="Times New Roman"/>
          <w:vanish/>
        </w:rPr>
        <w:t>er2018-01-012018-09-300001583107us-gaap:ResearchAndDevelopmentExpenseMember2018-01-012018-09-300001583107us-gaap:RetainedEarningsMember2019-07-012019-09-300001583107us-gaap:CommonStockMember2019-07-012019-09-300001583107us-gaap:AdditionalPaidInCapitalMembe</w:t>
      </w:r>
      <w:r>
        <w:rPr>
          <w:rFonts w:eastAsia="Times New Roman"/>
          <w:vanish/>
        </w:rPr>
        <w:t>r2019-07-012019-09-300001583107us-gaap:AccumulatedOtherComprehensiveIncomeMember2019-07-012019-09-300001583107us-gaap:RetainedEarningsMember2019-01-012019-09-300001583107us-gaap:CommonStockMember2019-01-012019-09-300001583107us-gaap:AdditionalPaidInCapital</w:t>
      </w:r>
      <w:r>
        <w:rPr>
          <w:rFonts w:eastAsia="Times New Roman"/>
          <w:vanish/>
        </w:rPr>
        <w:t>Member2019-01-012019-09-300001583107us-gaap:AccumulatedOtherComprehensiveIncomeMember2019-01-012019-09-300001583107us-gaap:RetainedEarningsMember2018-07-012018-09-300001583107us-gaap:CommonStockMember2018-07-012018-09-300001583107us-gaap:AdditionalPaidInCa</w:t>
      </w:r>
      <w:r>
        <w:rPr>
          <w:rFonts w:eastAsia="Times New Roman"/>
          <w:vanish/>
        </w:rPr>
        <w:t>pitalMember2018-07-012018-09-300001583107us-gaap:AccumulatedOtherComprehensiveIncomeMember2018-07-012018-09-300001583107us-gaap:RetainedEarningsMember2018-01-012018-09-300001583107us-gaap:CommonStockMember2018-01-012018-09-300001583107us-gaap:AdditionalPai</w:t>
      </w:r>
      <w:r>
        <w:rPr>
          <w:rFonts w:eastAsia="Times New Roman"/>
          <w:vanish/>
        </w:rPr>
        <w:t>dInCapitalMember2018-01-012018-09-300001583107us-gaap:AccumulatedOtherComprehensiveIncomeMember2018-01-012018-09-300001583107tbph:MylanMembertbph:OrdinarySharePurchaseAgreementMember2015-01-302015-01-300001583107tbph:MylanMembertbph:OrdinarySharePurchaseAg</w:t>
      </w:r>
      <w:r>
        <w:rPr>
          <w:rFonts w:eastAsia="Times New Roman"/>
          <w:vanish/>
        </w:rPr>
        <w:t>reementMember2015-01-012015-12-3100015831072018-02-012018-02-280001583107tbph:ArbitrationAgainstInnovivaAndTrcMembertbph:TheravanceRespiratoryCompanyLlcMember2019-07-012019-09-300001583107tbph:ArbitrationAgainstInnovivaAndTrcMember2019-07-012019-09-3000015</w:t>
      </w:r>
      <w:r>
        <w:rPr>
          <w:rFonts w:eastAsia="Times New Roman"/>
          <w:vanish/>
        </w:rPr>
        <w:t>83107tbph:ArbitrationAgainstInnovivaAndTrcMembertbph:TheravanceRespiratoryCompanyLlcMember2019-01-012019-09-300001583107tbph:MylanMembertbph:Milestone50PercentEnrollmentInPhase3Membertbph:DevelopmentAndCommercializationAgreementMember2015-01-012015-12-3100</w:t>
      </w:r>
      <w:r>
        <w:rPr>
          <w:rFonts w:eastAsia="Times New Roman"/>
          <w:vanish/>
        </w:rPr>
        <w:t>01583107tbph:MylanMembertbph:FuturePotentialCombinationProductsMember2015-01-012015-12-310001583107tbph:MylanMember2015-01-012015-12-310001583107tbph:ArbitrationAgainstInnovivaAndTrcMembertbph:TheravanceRespiratoryCompanyLlcMember2019-05-012019-05-31000158</w:t>
      </w:r>
      <w:r>
        <w:rPr>
          <w:rFonts w:eastAsia="Times New Roman"/>
          <w:vanish/>
        </w:rPr>
        <w:t>3107tbph:TheravanceRespiratoryCompanyLlcMember2019-01-012019-09-300001583107tbph:MylanMember2019-07-012019-09-300001583107tbph:JanssenBiotechIncMember2019-07-012019-09-300001583107tbph:JanssenBiotechIncMember2019-01-012019-09-300001583107tbph:MylanMember20</w:t>
      </w:r>
      <w:r>
        <w:rPr>
          <w:rFonts w:eastAsia="Times New Roman"/>
          <w:vanish/>
        </w:rPr>
        <w:t>18-07-012018-09-300001583107tbph:JanssenBiotechIncMember2018-07-012018-09-300001583107tbph:MylanMember2018-01-012018-09-300001583107tbph:JanssenBiotechIncMember2018-01-012018-09-300001583107tbph:CoPromoteAgreementMember2019-07-012019-09-300001583107tbph:Co</w:t>
      </w:r>
      <w:r>
        <w:rPr>
          <w:rFonts w:eastAsia="Times New Roman"/>
          <w:vanish/>
        </w:rPr>
        <w:t>PromoteAgreementMember2019-01-012019-09-300001583107tbph:MylanMember2019-01-012019-09-300001583107tbph:JanssenBiotechIncMember2018-02-012018-02-280001583107country:IE2019-09-300001583107us-gaap:OperatingExpenseMember2018-07-012018-09-300001583107us-gaap:Op</w:t>
      </w:r>
      <w:r>
        <w:rPr>
          <w:rFonts w:eastAsia="Times New Roman"/>
          <w:vanish/>
        </w:rPr>
        <w:t>eratingExpenseMember2018-01-012018-09-3000015831072019-07-012019-09-3000015831072018-07-012018-09-3000015831072018-01-012018-09-3000015831072019-09-3000015831072018-12-3100015831072019-10-2500015831072019-01-012019-09-30tbph:individualxbrli:sharesiso4217:U</w:t>
      </w:r>
      <w:r>
        <w:rPr>
          <w:rFonts w:eastAsia="Times New Roman"/>
          <w:vanish/>
        </w:rPr>
        <w:t>SDutr:sqftxbrli:puretbph:Optiontbph:Milestonetbph:tranchetbph:itemiso4217:USDxbrli:shares</w:t>
      </w:r>
    </w:p>
    <w:p w14:paraId="13BA7462" w14:textId="77777777" w:rsidR="00000000" w:rsidRDefault="00097612">
      <w:pPr>
        <w:pStyle w:val="a3"/>
        <w:spacing w:before="0" w:beforeAutospacing="0" w:after="120" w:afterAutospacing="0"/>
        <w:divId w:val="1970746014"/>
        <w:rPr>
          <w:sz w:val="20"/>
          <w:szCs w:val="20"/>
        </w:rPr>
      </w:pPr>
      <w:hyperlink w:anchor="TOC" w:history="1">
        <w:r>
          <w:rPr>
            <w:rStyle w:val="a4"/>
            <w:sz w:val="20"/>
            <w:szCs w:val="20"/>
          </w:rPr>
          <w:t>Table of Contents</w:t>
        </w:r>
      </w:hyperlink>
    </w:p>
    <w:p w14:paraId="730F90E4" w14:textId="77777777" w:rsidR="00000000" w:rsidRDefault="00097612">
      <w:pPr>
        <w:pStyle w:val="a3"/>
        <w:pBdr>
          <w:top w:val="single" w:sz="24" w:space="1" w:color="000000"/>
          <w:bottom w:val="single" w:sz="8" w:space="1" w:color="000000"/>
        </w:pBdr>
        <w:spacing w:before="0" w:beforeAutospacing="0" w:after="0" w:afterAutospacing="0"/>
        <w:divId w:val="1141465298"/>
        <w:rPr>
          <w:sz w:val="20"/>
          <w:szCs w:val="20"/>
        </w:rPr>
      </w:pPr>
      <w:r>
        <w:rPr>
          <w:sz w:val="2"/>
          <w:szCs w:val="2"/>
        </w:rPr>
        <w:t>​</w:t>
      </w:r>
    </w:p>
    <w:p w14:paraId="37366AFF" w14:textId="77777777" w:rsidR="00000000" w:rsidRDefault="00097612">
      <w:pPr>
        <w:pStyle w:val="a3"/>
        <w:spacing w:before="0" w:beforeAutospacing="0" w:after="0" w:afterAutospacing="0"/>
        <w:divId w:val="1141465298"/>
        <w:rPr>
          <w:sz w:val="20"/>
          <w:szCs w:val="20"/>
        </w:rPr>
      </w:pPr>
      <w:r>
        <w:rPr>
          <w:sz w:val="10"/>
          <w:szCs w:val="10"/>
        </w:rPr>
        <w:t>​</w:t>
      </w:r>
    </w:p>
    <w:p w14:paraId="3DB38F54" w14:textId="77777777" w:rsidR="00000000" w:rsidRDefault="00097612">
      <w:pPr>
        <w:pStyle w:val="a3"/>
        <w:spacing w:before="0" w:beforeAutospacing="0" w:after="0" w:afterAutospacing="0"/>
        <w:jc w:val="center"/>
        <w:divId w:val="1141465298"/>
        <w:rPr>
          <w:sz w:val="20"/>
          <w:szCs w:val="20"/>
        </w:rPr>
      </w:pPr>
      <w:r>
        <w:rPr>
          <w:b/>
          <w:bCs/>
          <w:sz w:val="34"/>
          <w:szCs w:val="34"/>
        </w:rPr>
        <w:t>UNITED STATES</w:t>
      </w:r>
    </w:p>
    <w:p w14:paraId="2C8E696D" w14:textId="77777777" w:rsidR="00000000" w:rsidRDefault="00097612">
      <w:pPr>
        <w:pStyle w:val="a3"/>
        <w:spacing w:before="0" w:beforeAutospacing="0" w:after="0" w:afterAutospacing="0"/>
        <w:jc w:val="center"/>
        <w:divId w:val="1141465298"/>
        <w:rPr>
          <w:sz w:val="20"/>
          <w:szCs w:val="20"/>
        </w:rPr>
      </w:pPr>
      <w:r>
        <w:rPr>
          <w:b/>
          <w:bCs/>
          <w:sz w:val="34"/>
          <w:szCs w:val="34"/>
        </w:rPr>
        <w:t>SECURITIES AND EXCHANGE COMMISSION</w:t>
      </w:r>
    </w:p>
    <w:p w14:paraId="6E6F4141" w14:textId="77777777" w:rsidR="00000000" w:rsidRDefault="00097612">
      <w:pPr>
        <w:pStyle w:val="a3"/>
        <w:spacing w:before="0" w:beforeAutospacing="0" w:after="0" w:afterAutospacing="0"/>
        <w:jc w:val="center"/>
        <w:divId w:val="1141465298"/>
        <w:rPr>
          <w:sz w:val="18"/>
          <w:szCs w:val="18"/>
        </w:rPr>
      </w:pPr>
      <w:r>
        <w:rPr>
          <w:b/>
          <w:bCs/>
          <w:sz w:val="18"/>
          <w:szCs w:val="18"/>
        </w:rPr>
        <w:t>Washington, D.C. 20549</w:t>
      </w:r>
    </w:p>
    <w:p w14:paraId="3D273F78" w14:textId="77777777" w:rsidR="00000000" w:rsidRDefault="00097612">
      <w:pPr>
        <w:pStyle w:val="a3"/>
        <w:spacing w:before="0" w:beforeAutospacing="0" w:after="0" w:afterAutospacing="0"/>
        <w:jc w:val="center"/>
        <w:divId w:val="1141465298"/>
        <w:rPr>
          <w:sz w:val="20"/>
          <w:szCs w:val="20"/>
        </w:rPr>
      </w:pPr>
      <w:r>
        <w:rPr>
          <w:b/>
          <w:bCs/>
          <w:sz w:val="10"/>
          <w:szCs w:val="10"/>
        </w:rPr>
        <w:t>​</w:t>
      </w:r>
    </w:p>
    <w:p w14:paraId="25BAA4F4" w14:textId="77777777" w:rsidR="00000000" w:rsidRDefault="00097612">
      <w:pPr>
        <w:pStyle w:val="a3"/>
        <w:spacing w:before="0" w:beforeAutospacing="0" w:after="0" w:afterAutospacing="0"/>
        <w:jc w:val="center"/>
        <w:divId w:val="1141465298"/>
        <w:rPr>
          <w:sz w:val="20"/>
          <w:szCs w:val="20"/>
        </w:rPr>
      </w:pPr>
      <w:r>
        <w:rPr>
          <w:b/>
          <w:bCs/>
          <w:sz w:val="34"/>
          <w:szCs w:val="34"/>
        </w:rPr>
        <w:t>Form 10-Q</w:t>
      </w:r>
    </w:p>
    <w:p w14:paraId="0456EDA0" w14:textId="77777777" w:rsidR="00000000" w:rsidRDefault="00097612">
      <w:pPr>
        <w:pStyle w:val="a3"/>
        <w:spacing w:before="0" w:beforeAutospacing="0" w:after="0" w:afterAutospacing="0"/>
        <w:divId w:val="1141465298"/>
        <w:rPr>
          <w:sz w:val="20"/>
          <w:szCs w:val="20"/>
        </w:rPr>
      </w:pPr>
      <w:r>
        <w:rPr>
          <w:b/>
          <w:bCs/>
          <w:sz w:val="10"/>
          <w:szCs w:val="10"/>
        </w:rPr>
        <w:t>​</w:t>
      </w:r>
    </w:p>
    <w:p w14:paraId="15E6C375" w14:textId="77777777" w:rsidR="00000000" w:rsidRDefault="00097612">
      <w:pPr>
        <w:pStyle w:val="a3"/>
        <w:spacing w:before="0" w:beforeAutospacing="0" w:after="0" w:afterAutospacing="0"/>
        <w:divId w:val="1141465298"/>
        <w:rPr>
          <w:sz w:val="18"/>
          <w:szCs w:val="18"/>
        </w:rPr>
      </w:pPr>
      <w:r>
        <w:rPr>
          <w:b/>
          <w:bCs/>
          <w:sz w:val="18"/>
          <w:szCs w:val="18"/>
        </w:rPr>
        <w:t>(Mark One)</w:t>
      </w:r>
    </w:p>
    <w:p w14:paraId="50E5190C" w14:textId="77777777" w:rsidR="00000000" w:rsidRDefault="00097612">
      <w:pPr>
        <w:pStyle w:val="a3"/>
        <w:spacing w:before="0" w:beforeAutospacing="0" w:after="0" w:afterAutospacing="0"/>
        <w:ind w:left="360" w:hanging="360"/>
        <w:divId w:val="1141465298"/>
        <w:rPr>
          <w:sz w:val="20"/>
          <w:szCs w:val="20"/>
        </w:rPr>
      </w:pPr>
      <w:r>
        <w:rPr>
          <w:b/>
          <w:bCs/>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14:paraId="53C5AF52" w14:textId="77777777">
        <w:trPr>
          <w:divId w:val="1141465298"/>
        </w:trPr>
        <w:tc>
          <w:tcPr>
            <w:tcW w:w="360" w:type="dxa"/>
            <w:tcMar>
              <w:top w:w="0" w:type="dxa"/>
              <w:left w:w="0" w:type="dxa"/>
              <w:bottom w:w="0" w:type="dxa"/>
              <w:right w:w="0" w:type="dxa"/>
            </w:tcMar>
            <w:vAlign w:val="center"/>
            <w:hideMark/>
          </w:tcPr>
          <w:p w14:paraId="7FFECE60" w14:textId="77777777" w:rsidR="00000000" w:rsidRDefault="00097612">
            <w:pPr>
              <w:rPr>
                <w:sz w:val="20"/>
                <w:szCs w:val="20"/>
              </w:rPr>
            </w:pPr>
          </w:p>
        </w:tc>
        <w:tc>
          <w:tcPr>
            <w:tcW w:w="357" w:type="dxa"/>
            <w:noWrap/>
            <w:tcMar>
              <w:top w:w="0" w:type="dxa"/>
              <w:left w:w="0" w:type="dxa"/>
              <w:bottom w:w="0" w:type="dxa"/>
              <w:right w:w="0" w:type="dxa"/>
            </w:tcMar>
            <w:hideMark/>
          </w:tcPr>
          <w:p w14:paraId="6D404417" w14:textId="77777777" w:rsidR="00000000" w:rsidRDefault="00097612">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14:paraId="55811313" w14:textId="77777777" w:rsidR="00000000" w:rsidRDefault="00097612">
            <w:pPr>
              <w:pStyle w:val="a3"/>
              <w:spacing w:before="0" w:beforeAutospacing="0" w:after="0" w:afterAutospacing="0"/>
              <w:rPr>
                <w:sz w:val="20"/>
                <w:szCs w:val="20"/>
              </w:rPr>
            </w:pPr>
            <w:r>
              <w:rPr>
                <w:b/>
                <w:bCs/>
                <w:sz w:val="18"/>
                <w:szCs w:val="18"/>
              </w:rPr>
              <w:t>QUARTERLY REPORT</w:t>
            </w:r>
            <w:r>
              <w:rPr>
                <w:b/>
                <w:bCs/>
                <w:sz w:val="18"/>
                <w:szCs w:val="18"/>
              </w:rPr>
              <w:t xml:space="preserve"> PURSUANT TO SECTION 13 OR 15(d) OF THE SECURITIES EXCHANGE ACT OF 1934</w:t>
            </w:r>
          </w:p>
        </w:tc>
      </w:tr>
    </w:tbl>
    <w:p w14:paraId="61E3BA73" w14:textId="77777777" w:rsidR="00000000" w:rsidRDefault="00097612">
      <w:pPr>
        <w:pStyle w:val="a3"/>
        <w:spacing w:before="0" w:beforeAutospacing="0" w:after="0" w:afterAutospacing="0"/>
        <w:jc w:val="center"/>
        <w:divId w:val="1141465298"/>
        <w:rPr>
          <w:sz w:val="20"/>
          <w:szCs w:val="20"/>
        </w:rPr>
      </w:pPr>
      <w:r>
        <w:rPr>
          <w:sz w:val="10"/>
          <w:szCs w:val="10"/>
        </w:rPr>
        <w:t>​</w:t>
      </w:r>
    </w:p>
    <w:p w14:paraId="7874A990" w14:textId="77777777" w:rsidR="00000000" w:rsidRDefault="00097612">
      <w:pPr>
        <w:pStyle w:val="a3"/>
        <w:spacing w:before="0" w:beforeAutospacing="0" w:after="0" w:afterAutospacing="0"/>
        <w:jc w:val="center"/>
        <w:divId w:val="1141465298"/>
        <w:rPr>
          <w:sz w:val="18"/>
          <w:szCs w:val="18"/>
        </w:rPr>
      </w:pPr>
      <w:r>
        <w:rPr>
          <w:b/>
          <w:bCs/>
          <w:sz w:val="18"/>
          <w:szCs w:val="18"/>
        </w:rPr>
        <w:t>For the quarterly period ended September 30, 2019</w:t>
      </w:r>
    </w:p>
    <w:p w14:paraId="2E99E6B6" w14:textId="77777777" w:rsidR="00000000" w:rsidRDefault="00097612">
      <w:pPr>
        <w:pStyle w:val="a3"/>
        <w:spacing w:before="0" w:beforeAutospacing="0" w:after="0" w:afterAutospacing="0"/>
        <w:jc w:val="center"/>
        <w:divId w:val="1141465298"/>
        <w:rPr>
          <w:sz w:val="20"/>
          <w:szCs w:val="20"/>
        </w:rPr>
      </w:pPr>
      <w:r>
        <w:rPr>
          <w:sz w:val="10"/>
          <w:szCs w:val="10"/>
        </w:rPr>
        <w:t>​</w:t>
      </w:r>
    </w:p>
    <w:p w14:paraId="61348F16" w14:textId="77777777" w:rsidR="00000000" w:rsidRDefault="00097612">
      <w:pPr>
        <w:pStyle w:val="a3"/>
        <w:spacing w:before="0" w:beforeAutospacing="0" w:after="0" w:afterAutospacing="0"/>
        <w:jc w:val="center"/>
        <w:divId w:val="1141465298"/>
        <w:rPr>
          <w:sz w:val="18"/>
          <w:szCs w:val="18"/>
        </w:rPr>
      </w:pPr>
      <w:r>
        <w:rPr>
          <w:b/>
          <w:bCs/>
          <w:sz w:val="18"/>
          <w:szCs w:val="18"/>
        </w:rPr>
        <w:t>OR</w:t>
      </w:r>
    </w:p>
    <w:p w14:paraId="386216F5" w14:textId="77777777" w:rsidR="00000000" w:rsidRDefault="00097612">
      <w:pPr>
        <w:pStyle w:val="a3"/>
        <w:spacing w:before="0" w:beforeAutospacing="0" w:after="0" w:afterAutospacing="0"/>
        <w:jc w:val="center"/>
        <w:divId w:val="1141465298"/>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14:paraId="77D33F70" w14:textId="77777777">
        <w:trPr>
          <w:divId w:val="1141465298"/>
        </w:trPr>
        <w:tc>
          <w:tcPr>
            <w:tcW w:w="360" w:type="dxa"/>
            <w:tcMar>
              <w:top w:w="0" w:type="dxa"/>
              <w:left w:w="0" w:type="dxa"/>
              <w:bottom w:w="0" w:type="dxa"/>
              <w:right w:w="0" w:type="dxa"/>
            </w:tcMar>
            <w:vAlign w:val="center"/>
            <w:hideMark/>
          </w:tcPr>
          <w:p w14:paraId="26179849" w14:textId="77777777" w:rsidR="00000000" w:rsidRDefault="00097612">
            <w:pPr>
              <w:rPr>
                <w:sz w:val="20"/>
                <w:szCs w:val="20"/>
              </w:rPr>
            </w:pPr>
          </w:p>
        </w:tc>
        <w:tc>
          <w:tcPr>
            <w:tcW w:w="359" w:type="dxa"/>
            <w:noWrap/>
            <w:tcMar>
              <w:top w:w="0" w:type="dxa"/>
              <w:left w:w="0" w:type="dxa"/>
              <w:bottom w:w="0" w:type="dxa"/>
              <w:right w:w="0" w:type="dxa"/>
            </w:tcMar>
            <w:hideMark/>
          </w:tcPr>
          <w:p w14:paraId="7239F5D8" w14:textId="77777777" w:rsidR="00000000" w:rsidRDefault="00097612">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14:paraId="34994AB1" w14:textId="77777777" w:rsidR="00000000" w:rsidRDefault="00097612">
            <w:pPr>
              <w:pStyle w:val="a3"/>
              <w:spacing w:before="0" w:beforeAutospacing="0" w:after="0" w:afterAutospacing="0"/>
              <w:rPr>
                <w:sz w:val="20"/>
                <w:szCs w:val="20"/>
              </w:rPr>
            </w:pPr>
            <w:r>
              <w:rPr>
                <w:b/>
                <w:bCs/>
                <w:sz w:val="18"/>
                <w:szCs w:val="18"/>
              </w:rPr>
              <w:t>TRANSITION REPORT PURSUANT TO SECTION 13 OR 15(d) </w:t>
            </w:r>
            <w:r>
              <w:rPr>
                <w:b/>
                <w:bCs/>
                <w:sz w:val="18"/>
                <w:szCs w:val="18"/>
              </w:rPr>
              <w:t>OF THE SECURITIES EXCHANGE ACT OF 1934</w:t>
            </w:r>
          </w:p>
        </w:tc>
      </w:tr>
    </w:tbl>
    <w:p w14:paraId="7E35B567" w14:textId="77777777" w:rsidR="00000000" w:rsidRDefault="00097612">
      <w:pPr>
        <w:pStyle w:val="a3"/>
        <w:spacing w:before="0" w:beforeAutospacing="0" w:after="0" w:afterAutospacing="0"/>
        <w:ind w:hanging="490"/>
        <w:jc w:val="center"/>
        <w:divId w:val="1141465298"/>
        <w:rPr>
          <w:sz w:val="20"/>
          <w:szCs w:val="20"/>
        </w:rPr>
      </w:pPr>
      <w:r>
        <w:rPr>
          <w:sz w:val="10"/>
          <w:szCs w:val="10"/>
        </w:rPr>
        <w:t>​</w:t>
      </w:r>
    </w:p>
    <w:p w14:paraId="6D7D2B39" w14:textId="77777777" w:rsidR="00000000" w:rsidRDefault="00097612">
      <w:pPr>
        <w:pStyle w:val="a3"/>
        <w:spacing w:before="0" w:beforeAutospacing="0" w:after="0" w:afterAutospacing="0"/>
        <w:jc w:val="center"/>
        <w:divId w:val="1141465298"/>
        <w:rPr>
          <w:sz w:val="18"/>
          <w:szCs w:val="18"/>
        </w:rPr>
      </w:pPr>
      <w:r>
        <w:rPr>
          <w:b/>
          <w:bCs/>
          <w:sz w:val="18"/>
          <w:szCs w:val="18"/>
        </w:rPr>
        <w:t>For the transition period from                  to</w:t>
      </w:r>
    </w:p>
    <w:p w14:paraId="75F01ED1" w14:textId="77777777" w:rsidR="00000000" w:rsidRDefault="00097612">
      <w:pPr>
        <w:pStyle w:val="a3"/>
        <w:spacing w:before="0" w:beforeAutospacing="0" w:after="0" w:afterAutospacing="0"/>
        <w:jc w:val="center"/>
        <w:divId w:val="1141465298"/>
        <w:rPr>
          <w:sz w:val="20"/>
          <w:szCs w:val="20"/>
        </w:rPr>
      </w:pPr>
      <w:r>
        <w:rPr>
          <w:sz w:val="10"/>
          <w:szCs w:val="10"/>
        </w:rPr>
        <w:t>​</w:t>
      </w:r>
    </w:p>
    <w:p w14:paraId="17DB3489" w14:textId="77777777" w:rsidR="00000000" w:rsidRDefault="00097612">
      <w:pPr>
        <w:pStyle w:val="a3"/>
        <w:spacing w:before="0" w:beforeAutospacing="0" w:after="0" w:afterAutospacing="0"/>
        <w:jc w:val="center"/>
        <w:divId w:val="1141465298"/>
        <w:rPr>
          <w:sz w:val="18"/>
          <w:szCs w:val="18"/>
        </w:rPr>
      </w:pPr>
      <w:r>
        <w:rPr>
          <w:b/>
          <w:bCs/>
          <w:sz w:val="18"/>
          <w:szCs w:val="18"/>
        </w:rPr>
        <w:t>Commission file number: 001-36033</w:t>
      </w:r>
    </w:p>
    <w:p w14:paraId="4F7B21F1" w14:textId="77777777" w:rsidR="00000000" w:rsidRDefault="00097612">
      <w:pPr>
        <w:pStyle w:val="a3"/>
        <w:spacing w:before="0" w:beforeAutospacing="0" w:after="0" w:afterAutospacing="0"/>
        <w:jc w:val="center"/>
        <w:divId w:val="1141465298"/>
        <w:rPr>
          <w:sz w:val="20"/>
          <w:szCs w:val="20"/>
        </w:rPr>
      </w:pPr>
      <w:r>
        <w:rPr>
          <w:sz w:val="10"/>
          <w:szCs w:val="10"/>
        </w:rPr>
        <w:t>​</w:t>
      </w:r>
    </w:p>
    <w:p w14:paraId="41D200E7" w14:textId="77777777" w:rsidR="00000000" w:rsidRDefault="00097612">
      <w:pPr>
        <w:pStyle w:val="a3"/>
        <w:spacing w:before="0" w:beforeAutospacing="0" w:after="0" w:afterAutospacing="0"/>
        <w:jc w:val="center"/>
        <w:divId w:val="1141465298"/>
        <w:rPr>
          <w:sz w:val="20"/>
          <w:szCs w:val="20"/>
        </w:rPr>
      </w:pPr>
      <w:r>
        <w:rPr>
          <w:b/>
          <w:bCs/>
          <w:sz w:val="34"/>
          <w:szCs w:val="34"/>
        </w:rPr>
        <w:t>THERAVANCE BIOPHARMA, INC.</w:t>
      </w:r>
    </w:p>
    <w:p w14:paraId="30797C67" w14:textId="77777777" w:rsidR="00000000" w:rsidRDefault="00097612">
      <w:pPr>
        <w:pStyle w:val="a3"/>
        <w:spacing w:before="0" w:beforeAutospacing="0" w:after="0" w:afterAutospacing="0"/>
        <w:jc w:val="center"/>
        <w:divId w:val="1141465298"/>
        <w:rPr>
          <w:sz w:val="18"/>
          <w:szCs w:val="18"/>
        </w:rPr>
      </w:pPr>
      <w:r>
        <w:rPr>
          <w:sz w:val="18"/>
          <w:szCs w:val="18"/>
        </w:rPr>
        <w:t>(Exact Name of Registrant as Specified in its Charter)</w:t>
      </w:r>
    </w:p>
    <w:p w14:paraId="3FA65721" w14:textId="77777777" w:rsidR="00000000" w:rsidRDefault="00097612">
      <w:pPr>
        <w:pStyle w:val="a3"/>
        <w:spacing w:before="0" w:beforeAutospacing="0" w:after="0" w:afterAutospacing="0"/>
        <w:jc w:val="center"/>
        <w:divId w:val="1141465298"/>
        <w:rPr>
          <w:sz w:val="20"/>
          <w:szCs w:val="20"/>
        </w:rPr>
      </w:pPr>
      <w:r>
        <w:rPr>
          <w:sz w:val="10"/>
          <w:szCs w:val="10"/>
        </w:rPr>
        <w:t>​</w:t>
      </w:r>
    </w:p>
    <w:p w14:paraId="6B69736A" w14:textId="77777777" w:rsidR="00000000" w:rsidRDefault="00097612">
      <w:pPr>
        <w:pStyle w:val="a3"/>
        <w:spacing w:before="0" w:beforeAutospacing="0" w:after="0" w:afterAutospacing="0"/>
        <w:divId w:val="1141465298"/>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14:paraId="145AB78D" w14:textId="77777777">
        <w:trPr>
          <w:divId w:val="1141465298"/>
        </w:trPr>
        <w:tc>
          <w:tcPr>
            <w:tcW w:w="2449" w:type="pct"/>
            <w:tcMar>
              <w:top w:w="0" w:type="dxa"/>
              <w:left w:w="0" w:type="dxa"/>
              <w:bottom w:w="0" w:type="dxa"/>
              <w:right w:w="0" w:type="dxa"/>
            </w:tcMar>
            <w:hideMark/>
          </w:tcPr>
          <w:p w14:paraId="477D8EF6" w14:textId="77777777" w:rsidR="00000000" w:rsidRDefault="00097612">
            <w:pPr>
              <w:pStyle w:val="a3"/>
              <w:spacing w:before="0" w:beforeAutospacing="0" w:after="0" w:afterAutospacing="0"/>
              <w:rPr>
                <w:sz w:val="20"/>
                <w:szCs w:val="20"/>
              </w:rPr>
            </w:pPr>
            <w:r>
              <w:rPr>
                <w:sz w:val="2"/>
                <w:szCs w:val="2"/>
              </w:rPr>
              <w:t>​</w:t>
            </w:r>
          </w:p>
        </w:tc>
        <w:tc>
          <w:tcPr>
            <w:tcW w:w="100" w:type="pct"/>
            <w:tcMar>
              <w:top w:w="0" w:type="dxa"/>
              <w:left w:w="0" w:type="dxa"/>
              <w:bottom w:w="0" w:type="dxa"/>
              <w:right w:w="0" w:type="dxa"/>
            </w:tcMar>
            <w:vAlign w:val="bottom"/>
            <w:hideMark/>
          </w:tcPr>
          <w:p w14:paraId="36E24B1C" w14:textId="77777777" w:rsidR="00000000" w:rsidRDefault="00097612">
            <w:pPr>
              <w:pStyle w:val="a3"/>
              <w:spacing w:before="0" w:beforeAutospacing="0" w:after="0" w:afterAutospacing="0"/>
              <w:rPr>
                <w:sz w:val="20"/>
                <w:szCs w:val="20"/>
              </w:rPr>
            </w:pPr>
            <w:r>
              <w:rPr>
                <w:sz w:val="2"/>
                <w:szCs w:val="2"/>
              </w:rPr>
              <w:t>​</w:t>
            </w:r>
          </w:p>
        </w:tc>
        <w:tc>
          <w:tcPr>
            <w:tcW w:w="2449" w:type="pct"/>
            <w:tcMar>
              <w:top w:w="0" w:type="dxa"/>
              <w:left w:w="0" w:type="dxa"/>
              <w:bottom w:w="0" w:type="dxa"/>
              <w:right w:w="0" w:type="dxa"/>
            </w:tcMar>
            <w:hideMark/>
          </w:tcPr>
          <w:p w14:paraId="22683F8D" w14:textId="77777777" w:rsidR="00000000" w:rsidRDefault="00097612">
            <w:pPr>
              <w:pStyle w:val="a3"/>
              <w:spacing w:before="0" w:beforeAutospacing="0" w:after="0" w:afterAutospacing="0"/>
              <w:rPr>
                <w:sz w:val="20"/>
                <w:szCs w:val="20"/>
              </w:rPr>
            </w:pPr>
            <w:r>
              <w:rPr>
                <w:sz w:val="2"/>
                <w:szCs w:val="2"/>
              </w:rPr>
              <w:t>​</w:t>
            </w:r>
          </w:p>
        </w:tc>
      </w:tr>
      <w:tr w:rsidR="00000000" w14:paraId="48EE7E0B" w14:textId="77777777">
        <w:trPr>
          <w:divId w:val="1141465298"/>
        </w:trPr>
        <w:tc>
          <w:tcPr>
            <w:tcW w:w="2449" w:type="pct"/>
            <w:tcMar>
              <w:top w:w="0" w:type="dxa"/>
              <w:left w:w="0" w:type="dxa"/>
              <w:bottom w:w="0" w:type="dxa"/>
              <w:right w:w="0" w:type="dxa"/>
            </w:tcMar>
            <w:hideMark/>
          </w:tcPr>
          <w:p w14:paraId="77405FF4" w14:textId="77777777" w:rsidR="00000000" w:rsidRDefault="00097612">
            <w:pPr>
              <w:pStyle w:val="a3"/>
              <w:spacing w:before="0" w:beforeAutospacing="0" w:after="0" w:afterAutospacing="0"/>
              <w:ind w:hanging="200"/>
              <w:jc w:val="center"/>
              <w:rPr>
                <w:sz w:val="18"/>
                <w:szCs w:val="18"/>
              </w:rPr>
            </w:pPr>
            <w:r>
              <w:rPr>
                <w:b/>
                <w:bCs/>
                <w:sz w:val="18"/>
                <w:szCs w:val="18"/>
              </w:rPr>
              <w:t>Cayman Islands</w:t>
            </w:r>
          </w:p>
        </w:tc>
        <w:tc>
          <w:tcPr>
            <w:tcW w:w="100" w:type="pct"/>
            <w:tcMar>
              <w:top w:w="0" w:type="dxa"/>
              <w:left w:w="0" w:type="dxa"/>
              <w:bottom w:w="0" w:type="dxa"/>
              <w:right w:w="0" w:type="dxa"/>
            </w:tcMar>
            <w:vAlign w:val="bottom"/>
            <w:hideMark/>
          </w:tcPr>
          <w:p w14:paraId="7BAE1BA2" w14:textId="77777777" w:rsidR="00000000" w:rsidRDefault="00097612">
            <w:pPr>
              <w:pStyle w:val="a3"/>
              <w:spacing w:before="0" w:beforeAutospacing="0" w:after="0" w:afterAutospacing="0"/>
              <w:rPr>
                <w:sz w:val="18"/>
                <w:szCs w:val="18"/>
              </w:rPr>
            </w:pPr>
            <w:r>
              <w:rPr>
                <w:b/>
                <w:bCs/>
                <w:sz w:val="18"/>
                <w:szCs w:val="18"/>
              </w:rPr>
              <w:t>    </w:t>
            </w:r>
          </w:p>
        </w:tc>
        <w:tc>
          <w:tcPr>
            <w:tcW w:w="2449" w:type="pct"/>
            <w:tcMar>
              <w:top w:w="0" w:type="dxa"/>
              <w:left w:w="0" w:type="dxa"/>
              <w:bottom w:w="0" w:type="dxa"/>
              <w:right w:w="0" w:type="dxa"/>
            </w:tcMar>
            <w:hideMark/>
          </w:tcPr>
          <w:p w14:paraId="616709C4" w14:textId="77777777" w:rsidR="00000000" w:rsidRDefault="00097612">
            <w:pPr>
              <w:pStyle w:val="a3"/>
              <w:spacing w:before="0" w:beforeAutospacing="0" w:after="0" w:afterAutospacing="0"/>
              <w:jc w:val="center"/>
              <w:rPr>
                <w:sz w:val="18"/>
                <w:szCs w:val="18"/>
              </w:rPr>
            </w:pPr>
            <w:r>
              <w:rPr>
                <w:b/>
                <w:bCs/>
                <w:sz w:val="18"/>
                <w:szCs w:val="18"/>
              </w:rPr>
              <w:t>98-1226628</w:t>
            </w:r>
          </w:p>
        </w:tc>
      </w:tr>
      <w:tr w:rsidR="00000000" w14:paraId="6E9FB110" w14:textId="77777777">
        <w:trPr>
          <w:divId w:val="1141465298"/>
        </w:trPr>
        <w:tc>
          <w:tcPr>
            <w:tcW w:w="2449" w:type="pct"/>
            <w:tcMar>
              <w:top w:w="0" w:type="dxa"/>
              <w:left w:w="0" w:type="dxa"/>
              <w:bottom w:w="0" w:type="dxa"/>
              <w:right w:w="0" w:type="dxa"/>
            </w:tcMar>
            <w:hideMark/>
          </w:tcPr>
          <w:p w14:paraId="00663DAC" w14:textId="77777777" w:rsidR="00000000" w:rsidRDefault="00097612">
            <w:pPr>
              <w:pStyle w:val="a3"/>
              <w:spacing w:before="0" w:beforeAutospacing="0" w:after="0" w:afterAutospacing="0"/>
              <w:ind w:hanging="200"/>
              <w:jc w:val="center"/>
              <w:rPr>
                <w:sz w:val="18"/>
                <w:szCs w:val="18"/>
              </w:rPr>
            </w:pPr>
            <w:r>
              <w:rPr>
                <w:sz w:val="18"/>
                <w:szCs w:val="18"/>
              </w:rPr>
              <w:t>(State or Other Jurisdiction of</w:t>
            </w:r>
          </w:p>
        </w:tc>
        <w:tc>
          <w:tcPr>
            <w:tcW w:w="100" w:type="pct"/>
            <w:tcMar>
              <w:top w:w="0" w:type="dxa"/>
              <w:left w:w="0" w:type="dxa"/>
              <w:bottom w:w="0" w:type="dxa"/>
              <w:right w:w="0" w:type="dxa"/>
            </w:tcMar>
            <w:vAlign w:val="bottom"/>
            <w:hideMark/>
          </w:tcPr>
          <w:p w14:paraId="6D58A282" w14:textId="77777777" w:rsidR="00000000" w:rsidRDefault="00097612">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7C5F49D0" w14:textId="77777777" w:rsidR="00000000" w:rsidRDefault="00097612">
            <w:pPr>
              <w:pStyle w:val="a3"/>
              <w:spacing w:before="0" w:beforeAutospacing="0" w:after="0" w:afterAutospacing="0"/>
              <w:jc w:val="center"/>
              <w:rPr>
                <w:sz w:val="18"/>
                <w:szCs w:val="18"/>
              </w:rPr>
            </w:pPr>
            <w:r>
              <w:rPr>
                <w:sz w:val="18"/>
                <w:szCs w:val="18"/>
              </w:rPr>
              <w:t>(I.R.S. Employer</w:t>
            </w:r>
          </w:p>
        </w:tc>
      </w:tr>
      <w:tr w:rsidR="00000000" w14:paraId="176B7228" w14:textId="77777777">
        <w:trPr>
          <w:divId w:val="1141465298"/>
        </w:trPr>
        <w:tc>
          <w:tcPr>
            <w:tcW w:w="2449" w:type="pct"/>
            <w:tcMar>
              <w:top w:w="0" w:type="dxa"/>
              <w:left w:w="0" w:type="dxa"/>
              <w:bottom w:w="0" w:type="dxa"/>
              <w:right w:w="0" w:type="dxa"/>
            </w:tcMar>
            <w:hideMark/>
          </w:tcPr>
          <w:p w14:paraId="7F58A06E" w14:textId="77777777" w:rsidR="00000000" w:rsidRDefault="00097612">
            <w:pPr>
              <w:pStyle w:val="a3"/>
              <w:spacing w:before="0" w:beforeAutospacing="0" w:after="0" w:afterAutospacing="0"/>
              <w:ind w:hanging="200"/>
              <w:jc w:val="center"/>
              <w:rPr>
                <w:sz w:val="18"/>
                <w:szCs w:val="18"/>
              </w:rPr>
            </w:pPr>
            <w:r>
              <w:rPr>
                <w:sz w:val="18"/>
                <w:szCs w:val="18"/>
              </w:rPr>
              <w:t>Incorporation or Organization)</w:t>
            </w:r>
          </w:p>
        </w:tc>
        <w:tc>
          <w:tcPr>
            <w:tcW w:w="100" w:type="pct"/>
            <w:tcMar>
              <w:top w:w="0" w:type="dxa"/>
              <w:left w:w="0" w:type="dxa"/>
              <w:bottom w:w="0" w:type="dxa"/>
              <w:right w:w="0" w:type="dxa"/>
            </w:tcMar>
            <w:vAlign w:val="bottom"/>
            <w:hideMark/>
          </w:tcPr>
          <w:p w14:paraId="060F9247" w14:textId="77777777" w:rsidR="00000000" w:rsidRDefault="00097612">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1E6B5A14" w14:textId="77777777" w:rsidR="00000000" w:rsidRDefault="00097612">
            <w:pPr>
              <w:pStyle w:val="a3"/>
              <w:spacing w:before="0" w:beforeAutospacing="0" w:after="0" w:afterAutospacing="0"/>
              <w:jc w:val="center"/>
              <w:rPr>
                <w:sz w:val="18"/>
                <w:szCs w:val="18"/>
              </w:rPr>
            </w:pPr>
            <w:r>
              <w:rPr>
                <w:sz w:val="18"/>
                <w:szCs w:val="18"/>
              </w:rPr>
              <w:t>Identification No.)</w:t>
            </w:r>
          </w:p>
        </w:tc>
      </w:tr>
      <w:tr w:rsidR="00000000" w14:paraId="5DC096F0" w14:textId="77777777">
        <w:trPr>
          <w:divId w:val="1141465298"/>
        </w:trPr>
        <w:tc>
          <w:tcPr>
            <w:tcW w:w="2449" w:type="pct"/>
            <w:tcMar>
              <w:top w:w="0" w:type="dxa"/>
              <w:left w:w="0" w:type="dxa"/>
              <w:bottom w:w="0" w:type="dxa"/>
              <w:right w:w="0" w:type="dxa"/>
            </w:tcMar>
            <w:hideMark/>
          </w:tcPr>
          <w:p w14:paraId="1007278D" w14:textId="77777777" w:rsidR="00000000" w:rsidRDefault="00097612">
            <w:pPr>
              <w:pStyle w:val="a3"/>
              <w:spacing w:before="0" w:beforeAutospacing="0" w:after="0" w:afterAutospacing="0"/>
              <w:ind w:hanging="200"/>
              <w:jc w:val="center"/>
              <w:rPr>
                <w:sz w:val="20"/>
                <w:szCs w:val="20"/>
              </w:rPr>
            </w:pPr>
            <w:r>
              <w:rPr>
                <w:sz w:val="10"/>
                <w:szCs w:val="10"/>
              </w:rPr>
              <w:t>​</w:t>
            </w:r>
          </w:p>
        </w:tc>
        <w:tc>
          <w:tcPr>
            <w:tcW w:w="100" w:type="pct"/>
            <w:tcMar>
              <w:top w:w="0" w:type="dxa"/>
              <w:left w:w="0" w:type="dxa"/>
              <w:bottom w:w="0" w:type="dxa"/>
              <w:right w:w="0" w:type="dxa"/>
            </w:tcMar>
            <w:vAlign w:val="bottom"/>
            <w:hideMark/>
          </w:tcPr>
          <w:p w14:paraId="7D84F67B" w14:textId="77777777" w:rsidR="00000000" w:rsidRDefault="00097612">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14:paraId="70F0B79B" w14:textId="77777777" w:rsidR="00000000" w:rsidRDefault="00097612">
            <w:pPr>
              <w:pStyle w:val="a3"/>
              <w:spacing w:before="0" w:beforeAutospacing="0" w:after="0" w:afterAutospacing="0"/>
              <w:jc w:val="center"/>
              <w:rPr>
                <w:sz w:val="20"/>
                <w:szCs w:val="20"/>
              </w:rPr>
            </w:pPr>
            <w:r>
              <w:rPr>
                <w:sz w:val="10"/>
                <w:szCs w:val="10"/>
              </w:rPr>
              <w:t>​</w:t>
            </w:r>
          </w:p>
        </w:tc>
      </w:tr>
      <w:tr w:rsidR="00000000" w14:paraId="6085455F" w14:textId="77777777">
        <w:trPr>
          <w:divId w:val="1141465298"/>
        </w:trPr>
        <w:tc>
          <w:tcPr>
            <w:tcW w:w="2449" w:type="pct"/>
            <w:tcMar>
              <w:top w:w="0" w:type="dxa"/>
              <w:left w:w="0" w:type="dxa"/>
              <w:bottom w:w="0" w:type="dxa"/>
              <w:right w:w="0" w:type="dxa"/>
            </w:tcMar>
            <w:hideMark/>
          </w:tcPr>
          <w:p w14:paraId="406B691A" w14:textId="77777777" w:rsidR="00000000" w:rsidRDefault="00097612">
            <w:pPr>
              <w:pStyle w:val="a3"/>
              <w:spacing w:before="0" w:beforeAutospacing="0" w:after="0" w:afterAutospacing="0"/>
              <w:ind w:hanging="200"/>
              <w:jc w:val="center"/>
              <w:rPr>
                <w:sz w:val="18"/>
                <w:szCs w:val="18"/>
              </w:rPr>
            </w:pPr>
            <w:r>
              <w:rPr>
                <w:b/>
                <w:bCs/>
                <w:sz w:val="18"/>
                <w:szCs w:val="18"/>
              </w:rPr>
              <w:t>PO Box 309</w:t>
            </w:r>
          </w:p>
        </w:tc>
        <w:tc>
          <w:tcPr>
            <w:tcW w:w="100" w:type="pct"/>
            <w:tcMar>
              <w:top w:w="0" w:type="dxa"/>
              <w:left w:w="0" w:type="dxa"/>
              <w:bottom w:w="0" w:type="dxa"/>
              <w:right w:w="0" w:type="dxa"/>
            </w:tcMar>
            <w:vAlign w:val="bottom"/>
            <w:hideMark/>
          </w:tcPr>
          <w:p w14:paraId="73ABE435" w14:textId="77777777" w:rsidR="00000000" w:rsidRDefault="00097612">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245EB653" w14:textId="77777777" w:rsidR="00000000" w:rsidRDefault="00097612">
            <w:pPr>
              <w:pStyle w:val="a3"/>
              <w:spacing w:before="0" w:beforeAutospacing="0" w:after="0" w:afterAutospacing="0"/>
              <w:jc w:val="center"/>
              <w:rPr>
                <w:sz w:val="20"/>
                <w:szCs w:val="20"/>
              </w:rPr>
            </w:pPr>
            <w:r>
              <w:rPr>
                <w:sz w:val="18"/>
                <w:szCs w:val="18"/>
              </w:rPr>
              <w:t>​</w:t>
            </w:r>
          </w:p>
        </w:tc>
      </w:tr>
      <w:tr w:rsidR="00000000" w14:paraId="72939A75" w14:textId="77777777">
        <w:trPr>
          <w:divId w:val="1141465298"/>
        </w:trPr>
        <w:tc>
          <w:tcPr>
            <w:tcW w:w="2449" w:type="pct"/>
            <w:tcMar>
              <w:top w:w="0" w:type="dxa"/>
              <w:left w:w="0" w:type="dxa"/>
              <w:bottom w:w="0" w:type="dxa"/>
              <w:right w:w="0" w:type="dxa"/>
            </w:tcMar>
            <w:hideMark/>
          </w:tcPr>
          <w:p w14:paraId="73C348B1" w14:textId="77777777" w:rsidR="00000000" w:rsidRDefault="00097612">
            <w:pPr>
              <w:pStyle w:val="a3"/>
              <w:spacing w:before="0" w:beforeAutospacing="0" w:after="0" w:afterAutospacing="0"/>
              <w:ind w:hanging="200"/>
              <w:jc w:val="center"/>
              <w:rPr>
                <w:sz w:val="18"/>
                <w:szCs w:val="18"/>
              </w:rPr>
            </w:pPr>
            <w:r>
              <w:rPr>
                <w:b/>
                <w:bCs/>
                <w:sz w:val="18"/>
                <w:szCs w:val="18"/>
              </w:rPr>
              <w:t>Ugland House, South Church Street</w:t>
            </w:r>
          </w:p>
        </w:tc>
        <w:tc>
          <w:tcPr>
            <w:tcW w:w="100" w:type="pct"/>
            <w:tcMar>
              <w:top w:w="0" w:type="dxa"/>
              <w:left w:w="0" w:type="dxa"/>
              <w:bottom w:w="0" w:type="dxa"/>
              <w:right w:w="0" w:type="dxa"/>
            </w:tcMar>
            <w:vAlign w:val="bottom"/>
            <w:hideMark/>
          </w:tcPr>
          <w:p w14:paraId="25C89FD2" w14:textId="77777777" w:rsidR="00000000" w:rsidRDefault="00097612">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14:paraId="1CA7F5F6" w14:textId="77777777" w:rsidR="00000000" w:rsidRDefault="00097612">
            <w:pPr>
              <w:pStyle w:val="a3"/>
              <w:spacing w:before="0" w:beforeAutospacing="0" w:after="0" w:afterAutospacing="0"/>
              <w:jc w:val="center"/>
              <w:rPr>
                <w:sz w:val="20"/>
                <w:szCs w:val="20"/>
              </w:rPr>
            </w:pPr>
            <w:r>
              <w:rPr>
                <w:b/>
                <w:bCs/>
                <w:sz w:val="18"/>
                <w:szCs w:val="18"/>
              </w:rPr>
              <w:t>​</w:t>
            </w:r>
          </w:p>
        </w:tc>
      </w:tr>
      <w:tr w:rsidR="00000000" w14:paraId="5A03715E" w14:textId="77777777">
        <w:trPr>
          <w:divId w:val="1141465298"/>
        </w:trPr>
        <w:tc>
          <w:tcPr>
            <w:tcW w:w="2449" w:type="pct"/>
            <w:tcMar>
              <w:top w:w="0" w:type="dxa"/>
              <w:left w:w="0" w:type="dxa"/>
              <w:bottom w:w="0" w:type="dxa"/>
              <w:right w:w="0" w:type="dxa"/>
            </w:tcMar>
            <w:hideMark/>
          </w:tcPr>
          <w:p w14:paraId="23996E45" w14:textId="77777777" w:rsidR="00000000" w:rsidRDefault="00097612">
            <w:pPr>
              <w:pStyle w:val="a3"/>
              <w:spacing w:before="0" w:beforeAutospacing="0" w:after="0" w:afterAutospacing="0"/>
              <w:ind w:hanging="200"/>
              <w:jc w:val="center"/>
              <w:rPr>
                <w:sz w:val="18"/>
                <w:szCs w:val="18"/>
              </w:rPr>
            </w:pPr>
            <w:r>
              <w:rPr>
                <w:b/>
                <w:bCs/>
                <w:sz w:val="18"/>
                <w:szCs w:val="18"/>
              </w:rPr>
              <w:t>George Town, Grand Cayman, Cayman Islands</w:t>
            </w:r>
          </w:p>
        </w:tc>
        <w:tc>
          <w:tcPr>
            <w:tcW w:w="100" w:type="pct"/>
            <w:tcMar>
              <w:top w:w="0" w:type="dxa"/>
              <w:left w:w="0" w:type="dxa"/>
              <w:bottom w:w="0" w:type="dxa"/>
              <w:right w:w="0" w:type="dxa"/>
            </w:tcMar>
            <w:vAlign w:val="bottom"/>
            <w:hideMark/>
          </w:tcPr>
          <w:p w14:paraId="502818F8" w14:textId="77777777" w:rsidR="00000000" w:rsidRDefault="00097612">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14:paraId="2D52BC02" w14:textId="77777777" w:rsidR="00000000" w:rsidRDefault="00097612">
            <w:pPr>
              <w:pStyle w:val="a3"/>
              <w:spacing w:before="0" w:beforeAutospacing="0" w:after="0" w:afterAutospacing="0"/>
              <w:jc w:val="center"/>
              <w:rPr>
                <w:sz w:val="18"/>
                <w:szCs w:val="18"/>
              </w:rPr>
            </w:pPr>
            <w:r>
              <w:rPr>
                <w:b/>
                <w:bCs/>
                <w:sz w:val="18"/>
                <w:szCs w:val="18"/>
              </w:rPr>
              <w:t>KY1-1104</w:t>
            </w:r>
          </w:p>
        </w:tc>
      </w:tr>
      <w:tr w:rsidR="00000000" w14:paraId="48CFB82C" w14:textId="77777777">
        <w:trPr>
          <w:divId w:val="1141465298"/>
        </w:trPr>
        <w:tc>
          <w:tcPr>
            <w:tcW w:w="2449" w:type="pct"/>
            <w:tcMar>
              <w:top w:w="0" w:type="dxa"/>
              <w:left w:w="0" w:type="dxa"/>
              <w:bottom w:w="0" w:type="dxa"/>
              <w:right w:w="0" w:type="dxa"/>
            </w:tcMar>
            <w:hideMark/>
          </w:tcPr>
          <w:p w14:paraId="5120F86B" w14:textId="77777777" w:rsidR="00000000" w:rsidRDefault="00097612">
            <w:pPr>
              <w:pStyle w:val="a3"/>
              <w:spacing w:before="0" w:beforeAutospacing="0" w:after="0" w:afterAutospacing="0"/>
              <w:ind w:hanging="200"/>
              <w:jc w:val="center"/>
              <w:rPr>
                <w:sz w:val="18"/>
                <w:szCs w:val="18"/>
              </w:rPr>
            </w:pPr>
            <w:r>
              <w:rPr>
                <w:sz w:val="18"/>
                <w:szCs w:val="18"/>
              </w:rPr>
              <w:t>(Address of Principal Executive Offices)</w:t>
            </w:r>
          </w:p>
        </w:tc>
        <w:tc>
          <w:tcPr>
            <w:tcW w:w="100" w:type="pct"/>
            <w:tcMar>
              <w:top w:w="0" w:type="dxa"/>
              <w:left w:w="0" w:type="dxa"/>
              <w:bottom w:w="0" w:type="dxa"/>
              <w:right w:w="0" w:type="dxa"/>
            </w:tcMar>
            <w:vAlign w:val="bottom"/>
            <w:hideMark/>
          </w:tcPr>
          <w:p w14:paraId="78E6EF78" w14:textId="77777777" w:rsidR="00000000" w:rsidRDefault="00097612">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4E7DBD30" w14:textId="77777777" w:rsidR="00000000" w:rsidRDefault="00097612">
            <w:pPr>
              <w:pStyle w:val="a3"/>
              <w:spacing w:before="0" w:beforeAutospacing="0" w:after="0" w:afterAutospacing="0"/>
              <w:jc w:val="center"/>
              <w:rPr>
                <w:sz w:val="18"/>
                <w:szCs w:val="18"/>
              </w:rPr>
            </w:pPr>
            <w:r>
              <w:rPr>
                <w:sz w:val="18"/>
                <w:szCs w:val="18"/>
              </w:rPr>
              <w:t>(Zip Code)</w:t>
            </w:r>
          </w:p>
        </w:tc>
      </w:tr>
    </w:tbl>
    <w:p w14:paraId="63D952BD" w14:textId="77777777" w:rsidR="00000000" w:rsidRDefault="00097612">
      <w:pPr>
        <w:pStyle w:val="a3"/>
        <w:spacing w:before="0" w:beforeAutospacing="0" w:after="0" w:afterAutospacing="0"/>
        <w:divId w:val="1141465298"/>
        <w:rPr>
          <w:sz w:val="20"/>
          <w:szCs w:val="20"/>
        </w:rPr>
      </w:pPr>
      <w:r>
        <w:rPr>
          <w:sz w:val="10"/>
          <w:szCs w:val="10"/>
        </w:rPr>
        <w:t>​</w:t>
      </w:r>
    </w:p>
    <w:p w14:paraId="234805F0" w14:textId="77777777" w:rsidR="00000000" w:rsidRDefault="00097612">
      <w:pPr>
        <w:pStyle w:val="a3"/>
        <w:spacing w:before="0" w:beforeAutospacing="0" w:after="0" w:afterAutospacing="0"/>
        <w:jc w:val="center"/>
        <w:divId w:val="1141465298"/>
        <w:rPr>
          <w:sz w:val="18"/>
          <w:szCs w:val="18"/>
        </w:rPr>
      </w:pPr>
      <w:r>
        <w:rPr>
          <w:b/>
          <w:bCs/>
          <w:sz w:val="18"/>
          <w:szCs w:val="18"/>
        </w:rPr>
        <w:t>(650) 808-6000</w:t>
      </w:r>
    </w:p>
    <w:p w14:paraId="1D188388" w14:textId="77777777" w:rsidR="00000000" w:rsidRDefault="00097612">
      <w:pPr>
        <w:pStyle w:val="a3"/>
        <w:spacing w:before="0" w:beforeAutospacing="0" w:after="0" w:afterAutospacing="0"/>
        <w:jc w:val="center"/>
        <w:divId w:val="1141465298"/>
        <w:rPr>
          <w:sz w:val="18"/>
          <w:szCs w:val="18"/>
        </w:rPr>
      </w:pPr>
      <w:r>
        <w:rPr>
          <w:sz w:val="18"/>
          <w:szCs w:val="18"/>
        </w:rPr>
        <w:t>(Registrant’s Telephone Number, Including Area Code)</w:t>
      </w:r>
    </w:p>
    <w:p w14:paraId="507ACCDA" w14:textId="77777777" w:rsidR="00000000" w:rsidRDefault="00097612">
      <w:pPr>
        <w:pStyle w:val="a3"/>
        <w:spacing w:before="0" w:beforeAutospacing="0" w:after="0" w:afterAutospacing="0"/>
        <w:jc w:val="center"/>
        <w:divId w:val="1141465298"/>
        <w:rPr>
          <w:sz w:val="20"/>
          <w:szCs w:val="20"/>
        </w:rPr>
      </w:pPr>
      <w:r>
        <w:rPr>
          <w:sz w:val="10"/>
          <w:szCs w:val="10"/>
        </w:rPr>
        <w:t>​</w:t>
      </w:r>
    </w:p>
    <w:p w14:paraId="121195E0" w14:textId="77777777" w:rsidR="00000000" w:rsidRDefault="00097612">
      <w:pPr>
        <w:pStyle w:val="a3"/>
        <w:spacing w:before="0" w:beforeAutospacing="0" w:after="0" w:afterAutospacing="0"/>
        <w:ind w:firstLine="490"/>
        <w:divId w:val="1141465298"/>
        <w:rPr>
          <w:sz w:val="18"/>
          <w:szCs w:val="18"/>
        </w:rPr>
      </w:pPr>
      <w:r>
        <w:rPr>
          <w:sz w:val="18"/>
          <w:szCs w:val="18"/>
        </w:rPr>
        <w:t>Indicate by check mark whether the registrant: (1) </w:t>
      </w:r>
      <w:r>
        <w:rPr>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sz w:val="18"/>
          <w:szCs w:val="18"/>
        </w:rPr>
        <w:t>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r>
        <w:rPr>
          <w:sz w:val="18"/>
          <w:szCs w:val="18"/>
        </w:rPr>
        <w:t> </w:t>
      </w:r>
    </w:p>
    <w:p w14:paraId="47AF5B36" w14:textId="77777777" w:rsidR="00000000" w:rsidRDefault="00097612">
      <w:pPr>
        <w:pStyle w:val="a3"/>
        <w:spacing w:before="0" w:beforeAutospacing="0" w:after="0" w:afterAutospacing="0"/>
        <w:ind w:firstLine="490"/>
        <w:divId w:val="1141465298"/>
        <w:rPr>
          <w:sz w:val="20"/>
          <w:szCs w:val="20"/>
        </w:rPr>
      </w:pPr>
      <w:r>
        <w:rPr>
          <w:sz w:val="10"/>
          <w:szCs w:val="10"/>
        </w:rPr>
        <w:t>​</w:t>
      </w:r>
    </w:p>
    <w:p w14:paraId="2D4B003C" w14:textId="77777777" w:rsidR="00000000" w:rsidRDefault="00097612">
      <w:pPr>
        <w:pStyle w:val="a3"/>
        <w:spacing w:before="0" w:beforeAutospacing="0" w:after="0" w:afterAutospacing="0"/>
        <w:ind w:firstLine="490"/>
        <w:divId w:val="1141465298"/>
        <w:rPr>
          <w:sz w:val="16"/>
          <w:szCs w:val="16"/>
        </w:rPr>
      </w:pPr>
      <w:r>
        <w:rPr>
          <w:sz w:val="18"/>
          <w:szCs w:val="18"/>
        </w:rPr>
        <w:t>Indicate by check mark whether the registrant has submitted electronically every Interactive Data File required to be submitted pursuant to Rule 405 of Regulation S-T (§ 232.405 of this chapter)</w:t>
      </w:r>
      <w:r>
        <w:rPr>
          <w:sz w:val="16"/>
          <w:szCs w:val="16"/>
        </w:rPr>
        <w:t xml:space="preserve"> </w:t>
      </w:r>
      <w:r>
        <w:rPr>
          <w:sz w:val="18"/>
          <w:szCs w:val="18"/>
        </w:rPr>
        <w:t xml:space="preserve">during </w:t>
      </w:r>
      <w:r>
        <w:rPr>
          <w:sz w:val="18"/>
          <w:szCs w:val="18"/>
        </w:rPr>
        <w:t>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14:paraId="3154BA91" w14:textId="77777777" w:rsidR="00000000" w:rsidRDefault="00097612">
      <w:pPr>
        <w:pStyle w:val="a3"/>
        <w:spacing w:before="0" w:beforeAutospacing="0" w:after="0" w:afterAutospacing="0"/>
        <w:ind w:firstLine="490"/>
        <w:divId w:val="1141465298"/>
        <w:rPr>
          <w:sz w:val="20"/>
          <w:szCs w:val="20"/>
        </w:rPr>
      </w:pPr>
      <w:r>
        <w:rPr>
          <w:sz w:val="10"/>
          <w:szCs w:val="10"/>
        </w:rPr>
        <w:t>​</w:t>
      </w:r>
    </w:p>
    <w:p w14:paraId="1A860C11" w14:textId="77777777" w:rsidR="00000000" w:rsidRDefault="00097612">
      <w:pPr>
        <w:pStyle w:val="a3"/>
        <w:spacing w:before="0" w:beforeAutospacing="0" w:after="0" w:afterAutospacing="0"/>
        <w:ind w:firstLine="490"/>
        <w:divId w:val="1141465298"/>
        <w:rPr>
          <w:sz w:val="18"/>
          <w:szCs w:val="18"/>
        </w:rPr>
      </w:pPr>
      <w:r>
        <w:rPr>
          <w:sz w:val="18"/>
          <w:szCs w:val="18"/>
        </w:rPr>
        <w:t>Indicate by check mark whether the registrant is a large accelerated filer, an accelerated filer, a non-accelerated filer, a smaller r</w:t>
      </w:r>
      <w:r>
        <w:rPr>
          <w:sz w:val="18"/>
          <w:szCs w:val="18"/>
        </w:rPr>
        <w:t xml:space="preserve">eporting company, or emerging growth company. See the definitions of “large accelerated filer,” “accelerated filer,” “smaller reporting company,” and “emerging growth company” in Rule 12b-2 of the Exchange Act. </w:t>
      </w:r>
    </w:p>
    <w:p w14:paraId="2389B547" w14:textId="77777777" w:rsidR="00000000" w:rsidRDefault="00097612">
      <w:pPr>
        <w:pStyle w:val="a3"/>
        <w:spacing w:before="0" w:beforeAutospacing="0" w:after="0" w:afterAutospacing="0"/>
        <w:divId w:val="1141465298"/>
        <w:rPr>
          <w:sz w:val="20"/>
          <w:szCs w:val="20"/>
        </w:rPr>
      </w:pPr>
      <w:r>
        <w:rPr>
          <w:sz w:val="10"/>
          <w:szCs w:val="10"/>
        </w:rPr>
        <w:t>​</w:t>
      </w:r>
    </w:p>
    <w:tbl>
      <w:tblPr>
        <w:tblW w:w="4000" w:type="pct"/>
        <w:tblCellMar>
          <w:top w:w="15" w:type="dxa"/>
          <w:left w:w="0" w:type="dxa"/>
          <w:bottom w:w="15" w:type="dxa"/>
          <w:right w:w="0" w:type="dxa"/>
        </w:tblCellMar>
        <w:tblLook w:val="04A0" w:firstRow="1" w:lastRow="0" w:firstColumn="1" w:lastColumn="0" w:noHBand="0" w:noVBand="1"/>
      </w:tblPr>
      <w:tblGrid>
        <w:gridCol w:w="3025"/>
        <w:gridCol w:w="180"/>
        <w:gridCol w:w="3440"/>
      </w:tblGrid>
      <w:tr w:rsidR="00000000" w14:paraId="4C8F2B1B" w14:textId="77777777">
        <w:trPr>
          <w:divId w:val="1141465298"/>
          <w:trHeight w:val="20"/>
        </w:trPr>
        <w:tc>
          <w:tcPr>
            <w:tcW w:w="2288" w:type="pct"/>
            <w:tcMar>
              <w:top w:w="0" w:type="dxa"/>
              <w:left w:w="0" w:type="dxa"/>
              <w:bottom w:w="0" w:type="dxa"/>
              <w:right w:w="0" w:type="dxa"/>
            </w:tcMar>
            <w:hideMark/>
          </w:tcPr>
          <w:p w14:paraId="74FC3B1C" w14:textId="77777777" w:rsidR="00000000" w:rsidRDefault="00097612">
            <w:pPr>
              <w:pStyle w:val="a3"/>
              <w:spacing w:before="0" w:beforeAutospacing="0" w:after="0" w:afterAutospacing="0"/>
              <w:divId w:val="2066758047"/>
              <w:rPr>
                <w:sz w:val="20"/>
                <w:szCs w:val="20"/>
              </w:rPr>
            </w:pPr>
            <w:r>
              <w:rPr>
                <w:sz w:val="2"/>
                <w:szCs w:val="2"/>
              </w:rPr>
              <w:t>​</w:t>
            </w:r>
          </w:p>
        </w:tc>
        <w:tc>
          <w:tcPr>
            <w:tcW w:w="112" w:type="pct"/>
            <w:tcMar>
              <w:top w:w="0" w:type="dxa"/>
              <w:left w:w="0" w:type="dxa"/>
              <w:bottom w:w="0" w:type="dxa"/>
              <w:right w:w="0" w:type="dxa"/>
            </w:tcMar>
            <w:vAlign w:val="bottom"/>
            <w:hideMark/>
          </w:tcPr>
          <w:p w14:paraId="0B74849B" w14:textId="77777777" w:rsidR="00000000" w:rsidRDefault="00097612">
            <w:pPr>
              <w:pStyle w:val="a3"/>
              <w:spacing w:before="0" w:beforeAutospacing="0" w:after="0" w:afterAutospacing="0"/>
              <w:divId w:val="35324510"/>
              <w:rPr>
                <w:sz w:val="20"/>
                <w:szCs w:val="20"/>
              </w:rPr>
            </w:pPr>
            <w:r>
              <w:rPr>
                <w:sz w:val="2"/>
                <w:szCs w:val="2"/>
              </w:rPr>
              <w:t>​</w:t>
            </w:r>
          </w:p>
        </w:tc>
        <w:tc>
          <w:tcPr>
            <w:tcW w:w="2599" w:type="pct"/>
            <w:tcMar>
              <w:top w:w="0" w:type="dxa"/>
              <w:left w:w="0" w:type="dxa"/>
              <w:bottom w:w="0" w:type="dxa"/>
              <w:right w:w="0" w:type="dxa"/>
            </w:tcMar>
            <w:hideMark/>
          </w:tcPr>
          <w:p w14:paraId="100FE349" w14:textId="77777777" w:rsidR="00000000" w:rsidRDefault="00097612">
            <w:pPr>
              <w:pStyle w:val="a3"/>
              <w:spacing w:before="0" w:beforeAutospacing="0" w:after="0" w:afterAutospacing="0"/>
              <w:divId w:val="414933756"/>
              <w:rPr>
                <w:sz w:val="20"/>
                <w:szCs w:val="20"/>
              </w:rPr>
            </w:pPr>
            <w:r>
              <w:rPr>
                <w:sz w:val="2"/>
                <w:szCs w:val="2"/>
              </w:rPr>
              <w:t>​</w:t>
            </w:r>
          </w:p>
        </w:tc>
      </w:tr>
      <w:tr w:rsidR="00000000" w14:paraId="0D7AD238" w14:textId="77777777">
        <w:trPr>
          <w:divId w:val="1141465298"/>
        </w:trPr>
        <w:tc>
          <w:tcPr>
            <w:tcW w:w="2288" w:type="pct"/>
            <w:tcMar>
              <w:top w:w="0" w:type="dxa"/>
              <w:left w:w="0" w:type="dxa"/>
              <w:bottom w:w="0" w:type="dxa"/>
              <w:right w:w="0" w:type="dxa"/>
            </w:tcMar>
            <w:hideMark/>
          </w:tcPr>
          <w:p w14:paraId="2B757E81" w14:textId="77777777" w:rsidR="00000000" w:rsidRDefault="00097612">
            <w:pPr>
              <w:pStyle w:val="a3"/>
              <w:spacing w:before="0" w:beforeAutospacing="0" w:after="0" w:afterAutospacing="0"/>
              <w:jc w:val="center"/>
              <w:rPr>
                <w:sz w:val="16"/>
                <w:szCs w:val="16"/>
              </w:rPr>
            </w:pPr>
            <w:r>
              <w:rPr>
                <w:sz w:val="18"/>
                <w:szCs w:val="18"/>
              </w:rPr>
              <w:t>Large</w:t>
            </w:r>
            <w:r>
              <w:rPr>
                <w:rFonts w:ascii="Helvetica" w:hAnsi="Helvetica"/>
                <w:sz w:val="16"/>
                <w:szCs w:val="16"/>
              </w:rPr>
              <w:t xml:space="preserve"> </w:t>
            </w:r>
            <w:r>
              <w:rPr>
                <w:sz w:val="18"/>
                <w:szCs w:val="18"/>
              </w:rPr>
              <w:t>Accelerated</w:t>
            </w:r>
            <w:r>
              <w:rPr>
                <w:rFonts w:ascii="Helvetica" w:hAnsi="Helvetica"/>
                <w:sz w:val="16"/>
                <w:szCs w:val="16"/>
              </w:rPr>
              <w:t xml:space="preserve"> </w:t>
            </w:r>
            <w:r>
              <w:rPr>
                <w:sz w:val="18"/>
                <w:szCs w:val="18"/>
              </w:rPr>
              <w:t>Filer</w:t>
            </w:r>
            <w:r>
              <w:rPr>
                <w:rFonts w:ascii="Helvetica" w:hAnsi="Helvetica"/>
                <w:sz w:val="16"/>
                <w:szCs w:val="16"/>
              </w:rPr>
              <w:t xml:space="preserve"> </w:t>
            </w:r>
            <w:r>
              <w:rPr>
                <w:rFonts w:ascii="Segoe UI Symbol" w:hAnsi="Segoe UI Symbol"/>
                <w:sz w:val="18"/>
                <w:szCs w:val="18"/>
              </w:rPr>
              <w:t>☒</w:t>
            </w:r>
          </w:p>
        </w:tc>
        <w:tc>
          <w:tcPr>
            <w:tcW w:w="112" w:type="pct"/>
            <w:tcMar>
              <w:top w:w="0" w:type="dxa"/>
              <w:left w:w="0" w:type="dxa"/>
              <w:bottom w:w="0" w:type="dxa"/>
              <w:right w:w="0" w:type="dxa"/>
            </w:tcMar>
            <w:vAlign w:val="bottom"/>
            <w:hideMark/>
          </w:tcPr>
          <w:p w14:paraId="5582F095" w14:textId="77777777" w:rsidR="00000000" w:rsidRDefault="00097612">
            <w:pPr>
              <w:pStyle w:val="a3"/>
              <w:spacing w:before="0" w:beforeAutospacing="0" w:after="0" w:afterAutospacing="0"/>
              <w:rPr>
                <w:sz w:val="18"/>
                <w:szCs w:val="18"/>
              </w:rPr>
            </w:pPr>
            <w:r>
              <w:rPr>
                <w:sz w:val="18"/>
                <w:szCs w:val="18"/>
              </w:rPr>
              <w:t>    </w:t>
            </w:r>
          </w:p>
        </w:tc>
        <w:tc>
          <w:tcPr>
            <w:tcW w:w="2599" w:type="pct"/>
            <w:tcMar>
              <w:top w:w="0" w:type="dxa"/>
              <w:left w:w="0" w:type="dxa"/>
              <w:bottom w:w="0" w:type="dxa"/>
              <w:right w:w="0" w:type="dxa"/>
            </w:tcMar>
            <w:hideMark/>
          </w:tcPr>
          <w:p w14:paraId="1B54562E" w14:textId="77777777" w:rsidR="00000000" w:rsidRDefault="00097612">
            <w:pPr>
              <w:pStyle w:val="a3"/>
              <w:spacing w:before="0" w:beforeAutospacing="0" w:after="0" w:afterAutospacing="0"/>
              <w:jc w:val="center"/>
              <w:rPr>
                <w:sz w:val="18"/>
                <w:szCs w:val="18"/>
              </w:rPr>
            </w:pPr>
            <w:r>
              <w:rPr>
                <w:sz w:val="18"/>
                <w:szCs w:val="18"/>
              </w:rPr>
              <w:t>Smaller Reporting Company </w:t>
            </w:r>
            <w:r>
              <w:rPr>
                <w:rFonts w:ascii="Segoe UI Symbol" w:hAnsi="Segoe UI Symbol"/>
                <w:sz w:val="18"/>
                <w:szCs w:val="18"/>
              </w:rPr>
              <w:t>☐</w:t>
            </w:r>
          </w:p>
        </w:tc>
      </w:tr>
      <w:tr w:rsidR="00000000" w14:paraId="0C7DE555" w14:textId="77777777">
        <w:trPr>
          <w:divId w:val="1141465298"/>
        </w:trPr>
        <w:tc>
          <w:tcPr>
            <w:tcW w:w="2288" w:type="pct"/>
            <w:tcMar>
              <w:top w:w="0" w:type="dxa"/>
              <w:left w:w="0" w:type="dxa"/>
              <w:bottom w:w="0" w:type="dxa"/>
              <w:right w:w="0" w:type="dxa"/>
            </w:tcMar>
            <w:hideMark/>
          </w:tcPr>
          <w:p w14:paraId="3BDF67F7" w14:textId="77777777" w:rsidR="00000000" w:rsidRDefault="00097612">
            <w:pPr>
              <w:pStyle w:val="a3"/>
              <w:spacing w:before="0" w:beforeAutospacing="0" w:after="0" w:afterAutospacing="0"/>
              <w:jc w:val="center"/>
              <w:rPr>
                <w:sz w:val="18"/>
                <w:szCs w:val="18"/>
              </w:rPr>
            </w:pPr>
            <w:r>
              <w:rPr>
                <w:sz w:val="18"/>
                <w:szCs w:val="18"/>
              </w:rPr>
              <w:lastRenderedPageBreak/>
              <w:t xml:space="preserve">Non-accelerated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14:paraId="04A43C5C" w14:textId="77777777" w:rsidR="00000000" w:rsidRDefault="00097612">
            <w:pPr>
              <w:pStyle w:val="a3"/>
              <w:spacing w:before="0" w:beforeAutospacing="0" w:after="0" w:afterAutospacing="0"/>
              <w:rPr>
                <w:sz w:val="20"/>
                <w:szCs w:val="20"/>
              </w:rPr>
            </w:pPr>
            <w:r>
              <w:rPr>
                <w:sz w:val="10"/>
                <w:szCs w:val="10"/>
              </w:rPr>
              <w:t>​</w:t>
            </w:r>
          </w:p>
        </w:tc>
        <w:tc>
          <w:tcPr>
            <w:tcW w:w="2599" w:type="pct"/>
            <w:tcMar>
              <w:top w:w="0" w:type="dxa"/>
              <w:left w:w="0" w:type="dxa"/>
              <w:bottom w:w="0" w:type="dxa"/>
              <w:right w:w="0" w:type="dxa"/>
            </w:tcMar>
            <w:hideMark/>
          </w:tcPr>
          <w:p w14:paraId="2BAC4FCB" w14:textId="77777777" w:rsidR="00000000" w:rsidRDefault="00097612">
            <w:pPr>
              <w:pStyle w:val="a3"/>
              <w:spacing w:before="0" w:beforeAutospacing="0" w:after="0" w:afterAutospacing="0"/>
              <w:jc w:val="center"/>
              <w:rPr>
                <w:sz w:val="18"/>
                <w:szCs w:val="18"/>
              </w:rPr>
            </w:pPr>
            <w:r>
              <w:rPr>
                <w:sz w:val="18"/>
                <w:szCs w:val="18"/>
              </w:rPr>
              <w:t xml:space="preserve">Emerging Growth Company </w:t>
            </w:r>
            <w:r>
              <w:rPr>
                <w:rFonts w:ascii="Segoe UI Symbol" w:hAnsi="Segoe UI Symbol"/>
                <w:sz w:val="18"/>
                <w:szCs w:val="18"/>
              </w:rPr>
              <w:t>☐</w:t>
            </w:r>
          </w:p>
        </w:tc>
      </w:tr>
      <w:tr w:rsidR="00000000" w14:paraId="48786554" w14:textId="77777777">
        <w:trPr>
          <w:divId w:val="1141465298"/>
        </w:trPr>
        <w:tc>
          <w:tcPr>
            <w:tcW w:w="2288" w:type="pct"/>
            <w:tcMar>
              <w:top w:w="0" w:type="dxa"/>
              <w:left w:w="0" w:type="dxa"/>
              <w:bottom w:w="0" w:type="dxa"/>
              <w:right w:w="0" w:type="dxa"/>
            </w:tcMar>
            <w:hideMark/>
          </w:tcPr>
          <w:p w14:paraId="54D3A566" w14:textId="77777777" w:rsidR="00000000" w:rsidRDefault="00097612">
            <w:pPr>
              <w:pStyle w:val="a3"/>
              <w:spacing w:before="0" w:beforeAutospacing="0" w:after="0" w:afterAutospacing="0"/>
              <w:jc w:val="center"/>
              <w:rPr>
                <w:sz w:val="18"/>
                <w:szCs w:val="18"/>
              </w:rPr>
            </w:pPr>
            <w:r>
              <w:rPr>
                <w:sz w:val="18"/>
                <w:szCs w:val="18"/>
              </w:rPr>
              <w:t>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14:paraId="567D2ABF" w14:textId="77777777" w:rsidR="00000000" w:rsidRDefault="00097612">
            <w:pPr>
              <w:pStyle w:val="a3"/>
              <w:spacing w:before="0" w:beforeAutospacing="0" w:after="0" w:afterAutospacing="0"/>
              <w:rPr>
                <w:sz w:val="20"/>
                <w:szCs w:val="20"/>
              </w:rPr>
            </w:pPr>
            <w:r>
              <w:rPr>
                <w:sz w:val="18"/>
                <w:szCs w:val="18"/>
              </w:rPr>
              <w:t>​</w:t>
            </w:r>
          </w:p>
        </w:tc>
        <w:tc>
          <w:tcPr>
            <w:tcW w:w="2599" w:type="pct"/>
            <w:tcMar>
              <w:top w:w="0" w:type="dxa"/>
              <w:left w:w="0" w:type="dxa"/>
              <w:bottom w:w="0" w:type="dxa"/>
              <w:right w:w="0" w:type="dxa"/>
            </w:tcMar>
            <w:hideMark/>
          </w:tcPr>
          <w:p w14:paraId="1ADDC26C" w14:textId="77777777" w:rsidR="00000000" w:rsidRDefault="00097612">
            <w:pPr>
              <w:pStyle w:val="a3"/>
              <w:spacing w:before="0" w:beforeAutospacing="0" w:after="0" w:afterAutospacing="0"/>
              <w:jc w:val="center"/>
              <w:rPr>
                <w:sz w:val="20"/>
                <w:szCs w:val="20"/>
              </w:rPr>
            </w:pPr>
            <w:r>
              <w:rPr>
                <w:sz w:val="18"/>
                <w:szCs w:val="18"/>
              </w:rPr>
              <w:t>​</w:t>
            </w:r>
          </w:p>
        </w:tc>
      </w:tr>
    </w:tbl>
    <w:p w14:paraId="4DD414EB" w14:textId="77777777" w:rsidR="00000000" w:rsidRDefault="00097612">
      <w:pPr>
        <w:pStyle w:val="a3"/>
        <w:spacing w:before="0" w:beforeAutospacing="0" w:after="0" w:afterAutospacing="0"/>
        <w:divId w:val="1141465298"/>
        <w:rPr>
          <w:sz w:val="20"/>
          <w:szCs w:val="20"/>
        </w:rPr>
      </w:pPr>
      <w:r>
        <w:rPr>
          <w:sz w:val="10"/>
          <w:szCs w:val="10"/>
        </w:rPr>
        <w:t>​</w:t>
      </w:r>
    </w:p>
    <w:p w14:paraId="5C334732" w14:textId="77777777" w:rsidR="00000000" w:rsidRDefault="00097612">
      <w:pPr>
        <w:pStyle w:val="a3"/>
        <w:spacing w:before="0" w:beforeAutospacing="0" w:after="0" w:afterAutospacing="0"/>
        <w:ind w:firstLine="490"/>
        <w:divId w:val="1141465298"/>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14:paraId="363F4279" w14:textId="77777777" w:rsidR="00000000" w:rsidRDefault="00097612">
      <w:pPr>
        <w:pStyle w:val="a3"/>
        <w:spacing w:before="0" w:beforeAutospacing="0" w:after="0" w:afterAutospacing="0"/>
        <w:ind w:firstLine="490"/>
        <w:divId w:val="1141465298"/>
        <w:rPr>
          <w:sz w:val="20"/>
          <w:szCs w:val="20"/>
        </w:rPr>
      </w:pPr>
      <w:r>
        <w:rPr>
          <w:sz w:val="10"/>
          <w:szCs w:val="10"/>
        </w:rPr>
        <w:t>​</w:t>
      </w:r>
    </w:p>
    <w:p w14:paraId="33E5F8B8" w14:textId="77777777" w:rsidR="00000000" w:rsidRDefault="00097612">
      <w:pPr>
        <w:pStyle w:val="a3"/>
        <w:spacing w:before="0" w:beforeAutospacing="0" w:after="0" w:afterAutospacing="0"/>
        <w:ind w:firstLine="490"/>
        <w:divId w:val="1141465298"/>
        <w:rPr>
          <w:sz w:val="18"/>
          <w:szCs w:val="18"/>
        </w:rPr>
      </w:pPr>
      <w:r>
        <w:rPr>
          <w:sz w:val="18"/>
          <w:szCs w:val="18"/>
        </w:rPr>
        <w:t>I</w:t>
      </w:r>
      <w:r>
        <w:rPr>
          <w:sz w:val="18"/>
          <w:szCs w:val="18"/>
        </w:rPr>
        <w:t>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14:paraId="18837FBE" w14:textId="77777777" w:rsidR="00000000" w:rsidRDefault="00097612">
      <w:pPr>
        <w:pStyle w:val="a3"/>
        <w:spacing w:before="0" w:beforeAutospacing="0" w:after="0" w:afterAutospacing="0"/>
        <w:ind w:firstLine="490"/>
        <w:divId w:val="1141465298"/>
        <w:rPr>
          <w:sz w:val="20"/>
          <w:szCs w:val="20"/>
        </w:rPr>
      </w:pPr>
      <w:r>
        <w:rPr>
          <w:sz w:val="10"/>
          <w:szCs w:val="10"/>
        </w:rPr>
        <w:t>​</w:t>
      </w:r>
    </w:p>
    <w:p w14:paraId="07C847C9" w14:textId="77777777" w:rsidR="00000000" w:rsidRDefault="00097612">
      <w:pPr>
        <w:pStyle w:val="a3"/>
        <w:spacing w:before="0" w:beforeAutospacing="0" w:after="60" w:afterAutospacing="0"/>
        <w:ind w:firstLine="490"/>
        <w:divId w:val="1141465298"/>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2740"/>
        <w:gridCol w:w="185"/>
        <w:gridCol w:w="185"/>
        <w:gridCol w:w="1367"/>
        <w:gridCol w:w="183"/>
        <w:gridCol w:w="3646"/>
      </w:tblGrid>
      <w:tr w:rsidR="00000000" w14:paraId="5A989FD3" w14:textId="77777777">
        <w:trPr>
          <w:divId w:val="1141465298"/>
          <w:trHeight w:val="20"/>
        </w:trPr>
        <w:tc>
          <w:tcPr>
            <w:tcW w:w="1648" w:type="pct"/>
            <w:noWrap/>
            <w:tcMar>
              <w:top w:w="0" w:type="dxa"/>
              <w:left w:w="0" w:type="dxa"/>
              <w:bottom w:w="0" w:type="dxa"/>
              <w:right w:w="0" w:type="dxa"/>
            </w:tcMar>
            <w:vAlign w:val="bottom"/>
            <w:hideMark/>
          </w:tcPr>
          <w:p w14:paraId="2976A07E" w14:textId="77777777" w:rsidR="00000000" w:rsidRDefault="00097612">
            <w:pPr>
              <w:rPr>
                <w:sz w:val="18"/>
                <w:szCs w:val="18"/>
              </w:rPr>
            </w:pPr>
          </w:p>
        </w:tc>
        <w:tc>
          <w:tcPr>
            <w:tcW w:w="111" w:type="pct"/>
            <w:tcMar>
              <w:top w:w="0" w:type="dxa"/>
              <w:left w:w="0" w:type="dxa"/>
              <w:bottom w:w="0" w:type="dxa"/>
              <w:right w:w="0" w:type="dxa"/>
            </w:tcMar>
            <w:hideMark/>
          </w:tcPr>
          <w:p w14:paraId="46F7DDA3" w14:textId="77777777" w:rsidR="00000000" w:rsidRDefault="00097612">
            <w:pPr>
              <w:pStyle w:val="a3"/>
              <w:spacing w:before="0" w:beforeAutospacing="0" w:after="0" w:afterAutospacing="0"/>
              <w:divId w:val="1108893963"/>
              <w:rPr>
                <w:sz w:val="20"/>
                <w:szCs w:val="20"/>
              </w:rPr>
            </w:pPr>
            <w:r>
              <w:rPr>
                <w:sz w:val="2"/>
                <w:szCs w:val="2"/>
              </w:rPr>
              <w:t>​</w:t>
            </w:r>
          </w:p>
        </w:tc>
        <w:tc>
          <w:tcPr>
            <w:tcW w:w="111" w:type="pct"/>
            <w:tcMar>
              <w:top w:w="0" w:type="dxa"/>
              <w:left w:w="0" w:type="dxa"/>
              <w:bottom w:w="0" w:type="dxa"/>
              <w:right w:w="0" w:type="dxa"/>
            </w:tcMar>
            <w:hideMark/>
          </w:tcPr>
          <w:p w14:paraId="2DFE8437" w14:textId="77777777" w:rsidR="00000000" w:rsidRDefault="00097612">
            <w:pPr>
              <w:rPr>
                <w:sz w:val="20"/>
                <w:szCs w:val="20"/>
              </w:rPr>
            </w:pPr>
          </w:p>
        </w:tc>
        <w:tc>
          <w:tcPr>
            <w:tcW w:w="823" w:type="pct"/>
            <w:noWrap/>
            <w:tcMar>
              <w:top w:w="0" w:type="dxa"/>
              <w:left w:w="0" w:type="dxa"/>
              <w:bottom w:w="0" w:type="dxa"/>
              <w:right w:w="0" w:type="dxa"/>
            </w:tcMar>
            <w:vAlign w:val="bottom"/>
            <w:hideMark/>
          </w:tcPr>
          <w:p w14:paraId="18230F32" w14:textId="77777777" w:rsidR="00000000" w:rsidRDefault="00097612">
            <w:pPr>
              <w:rPr>
                <w:rFonts w:eastAsia="Times New Roman"/>
                <w:sz w:val="20"/>
                <w:szCs w:val="20"/>
              </w:rPr>
            </w:pPr>
          </w:p>
        </w:tc>
        <w:tc>
          <w:tcPr>
            <w:tcW w:w="110" w:type="pct"/>
            <w:tcMar>
              <w:top w:w="0" w:type="dxa"/>
              <w:left w:w="0" w:type="dxa"/>
              <w:bottom w:w="0" w:type="dxa"/>
              <w:right w:w="0" w:type="dxa"/>
            </w:tcMar>
            <w:hideMark/>
          </w:tcPr>
          <w:p w14:paraId="140AA325" w14:textId="77777777" w:rsidR="00000000" w:rsidRDefault="00097612">
            <w:pPr>
              <w:rPr>
                <w:rFonts w:eastAsia="Times New Roman"/>
                <w:sz w:val="20"/>
                <w:szCs w:val="20"/>
              </w:rPr>
            </w:pPr>
          </w:p>
        </w:tc>
        <w:tc>
          <w:tcPr>
            <w:tcW w:w="2194" w:type="pct"/>
            <w:noWrap/>
            <w:tcMar>
              <w:top w:w="0" w:type="dxa"/>
              <w:left w:w="0" w:type="dxa"/>
              <w:bottom w:w="0" w:type="dxa"/>
              <w:right w:w="0" w:type="dxa"/>
            </w:tcMar>
            <w:vAlign w:val="bottom"/>
            <w:hideMark/>
          </w:tcPr>
          <w:p w14:paraId="77217BD5" w14:textId="77777777" w:rsidR="00000000" w:rsidRDefault="00097612">
            <w:pPr>
              <w:rPr>
                <w:rFonts w:eastAsia="Times New Roman"/>
                <w:sz w:val="20"/>
                <w:szCs w:val="20"/>
              </w:rPr>
            </w:pPr>
          </w:p>
        </w:tc>
      </w:tr>
      <w:tr w:rsidR="00000000" w14:paraId="0906DF67" w14:textId="77777777">
        <w:trPr>
          <w:divId w:val="1141465298"/>
        </w:trPr>
        <w:tc>
          <w:tcPr>
            <w:tcW w:w="1648" w:type="pct"/>
            <w:noWrap/>
            <w:tcMar>
              <w:top w:w="0" w:type="dxa"/>
              <w:left w:w="0" w:type="dxa"/>
              <w:bottom w:w="0" w:type="dxa"/>
              <w:right w:w="0" w:type="dxa"/>
            </w:tcMar>
            <w:vAlign w:val="bottom"/>
            <w:hideMark/>
          </w:tcPr>
          <w:p w14:paraId="2C384ED3" w14:textId="77777777" w:rsidR="00000000" w:rsidRDefault="00097612">
            <w:pPr>
              <w:pStyle w:val="a3"/>
              <w:spacing w:before="0" w:beforeAutospacing="0" w:after="0" w:afterAutospacing="0"/>
              <w:jc w:val="center"/>
              <w:rPr>
                <w:sz w:val="16"/>
                <w:szCs w:val="16"/>
              </w:rPr>
            </w:pPr>
            <w:r>
              <w:rPr>
                <w:b/>
                <w:bCs/>
                <w:sz w:val="16"/>
                <w:szCs w:val="16"/>
                <w:u w:val="single"/>
              </w:rPr>
              <w:t>Title of each class</w:t>
            </w:r>
          </w:p>
        </w:tc>
        <w:tc>
          <w:tcPr>
            <w:tcW w:w="111" w:type="pct"/>
            <w:tcMar>
              <w:top w:w="0" w:type="dxa"/>
              <w:left w:w="0" w:type="dxa"/>
              <w:bottom w:w="0" w:type="dxa"/>
              <w:right w:w="0" w:type="dxa"/>
            </w:tcMar>
            <w:hideMark/>
          </w:tcPr>
          <w:p w14:paraId="0734C115" w14:textId="77777777" w:rsidR="00000000" w:rsidRDefault="00097612">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hideMark/>
          </w:tcPr>
          <w:p w14:paraId="0DE00099" w14:textId="77777777" w:rsidR="00000000" w:rsidRDefault="00097612">
            <w:pPr>
              <w:pStyle w:val="a3"/>
              <w:spacing w:before="0" w:beforeAutospacing="0" w:after="0" w:afterAutospacing="0"/>
              <w:jc w:val="center"/>
              <w:rPr>
                <w:sz w:val="16"/>
                <w:szCs w:val="16"/>
              </w:rPr>
            </w:pPr>
            <w:r>
              <w:rPr>
                <w:b/>
                <w:bCs/>
                <w:sz w:val="16"/>
                <w:szCs w:val="16"/>
              </w:rPr>
              <w:t>    </w:t>
            </w:r>
          </w:p>
        </w:tc>
        <w:tc>
          <w:tcPr>
            <w:tcW w:w="823" w:type="pct"/>
            <w:noWrap/>
            <w:tcMar>
              <w:top w:w="0" w:type="dxa"/>
              <w:left w:w="0" w:type="dxa"/>
              <w:bottom w:w="0" w:type="dxa"/>
              <w:right w:w="0" w:type="dxa"/>
            </w:tcMar>
            <w:vAlign w:val="bottom"/>
            <w:hideMark/>
          </w:tcPr>
          <w:p w14:paraId="6583A95F" w14:textId="77777777" w:rsidR="00000000" w:rsidRDefault="00097612">
            <w:pPr>
              <w:pStyle w:val="a3"/>
              <w:spacing w:before="0" w:beforeAutospacing="0" w:after="0" w:afterAutospacing="0"/>
              <w:jc w:val="center"/>
              <w:rPr>
                <w:sz w:val="16"/>
                <w:szCs w:val="16"/>
              </w:rPr>
            </w:pPr>
            <w:r>
              <w:rPr>
                <w:b/>
                <w:bCs/>
                <w:sz w:val="16"/>
                <w:szCs w:val="16"/>
                <w:u w:val="single"/>
              </w:rPr>
              <w:t>Trading Symbol</w:t>
            </w:r>
          </w:p>
        </w:tc>
        <w:tc>
          <w:tcPr>
            <w:tcW w:w="110" w:type="pct"/>
            <w:tcMar>
              <w:top w:w="0" w:type="dxa"/>
              <w:left w:w="0" w:type="dxa"/>
              <w:bottom w:w="0" w:type="dxa"/>
              <w:right w:w="0" w:type="dxa"/>
            </w:tcMar>
            <w:hideMark/>
          </w:tcPr>
          <w:p w14:paraId="07059FC5" w14:textId="77777777" w:rsidR="00000000" w:rsidRDefault="00097612">
            <w:pPr>
              <w:pStyle w:val="a3"/>
              <w:spacing w:before="0" w:beforeAutospacing="0" w:after="0" w:afterAutospacing="0"/>
              <w:jc w:val="center"/>
              <w:rPr>
                <w:sz w:val="16"/>
                <w:szCs w:val="16"/>
              </w:rPr>
            </w:pPr>
            <w:r>
              <w:rPr>
                <w:b/>
                <w:bCs/>
                <w:sz w:val="16"/>
                <w:szCs w:val="16"/>
              </w:rPr>
              <w:t>    </w:t>
            </w:r>
          </w:p>
        </w:tc>
        <w:tc>
          <w:tcPr>
            <w:tcW w:w="2194" w:type="pct"/>
            <w:noWrap/>
            <w:tcMar>
              <w:top w:w="0" w:type="dxa"/>
              <w:left w:w="0" w:type="dxa"/>
              <w:bottom w:w="0" w:type="dxa"/>
              <w:right w:w="0" w:type="dxa"/>
            </w:tcMar>
            <w:vAlign w:val="bottom"/>
            <w:hideMark/>
          </w:tcPr>
          <w:p w14:paraId="7DCEFE83" w14:textId="77777777" w:rsidR="00000000" w:rsidRDefault="00097612">
            <w:pPr>
              <w:pStyle w:val="a3"/>
              <w:spacing w:before="0" w:beforeAutospacing="0" w:after="0" w:afterAutospacing="0"/>
              <w:jc w:val="center"/>
              <w:rPr>
                <w:sz w:val="16"/>
                <w:szCs w:val="16"/>
              </w:rPr>
            </w:pPr>
            <w:r>
              <w:rPr>
                <w:b/>
                <w:bCs/>
                <w:sz w:val="16"/>
                <w:szCs w:val="16"/>
                <w:u w:val="single"/>
              </w:rPr>
              <w:t>Name of each exchange on which registered</w:t>
            </w:r>
          </w:p>
        </w:tc>
      </w:tr>
      <w:tr w:rsidR="00000000" w14:paraId="45C1EED3" w14:textId="77777777">
        <w:trPr>
          <w:divId w:val="1141465298"/>
        </w:trPr>
        <w:tc>
          <w:tcPr>
            <w:tcW w:w="1648" w:type="pct"/>
            <w:tcMar>
              <w:top w:w="0" w:type="dxa"/>
              <w:left w:w="0" w:type="dxa"/>
              <w:bottom w:w="0" w:type="dxa"/>
              <w:right w:w="0" w:type="dxa"/>
            </w:tcMar>
            <w:hideMark/>
          </w:tcPr>
          <w:p w14:paraId="67B536FA" w14:textId="77777777" w:rsidR="00000000" w:rsidRDefault="00097612">
            <w:pPr>
              <w:pStyle w:val="a3"/>
              <w:spacing w:before="0" w:beforeAutospacing="0" w:after="0" w:afterAutospacing="0"/>
              <w:jc w:val="center"/>
              <w:rPr>
                <w:sz w:val="18"/>
                <w:szCs w:val="18"/>
              </w:rPr>
            </w:pPr>
            <w:r>
              <w:rPr>
                <w:sz w:val="18"/>
                <w:szCs w:val="18"/>
              </w:rPr>
              <w:t>Ordinary Share $0.00001 Par Value</w:t>
            </w:r>
          </w:p>
        </w:tc>
        <w:tc>
          <w:tcPr>
            <w:tcW w:w="111" w:type="pct"/>
            <w:tcMar>
              <w:top w:w="0" w:type="dxa"/>
              <w:left w:w="0" w:type="dxa"/>
              <w:bottom w:w="0" w:type="dxa"/>
              <w:right w:w="0" w:type="dxa"/>
            </w:tcMar>
            <w:hideMark/>
          </w:tcPr>
          <w:p w14:paraId="2E0AF661" w14:textId="77777777" w:rsidR="00000000" w:rsidRDefault="00097612">
            <w:pPr>
              <w:pStyle w:val="a3"/>
              <w:spacing w:before="0" w:beforeAutospacing="0" w:after="0" w:afterAutospacing="0"/>
              <w:jc w:val="center"/>
              <w:rPr>
                <w:sz w:val="20"/>
                <w:szCs w:val="20"/>
              </w:rPr>
            </w:pPr>
            <w:r>
              <w:rPr>
                <w:sz w:val="18"/>
                <w:szCs w:val="18"/>
              </w:rPr>
              <w:t>​</w:t>
            </w:r>
          </w:p>
        </w:tc>
        <w:tc>
          <w:tcPr>
            <w:tcW w:w="111" w:type="pct"/>
            <w:tcMar>
              <w:top w:w="0" w:type="dxa"/>
              <w:left w:w="0" w:type="dxa"/>
              <w:bottom w:w="0" w:type="dxa"/>
              <w:right w:w="0" w:type="dxa"/>
            </w:tcMar>
            <w:hideMark/>
          </w:tcPr>
          <w:p w14:paraId="759AADBE" w14:textId="77777777" w:rsidR="00000000" w:rsidRDefault="00097612">
            <w:pPr>
              <w:pStyle w:val="a3"/>
              <w:spacing w:before="0" w:beforeAutospacing="0" w:after="0" w:afterAutospacing="0"/>
              <w:jc w:val="center"/>
              <w:rPr>
                <w:sz w:val="20"/>
                <w:szCs w:val="20"/>
              </w:rPr>
            </w:pPr>
            <w:r>
              <w:rPr>
                <w:sz w:val="18"/>
                <w:szCs w:val="18"/>
              </w:rPr>
              <w:t>​</w:t>
            </w:r>
          </w:p>
        </w:tc>
        <w:tc>
          <w:tcPr>
            <w:tcW w:w="823" w:type="pct"/>
            <w:tcMar>
              <w:top w:w="0" w:type="dxa"/>
              <w:left w:w="0" w:type="dxa"/>
              <w:bottom w:w="0" w:type="dxa"/>
              <w:right w:w="0" w:type="dxa"/>
            </w:tcMar>
            <w:hideMark/>
          </w:tcPr>
          <w:p w14:paraId="4A084F4E" w14:textId="77777777" w:rsidR="00000000" w:rsidRDefault="00097612">
            <w:pPr>
              <w:pStyle w:val="a3"/>
              <w:spacing w:before="0" w:beforeAutospacing="0" w:after="0" w:afterAutospacing="0"/>
              <w:jc w:val="center"/>
              <w:rPr>
                <w:sz w:val="18"/>
                <w:szCs w:val="18"/>
              </w:rPr>
            </w:pPr>
            <w:r>
              <w:rPr>
                <w:sz w:val="18"/>
                <w:szCs w:val="18"/>
              </w:rPr>
              <w:t>TBPH</w:t>
            </w:r>
          </w:p>
        </w:tc>
        <w:tc>
          <w:tcPr>
            <w:tcW w:w="110" w:type="pct"/>
            <w:tcMar>
              <w:top w:w="0" w:type="dxa"/>
              <w:left w:w="0" w:type="dxa"/>
              <w:bottom w:w="0" w:type="dxa"/>
              <w:right w:w="0" w:type="dxa"/>
            </w:tcMar>
            <w:hideMark/>
          </w:tcPr>
          <w:p w14:paraId="3BD731C9" w14:textId="77777777" w:rsidR="00000000" w:rsidRDefault="00097612">
            <w:pPr>
              <w:pStyle w:val="a3"/>
              <w:spacing w:before="0" w:beforeAutospacing="0" w:after="0" w:afterAutospacing="0"/>
              <w:jc w:val="center"/>
              <w:rPr>
                <w:sz w:val="20"/>
                <w:szCs w:val="20"/>
              </w:rPr>
            </w:pPr>
            <w:r>
              <w:rPr>
                <w:sz w:val="18"/>
                <w:szCs w:val="18"/>
              </w:rPr>
              <w:t>​</w:t>
            </w:r>
          </w:p>
        </w:tc>
        <w:tc>
          <w:tcPr>
            <w:tcW w:w="2194" w:type="pct"/>
            <w:tcMar>
              <w:top w:w="0" w:type="dxa"/>
              <w:left w:w="0" w:type="dxa"/>
              <w:bottom w:w="0" w:type="dxa"/>
              <w:right w:w="0" w:type="dxa"/>
            </w:tcMar>
            <w:hideMark/>
          </w:tcPr>
          <w:p w14:paraId="499DCCAD" w14:textId="77777777" w:rsidR="00000000" w:rsidRDefault="00097612">
            <w:pPr>
              <w:pStyle w:val="a3"/>
              <w:spacing w:before="0" w:beforeAutospacing="0" w:after="0" w:afterAutospacing="0"/>
              <w:jc w:val="center"/>
              <w:rPr>
                <w:sz w:val="18"/>
                <w:szCs w:val="18"/>
              </w:rPr>
            </w:pPr>
            <w:r>
              <w:rPr>
                <w:sz w:val="18"/>
                <w:szCs w:val="18"/>
              </w:rPr>
              <w:t>The Nasdaq Global Market</w:t>
            </w:r>
          </w:p>
        </w:tc>
      </w:tr>
    </w:tbl>
    <w:p w14:paraId="3BF3F6A9" w14:textId="77777777" w:rsidR="00000000" w:rsidRDefault="00097612">
      <w:pPr>
        <w:pStyle w:val="a3"/>
        <w:spacing w:before="0" w:beforeAutospacing="0" w:after="0" w:afterAutospacing="0"/>
        <w:ind w:firstLine="490"/>
        <w:divId w:val="1141465298"/>
        <w:rPr>
          <w:sz w:val="20"/>
          <w:szCs w:val="20"/>
        </w:rPr>
      </w:pPr>
      <w:r>
        <w:rPr>
          <w:sz w:val="10"/>
          <w:szCs w:val="10"/>
        </w:rPr>
        <w:t>​</w:t>
      </w:r>
    </w:p>
    <w:p w14:paraId="194A7B5A" w14:textId="77777777" w:rsidR="00000000" w:rsidRDefault="00097612">
      <w:pPr>
        <w:pStyle w:val="a3"/>
        <w:spacing w:before="0" w:beforeAutospacing="0" w:after="0" w:afterAutospacing="0"/>
        <w:ind w:firstLine="490"/>
        <w:divId w:val="1141465298"/>
        <w:rPr>
          <w:sz w:val="18"/>
          <w:szCs w:val="18"/>
        </w:rPr>
      </w:pPr>
      <w:r>
        <w:rPr>
          <w:sz w:val="18"/>
          <w:szCs w:val="18"/>
        </w:rPr>
        <w:t>As of October 25, 2019, the number of the registrant’s outstanding ordinary shares was 56,762,307</w:t>
      </w:r>
      <w:r>
        <w:rPr>
          <w:sz w:val="20"/>
          <w:szCs w:val="20"/>
        </w:rPr>
        <w:t>.</w:t>
      </w:r>
    </w:p>
    <w:p w14:paraId="596AE9E2" w14:textId="77777777" w:rsidR="00000000" w:rsidRDefault="00097612">
      <w:pPr>
        <w:pStyle w:val="a3"/>
        <w:pBdr>
          <w:top w:val="single" w:sz="8" w:space="1" w:color="000000"/>
          <w:bottom w:val="single" w:sz="24" w:space="1" w:color="000000"/>
        </w:pBdr>
        <w:spacing w:before="0" w:beforeAutospacing="0" w:after="0" w:afterAutospacing="0"/>
        <w:divId w:val="1141465298"/>
        <w:rPr>
          <w:sz w:val="20"/>
          <w:szCs w:val="20"/>
        </w:rPr>
      </w:pPr>
      <w:r>
        <w:rPr>
          <w:sz w:val="2"/>
          <w:szCs w:val="2"/>
        </w:rPr>
        <w:t>​</w:t>
      </w:r>
    </w:p>
    <w:p w14:paraId="759B7A29" w14:textId="77777777" w:rsidR="00000000" w:rsidRDefault="00097612">
      <w:pPr>
        <w:pStyle w:val="a3"/>
        <w:spacing w:before="0" w:beforeAutospacing="0" w:after="0" w:afterAutospacing="0" w:line="0" w:lineRule="atLeast"/>
        <w:jc w:val="center"/>
        <w:divId w:val="1141465298"/>
        <w:rPr>
          <w:vanish/>
        </w:rPr>
      </w:pPr>
      <w:r>
        <w:rPr>
          <w:vanish/>
          <w:sz w:val="2"/>
          <w:szCs w:val="2"/>
        </w:rPr>
        <w:t>​</w:t>
      </w:r>
    </w:p>
    <w:p w14:paraId="68AA68C9" w14:textId="77777777" w:rsidR="00000000" w:rsidRDefault="00097612">
      <w:pPr>
        <w:pStyle w:val="a3"/>
        <w:spacing w:before="0" w:beforeAutospacing="0" w:after="600" w:afterAutospacing="0"/>
        <w:divId w:val="1249074917"/>
        <w:rPr>
          <w:sz w:val="20"/>
          <w:szCs w:val="20"/>
        </w:rPr>
      </w:pPr>
      <w:hyperlink w:anchor="TOC" w:history="1">
        <w:r>
          <w:rPr>
            <w:rStyle w:val="a4"/>
            <w:sz w:val="20"/>
            <w:szCs w:val="20"/>
          </w:rPr>
          <w:t>Table of Contents</w:t>
        </w:r>
      </w:hyperlink>
    </w:p>
    <w:p w14:paraId="6C82C474" w14:textId="77777777" w:rsidR="00000000" w:rsidRDefault="00097612">
      <w:pPr>
        <w:pStyle w:val="a3"/>
        <w:spacing w:before="0" w:beforeAutospacing="0" w:after="0" w:afterAutospacing="0"/>
        <w:jc w:val="center"/>
        <w:divId w:val="200286262"/>
        <w:rPr>
          <w:sz w:val="20"/>
          <w:szCs w:val="20"/>
        </w:rPr>
      </w:pPr>
      <w:r>
        <w:rPr>
          <w:b/>
          <w:bCs/>
          <w:sz w:val="20"/>
          <w:szCs w:val="20"/>
        </w:rPr>
        <w:t>THERAVANCE BIOPHARMA, INC.</w:t>
      </w:r>
    </w:p>
    <w:p w14:paraId="6FB78362" w14:textId="77777777" w:rsidR="00000000" w:rsidRDefault="00097612">
      <w:pPr>
        <w:pStyle w:val="a3"/>
        <w:spacing w:before="0" w:beforeAutospacing="0" w:after="0" w:afterAutospacing="0"/>
        <w:jc w:val="center"/>
        <w:divId w:val="200286262"/>
        <w:rPr>
          <w:sz w:val="20"/>
          <w:szCs w:val="20"/>
        </w:rPr>
      </w:pPr>
      <w:r>
        <w:rPr>
          <w:b/>
          <w:bCs/>
          <w:sz w:val="20"/>
          <w:szCs w:val="20"/>
        </w:rPr>
        <w:t>TABLE OF CONTENTS</w:t>
      </w:r>
    </w:p>
    <w:p w14:paraId="6E384082" w14:textId="77777777" w:rsidR="00000000" w:rsidRDefault="00097612">
      <w:pPr>
        <w:pStyle w:val="a3"/>
        <w:spacing w:before="0" w:beforeAutospacing="0" w:after="0" w:afterAutospacing="0"/>
        <w:divId w:val="20028626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701"/>
        <w:gridCol w:w="605"/>
      </w:tblGrid>
      <w:tr w:rsidR="00000000" w14:paraId="51A0866D" w14:textId="77777777">
        <w:trPr>
          <w:divId w:val="200286262"/>
          <w:trHeight w:val="20"/>
        </w:trPr>
        <w:tc>
          <w:tcPr>
            <w:tcW w:w="4687" w:type="pct"/>
            <w:shd w:val="clear" w:color="auto" w:fill="auto"/>
            <w:tcMar>
              <w:top w:w="0" w:type="dxa"/>
              <w:left w:w="0" w:type="dxa"/>
              <w:bottom w:w="0" w:type="dxa"/>
              <w:right w:w="0" w:type="dxa"/>
            </w:tcMar>
            <w:vAlign w:val="bottom"/>
            <w:hideMark/>
          </w:tcPr>
          <w:p w14:paraId="7F0FA971" w14:textId="77777777" w:rsidR="00000000" w:rsidRDefault="00097612">
            <w:pPr>
              <w:pStyle w:val="a3"/>
              <w:spacing w:before="0" w:beforeAutospacing="0" w:after="0" w:afterAutospacing="0"/>
              <w:divId w:val="425343470"/>
              <w:rPr>
                <w:sz w:val="20"/>
                <w:szCs w:val="20"/>
              </w:rPr>
            </w:pPr>
            <w:r>
              <w:rPr>
                <w:sz w:val="2"/>
                <w:szCs w:val="2"/>
              </w:rPr>
              <w:t>​</w:t>
            </w:r>
          </w:p>
        </w:tc>
        <w:tc>
          <w:tcPr>
            <w:tcW w:w="312" w:type="pct"/>
            <w:shd w:val="clear" w:color="auto" w:fill="auto"/>
            <w:tcMar>
              <w:top w:w="0" w:type="dxa"/>
              <w:left w:w="0" w:type="dxa"/>
              <w:bottom w:w="0" w:type="dxa"/>
              <w:right w:w="0" w:type="dxa"/>
            </w:tcMar>
            <w:vAlign w:val="bottom"/>
            <w:hideMark/>
          </w:tcPr>
          <w:p w14:paraId="16E45BC0" w14:textId="77777777" w:rsidR="00000000" w:rsidRDefault="00097612">
            <w:pPr>
              <w:pStyle w:val="a3"/>
              <w:spacing w:before="0" w:beforeAutospacing="0" w:after="0" w:afterAutospacing="0"/>
              <w:divId w:val="689570177"/>
              <w:rPr>
                <w:sz w:val="20"/>
                <w:szCs w:val="20"/>
              </w:rPr>
            </w:pPr>
            <w:r>
              <w:rPr>
                <w:sz w:val="2"/>
                <w:szCs w:val="2"/>
              </w:rPr>
              <w:t>​</w:t>
            </w:r>
          </w:p>
        </w:tc>
      </w:tr>
      <w:tr w:rsidR="00000000" w14:paraId="0963AFDF" w14:textId="77777777">
        <w:trPr>
          <w:divId w:val="200286262"/>
        </w:trPr>
        <w:tc>
          <w:tcPr>
            <w:tcW w:w="4687" w:type="pct"/>
            <w:shd w:val="clear" w:color="auto" w:fill="auto"/>
            <w:tcMar>
              <w:top w:w="0" w:type="dxa"/>
              <w:left w:w="0" w:type="dxa"/>
              <w:bottom w:w="0" w:type="dxa"/>
              <w:right w:w="0" w:type="dxa"/>
            </w:tcMar>
            <w:vAlign w:val="bottom"/>
            <w:hideMark/>
          </w:tcPr>
          <w:p w14:paraId="1651EDD9" w14:textId="77777777" w:rsidR="00000000" w:rsidRDefault="00097612">
            <w:pPr>
              <w:pStyle w:val="a3"/>
              <w:spacing w:before="0" w:beforeAutospacing="0" w:after="0" w:afterAutospacing="0"/>
              <w:rPr>
                <w:sz w:val="20"/>
                <w:szCs w:val="20"/>
              </w:rPr>
            </w:pPr>
            <w:r>
              <w:rPr>
                <w:rFonts w:ascii="Times New Roman Bold" w:hAnsi="Times New Roman Bold"/>
                <w:sz w:val="16"/>
                <w:szCs w:val="16"/>
              </w:rPr>
              <w:t>​</w:t>
            </w:r>
          </w:p>
        </w:tc>
        <w:tc>
          <w:tcPr>
            <w:tcW w:w="312" w:type="pct"/>
            <w:tcBorders>
              <w:bottom w:val="single" w:sz="6" w:space="0" w:color="000000"/>
            </w:tcBorders>
            <w:shd w:val="clear" w:color="auto" w:fill="auto"/>
            <w:tcMar>
              <w:top w:w="0" w:type="dxa"/>
              <w:left w:w="0" w:type="dxa"/>
              <w:bottom w:w="0" w:type="dxa"/>
              <w:right w:w="0" w:type="dxa"/>
            </w:tcMar>
            <w:vAlign w:val="bottom"/>
            <w:hideMark/>
          </w:tcPr>
          <w:p w14:paraId="601E6709" w14:textId="77777777" w:rsidR="00000000" w:rsidRDefault="00097612">
            <w:pPr>
              <w:pStyle w:val="a3"/>
              <w:spacing w:before="0" w:beforeAutospacing="0" w:after="0" w:afterAutospacing="0"/>
              <w:jc w:val="center"/>
              <w:rPr>
                <w:sz w:val="16"/>
                <w:szCs w:val="16"/>
              </w:rPr>
            </w:pPr>
            <w:r>
              <w:rPr>
                <w:rFonts w:ascii="Times New Roman Bold" w:hAnsi="Times New Roman Bold"/>
                <w:b/>
                <w:bCs/>
                <w:sz w:val="16"/>
                <w:szCs w:val="16"/>
              </w:rPr>
              <w:t>Page No.</w:t>
            </w:r>
          </w:p>
        </w:tc>
      </w:tr>
      <w:tr w:rsidR="00000000" w14:paraId="075F7235" w14:textId="77777777">
        <w:trPr>
          <w:divId w:val="200286262"/>
        </w:trPr>
        <w:tc>
          <w:tcPr>
            <w:tcW w:w="4687" w:type="pct"/>
            <w:shd w:val="clear" w:color="auto" w:fill="auto"/>
            <w:tcMar>
              <w:top w:w="0" w:type="dxa"/>
              <w:left w:w="0" w:type="dxa"/>
              <w:bottom w:w="0" w:type="dxa"/>
              <w:right w:w="0" w:type="dxa"/>
            </w:tcMar>
            <w:vAlign w:val="bottom"/>
            <w:hideMark/>
          </w:tcPr>
          <w:p w14:paraId="505EAB31" w14:textId="77777777" w:rsidR="00000000" w:rsidRDefault="00097612">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p>
        </w:tc>
        <w:tc>
          <w:tcPr>
            <w:tcW w:w="312" w:type="pct"/>
            <w:tcBorders>
              <w:top w:val="single" w:sz="6" w:space="0" w:color="000000"/>
            </w:tcBorders>
            <w:shd w:val="clear" w:color="auto" w:fill="auto"/>
            <w:tcMar>
              <w:top w:w="0" w:type="dxa"/>
              <w:left w:w="0" w:type="dxa"/>
              <w:bottom w:w="0" w:type="dxa"/>
              <w:right w:w="0" w:type="dxa"/>
            </w:tcMar>
            <w:vAlign w:val="bottom"/>
            <w:hideMark/>
          </w:tcPr>
          <w:p w14:paraId="5ADA64F2" w14:textId="77777777" w:rsidR="00000000" w:rsidRDefault="00097612">
            <w:pPr>
              <w:pStyle w:val="a3"/>
              <w:spacing w:before="0" w:beforeAutospacing="0" w:after="0" w:afterAutospacing="0"/>
              <w:jc w:val="right"/>
              <w:rPr>
                <w:sz w:val="20"/>
                <w:szCs w:val="20"/>
              </w:rPr>
            </w:pPr>
            <w:r>
              <w:rPr>
                <w:sz w:val="20"/>
                <w:szCs w:val="20"/>
              </w:rPr>
              <w:t>​</w:t>
            </w:r>
          </w:p>
        </w:tc>
      </w:tr>
      <w:tr w:rsidR="00000000" w14:paraId="6DC61DA9" w14:textId="77777777">
        <w:trPr>
          <w:divId w:val="200286262"/>
        </w:trPr>
        <w:tc>
          <w:tcPr>
            <w:tcW w:w="4687" w:type="pct"/>
            <w:shd w:val="clear" w:color="auto" w:fill="auto"/>
            <w:tcMar>
              <w:top w:w="0" w:type="dxa"/>
              <w:left w:w="0" w:type="dxa"/>
              <w:bottom w:w="0" w:type="dxa"/>
              <w:right w:w="0" w:type="dxa"/>
            </w:tcMar>
            <w:vAlign w:val="bottom"/>
            <w:hideMark/>
          </w:tcPr>
          <w:p w14:paraId="73AD0A02" w14:textId="77777777" w:rsidR="00000000" w:rsidRDefault="00097612">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p>
        </w:tc>
        <w:tc>
          <w:tcPr>
            <w:tcW w:w="312" w:type="pct"/>
            <w:shd w:val="clear" w:color="auto" w:fill="auto"/>
            <w:tcMar>
              <w:top w:w="0" w:type="dxa"/>
              <w:left w:w="0" w:type="dxa"/>
              <w:bottom w:w="0" w:type="dxa"/>
              <w:right w:w="0" w:type="dxa"/>
            </w:tcMar>
            <w:vAlign w:val="bottom"/>
            <w:hideMark/>
          </w:tcPr>
          <w:p w14:paraId="5065D5C1" w14:textId="77777777" w:rsidR="00000000" w:rsidRDefault="00097612">
            <w:pPr>
              <w:pStyle w:val="a3"/>
              <w:spacing w:before="0" w:beforeAutospacing="0" w:after="0" w:afterAutospacing="0"/>
              <w:jc w:val="right"/>
              <w:rPr>
                <w:sz w:val="20"/>
                <w:szCs w:val="20"/>
              </w:rPr>
            </w:pPr>
            <w:r>
              <w:rPr>
                <w:sz w:val="20"/>
                <w:szCs w:val="20"/>
              </w:rPr>
              <w:t>​</w:t>
            </w:r>
          </w:p>
        </w:tc>
      </w:tr>
      <w:tr w:rsidR="00000000" w14:paraId="3BA584F7" w14:textId="77777777">
        <w:trPr>
          <w:divId w:val="200286262"/>
        </w:trPr>
        <w:tc>
          <w:tcPr>
            <w:tcW w:w="4687" w:type="pct"/>
            <w:shd w:val="clear" w:color="auto" w:fill="CCEEFF"/>
            <w:tcMar>
              <w:top w:w="0" w:type="dxa"/>
              <w:left w:w="0" w:type="dxa"/>
              <w:bottom w:w="0" w:type="dxa"/>
              <w:right w:w="0" w:type="dxa"/>
            </w:tcMar>
            <w:vAlign w:val="bottom"/>
            <w:hideMark/>
          </w:tcPr>
          <w:p w14:paraId="646CC059" w14:textId="77777777" w:rsidR="00000000" w:rsidRDefault="00097612">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Balance Sheets as of September 30, 2019 and December 31, 2018 (unaudited)</w:t>
              </w:r>
            </w:hyperlink>
          </w:p>
        </w:tc>
        <w:tc>
          <w:tcPr>
            <w:tcW w:w="312" w:type="pct"/>
            <w:shd w:val="clear" w:color="auto" w:fill="CCEEFF"/>
            <w:tcMar>
              <w:top w:w="0" w:type="dxa"/>
              <w:left w:w="0" w:type="dxa"/>
              <w:bottom w:w="0" w:type="dxa"/>
              <w:right w:w="0" w:type="dxa"/>
            </w:tcMar>
            <w:vAlign w:val="bottom"/>
            <w:hideMark/>
          </w:tcPr>
          <w:p w14:paraId="3B1BFC29" w14:textId="77777777" w:rsidR="00000000" w:rsidRDefault="00097612">
            <w:pPr>
              <w:pStyle w:val="a3"/>
              <w:spacing w:before="0" w:beforeAutospacing="0" w:after="0" w:afterAutospacing="0"/>
              <w:jc w:val="right"/>
              <w:rPr>
                <w:sz w:val="20"/>
                <w:szCs w:val="20"/>
              </w:rPr>
            </w:pPr>
            <w:r>
              <w:rPr>
                <w:sz w:val="20"/>
                <w:szCs w:val="20"/>
              </w:rPr>
              <w:t>3</w:t>
            </w:r>
          </w:p>
        </w:tc>
      </w:tr>
      <w:tr w:rsidR="00000000" w14:paraId="7FCBB1A8" w14:textId="77777777">
        <w:trPr>
          <w:divId w:val="200286262"/>
        </w:trPr>
        <w:tc>
          <w:tcPr>
            <w:tcW w:w="4687" w:type="pct"/>
            <w:shd w:val="clear" w:color="auto" w:fill="auto"/>
            <w:tcMar>
              <w:top w:w="0" w:type="dxa"/>
              <w:left w:w="0" w:type="dxa"/>
              <w:bottom w:w="0" w:type="dxa"/>
              <w:right w:w="0" w:type="dxa"/>
            </w:tcMar>
            <w:vAlign w:val="bottom"/>
            <w:hideMark/>
          </w:tcPr>
          <w:p w14:paraId="57EAC9ED" w14:textId="77777777" w:rsidR="00000000" w:rsidRDefault="00097612">
            <w:pPr>
              <w:pStyle w:val="a3"/>
              <w:spacing w:before="0" w:beforeAutospacing="0" w:after="0" w:afterAutospacing="0"/>
              <w:ind w:left="144" w:hanging="144"/>
              <w:rPr>
                <w:sz w:val="20"/>
                <w:szCs w:val="20"/>
              </w:rPr>
            </w:pPr>
            <w:hyperlink w:anchor="CONSOLIDATEDSTATEMENTSOFOPERATIONS_3228" w:history="1">
              <w:r>
                <w:rPr>
                  <w:rStyle w:val="a4"/>
                  <w:sz w:val="20"/>
                  <w:szCs w:val="20"/>
                </w:rPr>
                <w:t>Condensed Consolidated Statements of Operations and Comprehensive Loss for the three and nine months ended September 30, 2019 and 2018 (unaudited)</w:t>
              </w:r>
            </w:hyperlink>
          </w:p>
        </w:tc>
        <w:tc>
          <w:tcPr>
            <w:tcW w:w="312" w:type="pct"/>
            <w:shd w:val="clear" w:color="auto" w:fill="auto"/>
            <w:tcMar>
              <w:top w:w="0" w:type="dxa"/>
              <w:left w:w="0" w:type="dxa"/>
              <w:bottom w:w="0" w:type="dxa"/>
              <w:right w:w="0" w:type="dxa"/>
            </w:tcMar>
            <w:vAlign w:val="bottom"/>
            <w:hideMark/>
          </w:tcPr>
          <w:p w14:paraId="65516CE6" w14:textId="77777777" w:rsidR="00000000" w:rsidRDefault="00097612">
            <w:pPr>
              <w:pStyle w:val="a3"/>
              <w:spacing w:before="0" w:beforeAutospacing="0" w:after="0" w:afterAutospacing="0"/>
              <w:jc w:val="right"/>
              <w:rPr>
                <w:sz w:val="20"/>
                <w:szCs w:val="20"/>
              </w:rPr>
            </w:pPr>
            <w:r>
              <w:rPr>
                <w:sz w:val="20"/>
                <w:szCs w:val="20"/>
              </w:rPr>
              <w:t>4</w:t>
            </w:r>
          </w:p>
        </w:tc>
      </w:tr>
      <w:tr w:rsidR="00000000" w14:paraId="5E2A4874" w14:textId="77777777">
        <w:trPr>
          <w:divId w:val="200286262"/>
        </w:trPr>
        <w:tc>
          <w:tcPr>
            <w:tcW w:w="4687" w:type="pct"/>
            <w:shd w:val="clear" w:color="auto" w:fill="CCEEFF"/>
            <w:tcMar>
              <w:top w:w="0" w:type="dxa"/>
              <w:left w:w="0" w:type="dxa"/>
              <w:bottom w:w="0" w:type="dxa"/>
              <w:right w:w="0" w:type="dxa"/>
            </w:tcMar>
            <w:vAlign w:val="bottom"/>
            <w:hideMark/>
          </w:tcPr>
          <w:p w14:paraId="446B6EC5" w14:textId="77777777" w:rsidR="00000000" w:rsidRDefault="00097612">
            <w:pPr>
              <w:pStyle w:val="a3"/>
              <w:spacing w:before="0" w:beforeAutospacing="0" w:after="0" w:afterAutospacing="0"/>
              <w:ind w:left="144" w:hanging="144"/>
              <w:rPr>
                <w:sz w:val="20"/>
                <w:szCs w:val="20"/>
              </w:rPr>
            </w:pPr>
            <w:hyperlink w:anchor="CONSOLIDATEDSTATEMENTSOFSHAREHOLDERS_32" w:history="1">
              <w:r>
                <w:rPr>
                  <w:rStyle w:val="a4"/>
                  <w:sz w:val="20"/>
                  <w:szCs w:val="20"/>
                </w:rPr>
                <w:t>Condensed Consolidated Statements of Shareholders’ Equity (Deficit) for the three and nine months ended September 30, 2019 and 2018 (unaudited)</w:t>
              </w:r>
            </w:hyperlink>
          </w:p>
        </w:tc>
        <w:tc>
          <w:tcPr>
            <w:tcW w:w="312" w:type="pct"/>
            <w:shd w:val="clear" w:color="auto" w:fill="CCEEFF"/>
            <w:tcMar>
              <w:top w:w="0" w:type="dxa"/>
              <w:left w:w="0" w:type="dxa"/>
              <w:bottom w:w="0" w:type="dxa"/>
              <w:right w:w="0" w:type="dxa"/>
            </w:tcMar>
            <w:vAlign w:val="bottom"/>
            <w:hideMark/>
          </w:tcPr>
          <w:p w14:paraId="68855567" w14:textId="77777777" w:rsidR="00000000" w:rsidRDefault="00097612">
            <w:pPr>
              <w:pStyle w:val="a3"/>
              <w:spacing w:before="0" w:beforeAutospacing="0" w:after="0" w:afterAutospacing="0"/>
              <w:jc w:val="right"/>
              <w:rPr>
                <w:sz w:val="20"/>
                <w:szCs w:val="20"/>
              </w:rPr>
            </w:pPr>
            <w:r>
              <w:rPr>
                <w:sz w:val="20"/>
                <w:szCs w:val="20"/>
              </w:rPr>
              <w:t>5</w:t>
            </w:r>
          </w:p>
        </w:tc>
      </w:tr>
      <w:tr w:rsidR="00000000" w14:paraId="3B8BE09B" w14:textId="77777777">
        <w:trPr>
          <w:divId w:val="200286262"/>
        </w:trPr>
        <w:tc>
          <w:tcPr>
            <w:tcW w:w="4687" w:type="pct"/>
            <w:shd w:val="clear" w:color="auto" w:fill="auto"/>
            <w:tcMar>
              <w:top w:w="0" w:type="dxa"/>
              <w:left w:w="0" w:type="dxa"/>
              <w:bottom w:w="0" w:type="dxa"/>
              <w:right w:w="0" w:type="dxa"/>
            </w:tcMar>
            <w:vAlign w:val="bottom"/>
            <w:hideMark/>
          </w:tcPr>
          <w:p w14:paraId="172A6388" w14:textId="77777777" w:rsidR="00000000" w:rsidRDefault="00097612">
            <w:pPr>
              <w:pStyle w:val="a3"/>
              <w:spacing w:before="0" w:beforeAutospacing="0" w:after="0" w:afterAutospacing="0"/>
              <w:ind w:left="144" w:hanging="144"/>
              <w:rPr>
                <w:sz w:val="20"/>
                <w:szCs w:val="20"/>
              </w:rPr>
            </w:pPr>
            <w:hyperlink w:anchor="CONSOLIDATEDSTATEMENTSOFCASHFLOWS_69820" w:history="1">
              <w:r>
                <w:rPr>
                  <w:rStyle w:val="a4"/>
                  <w:sz w:val="20"/>
                  <w:szCs w:val="20"/>
                </w:rPr>
                <w:t>Condensed Consolidated Statements of Cash Flows for the nine months ended September 30, 2019 and 2018 (unaudited)</w:t>
              </w:r>
            </w:hyperlink>
          </w:p>
        </w:tc>
        <w:tc>
          <w:tcPr>
            <w:tcW w:w="312" w:type="pct"/>
            <w:shd w:val="clear" w:color="auto" w:fill="auto"/>
            <w:tcMar>
              <w:top w:w="0" w:type="dxa"/>
              <w:left w:w="0" w:type="dxa"/>
              <w:bottom w:w="0" w:type="dxa"/>
              <w:right w:w="0" w:type="dxa"/>
            </w:tcMar>
            <w:vAlign w:val="bottom"/>
            <w:hideMark/>
          </w:tcPr>
          <w:p w14:paraId="503926A1" w14:textId="77777777" w:rsidR="00000000" w:rsidRDefault="00097612">
            <w:pPr>
              <w:pStyle w:val="a3"/>
              <w:spacing w:before="0" w:beforeAutospacing="0" w:after="0" w:afterAutospacing="0"/>
              <w:jc w:val="right"/>
              <w:rPr>
                <w:sz w:val="20"/>
                <w:szCs w:val="20"/>
              </w:rPr>
            </w:pPr>
            <w:r>
              <w:rPr>
                <w:sz w:val="20"/>
                <w:szCs w:val="20"/>
              </w:rPr>
              <w:t>6</w:t>
            </w:r>
          </w:p>
        </w:tc>
      </w:tr>
      <w:tr w:rsidR="00000000" w14:paraId="6E3B46F0" w14:textId="77777777">
        <w:trPr>
          <w:divId w:val="200286262"/>
        </w:trPr>
        <w:tc>
          <w:tcPr>
            <w:tcW w:w="4687" w:type="pct"/>
            <w:shd w:val="clear" w:color="auto" w:fill="CCEEFF"/>
            <w:tcMar>
              <w:top w:w="0" w:type="dxa"/>
              <w:left w:w="0" w:type="dxa"/>
              <w:bottom w:w="0" w:type="dxa"/>
              <w:right w:w="0" w:type="dxa"/>
            </w:tcMar>
            <w:vAlign w:val="bottom"/>
            <w:hideMark/>
          </w:tcPr>
          <w:p w14:paraId="0034664A" w14:textId="77777777" w:rsidR="00000000" w:rsidRDefault="00097612">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Consolidated Financial Statements (unaudited)</w:t>
              </w:r>
            </w:hyperlink>
          </w:p>
        </w:tc>
        <w:tc>
          <w:tcPr>
            <w:tcW w:w="312" w:type="pct"/>
            <w:shd w:val="clear" w:color="auto" w:fill="CCEEFF"/>
            <w:tcMar>
              <w:top w:w="0" w:type="dxa"/>
              <w:left w:w="0" w:type="dxa"/>
              <w:bottom w:w="0" w:type="dxa"/>
              <w:right w:w="0" w:type="dxa"/>
            </w:tcMar>
            <w:vAlign w:val="bottom"/>
            <w:hideMark/>
          </w:tcPr>
          <w:p w14:paraId="7544DF66" w14:textId="77777777" w:rsidR="00000000" w:rsidRDefault="00097612">
            <w:pPr>
              <w:pStyle w:val="a3"/>
              <w:spacing w:before="0" w:beforeAutospacing="0" w:after="0" w:afterAutospacing="0"/>
              <w:jc w:val="right"/>
              <w:rPr>
                <w:sz w:val="20"/>
                <w:szCs w:val="20"/>
              </w:rPr>
            </w:pPr>
            <w:r>
              <w:rPr>
                <w:sz w:val="20"/>
                <w:szCs w:val="20"/>
              </w:rPr>
              <w:t>7</w:t>
            </w:r>
          </w:p>
        </w:tc>
      </w:tr>
      <w:tr w:rsidR="00000000" w14:paraId="0DF75573" w14:textId="77777777">
        <w:trPr>
          <w:divId w:val="200286262"/>
        </w:trPr>
        <w:tc>
          <w:tcPr>
            <w:tcW w:w="4687" w:type="pct"/>
            <w:shd w:val="clear" w:color="auto" w:fill="auto"/>
            <w:tcMar>
              <w:top w:w="0" w:type="dxa"/>
              <w:left w:w="0" w:type="dxa"/>
              <w:bottom w:w="0" w:type="dxa"/>
              <w:right w:w="0" w:type="dxa"/>
            </w:tcMar>
            <w:vAlign w:val="bottom"/>
            <w:hideMark/>
          </w:tcPr>
          <w:p w14:paraId="731D4937" w14:textId="77777777" w:rsidR="00000000" w:rsidRDefault="00097612">
            <w:pPr>
              <w:pStyle w:val="a3"/>
              <w:spacing w:before="0" w:beforeAutospacing="0" w:after="0" w:afterAutospacing="0"/>
              <w:rPr>
                <w:sz w:val="20"/>
                <w:szCs w:val="20"/>
              </w:rPr>
            </w:pPr>
            <w:hyperlink w:anchor="MANAGEMENTSDISCUSSIONANDANALYSIS_237225" w:history="1">
              <w:r>
                <w:rPr>
                  <w:rStyle w:val="a4"/>
                  <w:sz w:val="20"/>
                  <w:szCs w:val="20"/>
                </w:rPr>
                <w:t>Item 2. Management’s Discussion and Analysis of Financial Condition and Results of Operations</w:t>
              </w:r>
            </w:hyperlink>
          </w:p>
        </w:tc>
        <w:tc>
          <w:tcPr>
            <w:tcW w:w="312" w:type="pct"/>
            <w:shd w:val="clear" w:color="auto" w:fill="auto"/>
            <w:tcMar>
              <w:top w:w="0" w:type="dxa"/>
              <w:left w:w="0" w:type="dxa"/>
              <w:bottom w:w="0" w:type="dxa"/>
              <w:right w:w="0" w:type="dxa"/>
            </w:tcMar>
            <w:vAlign w:val="bottom"/>
            <w:hideMark/>
          </w:tcPr>
          <w:p w14:paraId="458EAFB4" w14:textId="77777777" w:rsidR="00000000" w:rsidRDefault="00097612">
            <w:pPr>
              <w:pStyle w:val="a3"/>
              <w:spacing w:before="0" w:beforeAutospacing="0" w:after="0" w:afterAutospacing="0"/>
              <w:jc w:val="right"/>
              <w:rPr>
                <w:sz w:val="20"/>
                <w:szCs w:val="20"/>
              </w:rPr>
            </w:pPr>
            <w:r>
              <w:rPr>
                <w:sz w:val="20"/>
                <w:szCs w:val="20"/>
              </w:rPr>
              <w:t>21</w:t>
            </w:r>
          </w:p>
        </w:tc>
      </w:tr>
      <w:tr w:rsidR="00000000" w14:paraId="07BB2556" w14:textId="77777777">
        <w:trPr>
          <w:divId w:val="200286262"/>
        </w:trPr>
        <w:tc>
          <w:tcPr>
            <w:tcW w:w="4687" w:type="pct"/>
            <w:shd w:val="clear" w:color="auto" w:fill="CCEEFF"/>
            <w:tcMar>
              <w:top w:w="0" w:type="dxa"/>
              <w:left w:w="0" w:type="dxa"/>
              <w:bottom w:w="0" w:type="dxa"/>
              <w:right w:w="0" w:type="dxa"/>
            </w:tcMar>
            <w:vAlign w:val="bottom"/>
            <w:hideMark/>
          </w:tcPr>
          <w:p w14:paraId="6495D413" w14:textId="77777777" w:rsidR="00000000" w:rsidRDefault="00097612">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w:t>
              </w:r>
              <w:r>
                <w:rPr>
                  <w:rStyle w:val="a4"/>
                  <w:sz w:val="20"/>
                  <w:szCs w:val="20"/>
                </w:rPr>
                <w:t>ve Disclosures About Market Risk</w:t>
              </w:r>
            </w:hyperlink>
          </w:p>
        </w:tc>
        <w:tc>
          <w:tcPr>
            <w:tcW w:w="312" w:type="pct"/>
            <w:shd w:val="clear" w:color="auto" w:fill="CCEEFF"/>
            <w:tcMar>
              <w:top w:w="0" w:type="dxa"/>
              <w:left w:w="0" w:type="dxa"/>
              <w:bottom w:w="0" w:type="dxa"/>
              <w:right w:w="0" w:type="dxa"/>
            </w:tcMar>
            <w:vAlign w:val="bottom"/>
            <w:hideMark/>
          </w:tcPr>
          <w:p w14:paraId="62F5B8B0" w14:textId="77777777" w:rsidR="00000000" w:rsidRDefault="00097612">
            <w:pPr>
              <w:pStyle w:val="a3"/>
              <w:spacing w:before="0" w:beforeAutospacing="0" w:after="0" w:afterAutospacing="0"/>
              <w:jc w:val="right"/>
              <w:rPr>
                <w:sz w:val="20"/>
                <w:szCs w:val="20"/>
              </w:rPr>
            </w:pPr>
            <w:r>
              <w:rPr>
                <w:sz w:val="20"/>
                <w:szCs w:val="20"/>
              </w:rPr>
              <w:t>34</w:t>
            </w:r>
          </w:p>
        </w:tc>
      </w:tr>
      <w:tr w:rsidR="00000000" w14:paraId="7A8AD168" w14:textId="77777777">
        <w:trPr>
          <w:divId w:val="200286262"/>
        </w:trPr>
        <w:tc>
          <w:tcPr>
            <w:tcW w:w="4687" w:type="pct"/>
            <w:shd w:val="clear" w:color="auto" w:fill="auto"/>
            <w:tcMar>
              <w:top w:w="0" w:type="dxa"/>
              <w:left w:w="0" w:type="dxa"/>
              <w:bottom w:w="0" w:type="dxa"/>
              <w:right w:w="0" w:type="dxa"/>
            </w:tcMar>
            <w:vAlign w:val="bottom"/>
            <w:hideMark/>
          </w:tcPr>
          <w:p w14:paraId="31940F36" w14:textId="77777777" w:rsidR="00000000" w:rsidRDefault="00097612">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p>
        </w:tc>
        <w:tc>
          <w:tcPr>
            <w:tcW w:w="312" w:type="pct"/>
            <w:shd w:val="clear" w:color="auto" w:fill="auto"/>
            <w:tcMar>
              <w:top w:w="0" w:type="dxa"/>
              <w:left w:w="0" w:type="dxa"/>
              <w:bottom w:w="0" w:type="dxa"/>
              <w:right w:w="0" w:type="dxa"/>
            </w:tcMar>
            <w:vAlign w:val="bottom"/>
            <w:hideMark/>
          </w:tcPr>
          <w:p w14:paraId="18186296" w14:textId="77777777" w:rsidR="00000000" w:rsidRDefault="00097612">
            <w:pPr>
              <w:pStyle w:val="a3"/>
              <w:spacing w:before="0" w:beforeAutospacing="0" w:after="0" w:afterAutospacing="0"/>
              <w:jc w:val="right"/>
              <w:rPr>
                <w:sz w:val="20"/>
                <w:szCs w:val="20"/>
              </w:rPr>
            </w:pPr>
            <w:r>
              <w:rPr>
                <w:sz w:val="20"/>
                <w:szCs w:val="20"/>
              </w:rPr>
              <w:t>35</w:t>
            </w:r>
          </w:p>
        </w:tc>
      </w:tr>
      <w:tr w:rsidR="00000000" w14:paraId="38145CFE" w14:textId="77777777">
        <w:trPr>
          <w:divId w:val="200286262"/>
        </w:trPr>
        <w:tc>
          <w:tcPr>
            <w:tcW w:w="4687" w:type="pct"/>
            <w:shd w:val="clear" w:color="auto" w:fill="CCEEFF"/>
            <w:tcMar>
              <w:top w:w="0" w:type="dxa"/>
              <w:left w:w="0" w:type="dxa"/>
              <w:bottom w:w="0" w:type="dxa"/>
              <w:right w:w="0" w:type="dxa"/>
            </w:tcMar>
            <w:vAlign w:val="bottom"/>
            <w:hideMark/>
          </w:tcPr>
          <w:p w14:paraId="3A907679" w14:textId="77777777" w:rsidR="00000000" w:rsidRDefault="00097612">
            <w:pPr>
              <w:pStyle w:val="a3"/>
              <w:spacing w:before="0" w:beforeAutospacing="0" w:after="0" w:afterAutospacing="0"/>
              <w:rPr>
                <w:sz w:val="20"/>
                <w:szCs w:val="20"/>
              </w:rPr>
            </w:pPr>
            <w:r>
              <w:rPr>
                <w:sz w:val="20"/>
                <w:szCs w:val="20"/>
              </w:rPr>
              <w:t>​</w:t>
            </w:r>
          </w:p>
        </w:tc>
        <w:tc>
          <w:tcPr>
            <w:tcW w:w="312" w:type="pct"/>
            <w:shd w:val="clear" w:color="auto" w:fill="CCEEFF"/>
            <w:tcMar>
              <w:top w:w="0" w:type="dxa"/>
              <w:left w:w="0" w:type="dxa"/>
              <w:bottom w:w="0" w:type="dxa"/>
              <w:right w:w="0" w:type="dxa"/>
            </w:tcMar>
            <w:vAlign w:val="bottom"/>
            <w:hideMark/>
          </w:tcPr>
          <w:p w14:paraId="531DC4D1" w14:textId="77777777" w:rsidR="00000000" w:rsidRDefault="00097612">
            <w:pPr>
              <w:pStyle w:val="a3"/>
              <w:spacing w:before="0" w:beforeAutospacing="0" w:after="0" w:afterAutospacing="0"/>
              <w:jc w:val="right"/>
              <w:rPr>
                <w:sz w:val="20"/>
                <w:szCs w:val="20"/>
              </w:rPr>
            </w:pPr>
            <w:r>
              <w:rPr>
                <w:sz w:val="20"/>
                <w:szCs w:val="20"/>
              </w:rPr>
              <w:t>​</w:t>
            </w:r>
          </w:p>
        </w:tc>
      </w:tr>
      <w:tr w:rsidR="00000000" w14:paraId="7DE8A2ED" w14:textId="77777777">
        <w:trPr>
          <w:divId w:val="200286262"/>
        </w:trPr>
        <w:tc>
          <w:tcPr>
            <w:tcW w:w="4687" w:type="pct"/>
            <w:shd w:val="clear" w:color="auto" w:fill="auto"/>
            <w:tcMar>
              <w:top w:w="0" w:type="dxa"/>
              <w:left w:w="0" w:type="dxa"/>
              <w:bottom w:w="0" w:type="dxa"/>
              <w:right w:w="0" w:type="dxa"/>
            </w:tcMar>
            <w:vAlign w:val="bottom"/>
            <w:hideMark/>
          </w:tcPr>
          <w:p w14:paraId="004058AA" w14:textId="77777777" w:rsidR="00000000" w:rsidRDefault="00097612">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p>
        </w:tc>
        <w:tc>
          <w:tcPr>
            <w:tcW w:w="312" w:type="pct"/>
            <w:shd w:val="clear" w:color="auto" w:fill="auto"/>
            <w:tcMar>
              <w:top w:w="0" w:type="dxa"/>
              <w:left w:w="0" w:type="dxa"/>
              <w:bottom w:w="0" w:type="dxa"/>
              <w:right w:w="0" w:type="dxa"/>
            </w:tcMar>
            <w:vAlign w:val="bottom"/>
            <w:hideMark/>
          </w:tcPr>
          <w:p w14:paraId="3F9623CF" w14:textId="77777777" w:rsidR="00000000" w:rsidRDefault="00097612">
            <w:pPr>
              <w:pStyle w:val="a3"/>
              <w:spacing w:before="0" w:beforeAutospacing="0" w:after="0" w:afterAutospacing="0"/>
              <w:jc w:val="right"/>
              <w:rPr>
                <w:sz w:val="20"/>
                <w:szCs w:val="20"/>
              </w:rPr>
            </w:pPr>
            <w:r>
              <w:rPr>
                <w:sz w:val="20"/>
                <w:szCs w:val="20"/>
              </w:rPr>
              <w:t>​</w:t>
            </w:r>
          </w:p>
        </w:tc>
      </w:tr>
      <w:tr w:rsidR="00000000" w14:paraId="0F49076C" w14:textId="77777777">
        <w:trPr>
          <w:divId w:val="200286262"/>
        </w:trPr>
        <w:tc>
          <w:tcPr>
            <w:tcW w:w="4687" w:type="pct"/>
            <w:shd w:val="clear" w:color="auto" w:fill="CCEEFF"/>
            <w:tcMar>
              <w:top w:w="0" w:type="dxa"/>
              <w:left w:w="0" w:type="dxa"/>
              <w:bottom w:w="0" w:type="dxa"/>
              <w:right w:w="0" w:type="dxa"/>
            </w:tcMar>
            <w:vAlign w:val="bottom"/>
            <w:hideMark/>
          </w:tcPr>
          <w:p w14:paraId="60BF4772" w14:textId="77777777" w:rsidR="00000000" w:rsidRDefault="00097612">
            <w:pPr>
              <w:pStyle w:val="a3"/>
              <w:spacing w:before="0" w:beforeAutospacing="0" w:after="0" w:afterAutospacing="0"/>
              <w:rPr>
                <w:sz w:val="20"/>
                <w:szCs w:val="20"/>
              </w:rPr>
            </w:pPr>
            <w:hyperlink w:anchor="ITEM1LEGALPROCEEDINGS_174301" w:history="1">
              <w:r>
                <w:rPr>
                  <w:rStyle w:val="a4"/>
                  <w:sz w:val="20"/>
                  <w:szCs w:val="20"/>
                </w:rPr>
                <w:t>Item 1. Legal Proceedings</w:t>
              </w:r>
            </w:hyperlink>
          </w:p>
        </w:tc>
        <w:tc>
          <w:tcPr>
            <w:tcW w:w="312" w:type="pct"/>
            <w:shd w:val="clear" w:color="auto" w:fill="CCEEFF"/>
            <w:tcMar>
              <w:top w:w="0" w:type="dxa"/>
              <w:left w:w="0" w:type="dxa"/>
              <w:bottom w:w="0" w:type="dxa"/>
              <w:right w:w="0" w:type="dxa"/>
            </w:tcMar>
            <w:vAlign w:val="bottom"/>
            <w:hideMark/>
          </w:tcPr>
          <w:p w14:paraId="2524C93E" w14:textId="77777777" w:rsidR="00000000" w:rsidRDefault="00097612">
            <w:pPr>
              <w:pStyle w:val="a3"/>
              <w:spacing w:before="0" w:beforeAutospacing="0" w:after="0" w:afterAutospacing="0"/>
              <w:jc w:val="right"/>
              <w:rPr>
                <w:sz w:val="20"/>
                <w:szCs w:val="20"/>
              </w:rPr>
            </w:pPr>
            <w:r>
              <w:rPr>
                <w:sz w:val="20"/>
                <w:szCs w:val="20"/>
              </w:rPr>
              <w:t>35</w:t>
            </w:r>
          </w:p>
        </w:tc>
      </w:tr>
      <w:tr w:rsidR="00000000" w14:paraId="6888C690" w14:textId="77777777">
        <w:trPr>
          <w:divId w:val="200286262"/>
        </w:trPr>
        <w:tc>
          <w:tcPr>
            <w:tcW w:w="4687" w:type="pct"/>
            <w:shd w:val="clear" w:color="auto" w:fill="auto"/>
            <w:tcMar>
              <w:top w:w="0" w:type="dxa"/>
              <w:left w:w="0" w:type="dxa"/>
              <w:bottom w:w="0" w:type="dxa"/>
              <w:right w:w="0" w:type="dxa"/>
            </w:tcMar>
            <w:vAlign w:val="bottom"/>
            <w:hideMark/>
          </w:tcPr>
          <w:p w14:paraId="7FAE810A" w14:textId="77777777" w:rsidR="00000000" w:rsidRDefault="00097612">
            <w:pPr>
              <w:pStyle w:val="a3"/>
              <w:spacing w:before="0" w:beforeAutospacing="0" w:after="0" w:afterAutospacing="0"/>
              <w:rPr>
                <w:sz w:val="20"/>
                <w:szCs w:val="20"/>
              </w:rPr>
            </w:pPr>
            <w:hyperlink w:anchor="ITEM1ARISKFACTORS_513956" w:history="1">
              <w:r>
                <w:rPr>
                  <w:rStyle w:val="a4"/>
                  <w:sz w:val="20"/>
                  <w:szCs w:val="20"/>
                </w:rPr>
                <w:t>Item 1A. Risk Factors</w:t>
              </w:r>
            </w:hyperlink>
          </w:p>
        </w:tc>
        <w:tc>
          <w:tcPr>
            <w:tcW w:w="312" w:type="pct"/>
            <w:shd w:val="clear" w:color="auto" w:fill="auto"/>
            <w:tcMar>
              <w:top w:w="0" w:type="dxa"/>
              <w:left w:w="0" w:type="dxa"/>
              <w:bottom w:w="0" w:type="dxa"/>
              <w:right w:w="0" w:type="dxa"/>
            </w:tcMar>
            <w:vAlign w:val="bottom"/>
            <w:hideMark/>
          </w:tcPr>
          <w:p w14:paraId="64994F6C" w14:textId="77777777" w:rsidR="00000000" w:rsidRDefault="00097612">
            <w:pPr>
              <w:pStyle w:val="a3"/>
              <w:spacing w:before="0" w:beforeAutospacing="0" w:after="0" w:afterAutospacing="0"/>
              <w:jc w:val="right"/>
              <w:rPr>
                <w:sz w:val="20"/>
                <w:szCs w:val="20"/>
              </w:rPr>
            </w:pPr>
            <w:r>
              <w:rPr>
                <w:sz w:val="20"/>
                <w:szCs w:val="20"/>
              </w:rPr>
              <w:t>36</w:t>
            </w:r>
          </w:p>
        </w:tc>
      </w:tr>
      <w:tr w:rsidR="00000000" w14:paraId="692C9C5B" w14:textId="77777777">
        <w:trPr>
          <w:divId w:val="200286262"/>
        </w:trPr>
        <w:tc>
          <w:tcPr>
            <w:tcW w:w="4687" w:type="pct"/>
            <w:shd w:val="clear" w:color="auto" w:fill="CCEEFF"/>
            <w:tcMar>
              <w:top w:w="0" w:type="dxa"/>
              <w:left w:w="0" w:type="dxa"/>
              <w:bottom w:w="0" w:type="dxa"/>
              <w:right w:w="0" w:type="dxa"/>
            </w:tcMar>
            <w:vAlign w:val="bottom"/>
            <w:hideMark/>
          </w:tcPr>
          <w:p w14:paraId="62366478" w14:textId="77777777" w:rsidR="00000000" w:rsidRDefault="00097612">
            <w:pPr>
              <w:pStyle w:val="a3"/>
              <w:spacing w:before="0" w:beforeAutospacing="0" w:after="0" w:afterAutospacing="0"/>
              <w:rPr>
                <w:sz w:val="20"/>
                <w:szCs w:val="20"/>
              </w:rPr>
            </w:pPr>
            <w:hyperlink w:anchor="ITEM2UNREGISTEREDSALESOFEQUITYSECURITIE" w:history="1">
              <w:r>
                <w:rPr>
                  <w:rStyle w:val="a4"/>
                  <w:sz w:val="20"/>
                  <w:szCs w:val="20"/>
                </w:rPr>
                <w:t>Item 2. Unregistered Sales of Equity Securities and Use of Proceeds</w:t>
              </w:r>
            </w:hyperlink>
          </w:p>
        </w:tc>
        <w:tc>
          <w:tcPr>
            <w:tcW w:w="312" w:type="pct"/>
            <w:shd w:val="clear" w:color="auto" w:fill="CCEEFF"/>
            <w:tcMar>
              <w:top w:w="0" w:type="dxa"/>
              <w:left w:w="0" w:type="dxa"/>
              <w:bottom w:w="0" w:type="dxa"/>
              <w:right w:w="0" w:type="dxa"/>
            </w:tcMar>
            <w:vAlign w:val="bottom"/>
            <w:hideMark/>
          </w:tcPr>
          <w:p w14:paraId="5BB9277C" w14:textId="77777777" w:rsidR="00000000" w:rsidRDefault="00097612">
            <w:pPr>
              <w:pStyle w:val="a3"/>
              <w:spacing w:before="0" w:beforeAutospacing="0" w:after="0" w:afterAutospacing="0"/>
              <w:jc w:val="right"/>
              <w:rPr>
                <w:sz w:val="20"/>
                <w:szCs w:val="20"/>
              </w:rPr>
            </w:pPr>
            <w:r>
              <w:rPr>
                <w:sz w:val="20"/>
                <w:szCs w:val="20"/>
              </w:rPr>
              <w:t>68</w:t>
            </w:r>
          </w:p>
        </w:tc>
      </w:tr>
      <w:tr w:rsidR="00000000" w14:paraId="2334EBE1" w14:textId="77777777">
        <w:trPr>
          <w:divId w:val="200286262"/>
        </w:trPr>
        <w:tc>
          <w:tcPr>
            <w:tcW w:w="4687" w:type="pct"/>
            <w:shd w:val="clear" w:color="auto" w:fill="auto"/>
            <w:tcMar>
              <w:top w:w="0" w:type="dxa"/>
              <w:left w:w="0" w:type="dxa"/>
              <w:bottom w:w="0" w:type="dxa"/>
              <w:right w:w="0" w:type="dxa"/>
            </w:tcMar>
            <w:vAlign w:val="bottom"/>
            <w:hideMark/>
          </w:tcPr>
          <w:p w14:paraId="6F7746DE" w14:textId="77777777" w:rsidR="00000000" w:rsidRDefault="00097612">
            <w:pPr>
              <w:pStyle w:val="a3"/>
              <w:spacing w:before="0" w:beforeAutospacing="0" w:after="0" w:afterAutospacing="0"/>
              <w:rPr>
                <w:sz w:val="20"/>
                <w:szCs w:val="20"/>
              </w:rPr>
            </w:pPr>
            <w:hyperlink w:anchor="ITEM6EXHIBITS_250977" w:history="1">
              <w:r>
                <w:rPr>
                  <w:rStyle w:val="a4"/>
                  <w:sz w:val="20"/>
                  <w:szCs w:val="20"/>
                </w:rPr>
                <w:t>Item 6. Exhibits</w:t>
              </w:r>
            </w:hyperlink>
          </w:p>
        </w:tc>
        <w:tc>
          <w:tcPr>
            <w:tcW w:w="312" w:type="pct"/>
            <w:shd w:val="clear" w:color="auto" w:fill="auto"/>
            <w:tcMar>
              <w:top w:w="0" w:type="dxa"/>
              <w:left w:w="0" w:type="dxa"/>
              <w:bottom w:w="0" w:type="dxa"/>
              <w:right w:w="0" w:type="dxa"/>
            </w:tcMar>
            <w:vAlign w:val="bottom"/>
            <w:hideMark/>
          </w:tcPr>
          <w:p w14:paraId="4DE69D7F" w14:textId="77777777" w:rsidR="00000000" w:rsidRDefault="00097612">
            <w:pPr>
              <w:pStyle w:val="a3"/>
              <w:spacing w:before="0" w:beforeAutospacing="0" w:after="0" w:afterAutospacing="0"/>
              <w:jc w:val="right"/>
              <w:rPr>
                <w:sz w:val="20"/>
                <w:szCs w:val="20"/>
              </w:rPr>
            </w:pPr>
            <w:r>
              <w:rPr>
                <w:sz w:val="20"/>
                <w:szCs w:val="20"/>
              </w:rPr>
              <w:t>69</w:t>
            </w:r>
          </w:p>
        </w:tc>
      </w:tr>
      <w:tr w:rsidR="00000000" w14:paraId="696AE4EA" w14:textId="77777777">
        <w:trPr>
          <w:divId w:val="200286262"/>
        </w:trPr>
        <w:tc>
          <w:tcPr>
            <w:tcW w:w="4687" w:type="pct"/>
            <w:shd w:val="clear" w:color="auto" w:fill="CCEEFF"/>
            <w:tcMar>
              <w:top w:w="0" w:type="dxa"/>
              <w:left w:w="0" w:type="dxa"/>
              <w:bottom w:w="0" w:type="dxa"/>
              <w:right w:w="0" w:type="dxa"/>
            </w:tcMar>
            <w:vAlign w:val="bottom"/>
            <w:hideMark/>
          </w:tcPr>
          <w:p w14:paraId="4049C8F1" w14:textId="77777777" w:rsidR="00000000" w:rsidRDefault="00097612">
            <w:pPr>
              <w:pStyle w:val="a3"/>
              <w:spacing w:before="0" w:beforeAutospacing="0" w:after="0" w:afterAutospacing="0"/>
              <w:rPr>
                <w:sz w:val="20"/>
                <w:szCs w:val="20"/>
              </w:rPr>
            </w:pPr>
            <w:hyperlink w:anchor="SIGNATURES_417351" w:history="1">
              <w:r>
                <w:rPr>
                  <w:rStyle w:val="a4"/>
                  <w:sz w:val="20"/>
                  <w:szCs w:val="20"/>
                </w:rPr>
                <w:t>Signatures</w:t>
              </w:r>
            </w:hyperlink>
          </w:p>
        </w:tc>
        <w:tc>
          <w:tcPr>
            <w:tcW w:w="312" w:type="pct"/>
            <w:shd w:val="clear" w:color="auto" w:fill="CCEEFF"/>
            <w:tcMar>
              <w:top w:w="0" w:type="dxa"/>
              <w:left w:w="0" w:type="dxa"/>
              <w:bottom w:w="0" w:type="dxa"/>
              <w:right w:w="0" w:type="dxa"/>
            </w:tcMar>
            <w:vAlign w:val="bottom"/>
            <w:hideMark/>
          </w:tcPr>
          <w:p w14:paraId="69AE93D9" w14:textId="77777777" w:rsidR="00000000" w:rsidRDefault="00097612">
            <w:pPr>
              <w:pStyle w:val="a3"/>
              <w:spacing w:before="0" w:beforeAutospacing="0" w:after="0" w:afterAutospacing="0"/>
              <w:jc w:val="right"/>
              <w:rPr>
                <w:sz w:val="20"/>
                <w:szCs w:val="20"/>
              </w:rPr>
            </w:pPr>
            <w:r>
              <w:rPr>
                <w:sz w:val="20"/>
                <w:szCs w:val="20"/>
              </w:rPr>
              <w:t>70</w:t>
            </w:r>
          </w:p>
        </w:tc>
      </w:tr>
    </w:tbl>
    <w:p w14:paraId="44DCD33A" w14:textId="77777777" w:rsidR="00000000" w:rsidRDefault="00097612">
      <w:pPr>
        <w:pStyle w:val="a3"/>
        <w:spacing w:before="0" w:beforeAutospacing="0" w:after="0" w:afterAutospacing="0"/>
        <w:divId w:val="200286262"/>
        <w:rPr>
          <w:sz w:val="20"/>
          <w:szCs w:val="20"/>
        </w:rPr>
      </w:pPr>
      <w:r>
        <w:rPr>
          <w:sz w:val="20"/>
          <w:szCs w:val="20"/>
        </w:rPr>
        <w:t>​</w:t>
      </w:r>
    </w:p>
    <w:p w14:paraId="66A03953" w14:textId="77777777" w:rsidR="00000000" w:rsidRDefault="00097612">
      <w:pPr>
        <w:pStyle w:val="a3"/>
        <w:spacing w:before="0" w:beforeAutospacing="0" w:after="0" w:afterAutospacing="0"/>
        <w:divId w:val="200286262"/>
        <w:rPr>
          <w:sz w:val="20"/>
          <w:szCs w:val="20"/>
        </w:rPr>
      </w:pPr>
      <w:r>
        <w:rPr>
          <w:sz w:val="20"/>
          <w:szCs w:val="20"/>
        </w:rPr>
        <w:t>​</w:t>
      </w:r>
    </w:p>
    <w:p w14:paraId="2BC41C84" w14:textId="77777777" w:rsidR="00000000" w:rsidRDefault="00097612">
      <w:pPr>
        <w:pStyle w:val="a3"/>
        <w:spacing w:before="0" w:beforeAutospacing="0" w:after="0" w:afterAutospacing="0"/>
        <w:divId w:val="200286262"/>
        <w:rPr>
          <w:sz w:val="20"/>
          <w:szCs w:val="20"/>
        </w:rPr>
      </w:pPr>
      <w:r>
        <w:rPr>
          <w:sz w:val="20"/>
          <w:szCs w:val="20"/>
        </w:rPr>
        <w:t>​</w:t>
      </w:r>
    </w:p>
    <w:p w14:paraId="1D86B4FE" w14:textId="77777777" w:rsidR="00000000" w:rsidRDefault="00097612">
      <w:pPr>
        <w:pStyle w:val="a3"/>
        <w:spacing w:before="360" w:beforeAutospacing="0" w:after="0" w:afterAutospacing="0"/>
        <w:jc w:val="center"/>
        <w:divId w:val="1503425691"/>
        <w:rPr>
          <w:sz w:val="20"/>
          <w:szCs w:val="20"/>
        </w:rPr>
      </w:pPr>
      <w:r>
        <w:rPr>
          <w:sz w:val="20"/>
          <w:szCs w:val="20"/>
        </w:rPr>
        <w:t>2</w:t>
      </w:r>
    </w:p>
    <w:p w14:paraId="53DA4139" w14:textId="77777777" w:rsidR="00000000" w:rsidRDefault="00097612">
      <w:pPr>
        <w:pStyle w:val="a3"/>
        <w:spacing w:before="0" w:beforeAutospacing="0" w:after="600" w:afterAutospacing="0"/>
        <w:divId w:val="460466780"/>
        <w:rPr>
          <w:sz w:val="20"/>
          <w:szCs w:val="20"/>
        </w:rPr>
      </w:pPr>
      <w:hyperlink w:anchor="TOC" w:history="1">
        <w:r>
          <w:rPr>
            <w:rStyle w:val="a4"/>
            <w:sz w:val="20"/>
            <w:szCs w:val="20"/>
          </w:rPr>
          <w:t>Table of Contents</w:t>
        </w:r>
      </w:hyperlink>
    </w:p>
    <w:p w14:paraId="77051673" w14:textId="77777777" w:rsidR="00000000" w:rsidRDefault="00097612">
      <w:pPr>
        <w:pStyle w:val="a3"/>
        <w:spacing w:before="0" w:beforeAutospacing="0" w:after="0" w:afterAutospacing="0"/>
        <w:divId w:val="546068456"/>
        <w:rPr>
          <w:sz w:val="20"/>
          <w:szCs w:val="20"/>
        </w:rPr>
      </w:pPr>
      <w:r>
        <w:rPr>
          <w:b/>
          <w:bCs/>
          <w:sz w:val="20"/>
          <w:szCs w:val="20"/>
        </w:rPr>
        <w:lastRenderedPageBreak/>
        <w:t>PART I. FINANCIAL INFORMATION</w:t>
      </w:r>
    </w:p>
    <w:p w14:paraId="193B2574" w14:textId="77777777" w:rsidR="00000000" w:rsidRDefault="00097612">
      <w:pPr>
        <w:pStyle w:val="a3"/>
        <w:spacing w:before="0" w:beforeAutospacing="0" w:after="240" w:afterAutospacing="0"/>
        <w:ind w:hanging="1008"/>
        <w:divId w:val="546068456"/>
        <w:rPr>
          <w:sz w:val="20"/>
          <w:szCs w:val="20"/>
        </w:rPr>
      </w:pPr>
      <w:r>
        <w:rPr>
          <w:b/>
          <w:bCs/>
          <w:sz w:val="20"/>
          <w:szCs w:val="20"/>
        </w:rPr>
        <w:t>ITEM 1.    FINANCIAL STATEMENTS</w:t>
      </w:r>
    </w:p>
    <w:p w14:paraId="0D18875E" w14:textId="77777777" w:rsidR="00000000" w:rsidRDefault="00097612">
      <w:pPr>
        <w:pStyle w:val="a3"/>
        <w:spacing w:before="0" w:beforeAutospacing="0" w:after="0" w:afterAutospacing="0"/>
        <w:jc w:val="center"/>
        <w:divId w:val="546068456"/>
        <w:rPr>
          <w:sz w:val="20"/>
          <w:szCs w:val="20"/>
        </w:rPr>
      </w:pPr>
      <w:r>
        <w:rPr>
          <w:b/>
          <w:bCs/>
          <w:sz w:val="20"/>
          <w:szCs w:val="20"/>
        </w:rPr>
        <w:t>THERAVANCE BIOPHARMA, INC.</w:t>
      </w:r>
    </w:p>
    <w:p w14:paraId="010DEBC8" w14:textId="77777777" w:rsidR="00000000" w:rsidRDefault="00097612">
      <w:pPr>
        <w:pStyle w:val="a3"/>
        <w:spacing w:before="0" w:beforeAutospacing="0" w:after="0" w:afterAutospacing="0"/>
        <w:jc w:val="center"/>
        <w:divId w:val="546068456"/>
        <w:rPr>
          <w:sz w:val="20"/>
          <w:szCs w:val="20"/>
        </w:rPr>
      </w:pPr>
      <w:r>
        <w:rPr>
          <w:b/>
          <w:bCs/>
          <w:sz w:val="20"/>
          <w:szCs w:val="20"/>
        </w:rPr>
        <w:t>CONDENSED CONSOLIDATED BALANCE SHEETS</w:t>
      </w:r>
    </w:p>
    <w:p w14:paraId="0E1B07D7" w14:textId="77777777" w:rsidR="00000000" w:rsidRDefault="00097612">
      <w:pPr>
        <w:pStyle w:val="a3"/>
        <w:spacing w:before="0" w:beforeAutospacing="0" w:after="0" w:afterAutospacing="0"/>
        <w:jc w:val="center"/>
        <w:divId w:val="546068456"/>
        <w:rPr>
          <w:sz w:val="20"/>
          <w:szCs w:val="20"/>
        </w:rPr>
      </w:pPr>
      <w:r>
        <w:rPr>
          <w:b/>
          <w:bCs/>
          <w:sz w:val="20"/>
          <w:szCs w:val="20"/>
        </w:rPr>
        <w:t>(Unaudited)</w:t>
      </w:r>
    </w:p>
    <w:p w14:paraId="3E086EB7" w14:textId="77777777" w:rsidR="00000000" w:rsidRDefault="00097612">
      <w:pPr>
        <w:pStyle w:val="a3"/>
        <w:spacing w:before="0" w:beforeAutospacing="0" w:after="120" w:afterAutospacing="0"/>
        <w:jc w:val="center"/>
        <w:divId w:val="546068456"/>
        <w:rPr>
          <w:sz w:val="20"/>
          <w:szCs w:val="20"/>
        </w:rPr>
      </w:pPr>
      <w:r>
        <w:rPr>
          <w:b/>
          <w:bCs/>
          <w:sz w:val="20"/>
          <w:szCs w:val="20"/>
        </w:rPr>
        <w:t>(In thousands, except per share data)</w:t>
      </w:r>
    </w:p>
    <w:tbl>
      <w:tblPr>
        <w:tblW w:w="5000" w:type="pct"/>
        <w:tblCellMar>
          <w:top w:w="15" w:type="dxa"/>
          <w:left w:w="0" w:type="dxa"/>
          <w:bottom w:w="15" w:type="dxa"/>
          <w:right w:w="0" w:type="dxa"/>
        </w:tblCellMar>
        <w:tblLook w:val="04A0" w:firstRow="1" w:lastRow="0" w:firstColumn="1" w:lastColumn="0" w:noHBand="0" w:noVBand="1"/>
      </w:tblPr>
      <w:tblGrid>
        <w:gridCol w:w="5818"/>
        <w:gridCol w:w="202"/>
        <w:gridCol w:w="205"/>
        <w:gridCol w:w="840"/>
        <w:gridCol w:w="199"/>
        <w:gridCol w:w="202"/>
        <w:gridCol w:w="840"/>
      </w:tblGrid>
      <w:tr w:rsidR="00000000" w14:paraId="3EBEEA28" w14:textId="77777777">
        <w:trPr>
          <w:divId w:val="546068456"/>
          <w:trHeight w:val="20"/>
        </w:trPr>
        <w:tc>
          <w:tcPr>
            <w:tcW w:w="3504" w:type="pct"/>
            <w:tcMar>
              <w:top w:w="0" w:type="dxa"/>
              <w:left w:w="0" w:type="dxa"/>
              <w:bottom w:w="0" w:type="dxa"/>
              <w:right w:w="0" w:type="dxa"/>
            </w:tcMar>
            <w:hideMark/>
          </w:tcPr>
          <w:p w14:paraId="648C3CE1" w14:textId="77777777" w:rsidR="00000000" w:rsidRDefault="00097612">
            <w:pPr>
              <w:pStyle w:val="a3"/>
              <w:spacing w:before="0" w:beforeAutospacing="0" w:after="0" w:afterAutospacing="0"/>
              <w:divId w:val="761144079"/>
              <w:rPr>
                <w:sz w:val="20"/>
                <w:szCs w:val="20"/>
              </w:rPr>
            </w:pPr>
            <w:r>
              <w:rPr>
                <w:sz w:val="2"/>
                <w:szCs w:val="2"/>
              </w:rPr>
              <w:t>​</w:t>
            </w:r>
          </w:p>
        </w:tc>
        <w:tc>
          <w:tcPr>
            <w:tcW w:w="125" w:type="pct"/>
            <w:noWrap/>
            <w:tcMar>
              <w:top w:w="0" w:type="dxa"/>
              <w:left w:w="0" w:type="dxa"/>
              <w:bottom w:w="0" w:type="dxa"/>
              <w:right w:w="0" w:type="dxa"/>
            </w:tcMar>
            <w:vAlign w:val="bottom"/>
            <w:hideMark/>
          </w:tcPr>
          <w:p w14:paraId="73087687" w14:textId="77777777" w:rsidR="00000000" w:rsidRDefault="00097612">
            <w:pPr>
              <w:pStyle w:val="a3"/>
              <w:spacing w:before="0" w:beforeAutospacing="0" w:after="0" w:afterAutospacing="0"/>
              <w:divId w:val="1921478690"/>
              <w:rPr>
                <w:sz w:val="20"/>
                <w:szCs w:val="20"/>
              </w:rPr>
            </w:pPr>
            <w:r>
              <w:rPr>
                <w:sz w:val="2"/>
                <w:szCs w:val="2"/>
              </w:rPr>
              <w:t>​</w:t>
            </w:r>
          </w:p>
        </w:tc>
        <w:tc>
          <w:tcPr>
            <w:tcW w:w="125" w:type="pct"/>
            <w:noWrap/>
            <w:tcMar>
              <w:top w:w="0" w:type="dxa"/>
              <w:left w:w="0" w:type="dxa"/>
              <w:bottom w:w="0" w:type="dxa"/>
              <w:right w:w="0" w:type="dxa"/>
            </w:tcMar>
            <w:vAlign w:val="bottom"/>
            <w:hideMark/>
          </w:tcPr>
          <w:p w14:paraId="26B7FD60" w14:textId="77777777" w:rsidR="00000000" w:rsidRDefault="00097612">
            <w:pPr>
              <w:pStyle w:val="a3"/>
              <w:spacing w:before="0" w:beforeAutospacing="0" w:after="0" w:afterAutospacing="0"/>
              <w:divId w:val="183439742"/>
              <w:rPr>
                <w:sz w:val="20"/>
                <w:szCs w:val="20"/>
              </w:rPr>
            </w:pPr>
            <w:r>
              <w:rPr>
                <w:sz w:val="2"/>
                <w:szCs w:val="2"/>
              </w:rPr>
              <w:t>​</w:t>
            </w:r>
          </w:p>
        </w:tc>
        <w:tc>
          <w:tcPr>
            <w:tcW w:w="496" w:type="pct"/>
            <w:noWrap/>
            <w:tcMar>
              <w:top w:w="0" w:type="dxa"/>
              <w:left w:w="0" w:type="dxa"/>
              <w:bottom w:w="0" w:type="dxa"/>
              <w:right w:w="0" w:type="dxa"/>
            </w:tcMar>
            <w:vAlign w:val="bottom"/>
            <w:hideMark/>
          </w:tcPr>
          <w:p w14:paraId="7B8007BD" w14:textId="77777777" w:rsidR="00000000" w:rsidRDefault="00097612">
            <w:pPr>
              <w:pStyle w:val="a3"/>
              <w:spacing w:before="0" w:beforeAutospacing="0" w:after="0" w:afterAutospacing="0"/>
              <w:divId w:val="304046533"/>
              <w:rPr>
                <w:sz w:val="20"/>
                <w:szCs w:val="20"/>
              </w:rPr>
            </w:pPr>
            <w:r>
              <w:rPr>
                <w:sz w:val="2"/>
                <w:szCs w:val="2"/>
              </w:rPr>
              <w:t>​</w:t>
            </w:r>
          </w:p>
        </w:tc>
        <w:tc>
          <w:tcPr>
            <w:tcW w:w="125" w:type="pct"/>
            <w:noWrap/>
            <w:tcMar>
              <w:top w:w="0" w:type="dxa"/>
              <w:left w:w="0" w:type="dxa"/>
              <w:bottom w:w="0" w:type="dxa"/>
              <w:right w:w="0" w:type="dxa"/>
            </w:tcMar>
            <w:vAlign w:val="bottom"/>
            <w:hideMark/>
          </w:tcPr>
          <w:p w14:paraId="79B5E2E1" w14:textId="77777777" w:rsidR="00000000" w:rsidRDefault="00097612">
            <w:pPr>
              <w:pStyle w:val="a3"/>
              <w:spacing w:before="0" w:beforeAutospacing="0" w:after="0" w:afterAutospacing="0"/>
              <w:divId w:val="1432355981"/>
              <w:rPr>
                <w:sz w:val="20"/>
                <w:szCs w:val="20"/>
              </w:rPr>
            </w:pPr>
            <w:r>
              <w:rPr>
                <w:sz w:val="2"/>
                <w:szCs w:val="2"/>
              </w:rPr>
              <w:t>​</w:t>
            </w:r>
          </w:p>
        </w:tc>
        <w:tc>
          <w:tcPr>
            <w:tcW w:w="125" w:type="pct"/>
            <w:noWrap/>
            <w:tcMar>
              <w:top w:w="0" w:type="dxa"/>
              <w:left w:w="0" w:type="dxa"/>
              <w:bottom w:w="0" w:type="dxa"/>
              <w:right w:w="0" w:type="dxa"/>
            </w:tcMar>
            <w:vAlign w:val="bottom"/>
            <w:hideMark/>
          </w:tcPr>
          <w:p w14:paraId="51CDD071" w14:textId="77777777" w:rsidR="00000000" w:rsidRDefault="00097612">
            <w:pPr>
              <w:pStyle w:val="a3"/>
              <w:spacing w:before="0" w:beforeAutospacing="0" w:after="0" w:afterAutospacing="0"/>
              <w:divId w:val="166599091"/>
              <w:rPr>
                <w:sz w:val="20"/>
                <w:szCs w:val="20"/>
              </w:rPr>
            </w:pPr>
            <w:r>
              <w:rPr>
                <w:sz w:val="2"/>
                <w:szCs w:val="2"/>
              </w:rPr>
              <w:t>​</w:t>
            </w:r>
          </w:p>
        </w:tc>
        <w:tc>
          <w:tcPr>
            <w:tcW w:w="495" w:type="pct"/>
            <w:noWrap/>
            <w:tcMar>
              <w:top w:w="0" w:type="dxa"/>
              <w:left w:w="0" w:type="dxa"/>
              <w:bottom w:w="0" w:type="dxa"/>
              <w:right w:w="0" w:type="dxa"/>
            </w:tcMar>
            <w:vAlign w:val="bottom"/>
            <w:hideMark/>
          </w:tcPr>
          <w:p w14:paraId="5FC25EE2" w14:textId="77777777" w:rsidR="00000000" w:rsidRDefault="00097612">
            <w:pPr>
              <w:pStyle w:val="a3"/>
              <w:spacing w:before="0" w:beforeAutospacing="0" w:after="0" w:afterAutospacing="0"/>
              <w:divId w:val="558638250"/>
              <w:rPr>
                <w:sz w:val="20"/>
                <w:szCs w:val="20"/>
              </w:rPr>
            </w:pPr>
            <w:r>
              <w:rPr>
                <w:sz w:val="2"/>
                <w:szCs w:val="2"/>
              </w:rPr>
              <w:t>​</w:t>
            </w:r>
          </w:p>
        </w:tc>
      </w:tr>
      <w:tr w:rsidR="00000000" w14:paraId="1935E976" w14:textId="77777777">
        <w:trPr>
          <w:divId w:val="546068456"/>
        </w:trPr>
        <w:tc>
          <w:tcPr>
            <w:tcW w:w="3504" w:type="pct"/>
            <w:shd w:val="clear" w:color="auto" w:fill="auto"/>
            <w:tcMar>
              <w:top w:w="0" w:type="dxa"/>
              <w:left w:w="0" w:type="dxa"/>
              <w:bottom w:w="0" w:type="dxa"/>
              <w:right w:w="0" w:type="dxa"/>
            </w:tcMar>
            <w:vAlign w:val="bottom"/>
            <w:hideMark/>
          </w:tcPr>
          <w:p w14:paraId="3D29C325" w14:textId="77777777" w:rsidR="00000000" w:rsidRDefault="00097612">
            <w:pPr>
              <w:pStyle w:val="a3"/>
              <w:spacing w:before="0" w:beforeAutospacing="0" w:after="0" w:afterAutospacing="0"/>
              <w:rPr>
                <w:sz w:val="20"/>
                <w:szCs w:val="20"/>
              </w:rPr>
            </w:pPr>
            <w:r>
              <w:rPr>
                <w:b/>
                <w:bCs/>
                <w:sz w:val="16"/>
                <w:szCs w:val="16"/>
              </w:rPr>
              <w:t>​</w:t>
            </w:r>
          </w:p>
        </w:tc>
        <w:tc>
          <w:tcPr>
            <w:tcW w:w="125" w:type="pct"/>
            <w:shd w:val="clear" w:color="auto" w:fill="auto"/>
            <w:noWrap/>
            <w:tcMar>
              <w:top w:w="0" w:type="dxa"/>
              <w:left w:w="0" w:type="dxa"/>
              <w:bottom w:w="0" w:type="dxa"/>
              <w:right w:w="0" w:type="dxa"/>
            </w:tcMar>
            <w:vAlign w:val="bottom"/>
            <w:hideMark/>
          </w:tcPr>
          <w:p w14:paraId="06302847" w14:textId="77777777" w:rsidR="00000000" w:rsidRDefault="00097612">
            <w:pPr>
              <w:pStyle w:val="a3"/>
              <w:spacing w:before="0" w:beforeAutospacing="0" w:after="0" w:afterAutospacing="0"/>
              <w:rPr>
                <w:sz w:val="20"/>
                <w:szCs w:val="20"/>
              </w:rPr>
            </w:pPr>
            <w:r>
              <w:rPr>
                <w:b/>
                <w:bCs/>
                <w:sz w:val="16"/>
                <w:szCs w:val="16"/>
              </w:rPr>
              <w:t>​</w:t>
            </w:r>
          </w:p>
        </w:tc>
        <w:tc>
          <w:tcPr>
            <w:tcW w:w="622" w:type="pct"/>
            <w:gridSpan w:val="2"/>
            <w:shd w:val="clear" w:color="auto" w:fill="auto"/>
            <w:noWrap/>
            <w:tcMar>
              <w:top w:w="0" w:type="dxa"/>
              <w:left w:w="0" w:type="dxa"/>
              <w:bottom w:w="0" w:type="dxa"/>
              <w:right w:w="0" w:type="dxa"/>
            </w:tcMar>
            <w:vAlign w:val="bottom"/>
            <w:hideMark/>
          </w:tcPr>
          <w:p w14:paraId="0085EA5D"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125" w:type="pct"/>
            <w:shd w:val="clear" w:color="auto" w:fill="auto"/>
            <w:noWrap/>
            <w:tcMar>
              <w:top w:w="0" w:type="dxa"/>
              <w:left w:w="0" w:type="dxa"/>
              <w:bottom w:w="0" w:type="dxa"/>
              <w:right w:w="0" w:type="dxa"/>
            </w:tcMar>
            <w:vAlign w:val="bottom"/>
            <w:hideMark/>
          </w:tcPr>
          <w:p w14:paraId="2C7C9899" w14:textId="77777777" w:rsidR="00000000" w:rsidRDefault="00097612">
            <w:pPr>
              <w:pStyle w:val="a3"/>
              <w:spacing w:before="0" w:beforeAutospacing="0" w:after="0" w:afterAutospacing="0"/>
              <w:rPr>
                <w:sz w:val="20"/>
                <w:szCs w:val="20"/>
              </w:rPr>
            </w:pPr>
            <w:r>
              <w:rPr>
                <w:b/>
                <w:bCs/>
                <w:sz w:val="16"/>
                <w:szCs w:val="16"/>
              </w:rPr>
              <w:t>​</w:t>
            </w:r>
          </w:p>
        </w:tc>
        <w:tc>
          <w:tcPr>
            <w:tcW w:w="621" w:type="pct"/>
            <w:gridSpan w:val="2"/>
            <w:shd w:val="clear" w:color="auto" w:fill="auto"/>
            <w:noWrap/>
            <w:tcMar>
              <w:top w:w="0" w:type="dxa"/>
              <w:left w:w="0" w:type="dxa"/>
              <w:bottom w:w="0" w:type="dxa"/>
              <w:right w:w="0" w:type="dxa"/>
            </w:tcMar>
            <w:vAlign w:val="bottom"/>
            <w:hideMark/>
          </w:tcPr>
          <w:p w14:paraId="42F702DE" w14:textId="77777777" w:rsidR="00000000" w:rsidRDefault="00097612">
            <w:pPr>
              <w:pStyle w:val="a3"/>
              <w:spacing w:before="0" w:beforeAutospacing="0" w:after="0" w:afterAutospacing="0"/>
              <w:jc w:val="center"/>
              <w:rPr>
                <w:sz w:val="16"/>
                <w:szCs w:val="16"/>
              </w:rPr>
            </w:pPr>
            <w:r>
              <w:rPr>
                <w:b/>
                <w:bCs/>
                <w:sz w:val="16"/>
                <w:szCs w:val="16"/>
              </w:rPr>
              <w:t>December 31, </w:t>
            </w:r>
          </w:p>
        </w:tc>
      </w:tr>
      <w:tr w:rsidR="00000000" w14:paraId="38949DFC" w14:textId="77777777">
        <w:trPr>
          <w:divId w:val="546068456"/>
        </w:trPr>
        <w:tc>
          <w:tcPr>
            <w:tcW w:w="3504" w:type="pct"/>
            <w:shd w:val="clear" w:color="auto" w:fill="auto"/>
            <w:tcMar>
              <w:top w:w="0" w:type="dxa"/>
              <w:left w:w="0" w:type="dxa"/>
              <w:bottom w:w="0" w:type="dxa"/>
              <w:right w:w="0" w:type="dxa"/>
            </w:tcMar>
            <w:vAlign w:val="bottom"/>
            <w:hideMark/>
          </w:tcPr>
          <w:p w14:paraId="444A17C1" w14:textId="77777777" w:rsidR="00000000" w:rsidRDefault="00097612">
            <w:pPr>
              <w:pStyle w:val="a3"/>
              <w:spacing w:before="0" w:beforeAutospacing="0" w:after="0" w:afterAutospacing="0"/>
              <w:rPr>
                <w:sz w:val="20"/>
                <w:szCs w:val="20"/>
              </w:rPr>
            </w:pPr>
            <w:r>
              <w:rPr>
                <w:b/>
                <w:bCs/>
                <w:sz w:val="16"/>
                <w:szCs w:val="16"/>
              </w:rPr>
              <w:t>​</w:t>
            </w:r>
          </w:p>
        </w:tc>
        <w:tc>
          <w:tcPr>
            <w:tcW w:w="125" w:type="pct"/>
            <w:shd w:val="clear" w:color="auto" w:fill="auto"/>
            <w:noWrap/>
            <w:tcMar>
              <w:top w:w="0" w:type="dxa"/>
              <w:left w:w="0" w:type="dxa"/>
              <w:bottom w:w="0" w:type="dxa"/>
              <w:right w:w="0" w:type="dxa"/>
            </w:tcMar>
            <w:vAlign w:val="bottom"/>
            <w:hideMark/>
          </w:tcPr>
          <w:p w14:paraId="697E1051" w14:textId="77777777" w:rsidR="00000000" w:rsidRDefault="00097612">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shd w:val="clear" w:color="auto" w:fill="auto"/>
            <w:noWrap/>
            <w:tcMar>
              <w:top w:w="0" w:type="dxa"/>
              <w:left w:w="0" w:type="dxa"/>
              <w:bottom w:w="0" w:type="dxa"/>
              <w:right w:w="0" w:type="dxa"/>
            </w:tcMar>
            <w:vAlign w:val="bottom"/>
            <w:hideMark/>
          </w:tcPr>
          <w:p w14:paraId="2444DF06" w14:textId="77777777" w:rsidR="00000000" w:rsidRDefault="00097612">
            <w:pPr>
              <w:pStyle w:val="a3"/>
              <w:spacing w:before="0" w:beforeAutospacing="0" w:after="0" w:afterAutospacing="0"/>
              <w:jc w:val="center"/>
              <w:rPr>
                <w:sz w:val="16"/>
                <w:szCs w:val="16"/>
              </w:rPr>
            </w:pPr>
            <w:r>
              <w:rPr>
                <w:b/>
                <w:bCs/>
                <w:sz w:val="16"/>
                <w:szCs w:val="16"/>
              </w:rPr>
              <w:t>2019</w:t>
            </w:r>
          </w:p>
        </w:tc>
        <w:tc>
          <w:tcPr>
            <w:tcW w:w="125" w:type="pct"/>
            <w:shd w:val="clear" w:color="auto" w:fill="auto"/>
            <w:noWrap/>
            <w:tcMar>
              <w:top w:w="0" w:type="dxa"/>
              <w:left w:w="0" w:type="dxa"/>
              <w:bottom w:w="0" w:type="dxa"/>
              <w:right w:w="0" w:type="dxa"/>
            </w:tcMar>
            <w:vAlign w:val="bottom"/>
            <w:hideMark/>
          </w:tcPr>
          <w:p w14:paraId="012CBCBB" w14:textId="77777777" w:rsidR="00000000" w:rsidRDefault="00097612">
            <w:pPr>
              <w:pStyle w:val="a3"/>
              <w:spacing w:before="0" w:beforeAutospacing="0" w:after="0" w:afterAutospacing="0"/>
              <w:rPr>
                <w:sz w:val="16"/>
                <w:szCs w:val="16"/>
              </w:rPr>
            </w:pPr>
            <w:r>
              <w:rPr>
                <w:b/>
                <w:bCs/>
                <w:sz w:val="16"/>
                <w:szCs w:val="16"/>
              </w:rPr>
              <w:t>    </w:t>
            </w:r>
          </w:p>
        </w:tc>
        <w:tc>
          <w:tcPr>
            <w:tcW w:w="621" w:type="pct"/>
            <w:gridSpan w:val="2"/>
            <w:tcBorders>
              <w:bottom w:val="single" w:sz="6" w:space="0" w:color="000000"/>
            </w:tcBorders>
            <w:shd w:val="clear" w:color="auto" w:fill="auto"/>
            <w:noWrap/>
            <w:tcMar>
              <w:top w:w="0" w:type="dxa"/>
              <w:left w:w="0" w:type="dxa"/>
              <w:bottom w:w="0" w:type="dxa"/>
              <w:right w:w="0" w:type="dxa"/>
            </w:tcMar>
            <w:vAlign w:val="bottom"/>
            <w:hideMark/>
          </w:tcPr>
          <w:p w14:paraId="2C50F35A" w14:textId="77777777" w:rsidR="00000000" w:rsidRDefault="00097612">
            <w:pPr>
              <w:pStyle w:val="a3"/>
              <w:spacing w:before="0" w:beforeAutospacing="0" w:after="0" w:afterAutospacing="0"/>
              <w:jc w:val="center"/>
              <w:rPr>
                <w:sz w:val="16"/>
                <w:szCs w:val="16"/>
              </w:rPr>
            </w:pPr>
            <w:r>
              <w:rPr>
                <w:b/>
                <w:bCs/>
                <w:sz w:val="16"/>
                <w:szCs w:val="16"/>
              </w:rPr>
              <w:t>2018</w:t>
            </w:r>
          </w:p>
        </w:tc>
      </w:tr>
      <w:tr w:rsidR="00000000" w14:paraId="19089E6D" w14:textId="77777777">
        <w:trPr>
          <w:divId w:val="546068456"/>
        </w:trPr>
        <w:tc>
          <w:tcPr>
            <w:tcW w:w="3504" w:type="pct"/>
            <w:shd w:val="clear" w:color="auto" w:fill="CCEEFF"/>
            <w:tcMar>
              <w:top w:w="0" w:type="dxa"/>
              <w:left w:w="0" w:type="dxa"/>
              <w:bottom w:w="0" w:type="dxa"/>
              <w:right w:w="0" w:type="dxa"/>
            </w:tcMar>
            <w:hideMark/>
          </w:tcPr>
          <w:p w14:paraId="387DAD2B" w14:textId="77777777" w:rsidR="00000000" w:rsidRDefault="00097612">
            <w:pPr>
              <w:pStyle w:val="a3"/>
              <w:spacing w:before="0" w:beforeAutospacing="0" w:after="0" w:afterAutospacing="0"/>
              <w:rPr>
                <w:sz w:val="18"/>
                <w:szCs w:val="18"/>
              </w:rPr>
            </w:pPr>
            <w:r>
              <w:rPr>
                <w:b/>
                <w:bCs/>
                <w:sz w:val="18"/>
                <w:szCs w:val="18"/>
              </w:rPr>
              <w:t>Assets</w:t>
            </w:r>
          </w:p>
        </w:tc>
        <w:tc>
          <w:tcPr>
            <w:tcW w:w="125" w:type="pct"/>
            <w:shd w:val="clear" w:color="auto" w:fill="CCEEFF"/>
            <w:noWrap/>
            <w:tcMar>
              <w:top w:w="0" w:type="dxa"/>
              <w:left w:w="0" w:type="dxa"/>
              <w:bottom w:w="0" w:type="dxa"/>
              <w:right w:w="0" w:type="dxa"/>
            </w:tcMar>
            <w:vAlign w:val="bottom"/>
            <w:hideMark/>
          </w:tcPr>
          <w:p w14:paraId="486919E5"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031346C7" w14:textId="77777777" w:rsidR="00000000" w:rsidRDefault="00097612">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58EF8F1" w14:textId="77777777" w:rsidR="00000000" w:rsidRDefault="00097612">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28F0F552"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3F000502" w14:textId="77777777" w:rsidR="00000000" w:rsidRDefault="00097612">
            <w:pPr>
              <w:pStyle w:val="a3"/>
              <w:spacing w:before="0" w:beforeAutospacing="0" w:after="0" w:afterAutospacing="0"/>
              <w:jc w:val="center"/>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14:paraId="7ECCFCBB" w14:textId="77777777" w:rsidR="00000000" w:rsidRDefault="00097612">
            <w:pPr>
              <w:pStyle w:val="a3"/>
              <w:spacing w:before="0" w:beforeAutospacing="0" w:after="0" w:afterAutospacing="0"/>
              <w:jc w:val="right"/>
              <w:rPr>
                <w:sz w:val="20"/>
                <w:szCs w:val="20"/>
              </w:rPr>
            </w:pPr>
            <w:r>
              <w:rPr>
                <w:sz w:val="18"/>
                <w:szCs w:val="18"/>
              </w:rPr>
              <w:t>​</w:t>
            </w:r>
          </w:p>
        </w:tc>
      </w:tr>
      <w:tr w:rsidR="00000000" w14:paraId="6A469E03" w14:textId="77777777">
        <w:trPr>
          <w:divId w:val="546068456"/>
        </w:trPr>
        <w:tc>
          <w:tcPr>
            <w:tcW w:w="3504" w:type="pct"/>
            <w:tcMar>
              <w:top w:w="0" w:type="dxa"/>
              <w:left w:w="0" w:type="dxa"/>
              <w:bottom w:w="0" w:type="dxa"/>
              <w:right w:w="0" w:type="dxa"/>
            </w:tcMar>
            <w:hideMark/>
          </w:tcPr>
          <w:p w14:paraId="7AB28540" w14:textId="77777777" w:rsidR="00000000" w:rsidRDefault="00097612">
            <w:pPr>
              <w:pStyle w:val="a3"/>
              <w:spacing w:before="0" w:beforeAutospacing="0" w:after="0" w:afterAutospacing="0"/>
              <w:rPr>
                <w:sz w:val="18"/>
                <w:szCs w:val="18"/>
              </w:rPr>
            </w:pPr>
            <w:r>
              <w:rPr>
                <w:sz w:val="18"/>
                <w:szCs w:val="18"/>
              </w:rPr>
              <w:t>Current assets:</w:t>
            </w:r>
          </w:p>
        </w:tc>
        <w:tc>
          <w:tcPr>
            <w:tcW w:w="125" w:type="pct"/>
            <w:noWrap/>
            <w:tcMar>
              <w:top w:w="0" w:type="dxa"/>
              <w:left w:w="0" w:type="dxa"/>
              <w:bottom w:w="0" w:type="dxa"/>
              <w:right w:w="0" w:type="dxa"/>
            </w:tcMar>
            <w:vAlign w:val="bottom"/>
            <w:hideMark/>
          </w:tcPr>
          <w:p w14:paraId="2DAED74C"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27863994" w14:textId="77777777" w:rsidR="00000000" w:rsidRDefault="00097612">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635BBABB" w14:textId="77777777" w:rsidR="00000000" w:rsidRDefault="00097612">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14:paraId="51177B36"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CDEBA4F"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579E2D8F" w14:textId="77777777" w:rsidR="00000000" w:rsidRDefault="00097612">
            <w:pPr>
              <w:pStyle w:val="a3"/>
              <w:spacing w:before="0" w:beforeAutospacing="0" w:after="0" w:afterAutospacing="0"/>
              <w:jc w:val="right"/>
              <w:rPr>
                <w:sz w:val="20"/>
                <w:szCs w:val="20"/>
              </w:rPr>
            </w:pPr>
            <w:r>
              <w:rPr>
                <w:sz w:val="18"/>
                <w:szCs w:val="18"/>
              </w:rPr>
              <w:t>​</w:t>
            </w:r>
          </w:p>
        </w:tc>
      </w:tr>
      <w:tr w:rsidR="00000000" w14:paraId="32ED1CF2" w14:textId="77777777">
        <w:trPr>
          <w:divId w:val="546068456"/>
        </w:trPr>
        <w:tc>
          <w:tcPr>
            <w:tcW w:w="3504" w:type="pct"/>
            <w:shd w:val="clear" w:color="auto" w:fill="CCEEFF"/>
            <w:tcMar>
              <w:top w:w="0" w:type="dxa"/>
              <w:left w:w="0" w:type="dxa"/>
              <w:bottom w:w="0" w:type="dxa"/>
              <w:right w:w="0" w:type="dxa"/>
            </w:tcMar>
            <w:hideMark/>
          </w:tcPr>
          <w:p w14:paraId="3228DBD7" w14:textId="77777777" w:rsidR="00000000" w:rsidRDefault="00097612">
            <w:pPr>
              <w:pStyle w:val="a3"/>
              <w:spacing w:before="0" w:beforeAutospacing="0" w:after="0" w:afterAutospacing="0"/>
              <w:ind w:left="240"/>
              <w:rPr>
                <w:sz w:val="18"/>
                <w:szCs w:val="18"/>
              </w:rPr>
            </w:pPr>
            <w:r>
              <w:rPr>
                <w:sz w:val="18"/>
                <w:szCs w:val="18"/>
              </w:rPr>
              <w:t xml:space="preserve">Cash and cash equivalents </w:t>
            </w:r>
          </w:p>
        </w:tc>
        <w:tc>
          <w:tcPr>
            <w:tcW w:w="125" w:type="pct"/>
            <w:shd w:val="clear" w:color="auto" w:fill="CCEEFF"/>
            <w:noWrap/>
            <w:tcMar>
              <w:top w:w="0" w:type="dxa"/>
              <w:left w:w="0" w:type="dxa"/>
              <w:bottom w:w="0" w:type="dxa"/>
              <w:right w:w="0" w:type="dxa"/>
            </w:tcMar>
            <w:vAlign w:val="bottom"/>
            <w:hideMark/>
          </w:tcPr>
          <w:p w14:paraId="64869F85"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1BA2980C" w14:textId="77777777" w:rsidR="00000000" w:rsidRDefault="00097612">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14:paraId="47AFB8F5" w14:textId="77777777" w:rsidR="00000000" w:rsidRDefault="00097612">
            <w:pPr>
              <w:pStyle w:val="a3"/>
              <w:spacing w:before="0" w:beforeAutospacing="0" w:after="0" w:afterAutospacing="0"/>
              <w:ind w:right="60"/>
              <w:jc w:val="right"/>
              <w:rPr>
                <w:sz w:val="18"/>
                <w:szCs w:val="18"/>
              </w:rPr>
            </w:pPr>
            <w:r>
              <w:rPr>
                <w:sz w:val="18"/>
                <w:szCs w:val="18"/>
              </w:rPr>
              <w:t>102,403</w:t>
            </w:r>
          </w:p>
        </w:tc>
        <w:tc>
          <w:tcPr>
            <w:tcW w:w="125" w:type="pct"/>
            <w:shd w:val="clear" w:color="auto" w:fill="CCEEFF"/>
            <w:noWrap/>
            <w:tcMar>
              <w:top w:w="0" w:type="dxa"/>
              <w:left w:w="0" w:type="dxa"/>
              <w:bottom w:w="0" w:type="dxa"/>
              <w:right w:w="0" w:type="dxa"/>
            </w:tcMar>
            <w:vAlign w:val="bottom"/>
            <w:hideMark/>
          </w:tcPr>
          <w:p w14:paraId="3B577C7A"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264F1642" w14:textId="77777777" w:rsidR="00000000" w:rsidRDefault="00097612">
            <w:pPr>
              <w:pStyle w:val="a3"/>
              <w:spacing w:before="0" w:beforeAutospacing="0" w:after="0" w:afterAutospacing="0"/>
              <w:jc w:val="center"/>
              <w:rPr>
                <w:sz w:val="18"/>
                <w:szCs w:val="18"/>
              </w:rPr>
            </w:pPr>
            <w:r>
              <w:rPr>
                <w:sz w:val="18"/>
                <w:szCs w:val="18"/>
              </w:rPr>
              <w:t>$</w:t>
            </w:r>
          </w:p>
        </w:tc>
        <w:tc>
          <w:tcPr>
            <w:tcW w:w="495" w:type="pct"/>
            <w:shd w:val="clear" w:color="auto" w:fill="CCEEFF"/>
            <w:noWrap/>
            <w:tcMar>
              <w:top w:w="0" w:type="dxa"/>
              <w:left w:w="0" w:type="dxa"/>
              <w:bottom w:w="0" w:type="dxa"/>
              <w:right w:w="0" w:type="dxa"/>
            </w:tcMar>
            <w:vAlign w:val="bottom"/>
            <w:hideMark/>
          </w:tcPr>
          <w:p w14:paraId="4315B5D2" w14:textId="77777777" w:rsidR="00000000" w:rsidRDefault="00097612">
            <w:pPr>
              <w:pStyle w:val="a3"/>
              <w:spacing w:before="0" w:beforeAutospacing="0" w:after="0" w:afterAutospacing="0"/>
              <w:ind w:right="60"/>
              <w:jc w:val="right"/>
              <w:rPr>
                <w:sz w:val="18"/>
                <w:szCs w:val="18"/>
              </w:rPr>
            </w:pPr>
            <w:r>
              <w:rPr>
                <w:sz w:val="18"/>
                <w:szCs w:val="18"/>
              </w:rPr>
              <w:t>378,021</w:t>
            </w:r>
          </w:p>
        </w:tc>
      </w:tr>
      <w:tr w:rsidR="00000000" w14:paraId="1A4A3BC5" w14:textId="77777777">
        <w:trPr>
          <w:divId w:val="546068456"/>
        </w:trPr>
        <w:tc>
          <w:tcPr>
            <w:tcW w:w="3504" w:type="pct"/>
            <w:tcMar>
              <w:top w:w="0" w:type="dxa"/>
              <w:left w:w="0" w:type="dxa"/>
              <w:bottom w:w="0" w:type="dxa"/>
              <w:right w:w="0" w:type="dxa"/>
            </w:tcMar>
            <w:hideMark/>
          </w:tcPr>
          <w:p w14:paraId="4D7C39B8" w14:textId="77777777" w:rsidR="00000000" w:rsidRDefault="00097612">
            <w:pPr>
              <w:pStyle w:val="a3"/>
              <w:spacing w:before="0" w:beforeAutospacing="0" w:after="0" w:afterAutospacing="0"/>
              <w:ind w:left="240"/>
              <w:rPr>
                <w:sz w:val="18"/>
                <w:szCs w:val="18"/>
              </w:rPr>
            </w:pPr>
            <w:r>
              <w:rPr>
                <w:sz w:val="18"/>
                <w:szCs w:val="18"/>
              </w:rPr>
              <w:t>Short-term marketable securities</w:t>
            </w:r>
          </w:p>
        </w:tc>
        <w:tc>
          <w:tcPr>
            <w:tcW w:w="125" w:type="pct"/>
            <w:noWrap/>
            <w:tcMar>
              <w:top w:w="0" w:type="dxa"/>
              <w:left w:w="0" w:type="dxa"/>
              <w:bottom w:w="0" w:type="dxa"/>
              <w:right w:w="0" w:type="dxa"/>
            </w:tcMar>
            <w:vAlign w:val="bottom"/>
            <w:hideMark/>
          </w:tcPr>
          <w:p w14:paraId="31BF1E76"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C006DD0" w14:textId="77777777" w:rsidR="00000000" w:rsidRDefault="00097612">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078168FB" w14:textId="77777777" w:rsidR="00000000" w:rsidRDefault="00097612">
            <w:pPr>
              <w:pStyle w:val="a3"/>
              <w:spacing w:before="0" w:beforeAutospacing="0" w:after="0" w:afterAutospacing="0"/>
              <w:ind w:right="60"/>
              <w:jc w:val="right"/>
              <w:rPr>
                <w:sz w:val="18"/>
                <w:szCs w:val="18"/>
              </w:rPr>
            </w:pPr>
            <w:r>
              <w:rPr>
                <w:sz w:val="18"/>
                <w:szCs w:val="18"/>
              </w:rPr>
              <w:t>217,278</w:t>
            </w:r>
          </w:p>
        </w:tc>
        <w:tc>
          <w:tcPr>
            <w:tcW w:w="125" w:type="pct"/>
            <w:noWrap/>
            <w:tcMar>
              <w:top w:w="0" w:type="dxa"/>
              <w:left w:w="0" w:type="dxa"/>
              <w:bottom w:w="0" w:type="dxa"/>
              <w:right w:w="0" w:type="dxa"/>
            </w:tcMar>
            <w:vAlign w:val="bottom"/>
            <w:hideMark/>
          </w:tcPr>
          <w:p w14:paraId="0AA5234D"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C480AB3" w14:textId="77777777" w:rsidR="00000000" w:rsidRDefault="00097612">
            <w:pPr>
              <w:pStyle w:val="a3"/>
              <w:spacing w:before="0" w:beforeAutospacing="0" w:after="0" w:afterAutospacing="0"/>
              <w:jc w:val="center"/>
              <w:rPr>
                <w:sz w:val="18"/>
                <w:szCs w:val="18"/>
              </w:rPr>
            </w:pPr>
            <w:r>
              <w:rPr>
                <w:sz w:val="18"/>
                <w:szCs w:val="18"/>
              </w:rPr>
              <w:t> </w:t>
            </w:r>
          </w:p>
        </w:tc>
        <w:tc>
          <w:tcPr>
            <w:tcW w:w="495" w:type="pct"/>
            <w:noWrap/>
            <w:tcMar>
              <w:top w:w="0" w:type="dxa"/>
              <w:left w:w="0" w:type="dxa"/>
              <w:bottom w:w="0" w:type="dxa"/>
              <w:right w:w="0" w:type="dxa"/>
            </w:tcMar>
            <w:vAlign w:val="bottom"/>
            <w:hideMark/>
          </w:tcPr>
          <w:p w14:paraId="72CF6B09" w14:textId="77777777" w:rsidR="00000000" w:rsidRDefault="00097612">
            <w:pPr>
              <w:pStyle w:val="a3"/>
              <w:spacing w:before="0" w:beforeAutospacing="0" w:after="0" w:afterAutospacing="0"/>
              <w:ind w:right="60"/>
              <w:jc w:val="right"/>
              <w:rPr>
                <w:sz w:val="18"/>
                <w:szCs w:val="18"/>
              </w:rPr>
            </w:pPr>
            <w:r>
              <w:rPr>
                <w:sz w:val="18"/>
                <w:szCs w:val="18"/>
              </w:rPr>
              <w:t>127,255</w:t>
            </w:r>
          </w:p>
        </w:tc>
      </w:tr>
      <w:tr w:rsidR="00000000" w14:paraId="5A768C8C" w14:textId="77777777">
        <w:trPr>
          <w:divId w:val="546068456"/>
        </w:trPr>
        <w:tc>
          <w:tcPr>
            <w:tcW w:w="3504" w:type="pct"/>
            <w:shd w:val="clear" w:color="auto" w:fill="CCEEFF"/>
            <w:tcMar>
              <w:top w:w="0" w:type="dxa"/>
              <w:left w:w="0" w:type="dxa"/>
              <w:bottom w:w="0" w:type="dxa"/>
              <w:right w:w="0" w:type="dxa"/>
            </w:tcMar>
            <w:hideMark/>
          </w:tcPr>
          <w:p w14:paraId="2CE3C604" w14:textId="77777777" w:rsidR="00000000" w:rsidRDefault="00097612">
            <w:pPr>
              <w:pStyle w:val="a3"/>
              <w:spacing w:before="0" w:beforeAutospacing="0" w:after="0" w:afterAutospacing="0"/>
              <w:ind w:left="240"/>
              <w:rPr>
                <w:sz w:val="18"/>
                <w:szCs w:val="18"/>
              </w:rPr>
            </w:pPr>
            <w:r>
              <w:rPr>
                <w:sz w:val="18"/>
                <w:szCs w:val="18"/>
              </w:rPr>
              <w:t>Accounts receivable, net of allowances of $0 at September 30, 2019 and December 31, 2018</w:t>
            </w:r>
          </w:p>
        </w:tc>
        <w:tc>
          <w:tcPr>
            <w:tcW w:w="125" w:type="pct"/>
            <w:shd w:val="clear" w:color="auto" w:fill="CCEEFF"/>
            <w:noWrap/>
            <w:tcMar>
              <w:top w:w="0" w:type="dxa"/>
              <w:left w:w="0" w:type="dxa"/>
              <w:bottom w:w="0" w:type="dxa"/>
              <w:right w:w="0" w:type="dxa"/>
            </w:tcMar>
            <w:vAlign w:val="bottom"/>
            <w:hideMark/>
          </w:tcPr>
          <w:p w14:paraId="39304BF0"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0CDE10C7" w14:textId="77777777" w:rsidR="00000000" w:rsidRDefault="00097612">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3E366CEC" w14:textId="77777777" w:rsidR="00000000" w:rsidRDefault="00097612">
            <w:pPr>
              <w:pStyle w:val="a3"/>
              <w:spacing w:before="0" w:beforeAutospacing="0" w:after="0" w:afterAutospacing="0"/>
              <w:ind w:right="60"/>
              <w:jc w:val="right"/>
              <w:rPr>
                <w:sz w:val="18"/>
                <w:szCs w:val="18"/>
              </w:rPr>
            </w:pPr>
            <w:r>
              <w:rPr>
                <w:sz w:val="18"/>
                <w:szCs w:val="18"/>
              </w:rPr>
              <w:t>87</w:t>
            </w:r>
          </w:p>
        </w:tc>
        <w:tc>
          <w:tcPr>
            <w:tcW w:w="125" w:type="pct"/>
            <w:shd w:val="clear" w:color="auto" w:fill="CCEEFF"/>
            <w:noWrap/>
            <w:tcMar>
              <w:top w:w="0" w:type="dxa"/>
              <w:left w:w="0" w:type="dxa"/>
              <w:bottom w:w="0" w:type="dxa"/>
              <w:right w:w="0" w:type="dxa"/>
            </w:tcMar>
            <w:vAlign w:val="bottom"/>
            <w:hideMark/>
          </w:tcPr>
          <w:p w14:paraId="48FD7047"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3DC925C4" w14:textId="77777777" w:rsidR="00000000" w:rsidRDefault="00097612">
            <w:pPr>
              <w:pStyle w:val="a3"/>
              <w:spacing w:before="0" w:beforeAutospacing="0" w:after="0" w:afterAutospacing="0"/>
              <w:jc w:val="center"/>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14:paraId="68BA9F1A" w14:textId="77777777" w:rsidR="00000000" w:rsidRDefault="00097612">
            <w:pPr>
              <w:pStyle w:val="a3"/>
              <w:spacing w:before="0" w:beforeAutospacing="0" w:after="0" w:afterAutospacing="0"/>
              <w:ind w:right="60"/>
              <w:jc w:val="right"/>
              <w:rPr>
                <w:sz w:val="18"/>
                <w:szCs w:val="18"/>
              </w:rPr>
            </w:pPr>
            <w:r>
              <w:rPr>
                <w:sz w:val="18"/>
                <w:szCs w:val="18"/>
              </w:rPr>
              <w:t>620</w:t>
            </w:r>
          </w:p>
        </w:tc>
      </w:tr>
      <w:tr w:rsidR="00000000" w14:paraId="641DB754" w14:textId="77777777">
        <w:trPr>
          <w:divId w:val="546068456"/>
        </w:trPr>
        <w:tc>
          <w:tcPr>
            <w:tcW w:w="3504" w:type="pct"/>
            <w:tcMar>
              <w:top w:w="0" w:type="dxa"/>
              <w:left w:w="0" w:type="dxa"/>
              <w:bottom w:w="0" w:type="dxa"/>
              <w:right w:w="0" w:type="dxa"/>
            </w:tcMar>
            <w:hideMark/>
          </w:tcPr>
          <w:p w14:paraId="10FACA7A" w14:textId="77777777" w:rsidR="00000000" w:rsidRDefault="00097612">
            <w:pPr>
              <w:pStyle w:val="a3"/>
              <w:spacing w:before="0" w:beforeAutospacing="0" w:after="0" w:afterAutospacing="0"/>
              <w:ind w:left="240"/>
              <w:rPr>
                <w:sz w:val="18"/>
                <w:szCs w:val="18"/>
              </w:rPr>
            </w:pPr>
            <w:r>
              <w:rPr>
                <w:sz w:val="18"/>
                <w:szCs w:val="18"/>
              </w:rPr>
              <w:t xml:space="preserve">Receivables from collaborative arrangements </w:t>
            </w:r>
          </w:p>
        </w:tc>
        <w:tc>
          <w:tcPr>
            <w:tcW w:w="125" w:type="pct"/>
            <w:noWrap/>
            <w:tcMar>
              <w:top w:w="0" w:type="dxa"/>
              <w:left w:w="0" w:type="dxa"/>
              <w:bottom w:w="0" w:type="dxa"/>
              <w:right w:w="0" w:type="dxa"/>
            </w:tcMar>
            <w:vAlign w:val="bottom"/>
            <w:hideMark/>
          </w:tcPr>
          <w:p w14:paraId="00366837"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4248BACE" w14:textId="77777777" w:rsidR="00000000" w:rsidRDefault="00097612">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7B334CD9" w14:textId="77777777" w:rsidR="00000000" w:rsidRDefault="00097612">
            <w:pPr>
              <w:pStyle w:val="a3"/>
              <w:spacing w:before="0" w:beforeAutospacing="0" w:after="0" w:afterAutospacing="0"/>
              <w:ind w:right="60"/>
              <w:jc w:val="right"/>
              <w:rPr>
                <w:sz w:val="18"/>
                <w:szCs w:val="18"/>
              </w:rPr>
            </w:pPr>
            <w:r>
              <w:rPr>
                <w:sz w:val="18"/>
                <w:szCs w:val="18"/>
              </w:rPr>
              <w:t>4,595</w:t>
            </w:r>
          </w:p>
        </w:tc>
        <w:tc>
          <w:tcPr>
            <w:tcW w:w="125" w:type="pct"/>
            <w:noWrap/>
            <w:tcMar>
              <w:top w:w="0" w:type="dxa"/>
              <w:left w:w="0" w:type="dxa"/>
              <w:bottom w:w="0" w:type="dxa"/>
              <w:right w:w="0" w:type="dxa"/>
            </w:tcMar>
            <w:vAlign w:val="bottom"/>
            <w:hideMark/>
          </w:tcPr>
          <w:p w14:paraId="7A180B27"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770CDC9" w14:textId="77777777" w:rsidR="00000000" w:rsidRDefault="00097612">
            <w:pPr>
              <w:pStyle w:val="a3"/>
              <w:spacing w:before="0" w:beforeAutospacing="0" w:after="0" w:afterAutospacing="0"/>
              <w:jc w:val="center"/>
              <w:rPr>
                <w:sz w:val="18"/>
                <w:szCs w:val="18"/>
              </w:rPr>
            </w:pPr>
            <w:r>
              <w:rPr>
                <w:sz w:val="18"/>
                <w:szCs w:val="18"/>
              </w:rPr>
              <w:t> </w:t>
            </w:r>
          </w:p>
        </w:tc>
        <w:tc>
          <w:tcPr>
            <w:tcW w:w="495" w:type="pct"/>
            <w:noWrap/>
            <w:tcMar>
              <w:top w:w="0" w:type="dxa"/>
              <w:left w:w="0" w:type="dxa"/>
              <w:bottom w:w="0" w:type="dxa"/>
              <w:right w:w="0" w:type="dxa"/>
            </w:tcMar>
            <w:vAlign w:val="bottom"/>
            <w:hideMark/>
          </w:tcPr>
          <w:p w14:paraId="0D9339D1" w14:textId="77777777" w:rsidR="00000000" w:rsidRDefault="00097612">
            <w:pPr>
              <w:pStyle w:val="a3"/>
              <w:spacing w:before="0" w:beforeAutospacing="0" w:after="0" w:afterAutospacing="0"/>
              <w:ind w:right="60"/>
              <w:jc w:val="right"/>
              <w:rPr>
                <w:sz w:val="18"/>
                <w:szCs w:val="18"/>
              </w:rPr>
            </w:pPr>
            <w:r>
              <w:rPr>
                <w:sz w:val="18"/>
                <w:szCs w:val="18"/>
              </w:rPr>
              <w:t>10,053</w:t>
            </w:r>
          </w:p>
        </w:tc>
      </w:tr>
      <w:tr w:rsidR="00000000" w14:paraId="4ED123C9" w14:textId="77777777">
        <w:trPr>
          <w:divId w:val="546068456"/>
        </w:trPr>
        <w:tc>
          <w:tcPr>
            <w:tcW w:w="3504" w:type="pct"/>
            <w:shd w:val="clear" w:color="auto" w:fill="CCEEFF"/>
            <w:tcMar>
              <w:top w:w="0" w:type="dxa"/>
              <w:left w:w="0" w:type="dxa"/>
              <w:bottom w:w="0" w:type="dxa"/>
              <w:right w:w="0" w:type="dxa"/>
            </w:tcMar>
            <w:hideMark/>
          </w:tcPr>
          <w:p w14:paraId="630EF864" w14:textId="77777777" w:rsidR="00000000" w:rsidRDefault="00097612">
            <w:pPr>
              <w:pStyle w:val="a3"/>
              <w:spacing w:before="0" w:beforeAutospacing="0" w:after="0" w:afterAutospacing="0"/>
              <w:ind w:left="240"/>
              <w:rPr>
                <w:sz w:val="18"/>
                <w:szCs w:val="18"/>
              </w:rPr>
            </w:pPr>
            <w:r>
              <w:rPr>
                <w:sz w:val="18"/>
                <w:szCs w:val="18"/>
              </w:rPr>
              <w:t>Amounts due from TRC, LLC</w:t>
            </w:r>
          </w:p>
        </w:tc>
        <w:tc>
          <w:tcPr>
            <w:tcW w:w="125" w:type="pct"/>
            <w:shd w:val="clear" w:color="auto" w:fill="CCEEFF"/>
            <w:noWrap/>
            <w:tcMar>
              <w:top w:w="0" w:type="dxa"/>
              <w:left w:w="0" w:type="dxa"/>
              <w:bottom w:w="0" w:type="dxa"/>
              <w:right w:w="0" w:type="dxa"/>
            </w:tcMar>
            <w:vAlign w:val="bottom"/>
            <w:hideMark/>
          </w:tcPr>
          <w:p w14:paraId="505BFD3A"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740E7F4C" w14:textId="77777777" w:rsidR="00000000" w:rsidRDefault="00097612">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6B366FA8" w14:textId="77777777" w:rsidR="00000000" w:rsidRDefault="00097612">
            <w:pPr>
              <w:pStyle w:val="a3"/>
              <w:spacing w:before="0" w:beforeAutospacing="0" w:after="0" w:afterAutospacing="0"/>
              <w:ind w:right="60"/>
              <w:jc w:val="right"/>
              <w:rPr>
                <w:sz w:val="18"/>
                <w:szCs w:val="18"/>
              </w:rPr>
            </w:pPr>
            <w:r>
              <w:rPr>
                <w:sz w:val="18"/>
                <w:szCs w:val="18"/>
              </w:rPr>
              <w:t>16,661</w:t>
            </w:r>
          </w:p>
        </w:tc>
        <w:tc>
          <w:tcPr>
            <w:tcW w:w="125" w:type="pct"/>
            <w:shd w:val="clear" w:color="auto" w:fill="CCEEFF"/>
            <w:noWrap/>
            <w:tcMar>
              <w:top w:w="0" w:type="dxa"/>
              <w:left w:w="0" w:type="dxa"/>
              <w:bottom w:w="0" w:type="dxa"/>
              <w:right w:w="0" w:type="dxa"/>
            </w:tcMar>
            <w:vAlign w:val="bottom"/>
            <w:hideMark/>
          </w:tcPr>
          <w:p w14:paraId="22667359"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4F63E5C9" w14:textId="77777777" w:rsidR="00000000" w:rsidRDefault="00097612">
            <w:pPr>
              <w:pStyle w:val="a3"/>
              <w:spacing w:before="0" w:beforeAutospacing="0" w:after="0" w:afterAutospacing="0"/>
              <w:jc w:val="center"/>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14:paraId="467342A9" w14:textId="77777777" w:rsidR="00000000" w:rsidRDefault="00097612">
            <w:pPr>
              <w:pStyle w:val="a3"/>
              <w:spacing w:before="0" w:beforeAutospacing="0" w:after="0" w:afterAutospacing="0"/>
              <w:ind w:right="60"/>
              <w:jc w:val="right"/>
              <w:rPr>
                <w:sz w:val="18"/>
                <w:szCs w:val="18"/>
              </w:rPr>
            </w:pPr>
            <w:r>
              <w:rPr>
                <w:sz w:val="18"/>
                <w:szCs w:val="18"/>
              </w:rPr>
              <w:t>5,422</w:t>
            </w:r>
          </w:p>
        </w:tc>
      </w:tr>
      <w:tr w:rsidR="00000000" w14:paraId="7FD9C674" w14:textId="77777777">
        <w:trPr>
          <w:divId w:val="546068456"/>
        </w:trPr>
        <w:tc>
          <w:tcPr>
            <w:tcW w:w="3504" w:type="pct"/>
            <w:tcMar>
              <w:top w:w="0" w:type="dxa"/>
              <w:left w:w="0" w:type="dxa"/>
              <w:bottom w:w="0" w:type="dxa"/>
              <w:right w:w="0" w:type="dxa"/>
            </w:tcMar>
            <w:hideMark/>
          </w:tcPr>
          <w:p w14:paraId="4856C06B" w14:textId="77777777" w:rsidR="00000000" w:rsidRDefault="00097612">
            <w:pPr>
              <w:pStyle w:val="a3"/>
              <w:spacing w:before="0" w:beforeAutospacing="0" w:after="0" w:afterAutospacing="0"/>
              <w:ind w:left="240"/>
              <w:rPr>
                <w:sz w:val="18"/>
                <w:szCs w:val="18"/>
              </w:rPr>
            </w:pPr>
            <w:r>
              <w:rPr>
                <w:sz w:val="18"/>
                <w:szCs w:val="18"/>
              </w:rPr>
              <w:t>Short-term restricted cash</w:t>
            </w:r>
          </w:p>
        </w:tc>
        <w:tc>
          <w:tcPr>
            <w:tcW w:w="125" w:type="pct"/>
            <w:noWrap/>
            <w:tcMar>
              <w:top w:w="0" w:type="dxa"/>
              <w:left w:w="0" w:type="dxa"/>
              <w:bottom w:w="0" w:type="dxa"/>
              <w:right w:w="0" w:type="dxa"/>
            </w:tcMar>
            <w:vAlign w:val="bottom"/>
            <w:hideMark/>
          </w:tcPr>
          <w:p w14:paraId="4320A003"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55A77672" w14:textId="77777777" w:rsidR="00000000" w:rsidRDefault="00097612">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1477C7B6" w14:textId="77777777" w:rsidR="00000000" w:rsidRDefault="00097612">
            <w:pPr>
              <w:pStyle w:val="a3"/>
              <w:spacing w:before="0" w:beforeAutospacing="0" w:after="0" w:afterAutospacing="0"/>
              <w:ind w:right="60"/>
              <w:jc w:val="right"/>
              <w:rPr>
                <w:sz w:val="18"/>
                <w:szCs w:val="18"/>
              </w:rPr>
            </w:pPr>
            <w:r>
              <w:rPr>
                <w:sz w:val="18"/>
                <w:szCs w:val="18"/>
              </w:rPr>
              <w:t>7,496</w:t>
            </w:r>
          </w:p>
        </w:tc>
        <w:tc>
          <w:tcPr>
            <w:tcW w:w="125" w:type="pct"/>
            <w:noWrap/>
            <w:tcMar>
              <w:top w:w="0" w:type="dxa"/>
              <w:left w:w="0" w:type="dxa"/>
              <w:bottom w:w="0" w:type="dxa"/>
              <w:right w:w="0" w:type="dxa"/>
            </w:tcMar>
            <w:vAlign w:val="bottom"/>
            <w:hideMark/>
          </w:tcPr>
          <w:p w14:paraId="523551DB"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62921600"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1962D6DE" w14:textId="77777777" w:rsidR="00000000" w:rsidRDefault="00097612">
            <w:pPr>
              <w:pStyle w:val="a3"/>
              <w:spacing w:before="0" w:beforeAutospacing="0" w:after="0" w:afterAutospacing="0"/>
              <w:ind w:right="60"/>
              <w:jc w:val="right"/>
              <w:rPr>
                <w:sz w:val="18"/>
                <w:szCs w:val="18"/>
              </w:rPr>
            </w:pPr>
            <w:r>
              <w:rPr>
                <w:sz w:val="18"/>
                <w:szCs w:val="18"/>
              </w:rPr>
              <w:t>—</w:t>
            </w:r>
          </w:p>
        </w:tc>
      </w:tr>
      <w:tr w:rsidR="00000000" w14:paraId="77DCFE9F" w14:textId="77777777">
        <w:trPr>
          <w:divId w:val="546068456"/>
        </w:trPr>
        <w:tc>
          <w:tcPr>
            <w:tcW w:w="3504" w:type="pct"/>
            <w:shd w:val="clear" w:color="auto" w:fill="CCEEFF"/>
            <w:tcMar>
              <w:top w:w="0" w:type="dxa"/>
              <w:left w:w="0" w:type="dxa"/>
              <w:bottom w:w="0" w:type="dxa"/>
              <w:right w:w="0" w:type="dxa"/>
            </w:tcMar>
            <w:hideMark/>
          </w:tcPr>
          <w:p w14:paraId="609F5F1A" w14:textId="77777777" w:rsidR="00000000" w:rsidRDefault="00097612">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5" w:type="pct"/>
            <w:shd w:val="clear" w:color="auto" w:fill="CCEEFF"/>
            <w:noWrap/>
            <w:tcMar>
              <w:top w:w="0" w:type="dxa"/>
              <w:left w:w="0" w:type="dxa"/>
              <w:bottom w:w="0" w:type="dxa"/>
              <w:right w:w="0" w:type="dxa"/>
            </w:tcMar>
            <w:vAlign w:val="bottom"/>
            <w:hideMark/>
          </w:tcPr>
          <w:p w14:paraId="5D105829"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14:paraId="5713166D" w14:textId="77777777" w:rsidR="00000000" w:rsidRDefault="00097612">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12504544" w14:textId="77777777" w:rsidR="00000000" w:rsidRDefault="00097612">
            <w:pPr>
              <w:pStyle w:val="a3"/>
              <w:spacing w:before="0" w:beforeAutospacing="0" w:after="0" w:afterAutospacing="0"/>
              <w:ind w:right="60"/>
              <w:jc w:val="right"/>
              <w:rPr>
                <w:sz w:val="18"/>
                <w:szCs w:val="18"/>
              </w:rPr>
            </w:pPr>
            <w:r>
              <w:rPr>
                <w:sz w:val="18"/>
                <w:szCs w:val="18"/>
              </w:rPr>
              <w:t>7,132</w:t>
            </w:r>
          </w:p>
        </w:tc>
        <w:tc>
          <w:tcPr>
            <w:tcW w:w="125" w:type="pct"/>
            <w:shd w:val="clear" w:color="auto" w:fill="CCEEFF"/>
            <w:noWrap/>
            <w:tcMar>
              <w:top w:w="0" w:type="dxa"/>
              <w:left w:w="0" w:type="dxa"/>
              <w:bottom w:w="0" w:type="dxa"/>
              <w:right w:w="0" w:type="dxa"/>
            </w:tcMar>
            <w:vAlign w:val="bottom"/>
            <w:hideMark/>
          </w:tcPr>
          <w:p w14:paraId="2C7E0A3C"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14:paraId="7A5B730A" w14:textId="77777777" w:rsidR="00000000" w:rsidRDefault="00097612">
            <w:pPr>
              <w:pStyle w:val="a3"/>
              <w:spacing w:before="0" w:beforeAutospacing="0" w:after="0" w:afterAutospacing="0"/>
              <w:jc w:val="center"/>
              <w:rPr>
                <w:sz w:val="20"/>
                <w:szCs w:val="20"/>
              </w:rPr>
            </w:pPr>
            <w:r>
              <w:rPr>
                <w:sz w:val="18"/>
                <w:szCs w:val="18"/>
              </w:rPr>
              <w:t>​</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14:paraId="21593F45" w14:textId="77777777" w:rsidR="00000000" w:rsidRDefault="00097612">
            <w:pPr>
              <w:pStyle w:val="a3"/>
              <w:spacing w:before="0" w:beforeAutospacing="0" w:after="0" w:afterAutospacing="0"/>
              <w:ind w:right="60"/>
              <w:jc w:val="right"/>
              <w:rPr>
                <w:sz w:val="18"/>
                <w:szCs w:val="18"/>
              </w:rPr>
            </w:pPr>
            <w:r>
              <w:rPr>
                <w:sz w:val="18"/>
                <w:szCs w:val="18"/>
              </w:rPr>
              <w:t>11,452</w:t>
            </w:r>
          </w:p>
        </w:tc>
      </w:tr>
      <w:tr w:rsidR="00000000" w14:paraId="1408DDF7" w14:textId="77777777">
        <w:trPr>
          <w:divId w:val="546068456"/>
        </w:trPr>
        <w:tc>
          <w:tcPr>
            <w:tcW w:w="3504" w:type="pct"/>
            <w:tcMar>
              <w:top w:w="0" w:type="dxa"/>
              <w:left w:w="0" w:type="dxa"/>
              <w:bottom w:w="0" w:type="dxa"/>
              <w:right w:w="0" w:type="dxa"/>
            </w:tcMar>
            <w:hideMark/>
          </w:tcPr>
          <w:p w14:paraId="742121AE" w14:textId="77777777" w:rsidR="00000000" w:rsidRDefault="00097612">
            <w:pPr>
              <w:pStyle w:val="a3"/>
              <w:spacing w:before="0" w:beforeAutospacing="0" w:after="0" w:afterAutospacing="0"/>
              <w:ind w:left="360"/>
              <w:rPr>
                <w:sz w:val="18"/>
                <w:szCs w:val="18"/>
              </w:rPr>
            </w:pPr>
            <w:r>
              <w:rPr>
                <w:sz w:val="18"/>
                <w:szCs w:val="18"/>
              </w:rPr>
              <w:t xml:space="preserve">Total current assets </w:t>
            </w:r>
          </w:p>
        </w:tc>
        <w:tc>
          <w:tcPr>
            <w:tcW w:w="125" w:type="pct"/>
            <w:noWrap/>
            <w:tcMar>
              <w:top w:w="0" w:type="dxa"/>
              <w:left w:w="0" w:type="dxa"/>
              <w:bottom w:w="0" w:type="dxa"/>
              <w:right w:w="0" w:type="dxa"/>
            </w:tcMar>
            <w:vAlign w:val="bottom"/>
            <w:hideMark/>
          </w:tcPr>
          <w:p w14:paraId="3615FD3C"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4A0A55E" w14:textId="77777777" w:rsidR="00000000" w:rsidRDefault="00097612">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21F4ADF7" w14:textId="77777777" w:rsidR="00000000" w:rsidRDefault="00097612">
            <w:pPr>
              <w:pStyle w:val="a3"/>
              <w:spacing w:before="0" w:beforeAutospacing="0" w:after="0" w:afterAutospacing="0"/>
              <w:ind w:right="60"/>
              <w:jc w:val="right"/>
              <w:rPr>
                <w:sz w:val="18"/>
                <w:szCs w:val="18"/>
              </w:rPr>
            </w:pPr>
            <w:r>
              <w:rPr>
                <w:sz w:val="18"/>
                <w:szCs w:val="18"/>
              </w:rPr>
              <w:t>355,652</w:t>
            </w:r>
          </w:p>
        </w:tc>
        <w:tc>
          <w:tcPr>
            <w:tcW w:w="125" w:type="pct"/>
            <w:noWrap/>
            <w:tcMar>
              <w:top w:w="0" w:type="dxa"/>
              <w:left w:w="0" w:type="dxa"/>
              <w:bottom w:w="0" w:type="dxa"/>
              <w:right w:w="0" w:type="dxa"/>
            </w:tcMar>
            <w:vAlign w:val="bottom"/>
            <w:hideMark/>
          </w:tcPr>
          <w:p w14:paraId="42C293A7"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3DA74CFA" w14:textId="77777777" w:rsidR="00000000" w:rsidRDefault="00097612">
            <w:pPr>
              <w:pStyle w:val="a3"/>
              <w:spacing w:before="0" w:beforeAutospacing="0" w:after="0" w:afterAutospacing="0"/>
              <w:jc w:val="center"/>
              <w:rPr>
                <w:sz w:val="18"/>
                <w:szCs w:val="18"/>
              </w:rPr>
            </w:pPr>
            <w:r>
              <w:rPr>
                <w:sz w:val="18"/>
                <w:szCs w:val="18"/>
              </w:rPr>
              <w:t> </w:t>
            </w:r>
          </w:p>
        </w:tc>
        <w:tc>
          <w:tcPr>
            <w:tcW w:w="495" w:type="pct"/>
            <w:noWrap/>
            <w:tcMar>
              <w:top w:w="0" w:type="dxa"/>
              <w:left w:w="0" w:type="dxa"/>
              <w:bottom w:w="0" w:type="dxa"/>
              <w:right w:w="0" w:type="dxa"/>
            </w:tcMar>
            <w:vAlign w:val="bottom"/>
            <w:hideMark/>
          </w:tcPr>
          <w:p w14:paraId="5640EE75" w14:textId="77777777" w:rsidR="00000000" w:rsidRDefault="00097612">
            <w:pPr>
              <w:pStyle w:val="a3"/>
              <w:spacing w:before="0" w:beforeAutospacing="0" w:after="0" w:afterAutospacing="0"/>
              <w:ind w:right="60"/>
              <w:jc w:val="right"/>
              <w:rPr>
                <w:sz w:val="18"/>
                <w:szCs w:val="18"/>
              </w:rPr>
            </w:pPr>
            <w:r>
              <w:rPr>
                <w:sz w:val="18"/>
                <w:szCs w:val="18"/>
              </w:rPr>
              <w:t>532,823</w:t>
            </w:r>
          </w:p>
        </w:tc>
      </w:tr>
      <w:tr w:rsidR="00000000" w14:paraId="6E3AE77F" w14:textId="77777777">
        <w:trPr>
          <w:divId w:val="546068456"/>
        </w:trPr>
        <w:tc>
          <w:tcPr>
            <w:tcW w:w="3504" w:type="pct"/>
            <w:shd w:val="clear" w:color="auto" w:fill="CCEEFF"/>
            <w:tcMar>
              <w:top w:w="0" w:type="dxa"/>
              <w:left w:w="0" w:type="dxa"/>
              <w:bottom w:w="0" w:type="dxa"/>
              <w:right w:w="0" w:type="dxa"/>
            </w:tcMar>
            <w:hideMark/>
          </w:tcPr>
          <w:p w14:paraId="33380FF1" w14:textId="77777777" w:rsidR="00000000" w:rsidRDefault="00097612">
            <w:pPr>
              <w:pStyle w:val="a3"/>
              <w:spacing w:before="0" w:beforeAutospacing="0" w:after="0" w:afterAutospacing="0"/>
              <w:rPr>
                <w:sz w:val="18"/>
                <w:szCs w:val="18"/>
              </w:rPr>
            </w:pPr>
            <w:r>
              <w:rPr>
                <w:sz w:val="18"/>
                <w:szCs w:val="18"/>
              </w:rPr>
              <w:t xml:space="preserve">Property and equipment, net </w:t>
            </w:r>
          </w:p>
        </w:tc>
        <w:tc>
          <w:tcPr>
            <w:tcW w:w="125" w:type="pct"/>
            <w:shd w:val="clear" w:color="auto" w:fill="CCEEFF"/>
            <w:noWrap/>
            <w:tcMar>
              <w:top w:w="0" w:type="dxa"/>
              <w:left w:w="0" w:type="dxa"/>
              <w:bottom w:w="0" w:type="dxa"/>
              <w:right w:w="0" w:type="dxa"/>
            </w:tcMar>
            <w:vAlign w:val="bottom"/>
            <w:hideMark/>
          </w:tcPr>
          <w:p w14:paraId="08C867C5"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0B41B488" w14:textId="77777777" w:rsidR="00000000" w:rsidRDefault="00097612">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72B76F37" w14:textId="77777777" w:rsidR="00000000" w:rsidRDefault="00097612">
            <w:pPr>
              <w:pStyle w:val="a3"/>
              <w:spacing w:before="0" w:beforeAutospacing="0" w:after="0" w:afterAutospacing="0"/>
              <w:ind w:right="60"/>
              <w:jc w:val="right"/>
              <w:rPr>
                <w:sz w:val="18"/>
                <w:szCs w:val="18"/>
              </w:rPr>
            </w:pPr>
            <w:r>
              <w:rPr>
                <w:sz w:val="18"/>
                <w:szCs w:val="18"/>
              </w:rPr>
              <w:t>12,189</w:t>
            </w:r>
          </w:p>
        </w:tc>
        <w:tc>
          <w:tcPr>
            <w:tcW w:w="125" w:type="pct"/>
            <w:shd w:val="clear" w:color="auto" w:fill="CCEEFF"/>
            <w:noWrap/>
            <w:tcMar>
              <w:top w:w="0" w:type="dxa"/>
              <w:left w:w="0" w:type="dxa"/>
              <w:bottom w:w="0" w:type="dxa"/>
              <w:right w:w="0" w:type="dxa"/>
            </w:tcMar>
            <w:vAlign w:val="bottom"/>
            <w:hideMark/>
          </w:tcPr>
          <w:p w14:paraId="02327876"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6543F47F" w14:textId="77777777" w:rsidR="00000000" w:rsidRDefault="00097612">
            <w:pPr>
              <w:pStyle w:val="a3"/>
              <w:spacing w:before="0" w:beforeAutospacing="0" w:after="0" w:afterAutospacing="0"/>
              <w:jc w:val="center"/>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14:paraId="7B079DBA" w14:textId="77777777" w:rsidR="00000000" w:rsidRDefault="00097612">
            <w:pPr>
              <w:pStyle w:val="a3"/>
              <w:spacing w:before="0" w:beforeAutospacing="0" w:after="0" w:afterAutospacing="0"/>
              <w:ind w:right="60"/>
              <w:jc w:val="right"/>
              <w:rPr>
                <w:sz w:val="18"/>
                <w:szCs w:val="18"/>
              </w:rPr>
            </w:pPr>
            <w:r>
              <w:rPr>
                <w:sz w:val="18"/>
                <w:szCs w:val="18"/>
              </w:rPr>
              <w:t>13,176</w:t>
            </w:r>
          </w:p>
        </w:tc>
      </w:tr>
      <w:tr w:rsidR="00000000" w14:paraId="4F5FF055" w14:textId="77777777">
        <w:trPr>
          <w:divId w:val="546068456"/>
        </w:trPr>
        <w:tc>
          <w:tcPr>
            <w:tcW w:w="3504" w:type="pct"/>
            <w:tcMar>
              <w:top w:w="0" w:type="dxa"/>
              <w:left w:w="0" w:type="dxa"/>
              <w:bottom w:w="0" w:type="dxa"/>
              <w:right w:w="0" w:type="dxa"/>
            </w:tcMar>
            <w:hideMark/>
          </w:tcPr>
          <w:p w14:paraId="64CFE7F3" w14:textId="77777777" w:rsidR="00000000" w:rsidRDefault="00097612">
            <w:pPr>
              <w:pStyle w:val="a3"/>
              <w:spacing w:before="0" w:beforeAutospacing="0" w:after="0" w:afterAutospacing="0"/>
              <w:rPr>
                <w:sz w:val="18"/>
                <w:szCs w:val="18"/>
              </w:rPr>
            </w:pPr>
            <w:r>
              <w:rPr>
                <w:sz w:val="18"/>
                <w:szCs w:val="18"/>
              </w:rPr>
              <w:t>Long-term marketable securities</w:t>
            </w:r>
          </w:p>
        </w:tc>
        <w:tc>
          <w:tcPr>
            <w:tcW w:w="125" w:type="pct"/>
            <w:noWrap/>
            <w:tcMar>
              <w:top w:w="0" w:type="dxa"/>
              <w:left w:w="0" w:type="dxa"/>
              <w:bottom w:w="0" w:type="dxa"/>
              <w:right w:w="0" w:type="dxa"/>
            </w:tcMar>
            <w:vAlign w:val="bottom"/>
            <w:hideMark/>
          </w:tcPr>
          <w:p w14:paraId="17023603"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4ADED7AC" w14:textId="77777777" w:rsidR="00000000" w:rsidRDefault="00097612">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6204BF5E" w14:textId="77777777" w:rsidR="00000000" w:rsidRDefault="00097612">
            <w:pPr>
              <w:pStyle w:val="a3"/>
              <w:spacing w:before="0" w:beforeAutospacing="0" w:after="0" w:afterAutospacing="0"/>
              <w:ind w:right="60"/>
              <w:jc w:val="right"/>
              <w:rPr>
                <w:sz w:val="18"/>
                <w:szCs w:val="18"/>
              </w:rPr>
            </w:pPr>
            <w:r>
              <w:rPr>
                <w:sz w:val="18"/>
                <w:szCs w:val="18"/>
              </w:rPr>
              <w:t>24,939</w:t>
            </w:r>
          </w:p>
        </w:tc>
        <w:tc>
          <w:tcPr>
            <w:tcW w:w="125" w:type="pct"/>
            <w:noWrap/>
            <w:tcMar>
              <w:top w:w="0" w:type="dxa"/>
              <w:left w:w="0" w:type="dxa"/>
              <w:bottom w:w="0" w:type="dxa"/>
              <w:right w:w="0" w:type="dxa"/>
            </w:tcMar>
            <w:vAlign w:val="bottom"/>
            <w:hideMark/>
          </w:tcPr>
          <w:p w14:paraId="6B2E69D7"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6E9F3E23" w14:textId="77777777" w:rsidR="00000000" w:rsidRDefault="00097612">
            <w:pPr>
              <w:pStyle w:val="a3"/>
              <w:spacing w:before="0" w:beforeAutospacing="0" w:after="0" w:afterAutospacing="0"/>
              <w:jc w:val="center"/>
              <w:rPr>
                <w:sz w:val="18"/>
                <w:szCs w:val="18"/>
              </w:rPr>
            </w:pPr>
            <w:r>
              <w:rPr>
                <w:sz w:val="18"/>
                <w:szCs w:val="18"/>
              </w:rPr>
              <w:t> </w:t>
            </w:r>
          </w:p>
        </w:tc>
        <w:tc>
          <w:tcPr>
            <w:tcW w:w="495" w:type="pct"/>
            <w:noWrap/>
            <w:tcMar>
              <w:top w:w="0" w:type="dxa"/>
              <w:left w:w="0" w:type="dxa"/>
              <w:bottom w:w="0" w:type="dxa"/>
              <w:right w:w="0" w:type="dxa"/>
            </w:tcMar>
            <w:vAlign w:val="bottom"/>
            <w:hideMark/>
          </w:tcPr>
          <w:p w14:paraId="6E1FA73E" w14:textId="77777777" w:rsidR="00000000" w:rsidRDefault="00097612">
            <w:pPr>
              <w:pStyle w:val="a3"/>
              <w:spacing w:before="0" w:beforeAutospacing="0" w:after="0" w:afterAutospacing="0"/>
              <w:ind w:right="60"/>
              <w:jc w:val="right"/>
              <w:rPr>
                <w:sz w:val="18"/>
                <w:szCs w:val="18"/>
              </w:rPr>
            </w:pPr>
            <w:r>
              <w:rPr>
                <w:sz w:val="18"/>
                <w:szCs w:val="18"/>
              </w:rPr>
              <w:t>11,869</w:t>
            </w:r>
          </w:p>
        </w:tc>
      </w:tr>
      <w:tr w:rsidR="00000000" w14:paraId="3BF32140" w14:textId="77777777">
        <w:trPr>
          <w:divId w:val="546068456"/>
        </w:trPr>
        <w:tc>
          <w:tcPr>
            <w:tcW w:w="3504" w:type="pct"/>
            <w:shd w:val="clear" w:color="auto" w:fill="CCEEFF"/>
            <w:tcMar>
              <w:top w:w="0" w:type="dxa"/>
              <w:left w:w="0" w:type="dxa"/>
              <w:bottom w:w="0" w:type="dxa"/>
              <w:right w:w="0" w:type="dxa"/>
            </w:tcMar>
            <w:hideMark/>
          </w:tcPr>
          <w:p w14:paraId="2E93BBA1" w14:textId="77777777" w:rsidR="00000000" w:rsidRDefault="00097612">
            <w:pPr>
              <w:pStyle w:val="a3"/>
              <w:spacing w:before="0" w:beforeAutospacing="0" w:after="0" w:afterAutospacing="0"/>
              <w:rPr>
                <w:sz w:val="18"/>
                <w:szCs w:val="18"/>
              </w:rPr>
            </w:pPr>
            <w:r>
              <w:rPr>
                <w:sz w:val="18"/>
                <w:szCs w:val="18"/>
              </w:rPr>
              <w:t>Operating lease assets</w:t>
            </w:r>
          </w:p>
        </w:tc>
        <w:tc>
          <w:tcPr>
            <w:tcW w:w="125" w:type="pct"/>
            <w:shd w:val="clear" w:color="auto" w:fill="CCEEFF"/>
            <w:noWrap/>
            <w:tcMar>
              <w:top w:w="0" w:type="dxa"/>
              <w:left w:w="0" w:type="dxa"/>
              <w:bottom w:w="0" w:type="dxa"/>
              <w:right w:w="0" w:type="dxa"/>
            </w:tcMar>
            <w:vAlign w:val="bottom"/>
            <w:hideMark/>
          </w:tcPr>
          <w:p w14:paraId="7491E5A7"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1C243387" w14:textId="77777777" w:rsidR="00000000" w:rsidRDefault="00097612">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33D97F43" w14:textId="77777777" w:rsidR="00000000" w:rsidRDefault="00097612">
            <w:pPr>
              <w:pStyle w:val="a3"/>
              <w:spacing w:before="0" w:beforeAutospacing="0" w:after="0" w:afterAutospacing="0"/>
              <w:ind w:right="60"/>
              <w:jc w:val="right"/>
              <w:rPr>
                <w:sz w:val="18"/>
                <w:szCs w:val="18"/>
              </w:rPr>
            </w:pPr>
            <w:r>
              <w:rPr>
                <w:sz w:val="18"/>
                <w:szCs w:val="18"/>
              </w:rPr>
              <w:t>46,755</w:t>
            </w:r>
          </w:p>
        </w:tc>
        <w:tc>
          <w:tcPr>
            <w:tcW w:w="125" w:type="pct"/>
            <w:shd w:val="clear" w:color="auto" w:fill="CCEEFF"/>
            <w:noWrap/>
            <w:tcMar>
              <w:top w:w="0" w:type="dxa"/>
              <w:left w:w="0" w:type="dxa"/>
              <w:bottom w:w="0" w:type="dxa"/>
              <w:right w:w="0" w:type="dxa"/>
            </w:tcMar>
            <w:vAlign w:val="bottom"/>
            <w:hideMark/>
          </w:tcPr>
          <w:p w14:paraId="39F3F02D"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E51C916" w14:textId="77777777" w:rsidR="00000000" w:rsidRDefault="00097612">
            <w:pPr>
              <w:pStyle w:val="a3"/>
              <w:spacing w:before="0" w:beforeAutospacing="0" w:after="0" w:afterAutospacing="0"/>
              <w:jc w:val="center"/>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14:paraId="029C2990" w14:textId="77777777" w:rsidR="00000000" w:rsidRDefault="00097612">
            <w:pPr>
              <w:pStyle w:val="a3"/>
              <w:spacing w:before="0" w:beforeAutospacing="0" w:after="0" w:afterAutospacing="0"/>
              <w:ind w:right="60"/>
              <w:jc w:val="right"/>
              <w:rPr>
                <w:sz w:val="18"/>
                <w:szCs w:val="18"/>
              </w:rPr>
            </w:pPr>
            <w:r>
              <w:rPr>
                <w:sz w:val="18"/>
                <w:szCs w:val="18"/>
              </w:rPr>
              <w:t>—</w:t>
            </w:r>
          </w:p>
        </w:tc>
      </w:tr>
      <w:tr w:rsidR="00000000" w14:paraId="616ECF11" w14:textId="77777777">
        <w:trPr>
          <w:divId w:val="546068456"/>
        </w:trPr>
        <w:tc>
          <w:tcPr>
            <w:tcW w:w="3504" w:type="pct"/>
            <w:tcMar>
              <w:top w:w="0" w:type="dxa"/>
              <w:left w:w="0" w:type="dxa"/>
              <w:bottom w:w="0" w:type="dxa"/>
              <w:right w:w="0" w:type="dxa"/>
            </w:tcMar>
            <w:hideMark/>
          </w:tcPr>
          <w:p w14:paraId="794F66F8" w14:textId="77777777" w:rsidR="00000000" w:rsidRDefault="00097612">
            <w:pPr>
              <w:pStyle w:val="a3"/>
              <w:spacing w:before="0" w:beforeAutospacing="0" w:after="0" w:afterAutospacing="0"/>
              <w:rPr>
                <w:sz w:val="18"/>
                <w:szCs w:val="18"/>
              </w:rPr>
            </w:pPr>
            <w:r>
              <w:rPr>
                <w:sz w:val="18"/>
                <w:szCs w:val="18"/>
              </w:rPr>
              <w:t>Tax receivable</w:t>
            </w:r>
          </w:p>
        </w:tc>
        <w:tc>
          <w:tcPr>
            <w:tcW w:w="125" w:type="pct"/>
            <w:noWrap/>
            <w:tcMar>
              <w:top w:w="0" w:type="dxa"/>
              <w:left w:w="0" w:type="dxa"/>
              <w:bottom w:w="0" w:type="dxa"/>
              <w:right w:w="0" w:type="dxa"/>
            </w:tcMar>
            <w:vAlign w:val="bottom"/>
            <w:hideMark/>
          </w:tcPr>
          <w:p w14:paraId="762E3D50"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66F324C4" w14:textId="77777777" w:rsidR="00000000" w:rsidRDefault="00097612">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18D6530A" w14:textId="77777777" w:rsidR="00000000" w:rsidRDefault="00097612">
            <w:pPr>
              <w:pStyle w:val="a3"/>
              <w:spacing w:before="0" w:beforeAutospacing="0" w:after="0" w:afterAutospacing="0"/>
              <w:ind w:right="60"/>
              <w:jc w:val="right"/>
              <w:rPr>
                <w:sz w:val="18"/>
                <w:szCs w:val="18"/>
              </w:rPr>
            </w:pPr>
            <w:r>
              <w:rPr>
                <w:sz w:val="18"/>
                <w:szCs w:val="18"/>
              </w:rPr>
              <w:t>3,664</w:t>
            </w:r>
          </w:p>
        </w:tc>
        <w:tc>
          <w:tcPr>
            <w:tcW w:w="125" w:type="pct"/>
            <w:noWrap/>
            <w:tcMar>
              <w:top w:w="0" w:type="dxa"/>
              <w:left w:w="0" w:type="dxa"/>
              <w:bottom w:w="0" w:type="dxa"/>
              <w:right w:w="0" w:type="dxa"/>
            </w:tcMar>
            <w:vAlign w:val="bottom"/>
            <w:hideMark/>
          </w:tcPr>
          <w:p w14:paraId="713C6652"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352E40C4"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4A77651C" w14:textId="77777777" w:rsidR="00000000" w:rsidRDefault="00097612">
            <w:pPr>
              <w:pStyle w:val="a3"/>
              <w:spacing w:before="0" w:beforeAutospacing="0" w:after="0" w:afterAutospacing="0"/>
              <w:ind w:right="60"/>
              <w:jc w:val="right"/>
              <w:rPr>
                <w:sz w:val="18"/>
                <w:szCs w:val="18"/>
              </w:rPr>
            </w:pPr>
            <w:r>
              <w:rPr>
                <w:sz w:val="18"/>
                <w:szCs w:val="18"/>
              </w:rPr>
              <w:t>—</w:t>
            </w:r>
          </w:p>
        </w:tc>
      </w:tr>
      <w:tr w:rsidR="00000000" w14:paraId="3E16DDC5" w14:textId="77777777">
        <w:trPr>
          <w:divId w:val="546068456"/>
        </w:trPr>
        <w:tc>
          <w:tcPr>
            <w:tcW w:w="3504" w:type="pct"/>
            <w:shd w:val="clear" w:color="auto" w:fill="CCEEFF"/>
            <w:tcMar>
              <w:top w:w="0" w:type="dxa"/>
              <w:left w:w="0" w:type="dxa"/>
              <w:bottom w:w="0" w:type="dxa"/>
              <w:right w:w="0" w:type="dxa"/>
            </w:tcMar>
            <w:hideMark/>
          </w:tcPr>
          <w:p w14:paraId="730AAE97" w14:textId="77777777" w:rsidR="00000000" w:rsidRDefault="00097612">
            <w:pPr>
              <w:pStyle w:val="a3"/>
              <w:spacing w:before="0" w:beforeAutospacing="0" w:after="0" w:afterAutospacing="0"/>
              <w:rPr>
                <w:sz w:val="18"/>
                <w:szCs w:val="18"/>
              </w:rPr>
            </w:pPr>
            <w:r>
              <w:rPr>
                <w:sz w:val="18"/>
                <w:szCs w:val="18"/>
              </w:rPr>
              <w:t xml:space="preserve">Restricted cash </w:t>
            </w:r>
          </w:p>
        </w:tc>
        <w:tc>
          <w:tcPr>
            <w:tcW w:w="125" w:type="pct"/>
            <w:shd w:val="clear" w:color="auto" w:fill="CCEEFF"/>
            <w:noWrap/>
            <w:tcMar>
              <w:top w:w="0" w:type="dxa"/>
              <w:left w:w="0" w:type="dxa"/>
              <w:bottom w:w="0" w:type="dxa"/>
              <w:right w:w="0" w:type="dxa"/>
            </w:tcMar>
            <w:vAlign w:val="bottom"/>
            <w:hideMark/>
          </w:tcPr>
          <w:p w14:paraId="7BD8DAE0"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4951C5AD" w14:textId="77777777" w:rsidR="00000000" w:rsidRDefault="00097612">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611952E4" w14:textId="77777777" w:rsidR="00000000" w:rsidRDefault="00097612">
            <w:pPr>
              <w:pStyle w:val="a3"/>
              <w:spacing w:before="0" w:beforeAutospacing="0" w:after="0" w:afterAutospacing="0"/>
              <w:ind w:right="60"/>
              <w:jc w:val="right"/>
              <w:rPr>
                <w:sz w:val="18"/>
                <w:szCs w:val="18"/>
              </w:rPr>
            </w:pPr>
            <w:r>
              <w:rPr>
                <w:sz w:val="18"/>
                <w:szCs w:val="18"/>
              </w:rPr>
              <w:t>833</w:t>
            </w:r>
          </w:p>
        </w:tc>
        <w:tc>
          <w:tcPr>
            <w:tcW w:w="125" w:type="pct"/>
            <w:shd w:val="clear" w:color="auto" w:fill="CCEEFF"/>
            <w:noWrap/>
            <w:tcMar>
              <w:top w:w="0" w:type="dxa"/>
              <w:left w:w="0" w:type="dxa"/>
              <w:bottom w:w="0" w:type="dxa"/>
              <w:right w:w="0" w:type="dxa"/>
            </w:tcMar>
            <w:vAlign w:val="bottom"/>
            <w:hideMark/>
          </w:tcPr>
          <w:p w14:paraId="238DD4E3"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132CDD10" w14:textId="77777777" w:rsidR="00000000" w:rsidRDefault="00097612">
            <w:pPr>
              <w:pStyle w:val="a3"/>
              <w:spacing w:before="0" w:beforeAutospacing="0" w:after="0" w:afterAutospacing="0"/>
              <w:jc w:val="center"/>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14:paraId="3B296510" w14:textId="77777777" w:rsidR="00000000" w:rsidRDefault="00097612">
            <w:pPr>
              <w:pStyle w:val="a3"/>
              <w:spacing w:before="0" w:beforeAutospacing="0" w:after="0" w:afterAutospacing="0"/>
              <w:ind w:right="60"/>
              <w:jc w:val="right"/>
              <w:rPr>
                <w:sz w:val="18"/>
                <w:szCs w:val="18"/>
              </w:rPr>
            </w:pPr>
            <w:r>
              <w:rPr>
                <w:sz w:val="18"/>
                <w:szCs w:val="18"/>
              </w:rPr>
              <w:t>833</w:t>
            </w:r>
          </w:p>
        </w:tc>
      </w:tr>
      <w:tr w:rsidR="00000000" w14:paraId="3D21D066" w14:textId="77777777">
        <w:trPr>
          <w:divId w:val="546068456"/>
        </w:trPr>
        <w:tc>
          <w:tcPr>
            <w:tcW w:w="3504" w:type="pct"/>
            <w:tcMar>
              <w:top w:w="0" w:type="dxa"/>
              <w:left w:w="0" w:type="dxa"/>
              <w:bottom w:w="0" w:type="dxa"/>
              <w:right w:w="0" w:type="dxa"/>
            </w:tcMar>
            <w:hideMark/>
          </w:tcPr>
          <w:p w14:paraId="0E46A8EF" w14:textId="77777777" w:rsidR="00000000" w:rsidRDefault="00097612">
            <w:pPr>
              <w:pStyle w:val="a3"/>
              <w:spacing w:before="0" w:beforeAutospacing="0" w:after="0" w:afterAutospacing="0"/>
              <w:rPr>
                <w:sz w:val="18"/>
                <w:szCs w:val="18"/>
              </w:rPr>
            </w:pPr>
            <w:r>
              <w:rPr>
                <w:sz w:val="18"/>
                <w:szCs w:val="18"/>
              </w:rPr>
              <w:t>Other assets</w:t>
            </w:r>
          </w:p>
        </w:tc>
        <w:tc>
          <w:tcPr>
            <w:tcW w:w="125" w:type="pct"/>
            <w:noWrap/>
            <w:tcMar>
              <w:top w:w="0" w:type="dxa"/>
              <w:left w:w="0" w:type="dxa"/>
              <w:bottom w:w="0" w:type="dxa"/>
              <w:right w:w="0" w:type="dxa"/>
            </w:tcMar>
            <w:vAlign w:val="bottom"/>
            <w:hideMark/>
          </w:tcPr>
          <w:p w14:paraId="47CB8E8C"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672873C3" w14:textId="77777777" w:rsidR="00000000" w:rsidRDefault="00097612">
            <w:pPr>
              <w:pStyle w:val="a3"/>
              <w:spacing w:before="0" w:beforeAutospacing="0" w:after="0" w:afterAutospacing="0"/>
              <w:jc w:val="center"/>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14:paraId="15EDF70E" w14:textId="77777777" w:rsidR="00000000" w:rsidRDefault="00097612">
            <w:pPr>
              <w:pStyle w:val="a3"/>
              <w:spacing w:before="0" w:beforeAutospacing="0" w:after="0" w:afterAutospacing="0"/>
              <w:ind w:right="60"/>
              <w:jc w:val="right"/>
              <w:rPr>
                <w:sz w:val="18"/>
                <w:szCs w:val="18"/>
              </w:rPr>
            </w:pPr>
            <w:r>
              <w:rPr>
                <w:sz w:val="18"/>
                <w:szCs w:val="18"/>
              </w:rPr>
              <w:t>1,305</w:t>
            </w:r>
          </w:p>
        </w:tc>
        <w:tc>
          <w:tcPr>
            <w:tcW w:w="125" w:type="pct"/>
            <w:noWrap/>
            <w:tcMar>
              <w:top w:w="0" w:type="dxa"/>
              <w:left w:w="0" w:type="dxa"/>
              <w:bottom w:w="0" w:type="dxa"/>
              <w:right w:w="0" w:type="dxa"/>
            </w:tcMar>
            <w:vAlign w:val="bottom"/>
            <w:hideMark/>
          </w:tcPr>
          <w:p w14:paraId="652B872F"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51EE11A1" w14:textId="77777777" w:rsidR="00000000" w:rsidRDefault="00097612">
            <w:pPr>
              <w:pStyle w:val="a3"/>
              <w:spacing w:before="0" w:beforeAutospacing="0" w:after="0" w:afterAutospacing="0"/>
              <w:jc w:val="center"/>
              <w:rPr>
                <w:sz w:val="20"/>
                <w:szCs w:val="20"/>
              </w:rPr>
            </w:pPr>
            <w:r>
              <w:rPr>
                <w:sz w:val="18"/>
                <w:szCs w:val="18"/>
              </w:rPr>
              <w:t>​</w:t>
            </w:r>
          </w:p>
        </w:tc>
        <w:tc>
          <w:tcPr>
            <w:tcW w:w="495" w:type="pct"/>
            <w:tcBorders>
              <w:bottom w:val="single" w:sz="6" w:space="0" w:color="000000"/>
            </w:tcBorders>
            <w:noWrap/>
            <w:tcMar>
              <w:top w:w="0" w:type="dxa"/>
              <w:left w:w="0" w:type="dxa"/>
              <w:bottom w:w="0" w:type="dxa"/>
              <w:right w:w="0" w:type="dxa"/>
            </w:tcMar>
            <w:vAlign w:val="bottom"/>
            <w:hideMark/>
          </w:tcPr>
          <w:p w14:paraId="35273B7C" w14:textId="77777777" w:rsidR="00000000" w:rsidRDefault="00097612">
            <w:pPr>
              <w:pStyle w:val="a3"/>
              <w:spacing w:before="0" w:beforeAutospacing="0" w:after="0" w:afterAutospacing="0"/>
              <w:ind w:right="60"/>
              <w:jc w:val="right"/>
              <w:rPr>
                <w:sz w:val="18"/>
                <w:szCs w:val="18"/>
              </w:rPr>
            </w:pPr>
            <w:r>
              <w:rPr>
                <w:sz w:val="18"/>
                <w:szCs w:val="18"/>
              </w:rPr>
              <w:t>1,534</w:t>
            </w:r>
          </w:p>
        </w:tc>
      </w:tr>
      <w:tr w:rsidR="00000000" w14:paraId="4FB5185C" w14:textId="77777777">
        <w:trPr>
          <w:divId w:val="546068456"/>
        </w:trPr>
        <w:tc>
          <w:tcPr>
            <w:tcW w:w="3504" w:type="pct"/>
            <w:shd w:val="clear" w:color="auto" w:fill="CCEEFF"/>
            <w:tcMar>
              <w:top w:w="0" w:type="dxa"/>
              <w:left w:w="0" w:type="dxa"/>
              <w:bottom w:w="0" w:type="dxa"/>
              <w:right w:w="0" w:type="dxa"/>
            </w:tcMar>
            <w:hideMark/>
          </w:tcPr>
          <w:p w14:paraId="5544B66A" w14:textId="77777777" w:rsidR="00000000" w:rsidRDefault="00097612">
            <w:pPr>
              <w:pStyle w:val="a3"/>
              <w:spacing w:before="0" w:beforeAutospacing="0" w:after="0" w:afterAutospacing="0"/>
              <w:ind w:left="360"/>
              <w:rPr>
                <w:sz w:val="18"/>
                <w:szCs w:val="18"/>
              </w:rPr>
            </w:pPr>
            <w:r>
              <w:rPr>
                <w:sz w:val="18"/>
                <w:szCs w:val="18"/>
              </w:rPr>
              <w:t xml:space="preserve">Total assets </w:t>
            </w:r>
          </w:p>
        </w:tc>
        <w:tc>
          <w:tcPr>
            <w:tcW w:w="125" w:type="pct"/>
            <w:shd w:val="clear" w:color="auto" w:fill="CCEEFF"/>
            <w:noWrap/>
            <w:tcMar>
              <w:top w:w="0" w:type="dxa"/>
              <w:left w:w="0" w:type="dxa"/>
              <w:bottom w:w="0" w:type="dxa"/>
              <w:right w:w="0" w:type="dxa"/>
            </w:tcMar>
            <w:vAlign w:val="bottom"/>
            <w:hideMark/>
          </w:tcPr>
          <w:p w14:paraId="4816E6C9"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14:paraId="31A08489" w14:textId="77777777" w:rsidR="00000000" w:rsidRDefault="00097612">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14:paraId="76095B9A" w14:textId="77777777" w:rsidR="00000000" w:rsidRDefault="00097612">
            <w:pPr>
              <w:pStyle w:val="a3"/>
              <w:spacing w:before="0" w:beforeAutospacing="0" w:after="0" w:afterAutospacing="0"/>
              <w:ind w:right="60"/>
              <w:jc w:val="right"/>
              <w:rPr>
                <w:sz w:val="18"/>
                <w:szCs w:val="18"/>
              </w:rPr>
            </w:pPr>
            <w:r>
              <w:rPr>
                <w:sz w:val="18"/>
                <w:szCs w:val="18"/>
              </w:rPr>
              <w:t>445,337</w:t>
            </w:r>
          </w:p>
        </w:tc>
        <w:tc>
          <w:tcPr>
            <w:tcW w:w="125" w:type="pct"/>
            <w:shd w:val="clear" w:color="auto" w:fill="CCEEFF"/>
            <w:noWrap/>
            <w:tcMar>
              <w:top w:w="0" w:type="dxa"/>
              <w:left w:w="0" w:type="dxa"/>
              <w:bottom w:w="0" w:type="dxa"/>
              <w:right w:w="0" w:type="dxa"/>
            </w:tcMar>
            <w:vAlign w:val="bottom"/>
            <w:hideMark/>
          </w:tcPr>
          <w:p w14:paraId="600C08FF"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14:paraId="48C207C3" w14:textId="77777777" w:rsidR="00000000" w:rsidRDefault="00097612">
            <w:pPr>
              <w:pStyle w:val="a3"/>
              <w:spacing w:before="0" w:beforeAutospacing="0" w:after="0" w:afterAutospacing="0"/>
              <w:jc w:val="center"/>
              <w:rPr>
                <w:sz w:val="18"/>
                <w:szCs w:val="18"/>
              </w:rPr>
            </w:pPr>
            <w:r>
              <w:rPr>
                <w:sz w:val="18"/>
                <w:szCs w:val="18"/>
              </w:rPr>
              <w:t>$</w:t>
            </w:r>
          </w:p>
        </w:tc>
        <w:tc>
          <w:tcPr>
            <w:tcW w:w="495" w:type="pct"/>
            <w:tcBorders>
              <w:bottom w:val="double" w:sz="6" w:space="0" w:color="000000"/>
            </w:tcBorders>
            <w:shd w:val="clear" w:color="auto" w:fill="CCEEFF"/>
            <w:noWrap/>
            <w:tcMar>
              <w:top w:w="0" w:type="dxa"/>
              <w:left w:w="0" w:type="dxa"/>
              <w:bottom w:w="0" w:type="dxa"/>
              <w:right w:w="0" w:type="dxa"/>
            </w:tcMar>
            <w:vAlign w:val="bottom"/>
            <w:hideMark/>
          </w:tcPr>
          <w:p w14:paraId="56B0979C" w14:textId="77777777" w:rsidR="00000000" w:rsidRDefault="00097612">
            <w:pPr>
              <w:pStyle w:val="a3"/>
              <w:spacing w:before="0" w:beforeAutospacing="0" w:after="0" w:afterAutospacing="0"/>
              <w:ind w:right="60"/>
              <w:jc w:val="right"/>
              <w:rPr>
                <w:sz w:val="18"/>
                <w:szCs w:val="18"/>
              </w:rPr>
            </w:pPr>
            <w:r>
              <w:rPr>
                <w:sz w:val="18"/>
                <w:szCs w:val="18"/>
              </w:rPr>
              <w:t>560,235</w:t>
            </w:r>
          </w:p>
        </w:tc>
      </w:tr>
      <w:tr w:rsidR="00000000" w14:paraId="16CF331D" w14:textId="77777777">
        <w:trPr>
          <w:divId w:val="546068456"/>
        </w:trPr>
        <w:tc>
          <w:tcPr>
            <w:tcW w:w="3504" w:type="pct"/>
            <w:tcMar>
              <w:top w:w="0" w:type="dxa"/>
              <w:left w:w="0" w:type="dxa"/>
              <w:bottom w:w="0" w:type="dxa"/>
              <w:right w:w="0" w:type="dxa"/>
            </w:tcMar>
            <w:hideMark/>
          </w:tcPr>
          <w:p w14:paraId="71744F58"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1614DF94"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39D1E6F1" w14:textId="77777777" w:rsidR="00000000" w:rsidRDefault="00097612">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44956B8A" w14:textId="77777777" w:rsidR="00000000" w:rsidRDefault="00097612">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14:paraId="334B6B9E"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6F6C681C"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2CE2E09A" w14:textId="77777777" w:rsidR="00000000" w:rsidRDefault="00097612">
            <w:pPr>
              <w:pStyle w:val="a3"/>
              <w:spacing w:before="0" w:beforeAutospacing="0" w:after="0" w:afterAutospacing="0"/>
              <w:jc w:val="right"/>
              <w:rPr>
                <w:sz w:val="20"/>
                <w:szCs w:val="20"/>
              </w:rPr>
            </w:pPr>
            <w:r>
              <w:rPr>
                <w:sz w:val="18"/>
                <w:szCs w:val="18"/>
              </w:rPr>
              <w:t>​</w:t>
            </w:r>
          </w:p>
        </w:tc>
      </w:tr>
      <w:tr w:rsidR="00000000" w14:paraId="30C097AE" w14:textId="77777777">
        <w:trPr>
          <w:divId w:val="546068456"/>
        </w:trPr>
        <w:tc>
          <w:tcPr>
            <w:tcW w:w="3504" w:type="pct"/>
            <w:shd w:val="clear" w:color="auto" w:fill="CCEEFF"/>
            <w:tcMar>
              <w:top w:w="0" w:type="dxa"/>
              <w:left w:w="0" w:type="dxa"/>
              <w:bottom w:w="0" w:type="dxa"/>
              <w:right w:w="0" w:type="dxa"/>
            </w:tcMar>
            <w:hideMark/>
          </w:tcPr>
          <w:p w14:paraId="25E897BC" w14:textId="77777777" w:rsidR="00000000" w:rsidRDefault="00097612">
            <w:pPr>
              <w:pStyle w:val="a3"/>
              <w:spacing w:before="0" w:beforeAutospacing="0" w:after="0" w:afterAutospacing="0"/>
              <w:rPr>
                <w:sz w:val="18"/>
                <w:szCs w:val="18"/>
              </w:rPr>
            </w:pPr>
            <w:r>
              <w:rPr>
                <w:b/>
                <w:bCs/>
                <w:sz w:val="18"/>
                <w:szCs w:val="18"/>
              </w:rPr>
              <w:t>Liabilities and Shareholders' Deficit</w:t>
            </w:r>
          </w:p>
        </w:tc>
        <w:tc>
          <w:tcPr>
            <w:tcW w:w="125" w:type="pct"/>
            <w:shd w:val="clear" w:color="auto" w:fill="CCEEFF"/>
            <w:noWrap/>
            <w:tcMar>
              <w:top w:w="0" w:type="dxa"/>
              <w:left w:w="0" w:type="dxa"/>
              <w:bottom w:w="0" w:type="dxa"/>
              <w:right w:w="0" w:type="dxa"/>
            </w:tcMar>
            <w:vAlign w:val="bottom"/>
            <w:hideMark/>
          </w:tcPr>
          <w:p w14:paraId="6711C39D"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2F8A4058" w14:textId="77777777" w:rsidR="00000000" w:rsidRDefault="00097612">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65D32F6E" w14:textId="77777777" w:rsidR="00000000" w:rsidRDefault="00097612">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71CF8964"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41D6B9E3" w14:textId="77777777" w:rsidR="00000000" w:rsidRDefault="00097612">
            <w:pPr>
              <w:pStyle w:val="a3"/>
              <w:spacing w:before="0" w:beforeAutospacing="0" w:after="0" w:afterAutospacing="0"/>
              <w:jc w:val="center"/>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14:paraId="65A61D58" w14:textId="77777777" w:rsidR="00000000" w:rsidRDefault="00097612">
            <w:pPr>
              <w:pStyle w:val="a3"/>
              <w:spacing w:before="0" w:beforeAutospacing="0" w:after="0" w:afterAutospacing="0"/>
              <w:jc w:val="right"/>
              <w:rPr>
                <w:sz w:val="20"/>
                <w:szCs w:val="20"/>
              </w:rPr>
            </w:pPr>
            <w:r>
              <w:rPr>
                <w:sz w:val="18"/>
                <w:szCs w:val="18"/>
              </w:rPr>
              <w:t>​</w:t>
            </w:r>
          </w:p>
        </w:tc>
      </w:tr>
      <w:tr w:rsidR="00000000" w14:paraId="5D931977" w14:textId="77777777">
        <w:trPr>
          <w:divId w:val="546068456"/>
        </w:trPr>
        <w:tc>
          <w:tcPr>
            <w:tcW w:w="3504" w:type="pct"/>
            <w:tcMar>
              <w:top w:w="0" w:type="dxa"/>
              <w:left w:w="0" w:type="dxa"/>
              <w:bottom w:w="0" w:type="dxa"/>
              <w:right w:w="0" w:type="dxa"/>
            </w:tcMar>
            <w:hideMark/>
          </w:tcPr>
          <w:p w14:paraId="6787B876" w14:textId="77777777" w:rsidR="00000000" w:rsidRDefault="00097612">
            <w:pPr>
              <w:pStyle w:val="a3"/>
              <w:spacing w:before="0" w:beforeAutospacing="0" w:after="0" w:afterAutospacing="0"/>
              <w:rPr>
                <w:sz w:val="18"/>
                <w:szCs w:val="18"/>
              </w:rPr>
            </w:pPr>
            <w:r>
              <w:rPr>
                <w:sz w:val="18"/>
                <w:szCs w:val="18"/>
              </w:rPr>
              <w:t>Current liabilities:</w:t>
            </w:r>
          </w:p>
        </w:tc>
        <w:tc>
          <w:tcPr>
            <w:tcW w:w="125" w:type="pct"/>
            <w:noWrap/>
            <w:tcMar>
              <w:top w:w="0" w:type="dxa"/>
              <w:left w:w="0" w:type="dxa"/>
              <w:bottom w:w="0" w:type="dxa"/>
              <w:right w:w="0" w:type="dxa"/>
            </w:tcMar>
            <w:vAlign w:val="bottom"/>
            <w:hideMark/>
          </w:tcPr>
          <w:p w14:paraId="5CBC874B"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479F2ED3" w14:textId="77777777" w:rsidR="00000000" w:rsidRDefault="00097612">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40D421AE" w14:textId="77777777" w:rsidR="00000000" w:rsidRDefault="00097612">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14:paraId="251CDF90"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5FB95880"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64850163" w14:textId="77777777" w:rsidR="00000000" w:rsidRDefault="00097612">
            <w:pPr>
              <w:pStyle w:val="a3"/>
              <w:spacing w:before="0" w:beforeAutospacing="0" w:after="0" w:afterAutospacing="0"/>
              <w:jc w:val="right"/>
              <w:rPr>
                <w:sz w:val="20"/>
                <w:szCs w:val="20"/>
              </w:rPr>
            </w:pPr>
            <w:r>
              <w:rPr>
                <w:sz w:val="18"/>
                <w:szCs w:val="18"/>
              </w:rPr>
              <w:t>​</w:t>
            </w:r>
          </w:p>
        </w:tc>
      </w:tr>
      <w:tr w:rsidR="00000000" w14:paraId="6CAA7C07" w14:textId="77777777">
        <w:trPr>
          <w:divId w:val="546068456"/>
        </w:trPr>
        <w:tc>
          <w:tcPr>
            <w:tcW w:w="3504" w:type="pct"/>
            <w:shd w:val="clear" w:color="auto" w:fill="CCEEFF"/>
            <w:tcMar>
              <w:top w:w="0" w:type="dxa"/>
              <w:left w:w="0" w:type="dxa"/>
              <w:bottom w:w="0" w:type="dxa"/>
              <w:right w:w="0" w:type="dxa"/>
            </w:tcMar>
            <w:hideMark/>
          </w:tcPr>
          <w:p w14:paraId="6F44D6A6" w14:textId="77777777" w:rsidR="00000000" w:rsidRDefault="00097612">
            <w:pPr>
              <w:pStyle w:val="a3"/>
              <w:spacing w:before="0" w:beforeAutospacing="0" w:after="0" w:afterAutospacing="0"/>
              <w:ind w:left="240"/>
              <w:rPr>
                <w:sz w:val="18"/>
                <w:szCs w:val="18"/>
              </w:rPr>
            </w:pPr>
            <w:r>
              <w:rPr>
                <w:sz w:val="18"/>
                <w:szCs w:val="18"/>
              </w:rPr>
              <w:t xml:space="preserve">Accounts payable </w:t>
            </w:r>
          </w:p>
        </w:tc>
        <w:tc>
          <w:tcPr>
            <w:tcW w:w="125" w:type="pct"/>
            <w:shd w:val="clear" w:color="auto" w:fill="CCEEFF"/>
            <w:noWrap/>
            <w:tcMar>
              <w:top w:w="0" w:type="dxa"/>
              <w:left w:w="0" w:type="dxa"/>
              <w:bottom w:w="0" w:type="dxa"/>
              <w:right w:w="0" w:type="dxa"/>
            </w:tcMar>
            <w:vAlign w:val="bottom"/>
            <w:hideMark/>
          </w:tcPr>
          <w:p w14:paraId="3EEB9823"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6F385E0A" w14:textId="77777777" w:rsidR="00000000" w:rsidRDefault="00097612">
            <w:pPr>
              <w:pStyle w:val="a3"/>
              <w:spacing w:before="0" w:beforeAutospacing="0" w:after="0" w:afterAutospacing="0"/>
              <w:jc w:val="center"/>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14:paraId="607C91FA" w14:textId="77777777" w:rsidR="00000000" w:rsidRDefault="00097612">
            <w:pPr>
              <w:pStyle w:val="a3"/>
              <w:spacing w:before="0" w:beforeAutospacing="0" w:after="0" w:afterAutospacing="0"/>
              <w:ind w:right="60"/>
              <w:jc w:val="right"/>
              <w:rPr>
                <w:sz w:val="18"/>
                <w:szCs w:val="18"/>
              </w:rPr>
            </w:pPr>
            <w:r>
              <w:rPr>
                <w:sz w:val="18"/>
                <w:szCs w:val="18"/>
              </w:rPr>
              <w:t>8,713</w:t>
            </w:r>
          </w:p>
        </w:tc>
        <w:tc>
          <w:tcPr>
            <w:tcW w:w="125" w:type="pct"/>
            <w:shd w:val="clear" w:color="auto" w:fill="CCEEFF"/>
            <w:noWrap/>
            <w:tcMar>
              <w:top w:w="0" w:type="dxa"/>
              <w:left w:w="0" w:type="dxa"/>
              <w:bottom w:w="0" w:type="dxa"/>
              <w:right w:w="0" w:type="dxa"/>
            </w:tcMar>
            <w:vAlign w:val="bottom"/>
            <w:hideMark/>
          </w:tcPr>
          <w:p w14:paraId="25F916D6"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FEDE29C" w14:textId="77777777" w:rsidR="00000000" w:rsidRDefault="00097612">
            <w:pPr>
              <w:pStyle w:val="a3"/>
              <w:spacing w:before="0" w:beforeAutospacing="0" w:after="0" w:afterAutospacing="0"/>
              <w:jc w:val="center"/>
              <w:rPr>
                <w:sz w:val="18"/>
                <w:szCs w:val="18"/>
              </w:rPr>
            </w:pPr>
            <w:r>
              <w:rPr>
                <w:sz w:val="18"/>
                <w:szCs w:val="18"/>
              </w:rPr>
              <w:t>$</w:t>
            </w:r>
          </w:p>
        </w:tc>
        <w:tc>
          <w:tcPr>
            <w:tcW w:w="495" w:type="pct"/>
            <w:shd w:val="clear" w:color="auto" w:fill="CCEEFF"/>
            <w:noWrap/>
            <w:tcMar>
              <w:top w:w="0" w:type="dxa"/>
              <w:left w:w="0" w:type="dxa"/>
              <w:bottom w:w="0" w:type="dxa"/>
              <w:right w:w="0" w:type="dxa"/>
            </w:tcMar>
            <w:vAlign w:val="bottom"/>
            <w:hideMark/>
          </w:tcPr>
          <w:p w14:paraId="441B76D4" w14:textId="77777777" w:rsidR="00000000" w:rsidRDefault="00097612">
            <w:pPr>
              <w:pStyle w:val="a3"/>
              <w:spacing w:before="0" w:beforeAutospacing="0" w:after="0" w:afterAutospacing="0"/>
              <w:ind w:right="60"/>
              <w:jc w:val="right"/>
              <w:rPr>
                <w:sz w:val="18"/>
                <w:szCs w:val="18"/>
              </w:rPr>
            </w:pPr>
            <w:r>
              <w:rPr>
                <w:sz w:val="18"/>
                <w:szCs w:val="18"/>
              </w:rPr>
              <w:t>9,028</w:t>
            </w:r>
          </w:p>
        </w:tc>
      </w:tr>
      <w:tr w:rsidR="00000000" w14:paraId="7AD5F2AE" w14:textId="77777777">
        <w:trPr>
          <w:divId w:val="546068456"/>
        </w:trPr>
        <w:tc>
          <w:tcPr>
            <w:tcW w:w="3504" w:type="pct"/>
            <w:tcMar>
              <w:top w:w="0" w:type="dxa"/>
              <w:left w:w="0" w:type="dxa"/>
              <w:bottom w:w="0" w:type="dxa"/>
              <w:right w:w="0" w:type="dxa"/>
            </w:tcMar>
            <w:hideMark/>
          </w:tcPr>
          <w:p w14:paraId="636510A7" w14:textId="77777777" w:rsidR="00000000" w:rsidRDefault="00097612">
            <w:pPr>
              <w:pStyle w:val="a3"/>
              <w:spacing w:before="0" w:beforeAutospacing="0" w:after="0" w:afterAutospacing="0"/>
              <w:ind w:left="240"/>
              <w:rPr>
                <w:sz w:val="18"/>
                <w:szCs w:val="18"/>
              </w:rPr>
            </w:pPr>
            <w:r>
              <w:rPr>
                <w:sz w:val="18"/>
                <w:szCs w:val="18"/>
              </w:rPr>
              <w:t xml:space="preserve">Accrued personnel-related expenses </w:t>
            </w:r>
          </w:p>
        </w:tc>
        <w:tc>
          <w:tcPr>
            <w:tcW w:w="125" w:type="pct"/>
            <w:noWrap/>
            <w:tcMar>
              <w:top w:w="0" w:type="dxa"/>
              <w:left w:w="0" w:type="dxa"/>
              <w:bottom w:w="0" w:type="dxa"/>
              <w:right w:w="0" w:type="dxa"/>
            </w:tcMar>
            <w:vAlign w:val="bottom"/>
            <w:hideMark/>
          </w:tcPr>
          <w:p w14:paraId="373CB71A"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2F493185" w14:textId="77777777" w:rsidR="00000000" w:rsidRDefault="00097612">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25FD8353" w14:textId="77777777" w:rsidR="00000000" w:rsidRDefault="00097612">
            <w:pPr>
              <w:pStyle w:val="a3"/>
              <w:spacing w:before="0" w:beforeAutospacing="0" w:after="0" w:afterAutospacing="0"/>
              <w:ind w:right="60"/>
              <w:jc w:val="right"/>
              <w:rPr>
                <w:sz w:val="18"/>
                <w:szCs w:val="18"/>
              </w:rPr>
            </w:pPr>
            <w:r>
              <w:rPr>
                <w:sz w:val="18"/>
                <w:szCs w:val="18"/>
              </w:rPr>
              <w:t>25,801</w:t>
            </w:r>
          </w:p>
        </w:tc>
        <w:tc>
          <w:tcPr>
            <w:tcW w:w="125" w:type="pct"/>
            <w:noWrap/>
            <w:tcMar>
              <w:top w:w="0" w:type="dxa"/>
              <w:left w:w="0" w:type="dxa"/>
              <w:bottom w:w="0" w:type="dxa"/>
              <w:right w:w="0" w:type="dxa"/>
            </w:tcMar>
            <w:vAlign w:val="bottom"/>
            <w:hideMark/>
          </w:tcPr>
          <w:p w14:paraId="09A3CFFC"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6C6EBF4D" w14:textId="77777777" w:rsidR="00000000" w:rsidRDefault="00097612">
            <w:pPr>
              <w:pStyle w:val="a3"/>
              <w:spacing w:before="0" w:beforeAutospacing="0" w:after="0" w:afterAutospacing="0"/>
              <w:jc w:val="center"/>
              <w:rPr>
                <w:sz w:val="18"/>
                <w:szCs w:val="18"/>
              </w:rPr>
            </w:pPr>
            <w:r>
              <w:rPr>
                <w:sz w:val="18"/>
                <w:szCs w:val="18"/>
              </w:rPr>
              <w:t> </w:t>
            </w:r>
          </w:p>
        </w:tc>
        <w:tc>
          <w:tcPr>
            <w:tcW w:w="495" w:type="pct"/>
            <w:noWrap/>
            <w:tcMar>
              <w:top w:w="0" w:type="dxa"/>
              <w:left w:w="0" w:type="dxa"/>
              <w:bottom w:w="0" w:type="dxa"/>
              <w:right w:w="0" w:type="dxa"/>
            </w:tcMar>
            <w:vAlign w:val="bottom"/>
            <w:hideMark/>
          </w:tcPr>
          <w:p w14:paraId="6FADD51F" w14:textId="77777777" w:rsidR="00000000" w:rsidRDefault="00097612">
            <w:pPr>
              <w:pStyle w:val="a3"/>
              <w:spacing w:before="0" w:beforeAutospacing="0" w:after="0" w:afterAutospacing="0"/>
              <w:ind w:right="60"/>
              <w:jc w:val="right"/>
              <w:rPr>
                <w:sz w:val="18"/>
                <w:szCs w:val="18"/>
              </w:rPr>
            </w:pPr>
            <w:r>
              <w:rPr>
                <w:sz w:val="18"/>
                <w:szCs w:val="18"/>
              </w:rPr>
              <w:t>23,803</w:t>
            </w:r>
          </w:p>
        </w:tc>
      </w:tr>
      <w:tr w:rsidR="00000000" w14:paraId="5B35F29F" w14:textId="77777777">
        <w:trPr>
          <w:divId w:val="546068456"/>
        </w:trPr>
        <w:tc>
          <w:tcPr>
            <w:tcW w:w="3504" w:type="pct"/>
            <w:shd w:val="clear" w:color="auto" w:fill="CCEEFF"/>
            <w:tcMar>
              <w:top w:w="0" w:type="dxa"/>
              <w:left w:w="0" w:type="dxa"/>
              <w:bottom w:w="0" w:type="dxa"/>
              <w:right w:w="0" w:type="dxa"/>
            </w:tcMar>
            <w:hideMark/>
          </w:tcPr>
          <w:p w14:paraId="7CCBF71E" w14:textId="77777777" w:rsidR="00000000" w:rsidRDefault="00097612">
            <w:pPr>
              <w:pStyle w:val="a3"/>
              <w:spacing w:before="0" w:beforeAutospacing="0" w:after="0" w:afterAutospacing="0"/>
              <w:ind w:left="240"/>
              <w:rPr>
                <w:sz w:val="18"/>
                <w:szCs w:val="18"/>
              </w:rPr>
            </w:pPr>
            <w:r>
              <w:rPr>
                <w:sz w:val="18"/>
                <w:szCs w:val="18"/>
              </w:rPr>
              <w:t xml:space="preserve">Accrued clinical and development expenses </w:t>
            </w:r>
          </w:p>
        </w:tc>
        <w:tc>
          <w:tcPr>
            <w:tcW w:w="125" w:type="pct"/>
            <w:shd w:val="clear" w:color="auto" w:fill="CCEEFF"/>
            <w:noWrap/>
            <w:tcMar>
              <w:top w:w="0" w:type="dxa"/>
              <w:left w:w="0" w:type="dxa"/>
              <w:bottom w:w="0" w:type="dxa"/>
              <w:right w:w="0" w:type="dxa"/>
            </w:tcMar>
            <w:vAlign w:val="bottom"/>
            <w:hideMark/>
          </w:tcPr>
          <w:p w14:paraId="37D4281E"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6113E83B" w14:textId="77777777" w:rsidR="00000000" w:rsidRDefault="00097612">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53C0F766" w14:textId="77777777" w:rsidR="00000000" w:rsidRDefault="00097612">
            <w:pPr>
              <w:pStyle w:val="a3"/>
              <w:spacing w:before="0" w:beforeAutospacing="0" w:after="0" w:afterAutospacing="0"/>
              <w:ind w:right="60"/>
              <w:jc w:val="right"/>
              <w:rPr>
                <w:sz w:val="18"/>
                <w:szCs w:val="18"/>
              </w:rPr>
            </w:pPr>
            <w:r>
              <w:rPr>
                <w:sz w:val="18"/>
                <w:szCs w:val="18"/>
              </w:rPr>
              <w:t>10,907</w:t>
            </w:r>
          </w:p>
        </w:tc>
        <w:tc>
          <w:tcPr>
            <w:tcW w:w="125" w:type="pct"/>
            <w:shd w:val="clear" w:color="auto" w:fill="CCEEFF"/>
            <w:noWrap/>
            <w:tcMar>
              <w:top w:w="0" w:type="dxa"/>
              <w:left w:w="0" w:type="dxa"/>
              <w:bottom w:w="0" w:type="dxa"/>
              <w:right w:w="0" w:type="dxa"/>
            </w:tcMar>
            <w:vAlign w:val="bottom"/>
            <w:hideMark/>
          </w:tcPr>
          <w:p w14:paraId="2CDFE756"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24BA9B92" w14:textId="77777777" w:rsidR="00000000" w:rsidRDefault="00097612">
            <w:pPr>
              <w:pStyle w:val="a3"/>
              <w:spacing w:before="0" w:beforeAutospacing="0" w:after="0" w:afterAutospacing="0"/>
              <w:jc w:val="center"/>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14:paraId="25EEF4E6" w14:textId="77777777" w:rsidR="00000000" w:rsidRDefault="00097612">
            <w:pPr>
              <w:pStyle w:val="a3"/>
              <w:spacing w:before="0" w:beforeAutospacing="0" w:after="0" w:afterAutospacing="0"/>
              <w:ind w:right="60"/>
              <w:jc w:val="right"/>
              <w:rPr>
                <w:sz w:val="18"/>
                <w:szCs w:val="18"/>
              </w:rPr>
            </w:pPr>
            <w:r>
              <w:rPr>
                <w:sz w:val="18"/>
                <w:szCs w:val="18"/>
              </w:rPr>
              <w:t>11,876</w:t>
            </w:r>
          </w:p>
        </w:tc>
      </w:tr>
      <w:tr w:rsidR="00000000" w14:paraId="57B71A6C" w14:textId="77777777">
        <w:trPr>
          <w:divId w:val="546068456"/>
        </w:trPr>
        <w:tc>
          <w:tcPr>
            <w:tcW w:w="3504" w:type="pct"/>
            <w:tcMar>
              <w:top w:w="0" w:type="dxa"/>
              <w:left w:w="0" w:type="dxa"/>
              <w:bottom w:w="0" w:type="dxa"/>
              <w:right w:w="0" w:type="dxa"/>
            </w:tcMar>
            <w:hideMark/>
          </w:tcPr>
          <w:p w14:paraId="3FA99A26" w14:textId="77777777" w:rsidR="00000000" w:rsidRDefault="00097612">
            <w:pPr>
              <w:pStyle w:val="a3"/>
              <w:spacing w:before="0" w:beforeAutospacing="0" w:after="0" w:afterAutospacing="0"/>
              <w:ind w:left="240"/>
              <w:rPr>
                <w:sz w:val="18"/>
                <w:szCs w:val="18"/>
              </w:rPr>
            </w:pPr>
            <w:r>
              <w:rPr>
                <w:sz w:val="18"/>
                <w:szCs w:val="18"/>
              </w:rPr>
              <w:t>Accrued interest payable</w:t>
            </w:r>
          </w:p>
        </w:tc>
        <w:tc>
          <w:tcPr>
            <w:tcW w:w="125" w:type="pct"/>
            <w:noWrap/>
            <w:tcMar>
              <w:top w:w="0" w:type="dxa"/>
              <w:left w:w="0" w:type="dxa"/>
              <w:bottom w:w="0" w:type="dxa"/>
              <w:right w:w="0" w:type="dxa"/>
            </w:tcMar>
            <w:vAlign w:val="bottom"/>
            <w:hideMark/>
          </w:tcPr>
          <w:p w14:paraId="688B7C38"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4A295712" w14:textId="77777777" w:rsidR="00000000" w:rsidRDefault="00097612">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2EFE2881" w14:textId="77777777" w:rsidR="00000000" w:rsidRDefault="00097612">
            <w:pPr>
              <w:pStyle w:val="a3"/>
              <w:spacing w:before="0" w:beforeAutospacing="0" w:after="0" w:afterAutospacing="0"/>
              <w:ind w:right="60"/>
              <w:jc w:val="right"/>
              <w:rPr>
                <w:sz w:val="18"/>
                <w:szCs w:val="18"/>
              </w:rPr>
            </w:pPr>
            <w:r>
              <w:rPr>
                <w:sz w:val="18"/>
                <w:szCs w:val="18"/>
              </w:rPr>
              <w:t>7,568</w:t>
            </w:r>
          </w:p>
        </w:tc>
        <w:tc>
          <w:tcPr>
            <w:tcW w:w="125" w:type="pct"/>
            <w:noWrap/>
            <w:tcMar>
              <w:top w:w="0" w:type="dxa"/>
              <w:left w:w="0" w:type="dxa"/>
              <w:bottom w:w="0" w:type="dxa"/>
              <w:right w:w="0" w:type="dxa"/>
            </w:tcMar>
            <w:vAlign w:val="bottom"/>
            <w:hideMark/>
          </w:tcPr>
          <w:p w14:paraId="6764A3F8"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1AF34966"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02537B8A" w14:textId="77777777" w:rsidR="00000000" w:rsidRDefault="00097612">
            <w:pPr>
              <w:pStyle w:val="a3"/>
              <w:spacing w:before="0" w:beforeAutospacing="0" w:after="0" w:afterAutospacing="0"/>
              <w:ind w:right="60"/>
              <w:jc w:val="right"/>
              <w:rPr>
                <w:sz w:val="18"/>
                <w:szCs w:val="18"/>
              </w:rPr>
            </w:pPr>
            <w:r>
              <w:rPr>
                <w:sz w:val="18"/>
                <w:szCs w:val="18"/>
              </w:rPr>
              <w:t>3,086</w:t>
            </w:r>
          </w:p>
        </w:tc>
      </w:tr>
      <w:tr w:rsidR="00000000" w14:paraId="49D7DD78" w14:textId="77777777">
        <w:trPr>
          <w:divId w:val="546068456"/>
        </w:trPr>
        <w:tc>
          <w:tcPr>
            <w:tcW w:w="3504" w:type="pct"/>
            <w:shd w:val="clear" w:color="auto" w:fill="CCEEFF"/>
            <w:tcMar>
              <w:top w:w="0" w:type="dxa"/>
              <w:left w:w="0" w:type="dxa"/>
              <w:bottom w:w="0" w:type="dxa"/>
              <w:right w:w="0" w:type="dxa"/>
            </w:tcMar>
            <w:hideMark/>
          </w:tcPr>
          <w:p w14:paraId="267D9168" w14:textId="77777777" w:rsidR="00000000" w:rsidRDefault="00097612">
            <w:pPr>
              <w:pStyle w:val="a3"/>
              <w:spacing w:before="0" w:beforeAutospacing="0" w:after="0" w:afterAutospacing="0"/>
              <w:ind w:left="240"/>
              <w:rPr>
                <w:sz w:val="18"/>
                <w:szCs w:val="18"/>
              </w:rPr>
            </w:pPr>
            <w:r>
              <w:rPr>
                <w:sz w:val="18"/>
                <w:szCs w:val="18"/>
              </w:rPr>
              <w:t>Non-recourse notes due 2033, net</w:t>
            </w:r>
          </w:p>
        </w:tc>
        <w:tc>
          <w:tcPr>
            <w:tcW w:w="125" w:type="pct"/>
            <w:shd w:val="clear" w:color="auto" w:fill="CCEEFF"/>
            <w:noWrap/>
            <w:tcMar>
              <w:top w:w="0" w:type="dxa"/>
              <w:left w:w="0" w:type="dxa"/>
              <w:bottom w:w="0" w:type="dxa"/>
              <w:right w:w="0" w:type="dxa"/>
            </w:tcMar>
            <w:vAlign w:val="bottom"/>
            <w:hideMark/>
          </w:tcPr>
          <w:p w14:paraId="3A400A0A"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45CDF182" w14:textId="77777777" w:rsidR="00000000" w:rsidRDefault="00097612">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08B6D3D5" w14:textId="77777777" w:rsidR="00000000" w:rsidRDefault="00097612">
            <w:pPr>
              <w:pStyle w:val="a3"/>
              <w:spacing w:before="0" w:beforeAutospacing="0" w:after="0" w:afterAutospacing="0"/>
              <w:ind w:right="60"/>
              <w:jc w:val="right"/>
              <w:rPr>
                <w:sz w:val="18"/>
                <w:szCs w:val="18"/>
              </w:rPr>
            </w:pPr>
            <w:r>
              <w:rPr>
                <w:sz w:val="18"/>
                <w:szCs w:val="18"/>
              </w:rPr>
              <w:t>8,701</w:t>
            </w:r>
          </w:p>
        </w:tc>
        <w:tc>
          <w:tcPr>
            <w:tcW w:w="125" w:type="pct"/>
            <w:shd w:val="clear" w:color="auto" w:fill="CCEEFF"/>
            <w:noWrap/>
            <w:tcMar>
              <w:top w:w="0" w:type="dxa"/>
              <w:left w:w="0" w:type="dxa"/>
              <w:bottom w:w="0" w:type="dxa"/>
              <w:right w:w="0" w:type="dxa"/>
            </w:tcMar>
            <w:vAlign w:val="bottom"/>
            <w:hideMark/>
          </w:tcPr>
          <w:p w14:paraId="68E9506B"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9BF01FF" w14:textId="77777777" w:rsidR="00000000" w:rsidRDefault="00097612">
            <w:pPr>
              <w:pStyle w:val="a3"/>
              <w:spacing w:before="0" w:beforeAutospacing="0" w:after="0" w:afterAutospacing="0"/>
              <w:jc w:val="center"/>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14:paraId="0FBC6769" w14:textId="77777777" w:rsidR="00000000" w:rsidRDefault="00097612">
            <w:pPr>
              <w:pStyle w:val="a3"/>
              <w:spacing w:before="0" w:beforeAutospacing="0" w:after="0" w:afterAutospacing="0"/>
              <w:ind w:right="60"/>
              <w:jc w:val="right"/>
              <w:rPr>
                <w:sz w:val="18"/>
                <w:szCs w:val="18"/>
              </w:rPr>
            </w:pPr>
            <w:r>
              <w:rPr>
                <w:sz w:val="18"/>
                <w:szCs w:val="18"/>
              </w:rPr>
              <w:t>—</w:t>
            </w:r>
          </w:p>
        </w:tc>
      </w:tr>
      <w:tr w:rsidR="00000000" w14:paraId="27B8C9A5" w14:textId="77777777">
        <w:trPr>
          <w:divId w:val="546068456"/>
        </w:trPr>
        <w:tc>
          <w:tcPr>
            <w:tcW w:w="3504" w:type="pct"/>
            <w:tcMar>
              <w:top w:w="0" w:type="dxa"/>
              <w:left w:w="0" w:type="dxa"/>
              <w:bottom w:w="0" w:type="dxa"/>
              <w:right w:w="0" w:type="dxa"/>
            </w:tcMar>
            <w:hideMark/>
          </w:tcPr>
          <w:p w14:paraId="79581284" w14:textId="77777777" w:rsidR="00000000" w:rsidRDefault="00097612">
            <w:pPr>
              <w:pStyle w:val="a3"/>
              <w:spacing w:before="0" w:beforeAutospacing="0" w:after="0" w:afterAutospacing="0"/>
              <w:ind w:left="240"/>
              <w:rPr>
                <w:sz w:val="18"/>
                <w:szCs w:val="18"/>
              </w:rPr>
            </w:pPr>
            <w:r>
              <w:rPr>
                <w:sz w:val="18"/>
                <w:szCs w:val="18"/>
              </w:rPr>
              <w:t>Operating lease liabilities</w:t>
            </w:r>
          </w:p>
        </w:tc>
        <w:tc>
          <w:tcPr>
            <w:tcW w:w="125" w:type="pct"/>
            <w:noWrap/>
            <w:tcMar>
              <w:top w:w="0" w:type="dxa"/>
              <w:left w:w="0" w:type="dxa"/>
              <w:bottom w:w="0" w:type="dxa"/>
              <w:right w:w="0" w:type="dxa"/>
            </w:tcMar>
            <w:vAlign w:val="bottom"/>
            <w:hideMark/>
          </w:tcPr>
          <w:p w14:paraId="42CB4E8F"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C91A07D" w14:textId="77777777" w:rsidR="00000000" w:rsidRDefault="00097612">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49C69B66" w14:textId="77777777" w:rsidR="00000000" w:rsidRDefault="00097612">
            <w:pPr>
              <w:pStyle w:val="a3"/>
              <w:spacing w:before="0" w:beforeAutospacing="0" w:after="0" w:afterAutospacing="0"/>
              <w:ind w:right="60"/>
              <w:jc w:val="right"/>
              <w:rPr>
                <w:sz w:val="18"/>
                <w:szCs w:val="18"/>
              </w:rPr>
            </w:pPr>
            <w:r>
              <w:rPr>
                <w:sz w:val="18"/>
                <w:szCs w:val="18"/>
              </w:rPr>
              <w:t>6,833</w:t>
            </w:r>
          </w:p>
        </w:tc>
        <w:tc>
          <w:tcPr>
            <w:tcW w:w="125" w:type="pct"/>
            <w:noWrap/>
            <w:tcMar>
              <w:top w:w="0" w:type="dxa"/>
              <w:left w:w="0" w:type="dxa"/>
              <w:bottom w:w="0" w:type="dxa"/>
              <w:right w:w="0" w:type="dxa"/>
            </w:tcMar>
            <w:vAlign w:val="bottom"/>
            <w:hideMark/>
          </w:tcPr>
          <w:p w14:paraId="6344768A"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548467D8"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7690AFE5" w14:textId="77777777" w:rsidR="00000000" w:rsidRDefault="00097612">
            <w:pPr>
              <w:pStyle w:val="a3"/>
              <w:spacing w:before="0" w:beforeAutospacing="0" w:after="0" w:afterAutospacing="0"/>
              <w:ind w:right="60"/>
              <w:jc w:val="right"/>
              <w:rPr>
                <w:sz w:val="18"/>
                <w:szCs w:val="18"/>
              </w:rPr>
            </w:pPr>
            <w:r>
              <w:rPr>
                <w:sz w:val="18"/>
                <w:szCs w:val="18"/>
              </w:rPr>
              <w:t>—</w:t>
            </w:r>
          </w:p>
        </w:tc>
      </w:tr>
      <w:tr w:rsidR="00000000" w14:paraId="27CA73AC" w14:textId="77777777">
        <w:trPr>
          <w:divId w:val="546068456"/>
        </w:trPr>
        <w:tc>
          <w:tcPr>
            <w:tcW w:w="3504" w:type="pct"/>
            <w:shd w:val="clear" w:color="auto" w:fill="CCEEFF"/>
            <w:tcMar>
              <w:top w:w="0" w:type="dxa"/>
              <w:left w:w="0" w:type="dxa"/>
              <w:bottom w:w="0" w:type="dxa"/>
              <w:right w:w="0" w:type="dxa"/>
            </w:tcMar>
            <w:hideMark/>
          </w:tcPr>
          <w:p w14:paraId="771C96AE" w14:textId="77777777" w:rsidR="00000000" w:rsidRDefault="00097612">
            <w:pPr>
              <w:pStyle w:val="a3"/>
              <w:spacing w:before="0" w:beforeAutospacing="0" w:after="0" w:afterAutospacing="0"/>
              <w:ind w:left="240"/>
              <w:rPr>
                <w:sz w:val="18"/>
                <w:szCs w:val="18"/>
              </w:rPr>
            </w:pPr>
            <w:r>
              <w:rPr>
                <w:sz w:val="18"/>
                <w:szCs w:val="18"/>
              </w:rPr>
              <w:t>Deferred revenue</w:t>
            </w:r>
          </w:p>
        </w:tc>
        <w:tc>
          <w:tcPr>
            <w:tcW w:w="125" w:type="pct"/>
            <w:shd w:val="clear" w:color="auto" w:fill="CCEEFF"/>
            <w:noWrap/>
            <w:tcMar>
              <w:top w:w="0" w:type="dxa"/>
              <w:left w:w="0" w:type="dxa"/>
              <w:bottom w:w="0" w:type="dxa"/>
              <w:right w:w="0" w:type="dxa"/>
            </w:tcMar>
            <w:vAlign w:val="bottom"/>
            <w:hideMark/>
          </w:tcPr>
          <w:p w14:paraId="1ECD85F4"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4D98951E" w14:textId="77777777" w:rsidR="00000000" w:rsidRDefault="00097612">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719D7191" w14:textId="77777777" w:rsidR="00000000" w:rsidRDefault="00097612">
            <w:pPr>
              <w:pStyle w:val="a3"/>
              <w:spacing w:before="0" w:beforeAutospacing="0" w:after="0" w:afterAutospacing="0"/>
              <w:ind w:right="60"/>
              <w:jc w:val="right"/>
              <w:rPr>
                <w:sz w:val="18"/>
                <w:szCs w:val="18"/>
              </w:rPr>
            </w:pPr>
            <w:r>
              <w:rPr>
                <w:sz w:val="18"/>
                <w:szCs w:val="18"/>
              </w:rPr>
              <w:t>33,751</w:t>
            </w:r>
          </w:p>
        </w:tc>
        <w:tc>
          <w:tcPr>
            <w:tcW w:w="125" w:type="pct"/>
            <w:shd w:val="clear" w:color="auto" w:fill="CCEEFF"/>
            <w:noWrap/>
            <w:tcMar>
              <w:top w:w="0" w:type="dxa"/>
              <w:left w:w="0" w:type="dxa"/>
              <w:bottom w:w="0" w:type="dxa"/>
              <w:right w:w="0" w:type="dxa"/>
            </w:tcMar>
            <w:vAlign w:val="bottom"/>
            <w:hideMark/>
          </w:tcPr>
          <w:p w14:paraId="401AC76E"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E619542" w14:textId="77777777" w:rsidR="00000000" w:rsidRDefault="00097612">
            <w:pPr>
              <w:pStyle w:val="a3"/>
              <w:spacing w:before="0" w:beforeAutospacing="0" w:after="0" w:afterAutospacing="0"/>
              <w:jc w:val="center"/>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14:paraId="60A7FE0F" w14:textId="77777777" w:rsidR="00000000" w:rsidRDefault="00097612">
            <w:pPr>
              <w:pStyle w:val="a3"/>
              <w:spacing w:before="0" w:beforeAutospacing="0" w:after="0" w:afterAutospacing="0"/>
              <w:ind w:right="60"/>
              <w:jc w:val="right"/>
              <w:rPr>
                <w:sz w:val="18"/>
                <w:szCs w:val="18"/>
              </w:rPr>
            </w:pPr>
            <w:r>
              <w:rPr>
                <w:sz w:val="18"/>
                <w:szCs w:val="18"/>
              </w:rPr>
              <w:t>43,402</w:t>
            </w:r>
          </w:p>
        </w:tc>
      </w:tr>
      <w:tr w:rsidR="00000000" w14:paraId="2E254AF9" w14:textId="77777777">
        <w:trPr>
          <w:divId w:val="546068456"/>
        </w:trPr>
        <w:tc>
          <w:tcPr>
            <w:tcW w:w="3504" w:type="pct"/>
            <w:tcMar>
              <w:top w:w="0" w:type="dxa"/>
              <w:left w:w="0" w:type="dxa"/>
              <w:bottom w:w="0" w:type="dxa"/>
              <w:right w:w="0" w:type="dxa"/>
            </w:tcMar>
            <w:hideMark/>
          </w:tcPr>
          <w:p w14:paraId="1CC44861" w14:textId="77777777" w:rsidR="00000000" w:rsidRDefault="00097612">
            <w:pPr>
              <w:pStyle w:val="a3"/>
              <w:spacing w:before="0" w:beforeAutospacing="0" w:after="0" w:afterAutospacing="0"/>
              <w:ind w:left="240"/>
              <w:rPr>
                <w:sz w:val="18"/>
                <w:szCs w:val="18"/>
              </w:rPr>
            </w:pPr>
            <w:r>
              <w:rPr>
                <w:sz w:val="18"/>
                <w:szCs w:val="18"/>
              </w:rPr>
              <w:t xml:space="preserve">Other accrued liabilities </w:t>
            </w:r>
          </w:p>
        </w:tc>
        <w:tc>
          <w:tcPr>
            <w:tcW w:w="125" w:type="pct"/>
            <w:noWrap/>
            <w:tcMar>
              <w:top w:w="0" w:type="dxa"/>
              <w:left w:w="0" w:type="dxa"/>
              <w:bottom w:w="0" w:type="dxa"/>
              <w:right w:w="0" w:type="dxa"/>
            </w:tcMar>
            <w:vAlign w:val="bottom"/>
            <w:hideMark/>
          </w:tcPr>
          <w:p w14:paraId="3119823D"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3AA61F33" w14:textId="77777777" w:rsidR="00000000" w:rsidRDefault="00097612">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14:paraId="1207B47B" w14:textId="77777777" w:rsidR="00000000" w:rsidRDefault="00097612">
            <w:pPr>
              <w:pStyle w:val="a3"/>
              <w:spacing w:before="0" w:beforeAutospacing="0" w:after="0" w:afterAutospacing="0"/>
              <w:ind w:right="60"/>
              <w:jc w:val="right"/>
              <w:rPr>
                <w:sz w:val="18"/>
                <w:szCs w:val="18"/>
              </w:rPr>
            </w:pPr>
            <w:r>
              <w:rPr>
                <w:sz w:val="18"/>
                <w:szCs w:val="18"/>
              </w:rPr>
              <w:t>6,549</w:t>
            </w:r>
          </w:p>
        </w:tc>
        <w:tc>
          <w:tcPr>
            <w:tcW w:w="125" w:type="pct"/>
            <w:noWrap/>
            <w:tcMar>
              <w:top w:w="0" w:type="dxa"/>
              <w:left w:w="0" w:type="dxa"/>
              <w:bottom w:w="0" w:type="dxa"/>
              <w:right w:w="0" w:type="dxa"/>
            </w:tcMar>
            <w:vAlign w:val="bottom"/>
            <w:hideMark/>
          </w:tcPr>
          <w:p w14:paraId="4CA39B10"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3B80A07C" w14:textId="77777777" w:rsidR="00000000" w:rsidRDefault="00097612">
            <w:pPr>
              <w:pStyle w:val="a3"/>
              <w:spacing w:before="0" w:beforeAutospacing="0" w:after="0" w:afterAutospacing="0"/>
              <w:jc w:val="center"/>
              <w:rPr>
                <w:sz w:val="18"/>
                <w:szCs w:val="18"/>
              </w:rPr>
            </w:pPr>
            <w:r>
              <w:rPr>
                <w:sz w:val="18"/>
                <w:szCs w:val="18"/>
              </w:rPr>
              <w:t> </w:t>
            </w:r>
          </w:p>
        </w:tc>
        <w:tc>
          <w:tcPr>
            <w:tcW w:w="495" w:type="pct"/>
            <w:tcBorders>
              <w:bottom w:val="single" w:sz="6" w:space="0" w:color="000000"/>
            </w:tcBorders>
            <w:noWrap/>
            <w:tcMar>
              <w:top w:w="0" w:type="dxa"/>
              <w:left w:w="0" w:type="dxa"/>
              <w:bottom w:w="0" w:type="dxa"/>
              <w:right w:w="0" w:type="dxa"/>
            </w:tcMar>
            <w:vAlign w:val="bottom"/>
            <w:hideMark/>
          </w:tcPr>
          <w:p w14:paraId="50998F8F" w14:textId="77777777" w:rsidR="00000000" w:rsidRDefault="00097612">
            <w:pPr>
              <w:pStyle w:val="a3"/>
              <w:spacing w:before="0" w:beforeAutospacing="0" w:after="0" w:afterAutospacing="0"/>
              <w:ind w:right="60"/>
              <w:jc w:val="right"/>
              <w:rPr>
                <w:sz w:val="18"/>
                <w:szCs w:val="18"/>
              </w:rPr>
            </w:pPr>
            <w:r>
              <w:rPr>
                <w:sz w:val="18"/>
                <w:szCs w:val="18"/>
              </w:rPr>
              <w:t>7,359</w:t>
            </w:r>
          </w:p>
        </w:tc>
      </w:tr>
      <w:tr w:rsidR="00000000" w14:paraId="51AB11CB" w14:textId="77777777">
        <w:trPr>
          <w:divId w:val="546068456"/>
        </w:trPr>
        <w:tc>
          <w:tcPr>
            <w:tcW w:w="3504" w:type="pct"/>
            <w:shd w:val="clear" w:color="auto" w:fill="CCEEFF"/>
            <w:tcMar>
              <w:top w:w="0" w:type="dxa"/>
              <w:left w:w="0" w:type="dxa"/>
              <w:bottom w:w="0" w:type="dxa"/>
              <w:right w:w="0" w:type="dxa"/>
            </w:tcMar>
            <w:hideMark/>
          </w:tcPr>
          <w:p w14:paraId="67BA0D1E" w14:textId="77777777" w:rsidR="00000000" w:rsidRDefault="00097612">
            <w:pPr>
              <w:pStyle w:val="a3"/>
              <w:spacing w:before="0" w:beforeAutospacing="0" w:after="0" w:afterAutospacing="0"/>
              <w:ind w:left="360"/>
              <w:rPr>
                <w:sz w:val="18"/>
                <w:szCs w:val="18"/>
              </w:rPr>
            </w:pPr>
            <w:r>
              <w:rPr>
                <w:sz w:val="18"/>
                <w:szCs w:val="18"/>
              </w:rPr>
              <w:t xml:space="preserve">Total current liabilities </w:t>
            </w:r>
          </w:p>
        </w:tc>
        <w:tc>
          <w:tcPr>
            <w:tcW w:w="125" w:type="pct"/>
            <w:shd w:val="clear" w:color="auto" w:fill="CCEEFF"/>
            <w:noWrap/>
            <w:tcMar>
              <w:top w:w="0" w:type="dxa"/>
              <w:left w:w="0" w:type="dxa"/>
              <w:bottom w:w="0" w:type="dxa"/>
              <w:right w:w="0" w:type="dxa"/>
            </w:tcMar>
            <w:vAlign w:val="bottom"/>
            <w:hideMark/>
          </w:tcPr>
          <w:p w14:paraId="67962FDB"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07B6DD59" w14:textId="77777777" w:rsidR="00000000" w:rsidRDefault="00097612">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0D564B52" w14:textId="77777777" w:rsidR="00000000" w:rsidRDefault="00097612">
            <w:pPr>
              <w:pStyle w:val="a3"/>
              <w:spacing w:before="0" w:beforeAutospacing="0" w:after="0" w:afterAutospacing="0"/>
              <w:ind w:right="60"/>
              <w:jc w:val="right"/>
              <w:rPr>
                <w:sz w:val="18"/>
                <w:szCs w:val="18"/>
              </w:rPr>
            </w:pPr>
            <w:r>
              <w:rPr>
                <w:sz w:val="18"/>
                <w:szCs w:val="18"/>
              </w:rPr>
              <w:t>108,823</w:t>
            </w:r>
          </w:p>
        </w:tc>
        <w:tc>
          <w:tcPr>
            <w:tcW w:w="125" w:type="pct"/>
            <w:shd w:val="clear" w:color="auto" w:fill="CCEEFF"/>
            <w:noWrap/>
            <w:tcMar>
              <w:top w:w="0" w:type="dxa"/>
              <w:left w:w="0" w:type="dxa"/>
              <w:bottom w:w="0" w:type="dxa"/>
              <w:right w:w="0" w:type="dxa"/>
            </w:tcMar>
            <w:vAlign w:val="bottom"/>
            <w:hideMark/>
          </w:tcPr>
          <w:p w14:paraId="42942DCE"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49AE0756" w14:textId="77777777" w:rsidR="00000000" w:rsidRDefault="00097612">
            <w:pPr>
              <w:pStyle w:val="a3"/>
              <w:spacing w:before="0" w:beforeAutospacing="0" w:after="0" w:afterAutospacing="0"/>
              <w:jc w:val="center"/>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14:paraId="345C3D5E" w14:textId="77777777" w:rsidR="00000000" w:rsidRDefault="00097612">
            <w:pPr>
              <w:pStyle w:val="a3"/>
              <w:spacing w:before="0" w:beforeAutospacing="0" w:after="0" w:afterAutospacing="0"/>
              <w:ind w:right="60"/>
              <w:jc w:val="right"/>
              <w:rPr>
                <w:sz w:val="18"/>
                <w:szCs w:val="18"/>
              </w:rPr>
            </w:pPr>
            <w:r>
              <w:rPr>
                <w:sz w:val="18"/>
                <w:szCs w:val="18"/>
              </w:rPr>
              <w:t>98,554</w:t>
            </w:r>
          </w:p>
        </w:tc>
      </w:tr>
      <w:tr w:rsidR="00000000" w14:paraId="3AA45F16" w14:textId="77777777">
        <w:trPr>
          <w:divId w:val="546068456"/>
        </w:trPr>
        <w:tc>
          <w:tcPr>
            <w:tcW w:w="3504" w:type="pct"/>
            <w:tcMar>
              <w:top w:w="0" w:type="dxa"/>
              <w:left w:w="0" w:type="dxa"/>
              <w:bottom w:w="0" w:type="dxa"/>
              <w:right w:w="0" w:type="dxa"/>
            </w:tcMar>
            <w:vAlign w:val="bottom"/>
            <w:hideMark/>
          </w:tcPr>
          <w:p w14:paraId="2AD68000" w14:textId="77777777" w:rsidR="00000000" w:rsidRDefault="00097612">
            <w:pPr>
              <w:pStyle w:val="a3"/>
              <w:spacing w:before="0" w:beforeAutospacing="0" w:after="0" w:afterAutospacing="0"/>
              <w:rPr>
                <w:sz w:val="18"/>
                <w:szCs w:val="18"/>
              </w:rPr>
            </w:pPr>
            <w:r>
              <w:rPr>
                <w:sz w:val="18"/>
                <w:szCs w:val="18"/>
              </w:rPr>
              <w:t>Convertible senior notes due 2023, net</w:t>
            </w:r>
          </w:p>
        </w:tc>
        <w:tc>
          <w:tcPr>
            <w:tcW w:w="125" w:type="pct"/>
            <w:noWrap/>
            <w:tcMar>
              <w:top w:w="0" w:type="dxa"/>
              <w:left w:w="0" w:type="dxa"/>
              <w:bottom w:w="0" w:type="dxa"/>
              <w:right w:w="0" w:type="dxa"/>
            </w:tcMar>
            <w:vAlign w:val="bottom"/>
            <w:hideMark/>
          </w:tcPr>
          <w:p w14:paraId="01F93F05"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51F34D13" w14:textId="77777777" w:rsidR="00000000" w:rsidRDefault="00097612">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7DE0BCD3" w14:textId="77777777" w:rsidR="00000000" w:rsidRDefault="00097612">
            <w:pPr>
              <w:pStyle w:val="a3"/>
              <w:spacing w:before="0" w:beforeAutospacing="0" w:after="0" w:afterAutospacing="0"/>
              <w:ind w:right="60"/>
              <w:jc w:val="right"/>
              <w:rPr>
                <w:sz w:val="18"/>
                <w:szCs w:val="18"/>
              </w:rPr>
            </w:pPr>
            <w:r>
              <w:rPr>
                <w:sz w:val="18"/>
                <w:szCs w:val="18"/>
              </w:rPr>
              <w:t>225,622</w:t>
            </w:r>
          </w:p>
        </w:tc>
        <w:tc>
          <w:tcPr>
            <w:tcW w:w="125" w:type="pct"/>
            <w:noWrap/>
            <w:tcMar>
              <w:top w:w="0" w:type="dxa"/>
              <w:left w:w="0" w:type="dxa"/>
              <w:bottom w:w="0" w:type="dxa"/>
              <w:right w:w="0" w:type="dxa"/>
            </w:tcMar>
            <w:vAlign w:val="bottom"/>
            <w:hideMark/>
          </w:tcPr>
          <w:p w14:paraId="31B8E337"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1CF17280"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75C250D8" w14:textId="77777777" w:rsidR="00000000" w:rsidRDefault="00097612">
            <w:pPr>
              <w:pStyle w:val="a3"/>
              <w:spacing w:before="0" w:beforeAutospacing="0" w:after="0" w:afterAutospacing="0"/>
              <w:ind w:right="60"/>
              <w:jc w:val="right"/>
              <w:rPr>
                <w:sz w:val="18"/>
                <w:szCs w:val="18"/>
              </w:rPr>
            </w:pPr>
            <w:r>
              <w:rPr>
                <w:sz w:val="18"/>
                <w:szCs w:val="18"/>
              </w:rPr>
              <w:t>224,818</w:t>
            </w:r>
          </w:p>
        </w:tc>
      </w:tr>
      <w:tr w:rsidR="00000000" w14:paraId="5A368109" w14:textId="77777777">
        <w:trPr>
          <w:divId w:val="546068456"/>
        </w:trPr>
        <w:tc>
          <w:tcPr>
            <w:tcW w:w="3504" w:type="pct"/>
            <w:shd w:val="clear" w:color="auto" w:fill="CCEEFF"/>
            <w:tcMar>
              <w:top w:w="0" w:type="dxa"/>
              <w:left w:w="0" w:type="dxa"/>
              <w:bottom w:w="0" w:type="dxa"/>
              <w:right w:w="0" w:type="dxa"/>
            </w:tcMar>
            <w:vAlign w:val="bottom"/>
            <w:hideMark/>
          </w:tcPr>
          <w:p w14:paraId="4EE0A921" w14:textId="77777777" w:rsidR="00000000" w:rsidRDefault="00097612">
            <w:pPr>
              <w:pStyle w:val="a3"/>
              <w:spacing w:before="0" w:beforeAutospacing="0" w:after="0" w:afterAutospacing="0"/>
              <w:rPr>
                <w:sz w:val="18"/>
                <w:szCs w:val="18"/>
              </w:rPr>
            </w:pPr>
            <w:r>
              <w:rPr>
                <w:sz w:val="18"/>
                <w:szCs w:val="18"/>
              </w:rPr>
              <w:t>Non-recourse notes due 2033, net</w:t>
            </w:r>
          </w:p>
        </w:tc>
        <w:tc>
          <w:tcPr>
            <w:tcW w:w="125" w:type="pct"/>
            <w:shd w:val="clear" w:color="auto" w:fill="CCEEFF"/>
            <w:noWrap/>
            <w:tcMar>
              <w:top w:w="0" w:type="dxa"/>
              <w:left w:w="0" w:type="dxa"/>
              <w:bottom w:w="0" w:type="dxa"/>
              <w:right w:w="0" w:type="dxa"/>
            </w:tcMar>
            <w:vAlign w:val="bottom"/>
            <w:hideMark/>
          </w:tcPr>
          <w:p w14:paraId="1BC54489"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79E304AC" w14:textId="77777777" w:rsidR="00000000" w:rsidRDefault="00097612">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5373093" w14:textId="77777777" w:rsidR="00000000" w:rsidRDefault="00097612">
            <w:pPr>
              <w:pStyle w:val="a3"/>
              <w:spacing w:before="0" w:beforeAutospacing="0" w:after="0" w:afterAutospacing="0"/>
              <w:ind w:right="60"/>
              <w:jc w:val="right"/>
              <w:rPr>
                <w:sz w:val="18"/>
                <w:szCs w:val="18"/>
              </w:rPr>
            </w:pPr>
            <w:r>
              <w:rPr>
                <w:sz w:val="18"/>
                <w:szCs w:val="18"/>
              </w:rPr>
              <w:t>222,008</w:t>
            </w:r>
          </w:p>
        </w:tc>
        <w:tc>
          <w:tcPr>
            <w:tcW w:w="125" w:type="pct"/>
            <w:shd w:val="clear" w:color="auto" w:fill="CCEEFF"/>
            <w:noWrap/>
            <w:tcMar>
              <w:top w:w="0" w:type="dxa"/>
              <w:left w:w="0" w:type="dxa"/>
              <w:bottom w:w="0" w:type="dxa"/>
              <w:right w:w="0" w:type="dxa"/>
            </w:tcMar>
            <w:vAlign w:val="bottom"/>
            <w:hideMark/>
          </w:tcPr>
          <w:p w14:paraId="014F3513"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56B3B9D2" w14:textId="77777777" w:rsidR="00000000" w:rsidRDefault="00097612">
            <w:pPr>
              <w:pStyle w:val="a3"/>
              <w:spacing w:before="0" w:beforeAutospacing="0" w:after="0" w:afterAutospacing="0"/>
              <w:jc w:val="center"/>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14:paraId="47EC95AA" w14:textId="77777777" w:rsidR="00000000" w:rsidRDefault="00097612">
            <w:pPr>
              <w:pStyle w:val="a3"/>
              <w:spacing w:before="0" w:beforeAutospacing="0" w:after="0" w:afterAutospacing="0"/>
              <w:ind w:right="60"/>
              <w:jc w:val="right"/>
              <w:rPr>
                <w:sz w:val="18"/>
                <w:szCs w:val="18"/>
              </w:rPr>
            </w:pPr>
            <w:r>
              <w:rPr>
                <w:sz w:val="18"/>
                <w:szCs w:val="18"/>
              </w:rPr>
              <w:t>229,535</w:t>
            </w:r>
          </w:p>
        </w:tc>
      </w:tr>
      <w:tr w:rsidR="00000000" w14:paraId="417F75FE" w14:textId="77777777">
        <w:trPr>
          <w:divId w:val="546068456"/>
        </w:trPr>
        <w:tc>
          <w:tcPr>
            <w:tcW w:w="3504" w:type="pct"/>
            <w:tcMar>
              <w:top w:w="0" w:type="dxa"/>
              <w:left w:w="0" w:type="dxa"/>
              <w:bottom w:w="0" w:type="dxa"/>
              <w:right w:w="0" w:type="dxa"/>
            </w:tcMar>
            <w:hideMark/>
          </w:tcPr>
          <w:p w14:paraId="78010DC8" w14:textId="77777777" w:rsidR="00000000" w:rsidRDefault="00097612">
            <w:pPr>
              <w:pStyle w:val="a3"/>
              <w:spacing w:before="0" w:beforeAutospacing="0" w:after="0" w:afterAutospacing="0"/>
              <w:rPr>
                <w:sz w:val="18"/>
                <w:szCs w:val="18"/>
              </w:rPr>
            </w:pPr>
            <w:r>
              <w:rPr>
                <w:sz w:val="18"/>
                <w:szCs w:val="18"/>
              </w:rPr>
              <w:t xml:space="preserve">Deferred rent </w:t>
            </w:r>
          </w:p>
        </w:tc>
        <w:tc>
          <w:tcPr>
            <w:tcW w:w="125" w:type="pct"/>
            <w:noWrap/>
            <w:tcMar>
              <w:top w:w="0" w:type="dxa"/>
              <w:left w:w="0" w:type="dxa"/>
              <w:bottom w:w="0" w:type="dxa"/>
              <w:right w:w="0" w:type="dxa"/>
            </w:tcMar>
            <w:vAlign w:val="bottom"/>
            <w:hideMark/>
          </w:tcPr>
          <w:p w14:paraId="5B7AB7DA"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DEC0C53" w14:textId="77777777" w:rsidR="00000000" w:rsidRDefault="00097612">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33A195BC" w14:textId="77777777" w:rsidR="00000000" w:rsidRDefault="00097612">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14:paraId="58FA0F02"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0C1EA508" w14:textId="77777777" w:rsidR="00000000" w:rsidRDefault="00097612">
            <w:pPr>
              <w:pStyle w:val="a3"/>
              <w:spacing w:before="0" w:beforeAutospacing="0" w:after="0" w:afterAutospacing="0"/>
              <w:jc w:val="center"/>
              <w:rPr>
                <w:sz w:val="18"/>
                <w:szCs w:val="18"/>
              </w:rPr>
            </w:pPr>
            <w:r>
              <w:rPr>
                <w:sz w:val="18"/>
                <w:szCs w:val="18"/>
              </w:rPr>
              <w:t> </w:t>
            </w:r>
          </w:p>
        </w:tc>
        <w:tc>
          <w:tcPr>
            <w:tcW w:w="495" w:type="pct"/>
            <w:noWrap/>
            <w:tcMar>
              <w:top w:w="0" w:type="dxa"/>
              <w:left w:w="0" w:type="dxa"/>
              <w:bottom w:w="0" w:type="dxa"/>
              <w:right w:w="0" w:type="dxa"/>
            </w:tcMar>
            <w:vAlign w:val="bottom"/>
            <w:hideMark/>
          </w:tcPr>
          <w:p w14:paraId="0EADED90" w14:textId="77777777" w:rsidR="00000000" w:rsidRDefault="00097612">
            <w:pPr>
              <w:pStyle w:val="a3"/>
              <w:spacing w:before="0" w:beforeAutospacing="0" w:after="0" w:afterAutospacing="0"/>
              <w:ind w:right="60"/>
              <w:jc w:val="right"/>
              <w:rPr>
                <w:sz w:val="18"/>
                <w:szCs w:val="18"/>
              </w:rPr>
            </w:pPr>
            <w:r>
              <w:rPr>
                <w:sz w:val="18"/>
                <w:szCs w:val="18"/>
              </w:rPr>
              <w:t>7,976</w:t>
            </w:r>
          </w:p>
        </w:tc>
      </w:tr>
      <w:tr w:rsidR="00000000" w14:paraId="23BD1C40" w14:textId="77777777">
        <w:trPr>
          <w:divId w:val="546068456"/>
        </w:trPr>
        <w:tc>
          <w:tcPr>
            <w:tcW w:w="3504" w:type="pct"/>
            <w:shd w:val="clear" w:color="auto" w:fill="CCEEFF"/>
            <w:tcMar>
              <w:top w:w="0" w:type="dxa"/>
              <w:left w:w="0" w:type="dxa"/>
              <w:bottom w:w="0" w:type="dxa"/>
              <w:right w:w="0" w:type="dxa"/>
            </w:tcMar>
            <w:hideMark/>
          </w:tcPr>
          <w:p w14:paraId="51DE7274" w14:textId="77777777" w:rsidR="00000000" w:rsidRDefault="00097612">
            <w:pPr>
              <w:pStyle w:val="a3"/>
              <w:spacing w:before="0" w:beforeAutospacing="0" w:after="0" w:afterAutospacing="0"/>
              <w:rPr>
                <w:sz w:val="18"/>
                <w:szCs w:val="18"/>
              </w:rPr>
            </w:pPr>
            <w:r>
              <w:rPr>
                <w:sz w:val="18"/>
                <w:szCs w:val="18"/>
              </w:rPr>
              <w:t>Long-term operating lease liabilities</w:t>
            </w:r>
          </w:p>
        </w:tc>
        <w:tc>
          <w:tcPr>
            <w:tcW w:w="125" w:type="pct"/>
            <w:shd w:val="clear" w:color="auto" w:fill="CCEEFF"/>
            <w:noWrap/>
            <w:tcMar>
              <w:top w:w="0" w:type="dxa"/>
              <w:left w:w="0" w:type="dxa"/>
              <w:bottom w:w="0" w:type="dxa"/>
              <w:right w:w="0" w:type="dxa"/>
            </w:tcMar>
            <w:vAlign w:val="bottom"/>
            <w:hideMark/>
          </w:tcPr>
          <w:p w14:paraId="5DD9BC88"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052298EF" w14:textId="77777777" w:rsidR="00000000" w:rsidRDefault="00097612">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1B51AF0A" w14:textId="77777777" w:rsidR="00000000" w:rsidRDefault="00097612">
            <w:pPr>
              <w:pStyle w:val="a3"/>
              <w:spacing w:before="0" w:beforeAutospacing="0" w:after="0" w:afterAutospacing="0"/>
              <w:ind w:right="60"/>
              <w:jc w:val="right"/>
              <w:rPr>
                <w:sz w:val="18"/>
                <w:szCs w:val="18"/>
              </w:rPr>
            </w:pPr>
            <w:r>
              <w:rPr>
                <w:sz w:val="18"/>
                <w:szCs w:val="18"/>
              </w:rPr>
              <w:t>48,620</w:t>
            </w:r>
          </w:p>
        </w:tc>
        <w:tc>
          <w:tcPr>
            <w:tcW w:w="125" w:type="pct"/>
            <w:shd w:val="clear" w:color="auto" w:fill="CCEEFF"/>
            <w:noWrap/>
            <w:tcMar>
              <w:top w:w="0" w:type="dxa"/>
              <w:left w:w="0" w:type="dxa"/>
              <w:bottom w:w="0" w:type="dxa"/>
              <w:right w:w="0" w:type="dxa"/>
            </w:tcMar>
            <w:vAlign w:val="bottom"/>
            <w:hideMark/>
          </w:tcPr>
          <w:p w14:paraId="27B4DE89"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60CA07AF" w14:textId="77777777" w:rsidR="00000000" w:rsidRDefault="00097612">
            <w:pPr>
              <w:pStyle w:val="a3"/>
              <w:spacing w:before="0" w:beforeAutospacing="0" w:after="0" w:afterAutospacing="0"/>
              <w:jc w:val="center"/>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14:paraId="41959D37" w14:textId="77777777" w:rsidR="00000000" w:rsidRDefault="00097612">
            <w:pPr>
              <w:pStyle w:val="a3"/>
              <w:spacing w:before="0" w:beforeAutospacing="0" w:after="0" w:afterAutospacing="0"/>
              <w:ind w:right="60"/>
              <w:jc w:val="right"/>
              <w:rPr>
                <w:sz w:val="18"/>
                <w:szCs w:val="18"/>
              </w:rPr>
            </w:pPr>
            <w:r>
              <w:rPr>
                <w:sz w:val="18"/>
                <w:szCs w:val="18"/>
              </w:rPr>
              <w:t>—</w:t>
            </w:r>
          </w:p>
        </w:tc>
      </w:tr>
      <w:tr w:rsidR="00000000" w14:paraId="048CD6D5" w14:textId="77777777">
        <w:trPr>
          <w:divId w:val="546068456"/>
        </w:trPr>
        <w:tc>
          <w:tcPr>
            <w:tcW w:w="3504" w:type="pct"/>
            <w:tcMar>
              <w:top w:w="0" w:type="dxa"/>
              <w:left w:w="0" w:type="dxa"/>
              <w:bottom w:w="0" w:type="dxa"/>
              <w:right w:w="0" w:type="dxa"/>
            </w:tcMar>
            <w:hideMark/>
          </w:tcPr>
          <w:p w14:paraId="28F191DA" w14:textId="77777777" w:rsidR="00000000" w:rsidRDefault="00097612">
            <w:pPr>
              <w:pStyle w:val="a3"/>
              <w:spacing w:before="0" w:beforeAutospacing="0" w:after="0" w:afterAutospacing="0"/>
              <w:rPr>
                <w:sz w:val="18"/>
                <w:szCs w:val="18"/>
              </w:rPr>
            </w:pPr>
            <w:r>
              <w:rPr>
                <w:sz w:val="18"/>
                <w:szCs w:val="18"/>
              </w:rPr>
              <w:t>Long-term deferred revenue</w:t>
            </w:r>
          </w:p>
        </w:tc>
        <w:tc>
          <w:tcPr>
            <w:tcW w:w="125" w:type="pct"/>
            <w:noWrap/>
            <w:tcMar>
              <w:top w:w="0" w:type="dxa"/>
              <w:left w:w="0" w:type="dxa"/>
              <w:bottom w:w="0" w:type="dxa"/>
              <w:right w:w="0" w:type="dxa"/>
            </w:tcMar>
            <w:vAlign w:val="bottom"/>
            <w:hideMark/>
          </w:tcPr>
          <w:p w14:paraId="5675206D"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6669D355" w14:textId="77777777" w:rsidR="00000000" w:rsidRDefault="00097612">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04DD46A3" w14:textId="77777777" w:rsidR="00000000" w:rsidRDefault="00097612">
            <w:pPr>
              <w:pStyle w:val="a3"/>
              <w:spacing w:before="0" w:beforeAutospacing="0" w:after="0" w:afterAutospacing="0"/>
              <w:ind w:right="60"/>
              <w:jc w:val="right"/>
              <w:rPr>
                <w:sz w:val="18"/>
                <w:szCs w:val="18"/>
              </w:rPr>
            </w:pPr>
            <w:r>
              <w:rPr>
                <w:sz w:val="18"/>
                <w:szCs w:val="18"/>
              </w:rPr>
              <w:t>14,169</w:t>
            </w:r>
          </w:p>
        </w:tc>
        <w:tc>
          <w:tcPr>
            <w:tcW w:w="125" w:type="pct"/>
            <w:noWrap/>
            <w:tcMar>
              <w:top w:w="0" w:type="dxa"/>
              <w:left w:w="0" w:type="dxa"/>
              <w:bottom w:w="0" w:type="dxa"/>
              <w:right w:w="0" w:type="dxa"/>
            </w:tcMar>
            <w:vAlign w:val="bottom"/>
            <w:hideMark/>
          </w:tcPr>
          <w:p w14:paraId="37EB9E20"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651E1354"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4DD87853" w14:textId="77777777" w:rsidR="00000000" w:rsidRDefault="00097612">
            <w:pPr>
              <w:pStyle w:val="a3"/>
              <w:spacing w:before="0" w:beforeAutospacing="0" w:after="0" w:afterAutospacing="0"/>
              <w:ind w:right="60"/>
              <w:jc w:val="right"/>
              <w:rPr>
                <w:sz w:val="18"/>
                <w:szCs w:val="18"/>
              </w:rPr>
            </w:pPr>
            <w:r>
              <w:rPr>
                <w:sz w:val="18"/>
                <w:szCs w:val="18"/>
              </w:rPr>
              <w:t>26,179</w:t>
            </w:r>
          </w:p>
        </w:tc>
      </w:tr>
      <w:tr w:rsidR="00000000" w14:paraId="4E8F754A" w14:textId="77777777">
        <w:trPr>
          <w:divId w:val="546068456"/>
        </w:trPr>
        <w:tc>
          <w:tcPr>
            <w:tcW w:w="3504" w:type="pct"/>
            <w:shd w:val="clear" w:color="auto" w:fill="CCEEFF"/>
            <w:tcMar>
              <w:top w:w="0" w:type="dxa"/>
              <w:left w:w="0" w:type="dxa"/>
              <w:bottom w:w="0" w:type="dxa"/>
              <w:right w:w="0" w:type="dxa"/>
            </w:tcMar>
            <w:hideMark/>
          </w:tcPr>
          <w:p w14:paraId="2A1A5237" w14:textId="77777777" w:rsidR="00000000" w:rsidRDefault="00097612">
            <w:pPr>
              <w:pStyle w:val="a3"/>
              <w:spacing w:before="0" w:beforeAutospacing="0" w:after="0" w:afterAutospacing="0"/>
              <w:rPr>
                <w:sz w:val="18"/>
                <w:szCs w:val="18"/>
              </w:rPr>
            </w:pPr>
            <w:r>
              <w:rPr>
                <w:sz w:val="18"/>
                <w:szCs w:val="18"/>
              </w:rPr>
              <w:t>Other long-term liabilities</w:t>
            </w:r>
          </w:p>
        </w:tc>
        <w:tc>
          <w:tcPr>
            <w:tcW w:w="125" w:type="pct"/>
            <w:shd w:val="clear" w:color="auto" w:fill="CCEEFF"/>
            <w:noWrap/>
            <w:tcMar>
              <w:top w:w="0" w:type="dxa"/>
              <w:left w:w="0" w:type="dxa"/>
              <w:bottom w:w="0" w:type="dxa"/>
              <w:right w:w="0" w:type="dxa"/>
            </w:tcMar>
            <w:vAlign w:val="bottom"/>
            <w:hideMark/>
          </w:tcPr>
          <w:p w14:paraId="4ED0E198"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3E6B6759" w14:textId="77777777" w:rsidR="00000000" w:rsidRDefault="00097612">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3968A716" w14:textId="77777777" w:rsidR="00000000" w:rsidRDefault="00097612">
            <w:pPr>
              <w:pStyle w:val="a3"/>
              <w:spacing w:before="0" w:beforeAutospacing="0" w:after="0" w:afterAutospacing="0"/>
              <w:ind w:right="60"/>
              <w:jc w:val="right"/>
              <w:rPr>
                <w:sz w:val="18"/>
                <w:szCs w:val="18"/>
              </w:rPr>
            </w:pPr>
            <w:r>
              <w:rPr>
                <w:sz w:val="18"/>
                <w:szCs w:val="18"/>
              </w:rPr>
              <w:t>8,900</w:t>
            </w:r>
          </w:p>
        </w:tc>
        <w:tc>
          <w:tcPr>
            <w:tcW w:w="125" w:type="pct"/>
            <w:shd w:val="clear" w:color="auto" w:fill="CCEEFF"/>
            <w:noWrap/>
            <w:tcMar>
              <w:top w:w="0" w:type="dxa"/>
              <w:left w:w="0" w:type="dxa"/>
              <w:bottom w:w="0" w:type="dxa"/>
              <w:right w:w="0" w:type="dxa"/>
            </w:tcMar>
            <w:vAlign w:val="bottom"/>
            <w:hideMark/>
          </w:tcPr>
          <w:p w14:paraId="7EDEC417"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4315A309" w14:textId="77777777" w:rsidR="00000000" w:rsidRDefault="00097612">
            <w:pPr>
              <w:pStyle w:val="a3"/>
              <w:spacing w:before="0" w:beforeAutospacing="0" w:after="0" w:afterAutospacing="0"/>
              <w:jc w:val="center"/>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14:paraId="301C73B3" w14:textId="77777777" w:rsidR="00000000" w:rsidRDefault="00097612">
            <w:pPr>
              <w:pStyle w:val="a3"/>
              <w:spacing w:before="0" w:beforeAutospacing="0" w:after="0" w:afterAutospacing="0"/>
              <w:ind w:right="60"/>
              <w:jc w:val="right"/>
              <w:rPr>
                <w:sz w:val="18"/>
                <w:szCs w:val="18"/>
              </w:rPr>
            </w:pPr>
            <w:r>
              <w:rPr>
                <w:sz w:val="18"/>
                <w:szCs w:val="18"/>
              </w:rPr>
              <w:t>24,762</w:t>
            </w:r>
          </w:p>
        </w:tc>
      </w:tr>
      <w:tr w:rsidR="00000000" w14:paraId="59190133" w14:textId="77777777">
        <w:trPr>
          <w:divId w:val="546068456"/>
        </w:trPr>
        <w:tc>
          <w:tcPr>
            <w:tcW w:w="3504" w:type="pct"/>
            <w:tcMar>
              <w:top w:w="0" w:type="dxa"/>
              <w:left w:w="0" w:type="dxa"/>
              <w:bottom w:w="0" w:type="dxa"/>
              <w:right w:w="0" w:type="dxa"/>
            </w:tcMar>
            <w:hideMark/>
          </w:tcPr>
          <w:p w14:paraId="70937ADC" w14:textId="77777777" w:rsidR="00000000" w:rsidRDefault="00097612">
            <w:pPr>
              <w:pStyle w:val="a3"/>
              <w:spacing w:before="0" w:beforeAutospacing="0" w:after="0" w:afterAutospacing="0"/>
              <w:rPr>
                <w:sz w:val="18"/>
                <w:szCs w:val="18"/>
              </w:rPr>
            </w:pPr>
            <w:r>
              <w:rPr>
                <w:sz w:val="18"/>
                <w:szCs w:val="18"/>
              </w:rPr>
              <w:t>Commitments and contingencies</w:t>
            </w:r>
          </w:p>
        </w:tc>
        <w:tc>
          <w:tcPr>
            <w:tcW w:w="125" w:type="pct"/>
            <w:noWrap/>
            <w:tcMar>
              <w:top w:w="0" w:type="dxa"/>
              <w:left w:w="0" w:type="dxa"/>
              <w:bottom w:w="0" w:type="dxa"/>
              <w:right w:w="0" w:type="dxa"/>
            </w:tcMar>
            <w:vAlign w:val="bottom"/>
            <w:hideMark/>
          </w:tcPr>
          <w:p w14:paraId="64DD4819"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1823E2CB" w14:textId="77777777" w:rsidR="00000000" w:rsidRDefault="00097612">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33C034F4" w14:textId="77777777" w:rsidR="00000000" w:rsidRDefault="00097612">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14:paraId="6FBC38BF"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22D9FBDD"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1FA00628" w14:textId="77777777" w:rsidR="00000000" w:rsidRDefault="00097612">
            <w:pPr>
              <w:pStyle w:val="a3"/>
              <w:spacing w:before="0" w:beforeAutospacing="0" w:after="0" w:afterAutospacing="0"/>
              <w:jc w:val="right"/>
              <w:rPr>
                <w:sz w:val="20"/>
                <w:szCs w:val="20"/>
              </w:rPr>
            </w:pPr>
            <w:r>
              <w:rPr>
                <w:sz w:val="18"/>
                <w:szCs w:val="18"/>
              </w:rPr>
              <w:t>​</w:t>
            </w:r>
          </w:p>
        </w:tc>
      </w:tr>
      <w:tr w:rsidR="00000000" w14:paraId="41BD9E87" w14:textId="77777777">
        <w:trPr>
          <w:divId w:val="546068456"/>
        </w:trPr>
        <w:tc>
          <w:tcPr>
            <w:tcW w:w="3504" w:type="pct"/>
            <w:shd w:val="clear" w:color="auto" w:fill="CCEEFF"/>
            <w:tcMar>
              <w:top w:w="0" w:type="dxa"/>
              <w:left w:w="0" w:type="dxa"/>
              <w:bottom w:w="0" w:type="dxa"/>
              <w:right w:w="0" w:type="dxa"/>
            </w:tcMar>
            <w:hideMark/>
          </w:tcPr>
          <w:p w14:paraId="2F4FE51C"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27152602"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715FF576" w14:textId="77777777" w:rsidR="00000000" w:rsidRDefault="00097612">
            <w:pPr>
              <w:pStyle w:val="a3"/>
              <w:spacing w:before="0" w:beforeAutospacing="0" w:after="0" w:afterAutospacing="0"/>
              <w:jc w:val="center"/>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14:paraId="0958AECD" w14:textId="77777777" w:rsidR="00000000" w:rsidRDefault="00097612">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2A369690"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0B3ACC9C" w14:textId="77777777" w:rsidR="00000000" w:rsidRDefault="00097612">
            <w:pPr>
              <w:pStyle w:val="a3"/>
              <w:spacing w:before="0" w:beforeAutospacing="0" w:after="0" w:afterAutospacing="0"/>
              <w:jc w:val="center"/>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14:paraId="69C83C49" w14:textId="77777777" w:rsidR="00000000" w:rsidRDefault="00097612">
            <w:pPr>
              <w:pStyle w:val="a3"/>
              <w:spacing w:before="0" w:beforeAutospacing="0" w:after="0" w:afterAutospacing="0"/>
              <w:jc w:val="right"/>
              <w:rPr>
                <w:sz w:val="20"/>
                <w:szCs w:val="20"/>
              </w:rPr>
            </w:pPr>
            <w:r>
              <w:rPr>
                <w:sz w:val="18"/>
                <w:szCs w:val="18"/>
              </w:rPr>
              <w:t>​</w:t>
            </w:r>
          </w:p>
        </w:tc>
      </w:tr>
      <w:tr w:rsidR="00000000" w14:paraId="74F43649" w14:textId="77777777">
        <w:trPr>
          <w:divId w:val="546068456"/>
        </w:trPr>
        <w:tc>
          <w:tcPr>
            <w:tcW w:w="3504" w:type="pct"/>
            <w:tcMar>
              <w:top w:w="0" w:type="dxa"/>
              <w:left w:w="0" w:type="dxa"/>
              <w:bottom w:w="0" w:type="dxa"/>
              <w:right w:w="0" w:type="dxa"/>
            </w:tcMar>
            <w:hideMark/>
          </w:tcPr>
          <w:p w14:paraId="22776B00" w14:textId="77777777" w:rsidR="00000000" w:rsidRDefault="00097612">
            <w:pPr>
              <w:pStyle w:val="a3"/>
              <w:spacing w:before="0" w:beforeAutospacing="0" w:after="0" w:afterAutospacing="0"/>
              <w:rPr>
                <w:sz w:val="18"/>
                <w:szCs w:val="18"/>
              </w:rPr>
            </w:pPr>
            <w:r>
              <w:rPr>
                <w:b/>
                <w:bCs/>
                <w:sz w:val="18"/>
                <w:szCs w:val="18"/>
              </w:rPr>
              <w:t>Shareholders’ Deficit</w:t>
            </w:r>
          </w:p>
        </w:tc>
        <w:tc>
          <w:tcPr>
            <w:tcW w:w="125" w:type="pct"/>
            <w:noWrap/>
            <w:tcMar>
              <w:top w:w="0" w:type="dxa"/>
              <w:left w:w="0" w:type="dxa"/>
              <w:bottom w:w="0" w:type="dxa"/>
              <w:right w:w="0" w:type="dxa"/>
            </w:tcMar>
            <w:vAlign w:val="bottom"/>
            <w:hideMark/>
          </w:tcPr>
          <w:p w14:paraId="5A509D30"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61AB317F" w14:textId="77777777" w:rsidR="00000000" w:rsidRDefault="00097612">
            <w:pPr>
              <w:pStyle w:val="a3"/>
              <w:spacing w:before="0" w:beforeAutospacing="0" w:after="0" w:afterAutospacing="0"/>
              <w:jc w:val="center"/>
              <w:rPr>
                <w:sz w:val="20"/>
                <w:szCs w:val="20"/>
              </w:rPr>
            </w:pPr>
            <w:r>
              <w:rPr>
                <w:sz w:val="18"/>
                <w:szCs w:val="18"/>
              </w:rPr>
              <w:t>​</w:t>
            </w:r>
          </w:p>
        </w:tc>
        <w:tc>
          <w:tcPr>
            <w:tcW w:w="496" w:type="pct"/>
            <w:noWrap/>
            <w:tcMar>
              <w:top w:w="0" w:type="dxa"/>
              <w:left w:w="0" w:type="dxa"/>
              <w:bottom w:w="0" w:type="dxa"/>
              <w:right w:w="0" w:type="dxa"/>
            </w:tcMar>
            <w:vAlign w:val="bottom"/>
            <w:hideMark/>
          </w:tcPr>
          <w:p w14:paraId="7F96C706" w14:textId="77777777" w:rsidR="00000000" w:rsidRDefault="00097612">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14:paraId="565E34FA"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7234823"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1F936772" w14:textId="77777777" w:rsidR="00000000" w:rsidRDefault="00097612">
            <w:pPr>
              <w:pStyle w:val="a3"/>
              <w:spacing w:before="0" w:beforeAutospacing="0" w:after="0" w:afterAutospacing="0"/>
              <w:jc w:val="right"/>
              <w:rPr>
                <w:sz w:val="20"/>
                <w:szCs w:val="20"/>
              </w:rPr>
            </w:pPr>
            <w:r>
              <w:rPr>
                <w:sz w:val="18"/>
                <w:szCs w:val="18"/>
              </w:rPr>
              <w:t>​</w:t>
            </w:r>
          </w:p>
        </w:tc>
      </w:tr>
      <w:tr w:rsidR="00000000" w14:paraId="2F7200A8" w14:textId="77777777">
        <w:trPr>
          <w:divId w:val="546068456"/>
        </w:trPr>
        <w:tc>
          <w:tcPr>
            <w:tcW w:w="3504" w:type="pct"/>
            <w:shd w:val="clear" w:color="auto" w:fill="CCEEFF"/>
            <w:tcMar>
              <w:top w:w="0" w:type="dxa"/>
              <w:left w:w="0" w:type="dxa"/>
              <w:bottom w:w="0" w:type="dxa"/>
              <w:right w:w="0" w:type="dxa"/>
            </w:tcMar>
            <w:hideMark/>
          </w:tcPr>
          <w:p w14:paraId="57D37F5C" w14:textId="77777777" w:rsidR="00000000" w:rsidRDefault="00097612">
            <w:pPr>
              <w:pStyle w:val="a3"/>
              <w:spacing w:before="0" w:beforeAutospacing="0" w:after="0" w:afterAutospacing="0"/>
              <w:rPr>
                <w:sz w:val="18"/>
                <w:szCs w:val="18"/>
              </w:rPr>
            </w:pPr>
            <w:r>
              <w:rPr>
                <w:sz w:val="18"/>
                <w:szCs w:val="18"/>
              </w:rPr>
              <w:t>Preferred shares, $0.00001 par value: 230 shares authorized, no shares issued or outstanding</w:t>
            </w:r>
          </w:p>
        </w:tc>
        <w:tc>
          <w:tcPr>
            <w:tcW w:w="125" w:type="pct"/>
            <w:shd w:val="clear" w:color="auto" w:fill="CCEEFF"/>
            <w:noWrap/>
            <w:tcMar>
              <w:top w:w="0" w:type="dxa"/>
              <w:left w:w="0" w:type="dxa"/>
              <w:bottom w:w="0" w:type="dxa"/>
              <w:right w:w="0" w:type="dxa"/>
            </w:tcMar>
            <w:vAlign w:val="bottom"/>
            <w:hideMark/>
          </w:tcPr>
          <w:p w14:paraId="67C9DB8A"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45F82548" w14:textId="77777777" w:rsidR="00000000" w:rsidRDefault="00097612">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5BBB276D" w14:textId="77777777" w:rsidR="00000000" w:rsidRDefault="00097612">
            <w:pPr>
              <w:pStyle w:val="a3"/>
              <w:spacing w:before="0" w:beforeAutospacing="0" w:after="0" w:afterAutospacing="0"/>
              <w:ind w:right="60"/>
              <w:jc w:val="right"/>
              <w:rPr>
                <w:sz w:val="18"/>
                <w:szCs w:val="18"/>
              </w:rPr>
            </w:pPr>
            <w:r>
              <w:rPr>
                <w:sz w:val="18"/>
                <w:szCs w:val="18"/>
              </w:rPr>
              <w:t>—</w:t>
            </w:r>
          </w:p>
        </w:tc>
        <w:tc>
          <w:tcPr>
            <w:tcW w:w="125" w:type="pct"/>
            <w:shd w:val="clear" w:color="auto" w:fill="CCEEFF"/>
            <w:noWrap/>
            <w:tcMar>
              <w:top w:w="0" w:type="dxa"/>
              <w:left w:w="0" w:type="dxa"/>
              <w:bottom w:w="0" w:type="dxa"/>
              <w:right w:w="0" w:type="dxa"/>
            </w:tcMar>
            <w:vAlign w:val="bottom"/>
            <w:hideMark/>
          </w:tcPr>
          <w:p w14:paraId="35E46C7F"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17230D32" w14:textId="77777777" w:rsidR="00000000" w:rsidRDefault="00097612">
            <w:pPr>
              <w:pStyle w:val="a3"/>
              <w:spacing w:before="0" w:beforeAutospacing="0" w:after="0" w:afterAutospacing="0"/>
              <w:jc w:val="center"/>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14:paraId="36BDEE76" w14:textId="77777777" w:rsidR="00000000" w:rsidRDefault="00097612">
            <w:pPr>
              <w:pStyle w:val="a3"/>
              <w:spacing w:before="0" w:beforeAutospacing="0" w:after="0" w:afterAutospacing="0"/>
              <w:ind w:right="60"/>
              <w:jc w:val="right"/>
              <w:rPr>
                <w:sz w:val="18"/>
                <w:szCs w:val="18"/>
              </w:rPr>
            </w:pPr>
            <w:r>
              <w:rPr>
                <w:sz w:val="18"/>
                <w:szCs w:val="18"/>
              </w:rPr>
              <w:t>—</w:t>
            </w:r>
          </w:p>
        </w:tc>
      </w:tr>
      <w:tr w:rsidR="00000000" w14:paraId="6503E2F2" w14:textId="77777777">
        <w:trPr>
          <w:divId w:val="546068456"/>
        </w:trPr>
        <w:tc>
          <w:tcPr>
            <w:tcW w:w="3504" w:type="pct"/>
            <w:tcMar>
              <w:top w:w="0" w:type="dxa"/>
              <w:left w:w="0" w:type="dxa"/>
              <w:bottom w:w="0" w:type="dxa"/>
              <w:right w:w="0" w:type="dxa"/>
            </w:tcMar>
            <w:hideMark/>
          </w:tcPr>
          <w:p w14:paraId="438FF410" w14:textId="77777777" w:rsidR="00000000" w:rsidRDefault="00097612">
            <w:pPr>
              <w:pStyle w:val="a3"/>
              <w:spacing w:before="0" w:beforeAutospacing="0" w:after="0" w:afterAutospacing="0"/>
              <w:ind w:hanging="180"/>
              <w:rPr>
                <w:sz w:val="18"/>
                <w:szCs w:val="18"/>
              </w:rPr>
            </w:pPr>
            <w:r>
              <w:rPr>
                <w:sz w:val="18"/>
                <w:szCs w:val="18"/>
              </w:rPr>
              <w:t xml:space="preserve">Ordinary shares, $0.00001 par value: 200,000 shares authorized; 56,762 and 55,681 </w:t>
            </w:r>
            <w:r>
              <w:rPr>
                <w:sz w:val="18"/>
                <w:szCs w:val="18"/>
              </w:rPr>
              <w:t>shares issued and outstanding at September 30, 2019 and December 31, 2018, respectively</w:t>
            </w:r>
          </w:p>
        </w:tc>
        <w:tc>
          <w:tcPr>
            <w:tcW w:w="125" w:type="pct"/>
            <w:noWrap/>
            <w:tcMar>
              <w:top w:w="0" w:type="dxa"/>
              <w:left w:w="0" w:type="dxa"/>
              <w:bottom w:w="0" w:type="dxa"/>
              <w:right w:w="0" w:type="dxa"/>
            </w:tcMar>
            <w:vAlign w:val="bottom"/>
            <w:hideMark/>
          </w:tcPr>
          <w:p w14:paraId="0492EB26"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1353C269" w14:textId="77777777" w:rsidR="00000000" w:rsidRDefault="00097612">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0F55F311" w14:textId="77777777" w:rsidR="00000000" w:rsidRDefault="00097612">
            <w:pPr>
              <w:pStyle w:val="a3"/>
              <w:spacing w:before="0" w:beforeAutospacing="0" w:after="0" w:afterAutospacing="0"/>
              <w:ind w:right="60"/>
              <w:jc w:val="right"/>
              <w:rPr>
                <w:sz w:val="18"/>
                <w:szCs w:val="18"/>
              </w:rPr>
            </w:pPr>
            <w:r>
              <w:rPr>
                <w:sz w:val="18"/>
                <w:szCs w:val="18"/>
              </w:rPr>
              <w:t>1</w:t>
            </w:r>
          </w:p>
        </w:tc>
        <w:tc>
          <w:tcPr>
            <w:tcW w:w="125" w:type="pct"/>
            <w:noWrap/>
            <w:tcMar>
              <w:top w:w="0" w:type="dxa"/>
              <w:left w:w="0" w:type="dxa"/>
              <w:bottom w:w="0" w:type="dxa"/>
              <w:right w:w="0" w:type="dxa"/>
            </w:tcMar>
            <w:vAlign w:val="bottom"/>
            <w:hideMark/>
          </w:tcPr>
          <w:p w14:paraId="6F5A7A23"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D0C7BEF" w14:textId="77777777" w:rsidR="00000000" w:rsidRDefault="00097612">
            <w:pPr>
              <w:pStyle w:val="a3"/>
              <w:spacing w:before="0" w:beforeAutospacing="0" w:after="0" w:afterAutospacing="0"/>
              <w:jc w:val="center"/>
              <w:rPr>
                <w:sz w:val="20"/>
                <w:szCs w:val="20"/>
              </w:rPr>
            </w:pPr>
            <w:r>
              <w:rPr>
                <w:sz w:val="18"/>
                <w:szCs w:val="18"/>
              </w:rPr>
              <w:t>​</w:t>
            </w:r>
          </w:p>
        </w:tc>
        <w:tc>
          <w:tcPr>
            <w:tcW w:w="495" w:type="pct"/>
            <w:noWrap/>
            <w:tcMar>
              <w:top w:w="0" w:type="dxa"/>
              <w:left w:w="0" w:type="dxa"/>
              <w:bottom w:w="0" w:type="dxa"/>
              <w:right w:w="0" w:type="dxa"/>
            </w:tcMar>
            <w:vAlign w:val="bottom"/>
            <w:hideMark/>
          </w:tcPr>
          <w:p w14:paraId="62FB7D54" w14:textId="77777777" w:rsidR="00000000" w:rsidRDefault="00097612">
            <w:pPr>
              <w:pStyle w:val="a3"/>
              <w:spacing w:before="0" w:beforeAutospacing="0" w:after="0" w:afterAutospacing="0"/>
              <w:ind w:right="60"/>
              <w:jc w:val="right"/>
              <w:rPr>
                <w:sz w:val="18"/>
                <w:szCs w:val="18"/>
              </w:rPr>
            </w:pPr>
            <w:r>
              <w:rPr>
                <w:sz w:val="18"/>
                <w:szCs w:val="18"/>
              </w:rPr>
              <w:t>1</w:t>
            </w:r>
          </w:p>
        </w:tc>
      </w:tr>
      <w:tr w:rsidR="00000000" w14:paraId="78F124C6" w14:textId="77777777">
        <w:trPr>
          <w:divId w:val="546068456"/>
        </w:trPr>
        <w:tc>
          <w:tcPr>
            <w:tcW w:w="3504" w:type="pct"/>
            <w:shd w:val="clear" w:color="auto" w:fill="CCEEFF"/>
            <w:tcMar>
              <w:top w:w="0" w:type="dxa"/>
              <w:left w:w="0" w:type="dxa"/>
              <w:bottom w:w="0" w:type="dxa"/>
              <w:right w:w="0" w:type="dxa"/>
            </w:tcMar>
            <w:hideMark/>
          </w:tcPr>
          <w:p w14:paraId="6126392D" w14:textId="77777777" w:rsidR="00000000" w:rsidRDefault="00097612">
            <w:pPr>
              <w:pStyle w:val="a3"/>
              <w:spacing w:before="0" w:beforeAutospacing="0" w:after="0" w:afterAutospacing="0"/>
              <w:rPr>
                <w:sz w:val="18"/>
                <w:szCs w:val="18"/>
              </w:rPr>
            </w:pPr>
            <w:r>
              <w:rPr>
                <w:sz w:val="18"/>
                <w:szCs w:val="18"/>
              </w:rPr>
              <w:t>Additional paid-in capital</w:t>
            </w:r>
          </w:p>
        </w:tc>
        <w:tc>
          <w:tcPr>
            <w:tcW w:w="125" w:type="pct"/>
            <w:shd w:val="clear" w:color="auto" w:fill="CCEEFF"/>
            <w:noWrap/>
            <w:tcMar>
              <w:top w:w="0" w:type="dxa"/>
              <w:left w:w="0" w:type="dxa"/>
              <w:bottom w:w="0" w:type="dxa"/>
              <w:right w:w="0" w:type="dxa"/>
            </w:tcMar>
            <w:vAlign w:val="bottom"/>
            <w:hideMark/>
          </w:tcPr>
          <w:p w14:paraId="126C5655"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6138AC54" w14:textId="77777777" w:rsidR="00000000" w:rsidRDefault="00097612">
            <w:pPr>
              <w:pStyle w:val="a3"/>
              <w:spacing w:before="0" w:beforeAutospacing="0" w:after="0" w:afterAutospacing="0"/>
              <w:jc w:val="center"/>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14:paraId="56380E39" w14:textId="77777777" w:rsidR="00000000" w:rsidRDefault="00097612">
            <w:pPr>
              <w:pStyle w:val="a3"/>
              <w:spacing w:before="0" w:beforeAutospacing="0" w:after="0" w:afterAutospacing="0"/>
              <w:ind w:right="60"/>
              <w:jc w:val="right"/>
              <w:rPr>
                <w:sz w:val="18"/>
                <w:szCs w:val="18"/>
              </w:rPr>
            </w:pPr>
            <w:r>
              <w:rPr>
                <w:sz w:val="18"/>
                <w:szCs w:val="18"/>
              </w:rPr>
              <w:t>1,000,094</w:t>
            </w:r>
          </w:p>
        </w:tc>
        <w:tc>
          <w:tcPr>
            <w:tcW w:w="125" w:type="pct"/>
            <w:shd w:val="clear" w:color="auto" w:fill="CCEEFF"/>
            <w:noWrap/>
            <w:tcMar>
              <w:top w:w="0" w:type="dxa"/>
              <w:left w:w="0" w:type="dxa"/>
              <w:bottom w:w="0" w:type="dxa"/>
              <w:right w:w="0" w:type="dxa"/>
            </w:tcMar>
            <w:vAlign w:val="bottom"/>
            <w:hideMark/>
          </w:tcPr>
          <w:p w14:paraId="3F867647" w14:textId="77777777" w:rsidR="00000000" w:rsidRDefault="00097612">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14:paraId="247445E8" w14:textId="77777777" w:rsidR="00000000" w:rsidRDefault="00097612">
            <w:pPr>
              <w:pStyle w:val="a3"/>
              <w:spacing w:before="0" w:beforeAutospacing="0" w:after="0" w:afterAutospacing="0"/>
              <w:jc w:val="center"/>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14:paraId="1BAA8D08" w14:textId="77777777" w:rsidR="00000000" w:rsidRDefault="00097612">
            <w:pPr>
              <w:pStyle w:val="a3"/>
              <w:spacing w:before="0" w:beforeAutospacing="0" w:after="0" w:afterAutospacing="0"/>
              <w:ind w:right="60"/>
              <w:jc w:val="right"/>
              <w:rPr>
                <w:sz w:val="18"/>
                <w:szCs w:val="18"/>
              </w:rPr>
            </w:pPr>
            <w:r>
              <w:rPr>
                <w:sz w:val="18"/>
                <w:szCs w:val="18"/>
              </w:rPr>
              <w:t>960,721</w:t>
            </w:r>
          </w:p>
        </w:tc>
      </w:tr>
      <w:tr w:rsidR="00000000" w14:paraId="0AD2AEA1" w14:textId="77777777">
        <w:trPr>
          <w:divId w:val="546068456"/>
        </w:trPr>
        <w:tc>
          <w:tcPr>
            <w:tcW w:w="3504" w:type="pct"/>
            <w:tcMar>
              <w:top w:w="0" w:type="dxa"/>
              <w:left w:w="0" w:type="dxa"/>
              <w:bottom w:w="0" w:type="dxa"/>
              <w:right w:w="0" w:type="dxa"/>
            </w:tcMar>
            <w:hideMark/>
          </w:tcPr>
          <w:p w14:paraId="561CBAF6" w14:textId="77777777" w:rsidR="00000000" w:rsidRDefault="00097612">
            <w:pPr>
              <w:pStyle w:val="a3"/>
              <w:spacing w:before="0" w:beforeAutospacing="0" w:after="0" w:afterAutospacing="0"/>
              <w:rPr>
                <w:sz w:val="18"/>
                <w:szCs w:val="18"/>
              </w:rPr>
            </w:pPr>
            <w:r>
              <w:rPr>
                <w:sz w:val="18"/>
                <w:szCs w:val="18"/>
              </w:rPr>
              <w:t>Accumulated other comprehensive income (loss)</w:t>
            </w:r>
          </w:p>
        </w:tc>
        <w:tc>
          <w:tcPr>
            <w:tcW w:w="125" w:type="pct"/>
            <w:noWrap/>
            <w:tcMar>
              <w:top w:w="0" w:type="dxa"/>
              <w:left w:w="0" w:type="dxa"/>
              <w:bottom w:w="0" w:type="dxa"/>
              <w:right w:w="0" w:type="dxa"/>
            </w:tcMar>
            <w:vAlign w:val="bottom"/>
            <w:hideMark/>
          </w:tcPr>
          <w:p w14:paraId="273D5319"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6A9B6DA" w14:textId="77777777" w:rsidR="00000000" w:rsidRDefault="00097612">
            <w:pPr>
              <w:pStyle w:val="a3"/>
              <w:spacing w:before="0" w:beforeAutospacing="0" w:after="0" w:afterAutospacing="0"/>
              <w:jc w:val="center"/>
              <w:rPr>
                <w:sz w:val="18"/>
                <w:szCs w:val="18"/>
              </w:rPr>
            </w:pPr>
            <w:r>
              <w:rPr>
                <w:sz w:val="18"/>
                <w:szCs w:val="18"/>
              </w:rPr>
              <w:t> </w:t>
            </w:r>
          </w:p>
        </w:tc>
        <w:tc>
          <w:tcPr>
            <w:tcW w:w="496" w:type="pct"/>
            <w:noWrap/>
            <w:tcMar>
              <w:top w:w="0" w:type="dxa"/>
              <w:left w:w="0" w:type="dxa"/>
              <w:bottom w:w="0" w:type="dxa"/>
              <w:right w:w="0" w:type="dxa"/>
            </w:tcMar>
            <w:vAlign w:val="bottom"/>
            <w:hideMark/>
          </w:tcPr>
          <w:p w14:paraId="67D8C20D" w14:textId="77777777" w:rsidR="00000000" w:rsidRDefault="00097612">
            <w:pPr>
              <w:pStyle w:val="a3"/>
              <w:spacing w:before="0" w:beforeAutospacing="0" w:after="0" w:afterAutospacing="0"/>
              <w:ind w:right="60"/>
              <w:jc w:val="right"/>
              <w:rPr>
                <w:sz w:val="18"/>
                <w:szCs w:val="18"/>
              </w:rPr>
            </w:pPr>
            <w:r>
              <w:rPr>
                <w:sz w:val="18"/>
                <w:szCs w:val="18"/>
              </w:rPr>
              <w:t>94</w:t>
            </w:r>
          </w:p>
        </w:tc>
        <w:tc>
          <w:tcPr>
            <w:tcW w:w="125" w:type="pct"/>
            <w:noWrap/>
            <w:tcMar>
              <w:top w:w="0" w:type="dxa"/>
              <w:left w:w="0" w:type="dxa"/>
              <w:bottom w:w="0" w:type="dxa"/>
              <w:right w:w="0" w:type="dxa"/>
            </w:tcMar>
            <w:vAlign w:val="bottom"/>
            <w:hideMark/>
          </w:tcPr>
          <w:p w14:paraId="01996C7B" w14:textId="77777777" w:rsidR="00000000" w:rsidRDefault="00097612">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14:paraId="75E3528B" w14:textId="77777777" w:rsidR="00000000" w:rsidRDefault="00097612">
            <w:pPr>
              <w:pStyle w:val="a3"/>
              <w:spacing w:before="0" w:beforeAutospacing="0" w:after="0" w:afterAutospacing="0"/>
              <w:jc w:val="center"/>
              <w:rPr>
                <w:sz w:val="18"/>
                <w:szCs w:val="18"/>
              </w:rPr>
            </w:pPr>
            <w:r>
              <w:rPr>
                <w:sz w:val="18"/>
                <w:szCs w:val="18"/>
              </w:rPr>
              <w:t> </w:t>
            </w:r>
          </w:p>
        </w:tc>
        <w:tc>
          <w:tcPr>
            <w:tcW w:w="495" w:type="pct"/>
            <w:noWrap/>
            <w:tcMar>
              <w:top w:w="0" w:type="dxa"/>
              <w:left w:w="0" w:type="dxa"/>
              <w:bottom w:w="0" w:type="dxa"/>
              <w:right w:w="0" w:type="dxa"/>
            </w:tcMar>
            <w:vAlign w:val="bottom"/>
            <w:hideMark/>
          </w:tcPr>
          <w:p w14:paraId="2CE2909D" w14:textId="77777777" w:rsidR="00000000" w:rsidRDefault="00097612">
            <w:pPr>
              <w:pStyle w:val="a3"/>
              <w:spacing w:before="0" w:beforeAutospacing="0" w:after="0" w:afterAutospacing="0"/>
              <w:jc w:val="right"/>
              <w:rPr>
                <w:sz w:val="18"/>
                <w:szCs w:val="18"/>
              </w:rPr>
            </w:pPr>
            <w:r>
              <w:rPr>
                <w:sz w:val="18"/>
                <w:szCs w:val="18"/>
              </w:rPr>
              <w:t>(166)</w:t>
            </w:r>
          </w:p>
        </w:tc>
      </w:tr>
      <w:tr w:rsidR="00000000" w14:paraId="467DDF94" w14:textId="77777777">
        <w:trPr>
          <w:divId w:val="546068456"/>
        </w:trPr>
        <w:tc>
          <w:tcPr>
            <w:tcW w:w="3504" w:type="pct"/>
            <w:shd w:val="clear" w:color="auto" w:fill="CCEEFF"/>
            <w:tcMar>
              <w:top w:w="0" w:type="dxa"/>
              <w:left w:w="0" w:type="dxa"/>
              <w:bottom w:w="0" w:type="dxa"/>
              <w:right w:w="0" w:type="dxa"/>
            </w:tcMar>
            <w:hideMark/>
          </w:tcPr>
          <w:p w14:paraId="4F8216ED" w14:textId="77777777" w:rsidR="00000000" w:rsidRDefault="00097612">
            <w:pPr>
              <w:pStyle w:val="a3"/>
              <w:spacing w:before="0" w:beforeAutospacing="0" w:after="0" w:afterAutospacing="0"/>
              <w:rPr>
                <w:sz w:val="18"/>
                <w:szCs w:val="18"/>
              </w:rPr>
            </w:pPr>
            <w:r>
              <w:rPr>
                <w:sz w:val="18"/>
                <w:szCs w:val="18"/>
              </w:rPr>
              <w:t xml:space="preserve">Accumulated deficit </w:t>
            </w:r>
          </w:p>
        </w:tc>
        <w:tc>
          <w:tcPr>
            <w:tcW w:w="125" w:type="pct"/>
            <w:shd w:val="clear" w:color="auto" w:fill="CCEEFF"/>
            <w:noWrap/>
            <w:tcMar>
              <w:top w:w="0" w:type="dxa"/>
              <w:left w:w="0" w:type="dxa"/>
              <w:bottom w:w="0" w:type="dxa"/>
              <w:right w:w="0" w:type="dxa"/>
            </w:tcMar>
            <w:vAlign w:val="bottom"/>
            <w:hideMark/>
          </w:tcPr>
          <w:p w14:paraId="4CB66407"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14:paraId="0C2849E5" w14:textId="77777777" w:rsidR="00000000" w:rsidRDefault="00097612">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14:paraId="00A79882" w14:textId="77777777" w:rsidR="00000000" w:rsidRDefault="00097612">
            <w:pPr>
              <w:pStyle w:val="a3"/>
              <w:spacing w:before="0" w:beforeAutospacing="0" w:after="0" w:afterAutospacing="0"/>
              <w:jc w:val="right"/>
              <w:rPr>
                <w:sz w:val="18"/>
                <w:szCs w:val="18"/>
              </w:rPr>
            </w:pPr>
            <w:r>
              <w:rPr>
                <w:sz w:val="18"/>
                <w:szCs w:val="18"/>
              </w:rPr>
              <w:t>(1,182,994)</w:t>
            </w:r>
          </w:p>
        </w:tc>
        <w:tc>
          <w:tcPr>
            <w:tcW w:w="125" w:type="pct"/>
            <w:shd w:val="clear" w:color="auto" w:fill="CCEEFF"/>
            <w:noWrap/>
            <w:tcMar>
              <w:top w:w="0" w:type="dxa"/>
              <w:left w:w="0" w:type="dxa"/>
              <w:bottom w:w="0" w:type="dxa"/>
              <w:right w:w="0" w:type="dxa"/>
            </w:tcMar>
            <w:vAlign w:val="bottom"/>
            <w:hideMark/>
          </w:tcPr>
          <w:p w14:paraId="38925D30"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14:paraId="620DC97C" w14:textId="77777777" w:rsidR="00000000" w:rsidRDefault="00097612">
            <w:pPr>
              <w:pStyle w:val="a3"/>
              <w:spacing w:before="0" w:beforeAutospacing="0" w:after="0" w:afterAutospacing="0"/>
              <w:jc w:val="center"/>
              <w:rPr>
                <w:sz w:val="18"/>
                <w:szCs w:val="18"/>
              </w:rPr>
            </w:pPr>
            <w:r>
              <w:rPr>
                <w:sz w:val="18"/>
                <w:szCs w:val="18"/>
              </w:rPr>
              <w:t> </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14:paraId="45F7978D" w14:textId="77777777" w:rsidR="00000000" w:rsidRDefault="00097612">
            <w:pPr>
              <w:pStyle w:val="a3"/>
              <w:spacing w:before="0" w:beforeAutospacing="0" w:after="0" w:afterAutospacing="0"/>
              <w:jc w:val="right"/>
              <w:rPr>
                <w:sz w:val="18"/>
                <w:szCs w:val="18"/>
              </w:rPr>
            </w:pPr>
            <w:r>
              <w:rPr>
                <w:sz w:val="18"/>
                <w:szCs w:val="18"/>
              </w:rPr>
              <w:t>(1,012,145)</w:t>
            </w:r>
          </w:p>
        </w:tc>
      </w:tr>
      <w:tr w:rsidR="00000000" w14:paraId="6171FBD0" w14:textId="77777777">
        <w:trPr>
          <w:divId w:val="546068456"/>
        </w:trPr>
        <w:tc>
          <w:tcPr>
            <w:tcW w:w="3504" w:type="pct"/>
            <w:tcMar>
              <w:top w:w="0" w:type="dxa"/>
              <w:left w:w="0" w:type="dxa"/>
              <w:bottom w:w="0" w:type="dxa"/>
              <w:right w:w="0" w:type="dxa"/>
            </w:tcMar>
            <w:hideMark/>
          </w:tcPr>
          <w:p w14:paraId="65F7050F" w14:textId="77777777" w:rsidR="00000000" w:rsidRDefault="00097612">
            <w:pPr>
              <w:pStyle w:val="a3"/>
              <w:spacing w:before="0" w:beforeAutospacing="0" w:after="0" w:afterAutospacing="0"/>
              <w:ind w:left="360"/>
              <w:rPr>
                <w:sz w:val="18"/>
                <w:szCs w:val="18"/>
              </w:rPr>
            </w:pPr>
            <w:r>
              <w:rPr>
                <w:sz w:val="18"/>
                <w:szCs w:val="18"/>
              </w:rPr>
              <w:t>Total shareholders’ deficit</w:t>
            </w:r>
          </w:p>
        </w:tc>
        <w:tc>
          <w:tcPr>
            <w:tcW w:w="125" w:type="pct"/>
            <w:noWrap/>
            <w:tcMar>
              <w:top w:w="0" w:type="dxa"/>
              <w:left w:w="0" w:type="dxa"/>
              <w:bottom w:w="0" w:type="dxa"/>
              <w:right w:w="0" w:type="dxa"/>
            </w:tcMar>
            <w:vAlign w:val="bottom"/>
            <w:hideMark/>
          </w:tcPr>
          <w:p w14:paraId="5089F78D"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57EAB3AA" w14:textId="77777777" w:rsidR="00000000" w:rsidRDefault="00097612">
            <w:pPr>
              <w:pStyle w:val="a3"/>
              <w:spacing w:before="0" w:beforeAutospacing="0" w:after="0" w:afterAutospacing="0"/>
              <w:jc w:val="center"/>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14:paraId="61FB599F" w14:textId="77777777" w:rsidR="00000000" w:rsidRDefault="00097612">
            <w:pPr>
              <w:pStyle w:val="a3"/>
              <w:spacing w:before="0" w:beforeAutospacing="0" w:after="0" w:afterAutospacing="0"/>
              <w:jc w:val="right"/>
              <w:rPr>
                <w:sz w:val="18"/>
                <w:szCs w:val="18"/>
              </w:rPr>
            </w:pPr>
            <w:r>
              <w:rPr>
                <w:sz w:val="18"/>
                <w:szCs w:val="18"/>
              </w:rPr>
              <w:t>(182,805)</w:t>
            </w:r>
          </w:p>
        </w:tc>
        <w:tc>
          <w:tcPr>
            <w:tcW w:w="125" w:type="pct"/>
            <w:noWrap/>
            <w:tcMar>
              <w:top w:w="0" w:type="dxa"/>
              <w:left w:w="0" w:type="dxa"/>
              <w:bottom w:w="0" w:type="dxa"/>
              <w:right w:w="0" w:type="dxa"/>
            </w:tcMar>
            <w:vAlign w:val="bottom"/>
            <w:hideMark/>
          </w:tcPr>
          <w:p w14:paraId="02AA12F0"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single" w:sz="6" w:space="0" w:color="000000"/>
            </w:tcBorders>
            <w:noWrap/>
            <w:tcMar>
              <w:top w:w="0" w:type="dxa"/>
              <w:left w:w="0" w:type="dxa"/>
              <w:bottom w:w="0" w:type="dxa"/>
              <w:right w:w="0" w:type="dxa"/>
            </w:tcMar>
            <w:vAlign w:val="bottom"/>
            <w:hideMark/>
          </w:tcPr>
          <w:p w14:paraId="51A5436C" w14:textId="77777777" w:rsidR="00000000" w:rsidRDefault="00097612">
            <w:pPr>
              <w:pStyle w:val="a3"/>
              <w:spacing w:before="0" w:beforeAutospacing="0" w:after="0" w:afterAutospacing="0"/>
              <w:jc w:val="center"/>
              <w:rPr>
                <w:sz w:val="18"/>
                <w:szCs w:val="18"/>
              </w:rPr>
            </w:pPr>
            <w:r>
              <w:rPr>
                <w:sz w:val="18"/>
                <w:szCs w:val="18"/>
              </w:rPr>
              <w:t> </w:t>
            </w:r>
          </w:p>
        </w:tc>
        <w:tc>
          <w:tcPr>
            <w:tcW w:w="495" w:type="pct"/>
            <w:tcBorders>
              <w:bottom w:val="single" w:sz="6" w:space="0" w:color="000000"/>
            </w:tcBorders>
            <w:noWrap/>
            <w:tcMar>
              <w:top w:w="0" w:type="dxa"/>
              <w:left w:w="0" w:type="dxa"/>
              <w:bottom w:w="0" w:type="dxa"/>
              <w:right w:w="0" w:type="dxa"/>
            </w:tcMar>
            <w:vAlign w:val="bottom"/>
            <w:hideMark/>
          </w:tcPr>
          <w:p w14:paraId="4C1875F4" w14:textId="77777777" w:rsidR="00000000" w:rsidRDefault="00097612">
            <w:pPr>
              <w:pStyle w:val="a3"/>
              <w:spacing w:before="0" w:beforeAutospacing="0" w:after="0" w:afterAutospacing="0"/>
              <w:jc w:val="right"/>
              <w:rPr>
                <w:sz w:val="18"/>
                <w:szCs w:val="18"/>
              </w:rPr>
            </w:pPr>
            <w:r>
              <w:rPr>
                <w:sz w:val="18"/>
                <w:szCs w:val="18"/>
              </w:rPr>
              <w:t>(51,589)</w:t>
            </w:r>
          </w:p>
        </w:tc>
      </w:tr>
      <w:tr w:rsidR="00000000" w14:paraId="26456EFC" w14:textId="77777777">
        <w:trPr>
          <w:divId w:val="546068456"/>
        </w:trPr>
        <w:tc>
          <w:tcPr>
            <w:tcW w:w="3504" w:type="pct"/>
            <w:shd w:val="clear" w:color="auto" w:fill="CCEEFF"/>
            <w:tcMar>
              <w:top w:w="0" w:type="dxa"/>
              <w:left w:w="0" w:type="dxa"/>
              <w:bottom w:w="0" w:type="dxa"/>
              <w:right w:w="0" w:type="dxa"/>
            </w:tcMar>
            <w:hideMark/>
          </w:tcPr>
          <w:p w14:paraId="6CD64329" w14:textId="77777777" w:rsidR="00000000" w:rsidRDefault="00097612">
            <w:pPr>
              <w:pStyle w:val="a3"/>
              <w:spacing w:before="0" w:beforeAutospacing="0" w:after="0" w:afterAutospacing="0"/>
              <w:ind w:left="360"/>
              <w:rPr>
                <w:sz w:val="18"/>
                <w:szCs w:val="18"/>
              </w:rPr>
            </w:pPr>
            <w:r>
              <w:rPr>
                <w:sz w:val="18"/>
                <w:szCs w:val="18"/>
              </w:rPr>
              <w:t>Total liabilities and shareholders’ deficit</w:t>
            </w:r>
          </w:p>
        </w:tc>
        <w:tc>
          <w:tcPr>
            <w:tcW w:w="125" w:type="pct"/>
            <w:shd w:val="clear" w:color="auto" w:fill="CCEEFF"/>
            <w:noWrap/>
            <w:tcMar>
              <w:top w:w="0" w:type="dxa"/>
              <w:left w:w="0" w:type="dxa"/>
              <w:bottom w:w="0" w:type="dxa"/>
              <w:right w:w="0" w:type="dxa"/>
            </w:tcMar>
            <w:vAlign w:val="bottom"/>
            <w:hideMark/>
          </w:tcPr>
          <w:p w14:paraId="72DB6B9C"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14:paraId="66BC3947" w14:textId="77777777" w:rsidR="00000000" w:rsidRDefault="00097612">
            <w:pPr>
              <w:pStyle w:val="a3"/>
              <w:spacing w:before="0" w:beforeAutospacing="0" w:after="0" w:afterAutospacing="0"/>
              <w:jc w:val="center"/>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14:paraId="5DEE5180" w14:textId="77777777" w:rsidR="00000000" w:rsidRDefault="00097612">
            <w:pPr>
              <w:pStyle w:val="a3"/>
              <w:spacing w:before="0" w:beforeAutospacing="0" w:after="0" w:afterAutospacing="0"/>
              <w:ind w:right="60"/>
              <w:jc w:val="right"/>
              <w:rPr>
                <w:sz w:val="18"/>
                <w:szCs w:val="18"/>
              </w:rPr>
            </w:pPr>
            <w:r>
              <w:rPr>
                <w:sz w:val="18"/>
                <w:szCs w:val="18"/>
              </w:rPr>
              <w:t>445,337</w:t>
            </w:r>
          </w:p>
        </w:tc>
        <w:tc>
          <w:tcPr>
            <w:tcW w:w="125" w:type="pct"/>
            <w:shd w:val="clear" w:color="auto" w:fill="CCEEFF"/>
            <w:noWrap/>
            <w:tcMar>
              <w:top w:w="0" w:type="dxa"/>
              <w:left w:w="0" w:type="dxa"/>
              <w:bottom w:w="0" w:type="dxa"/>
              <w:right w:w="0" w:type="dxa"/>
            </w:tcMar>
            <w:vAlign w:val="bottom"/>
            <w:hideMark/>
          </w:tcPr>
          <w:p w14:paraId="1AB98D3E" w14:textId="77777777" w:rsidR="00000000" w:rsidRDefault="00097612">
            <w:pPr>
              <w:pStyle w:val="a3"/>
              <w:spacing w:before="0" w:beforeAutospacing="0" w:after="0" w:afterAutospacing="0"/>
              <w:rPr>
                <w:sz w:val="20"/>
                <w:szCs w:val="20"/>
              </w:rPr>
            </w:pPr>
            <w:r>
              <w:rPr>
                <w:sz w:val="18"/>
                <w:szCs w:val="18"/>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14:paraId="5B6C5305" w14:textId="77777777" w:rsidR="00000000" w:rsidRDefault="00097612">
            <w:pPr>
              <w:pStyle w:val="a3"/>
              <w:spacing w:before="0" w:beforeAutospacing="0" w:after="0" w:afterAutospacing="0"/>
              <w:jc w:val="center"/>
              <w:rPr>
                <w:sz w:val="18"/>
                <w:szCs w:val="18"/>
              </w:rPr>
            </w:pPr>
            <w:r>
              <w:rPr>
                <w:sz w:val="18"/>
                <w:szCs w:val="18"/>
              </w:rPr>
              <w:t>$</w:t>
            </w:r>
          </w:p>
        </w:tc>
        <w:tc>
          <w:tcPr>
            <w:tcW w:w="495" w:type="pct"/>
            <w:tcBorders>
              <w:bottom w:val="double" w:sz="6" w:space="0" w:color="000000"/>
            </w:tcBorders>
            <w:shd w:val="clear" w:color="auto" w:fill="CCEEFF"/>
            <w:noWrap/>
            <w:tcMar>
              <w:top w:w="0" w:type="dxa"/>
              <w:left w:w="0" w:type="dxa"/>
              <w:bottom w:w="0" w:type="dxa"/>
              <w:right w:w="0" w:type="dxa"/>
            </w:tcMar>
            <w:vAlign w:val="bottom"/>
            <w:hideMark/>
          </w:tcPr>
          <w:p w14:paraId="65B9DC4D" w14:textId="77777777" w:rsidR="00000000" w:rsidRDefault="00097612">
            <w:pPr>
              <w:pStyle w:val="a3"/>
              <w:spacing w:before="0" w:beforeAutospacing="0" w:after="0" w:afterAutospacing="0"/>
              <w:ind w:right="60"/>
              <w:jc w:val="right"/>
              <w:rPr>
                <w:sz w:val="18"/>
                <w:szCs w:val="18"/>
              </w:rPr>
            </w:pPr>
            <w:r>
              <w:rPr>
                <w:sz w:val="18"/>
                <w:szCs w:val="18"/>
              </w:rPr>
              <w:t>560,235</w:t>
            </w:r>
          </w:p>
        </w:tc>
      </w:tr>
    </w:tbl>
    <w:p w14:paraId="50BF7A6F" w14:textId="77777777" w:rsidR="00000000" w:rsidRDefault="00097612">
      <w:pPr>
        <w:pStyle w:val="a3"/>
        <w:spacing w:before="240" w:beforeAutospacing="0" w:after="0" w:afterAutospacing="0"/>
        <w:jc w:val="center"/>
        <w:divId w:val="546068456"/>
        <w:rPr>
          <w:sz w:val="20"/>
          <w:szCs w:val="20"/>
        </w:rPr>
      </w:pPr>
      <w:r>
        <w:rPr>
          <w:i/>
          <w:iCs/>
          <w:sz w:val="20"/>
          <w:szCs w:val="20"/>
        </w:rPr>
        <w:lastRenderedPageBreak/>
        <w:t>See accompanying notes to condensed consolidated financial statements.</w:t>
      </w:r>
    </w:p>
    <w:p w14:paraId="5CC8D9B3" w14:textId="77777777" w:rsidR="00000000" w:rsidRDefault="00097612">
      <w:pPr>
        <w:pStyle w:val="a3"/>
        <w:spacing w:before="0" w:beforeAutospacing="0" w:after="0" w:afterAutospacing="0"/>
        <w:divId w:val="546068456"/>
        <w:rPr>
          <w:sz w:val="20"/>
          <w:szCs w:val="20"/>
        </w:rPr>
      </w:pPr>
      <w:r>
        <w:rPr>
          <w:i/>
          <w:iCs/>
          <w:sz w:val="20"/>
          <w:szCs w:val="20"/>
        </w:rPr>
        <w:t>​</w:t>
      </w:r>
    </w:p>
    <w:p w14:paraId="20549F04" w14:textId="77777777" w:rsidR="00000000" w:rsidRDefault="00097612">
      <w:pPr>
        <w:pStyle w:val="a3"/>
        <w:spacing w:before="360" w:beforeAutospacing="0" w:after="0" w:afterAutospacing="0"/>
        <w:jc w:val="center"/>
        <w:divId w:val="2130083669"/>
        <w:rPr>
          <w:sz w:val="20"/>
          <w:szCs w:val="20"/>
        </w:rPr>
      </w:pPr>
      <w:r>
        <w:rPr>
          <w:sz w:val="20"/>
          <w:szCs w:val="20"/>
        </w:rPr>
        <w:t>3</w:t>
      </w:r>
    </w:p>
    <w:p w14:paraId="69652103" w14:textId="77777777" w:rsidR="00000000" w:rsidRDefault="00097612">
      <w:pPr>
        <w:pStyle w:val="a3"/>
        <w:spacing w:before="0" w:beforeAutospacing="0" w:after="600" w:afterAutospacing="0"/>
        <w:divId w:val="2056544249"/>
        <w:rPr>
          <w:sz w:val="20"/>
          <w:szCs w:val="20"/>
        </w:rPr>
      </w:pPr>
      <w:hyperlink w:anchor="TOC" w:history="1">
        <w:r>
          <w:rPr>
            <w:rStyle w:val="a4"/>
            <w:sz w:val="20"/>
            <w:szCs w:val="20"/>
          </w:rPr>
          <w:t>Table of Contents</w:t>
        </w:r>
      </w:hyperlink>
    </w:p>
    <w:p w14:paraId="67B051A5" w14:textId="77777777" w:rsidR="00000000" w:rsidRDefault="00097612">
      <w:pPr>
        <w:pStyle w:val="a3"/>
        <w:spacing w:before="0" w:beforeAutospacing="0" w:after="0" w:afterAutospacing="0"/>
        <w:jc w:val="center"/>
        <w:divId w:val="413936982"/>
        <w:rPr>
          <w:sz w:val="20"/>
          <w:szCs w:val="20"/>
        </w:rPr>
      </w:pPr>
      <w:r>
        <w:rPr>
          <w:b/>
          <w:bCs/>
          <w:sz w:val="20"/>
          <w:szCs w:val="20"/>
        </w:rPr>
        <w:t>THERAVANCE BIOPHARMA, INC.</w:t>
      </w:r>
    </w:p>
    <w:p w14:paraId="723913CF" w14:textId="77777777" w:rsidR="00000000" w:rsidRDefault="00097612">
      <w:pPr>
        <w:pStyle w:val="a3"/>
        <w:spacing w:before="0" w:beforeAutospacing="0" w:after="0" w:afterAutospacing="0"/>
        <w:jc w:val="center"/>
        <w:divId w:val="413936982"/>
        <w:rPr>
          <w:sz w:val="20"/>
          <w:szCs w:val="20"/>
        </w:rPr>
      </w:pPr>
      <w:r>
        <w:rPr>
          <w:b/>
          <w:bCs/>
          <w:sz w:val="20"/>
          <w:szCs w:val="20"/>
        </w:rPr>
        <w:t>CONDENSED CONSOLIDATED STATEMENTS OF OPERATIONS AND COMPREHENSIVE LOSS</w:t>
      </w:r>
    </w:p>
    <w:p w14:paraId="12B9E97B" w14:textId="77777777" w:rsidR="00000000" w:rsidRDefault="00097612">
      <w:pPr>
        <w:pStyle w:val="a3"/>
        <w:spacing w:before="0" w:beforeAutospacing="0" w:after="0" w:afterAutospacing="0"/>
        <w:jc w:val="center"/>
        <w:divId w:val="413936982"/>
        <w:rPr>
          <w:sz w:val="20"/>
          <w:szCs w:val="20"/>
        </w:rPr>
      </w:pPr>
      <w:r>
        <w:rPr>
          <w:b/>
          <w:bCs/>
          <w:sz w:val="20"/>
          <w:szCs w:val="20"/>
        </w:rPr>
        <w:t>(Unaudited)</w:t>
      </w:r>
    </w:p>
    <w:p w14:paraId="013EE223" w14:textId="77777777" w:rsidR="00000000" w:rsidRDefault="00097612">
      <w:pPr>
        <w:pStyle w:val="a3"/>
        <w:spacing w:before="0" w:beforeAutospacing="0" w:after="0" w:afterAutospacing="0"/>
        <w:jc w:val="center"/>
        <w:divId w:val="413936982"/>
        <w:rPr>
          <w:sz w:val="20"/>
          <w:szCs w:val="20"/>
        </w:rPr>
      </w:pPr>
      <w:r>
        <w:rPr>
          <w:b/>
          <w:bCs/>
          <w:sz w:val="20"/>
          <w:szCs w:val="20"/>
        </w:rPr>
        <w:t>(In thousands, except per share data)</w:t>
      </w:r>
    </w:p>
    <w:p w14:paraId="64761302" w14:textId="77777777" w:rsidR="00000000" w:rsidRDefault="00097612">
      <w:pPr>
        <w:pStyle w:val="a3"/>
        <w:spacing w:before="0" w:beforeAutospacing="0" w:after="0" w:afterAutospacing="0"/>
        <w:jc w:val="center"/>
        <w:divId w:val="413936982"/>
        <w:rPr>
          <w:sz w:val="20"/>
          <w:szCs w:val="20"/>
        </w:rPr>
      </w:pPr>
      <w:r>
        <w:rPr>
          <w:sz w:val="20"/>
          <w:szCs w:val="20"/>
        </w:rPr>
        <w:t>​</w:t>
      </w:r>
    </w:p>
    <w:tbl>
      <w:tblPr>
        <w:tblW w:w="5018" w:type="pct"/>
        <w:tblCellMar>
          <w:top w:w="15" w:type="dxa"/>
          <w:left w:w="0" w:type="dxa"/>
          <w:bottom w:w="15" w:type="dxa"/>
          <w:right w:w="0" w:type="dxa"/>
        </w:tblCellMar>
        <w:tblLook w:val="04A0" w:firstRow="1" w:lastRow="0" w:firstColumn="1" w:lastColumn="0" w:noHBand="0" w:noVBand="1"/>
      </w:tblPr>
      <w:tblGrid>
        <w:gridCol w:w="4200"/>
        <w:gridCol w:w="160"/>
        <w:gridCol w:w="100"/>
        <w:gridCol w:w="684"/>
        <w:gridCol w:w="160"/>
        <w:gridCol w:w="100"/>
        <w:gridCol w:w="684"/>
        <w:gridCol w:w="160"/>
        <w:gridCol w:w="100"/>
        <w:gridCol w:w="784"/>
        <w:gridCol w:w="160"/>
        <w:gridCol w:w="100"/>
        <w:gridCol w:w="784"/>
        <w:gridCol w:w="160"/>
      </w:tblGrid>
      <w:tr w:rsidR="00000000" w14:paraId="48599F4B" w14:textId="77777777">
        <w:trPr>
          <w:divId w:val="413936982"/>
          <w:trHeight w:val="20"/>
        </w:trPr>
        <w:tc>
          <w:tcPr>
            <w:tcW w:w="2640" w:type="pct"/>
            <w:tcMar>
              <w:top w:w="0" w:type="dxa"/>
              <w:left w:w="0" w:type="dxa"/>
              <w:bottom w:w="0" w:type="dxa"/>
              <w:right w:w="0" w:type="dxa"/>
            </w:tcMar>
            <w:vAlign w:val="bottom"/>
            <w:hideMark/>
          </w:tcPr>
          <w:p w14:paraId="20C419B5" w14:textId="77777777" w:rsidR="00000000" w:rsidRDefault="00097612">
            <w:pPr>
              <w:pStyle w:val="a3"/>
              <w:spacing w:before="0" w:beforeAutospacing="0" w:after="0" w:afterAutospacing="0"/>
              <w:divId w:val="108863547"/>
              <w:rPr>
                <w:sz w:val="20"/>
                <w:szCs w:val="20"/>
              </w:rPr>
            </w:pPr>
            <w:r>
              <w:rPr>
                <w:sz w:val="2"/>
                <w:szCs w:val="2"/>
              </w:rPr>
              <w:t>​</w:t>
            </w:r>
          </w:p>
        </w:tc>
        <w:tc>
          <w:tcPr>
            <w:tcW w:w="87" w:type="pct"/>
            <w:noWrap/>
            <w:tcMar>
              <w:top w:w="0" w:type="dxa"/>
              <w:left w:w="0" w:type="dxa"/>
              <w:bottom w:w="0" w:type="dxa"/>
              <w:right w:w="0" w:type="dxa"/>
            </w:tcMar>
            <w:vAlign w:val="bottom"/>
            <w:hideMark/>
          </w:tcPr>
          <w:p w14:paraId="1E1AFBDD" w14:textId="77777777" w:rsidR="00000000" w:rsidRDefault="00097612">
            <w:pPr>
              <w:pStyle w:val="a3"/>
              <w:spacing w:before="0" w:beforeAutospacing="0" w:after="0" w:afterAutospacing="0"/>
              <w:divId w:val="999309903"/>
              <w:rPr>
                <w:sz w:val="20"/>
                <w:szCs w:val="20"/>
              </w:rPr>
            </w:pPr>
            <w:r>
              <w:rPr>
                <w:sz w:val="2"/>
                <w:szCs w:val="2"/>
              </w:rPr>
              <w:t>​</w:t>
            </w:r>
          </w:p>
        </w:tc>
        <w:tc>
          <w:tcPr>
            <w:tcW w:w="87" w:type="pct"/>
            <w:noWrap/>
            <w:tcMar>
              <w:top w:w="0" w:type="dxa"/>
              <w:left w:w="0" w:type="dxa"/>
              <w:bottom w:w="0" w:type="dxa"/>
              <w:right w:w="0" w:type="dxa"/>
            </w:tcMar>
            <w:vAlign w:val="bottom"/>
            <w:hideMark/>
          </w:tcPr>
          <w:p w14:paraId="0C3D0F3A" w14:textId="77777777" w:rsidR="00000000" w:rsidRDefault="00097612">
            <w:pPr>
              <w:pStyle w:val="a3"/>
              <w:spacing w:before="0" w:beforeAutospacing="0" w:after="0" w:afterAutospacing="0"/>
              <w:divId w:val="1487893754"/>
              <w:rPr>
                <w:sz w:val="20"/>
                <w:szCs w:val="20"/>
              </w:rPr>
            </w:pPr>
            <w:r>
              <w:rPr>
                <w:sz w:val="2"/>
                <w:szCs w:val="2"/>
              </w:rPr>
              <w:t>​</w:t>
            </w:r>
          </w:p>
        </w:tc>
        <w:tc>
          <w:tcPr>
            <w:tcW w:w="369" w:type="pct"/>
            <w:noWrap/>
            <w:tcMar>
              <w:top w:w="0" w:type="dxa"/>
              <w:left w:w="0" w:type="dxa"/>
              <w:bottom w:w="0" w:type="dxa"/>
              <w:right w:w="0" w:type="dxa"/>
            </w:tcMar>
            <w:vAlign w:val="bottom"/>
            <w:hideMark/>
          </w:tcPr>
          <w:p w14:paraId="1D7DD18E" w14:textId="77777777" w:rsidR="00000000" w:rsidRDefault="00097612">
            <w:pPr>
              <w:pStyle w:val="a3"/>
              <w:spacing w:before="0" w:beforeAutospacing="0" w:after="0" w:afterAutospacing="0"/>
              <w:divId w:val="605966123"/>
              <w:rPr>
                <w:sz w:val="20"/>
                <w:szCs w:val="20"/>
              </w:rPr>
            </w:pPr>
            <w:r>
              <w:rPr>
                <w:sz w:val="2"/>
                <w:szCs w:val="2"/>
              </w:rPr>
              <w:t>​</w:t>
            </w:r>
          </w:p>
        </w:tc>
        <w:tc>
          <w:tcPr>
            <w:tcW w:w="88" w:type="pct"/>
            <w:noWrap/>
            <w:tcMar>
              <w:top w:w="0" w:type="dxa"/>
              <w:left w:w="0" w:type="dxa"/>
              <w:bottom w:w="0" w:type="dxa"/>
              <w:right w:w="0" w:type="dxa"/>
            </w:tcMar>
            <w:vAlign w:val="bottom"/>
            <w:hideMark/>
          </w:tcPr>
          <w:p w14:paraId="7EDCF1E0" w14:textId="77777777" w:rsidR="00000000" w:rsidRDefault="00097612">
            <w:pPr>
              <w:pStyle w:val="a3"/>
              <w:spacing w:before="0" w:beforeAutospacing="0" w:after="0" w:afterAutospacing="0"/>
              <w:divId w:val="2123111698"/>
              <w:rPr>
                <w:sz w:val="20"/>
                <w:szCs w:val="20"/>
              </w:rPr>
            </w:pPr>
            <w:r>
              <w:rPr>
                <w:sz w:val="2"/>
                <w:szCs w:val="2"/>
              </w:rPr>
              <w:t>​</w:t>
            </w:r>
          </w:p>
        </w:tc>
        <w:tc>
          <w:tcPr>
            <w:tcW w:w="88" w:type="pct"/>
            <w:noWrap/>
            <w:tcMar>
              <w:top w:w="0" w:type="dxa"/>
              <w:left w:w="0" w:type="dxa"/>
              <w:bottom w:w="0" w:type="dxa"/>
              <w:right w:w="0" w:type="dxa"/>
            </w:tcMar>
            <w:vAlign w:val="bottom"/>
            <w:hideMark/>
          </w:tcPr>
          <w:p w14:paraId="7D380E8A" w14:textId="77777777" w:rsidR="00000000" w:rsidRDefault="00097612">
            <w:pPr>
              <w:pStyle w:val="a3"/>
              <w:spacing w:before="0" w:beforeAutospacing="0" w:after="0" w:afterAutospacing="0"/>
              <w:divId w:val="853611887"/>
              <w:rPr>
                <w:sz w:val="20"/>
                <w:szCs w:val="20"/>
              </w:rPr>
            </w:pPr>
            <w:r>
              <w:rPr>
                <w:sz w:val="2"/>
                <w:szCs w:val="2"/>
              </w:rPr>
              <w:t>​</w:t>
            </w:r>
          </w:p>
        </w:tc>
        <w:tc>
          <w:tcPr>
            <w:tcW w:w="369" w:type="pct"/>
            <w:noWrap/>
            <w:tcMar>
              <w:top w:w="0" w:type="dxa"/>
              <w:left w:w="0" w:type="dxa"/>
              <w:bottom w:w="0" w:type="dxa"/>
              <w:right w:w="0" w:type="dxa"/>
            </w:tcMar>
            <w:vAlign w:val="bottom"/>
            <w:hideMark/>
          </w:tcPr>
          <w:p w14:paraId="6A92C130" w14:textId="77777777" w:rsidR="00000000" w:rsidRDefault="00097612">
            <w:pPr>
              <w:pStyle w:val="a3"/>
              <w:spacing w:before="0" w:beforeAutospacing="0" w:after="0" w:afterAutospacing="0"/>
              <w:divId w:val="1726877563"/>
              <w:rPr>
                <w:sz w:val="20"/>
                <w:szCs w:val="20"/>
              </w:rPr>
            </w:pPr>
            <w:r>
              <w:rPr>
                <w:sz w:val="2"/>
                <w:szCs w:val="2"/>
              </w:rPr>
              <w:t>​</w:t>
            </w:r>
          </w:p>
        </w:tc>
        <w:tc>
          <w:tcPr>
            <w:tcW w:w="88" w:type="pct"/>
            <w:noWrap/>
            <w:tcMar>
              <w:top w:w="0" w:type="dxa"/>
              <w:left w:w="0" w:type="dxa"/>
              <w:bottom w:w="0" w:type="dxa"/>
              <w:right w:w="0" w:type="dxa"/>
            </w:tcMar>
            <w:vAlign w:val="bottom"/>
            <w:hideMark/>
          </w:tcPr>
          <w:p w14:paraId="1B0A2E6C" w14:textId="77777777" w:rsidR="00000000" w:rsidRDefault="00097612">
            <w:pPr>
              <w:pStyle w:val="a3"/>
              <w:spacing w:before="0" w:beforeAutospacing="0" w:after="0" w:afterAutospacing="0"/>
              <w:divId w:val="2108692823"/>
              <w:rPr>
                <w:sz w:val="20"/>
                <w:szCs w:val="20"/>
              </w:rPr>
            </w:pPr>
            <w:r>
              <w:rPr>
                <w:sz w:val="2"/>
                <w:szCs w:val="2"/>
              </w:rPr>
              <w:t>​</w:t>
            </w:r>
          </w:p>
        </w:tc>
        <w:tc>
          <w:tcPr>
            <w:tcW w:w="88" w:type="pct"/>
            <w:noWrap/>
            <w:tcMar>
              <w:top w:w="0" w:type="dxa"/>
              <w:left w:w="0" w:type="dxa"/>
              <w:bottom w:w="0" w:type="dxa"/>
              <w:right w:w="0" w:type="dxa"/>
            </w:tcMar>
            <w:vAlign w:val="bottom"/>
            <w:hideMark/>
          </w:tcPr>
          <w:p w14:paraId="70A3B2DC" w14:textId="77777777" w:rsidR="00000000" w:rsidRDefault="00097612">
            <w:pPr>
              <w:pStyle w:val="a3"/>
              <w:spacing w:before="0" w:beforeAutospacing="0" w:after="0" w:afterAutospacing="0"/>
              <w:divId w:val="885720983"/>
              <w:rPr>
                <w:sz w:val="20"/>
                <w:szCs w:val="20"/>
              </w:rPr>
            </w:pPr>
            <w:r>
              <w:rPr>
                <w:sz w:val="2"/>
                <w:szCs w:val="2"/>
              </w:rPr>
              <w:t>​</w:t>
            </w:r>
          </w:p>
        </w:tc>
        <w:tc>
          <w:tcPr>
            <w:tcW w:w="412" w:type="pct"/>
            <w:noWrap/>
            <w:tcMar>
              <w:top w:w="0" w:type="dxa"/>
              <w:left w:w="0" w:type="dxa"/>
              <w:bottom w:w="0" w:type="dxa"/>
              <w:right w:w="0" w:type="dxa"/>
            </w:tcMar>
            <w:vAlign w:val="bottom"/>
            <w:hideMark/>
          </w:tcPr>
          <w:p w14:paraId="531182A7" w14:textId="77777777" w:rsidR="00000000" w:rsidRDefault="00097612">
            <w:pPr>
              <w:pStyle w:val="a3"/>
              <w:spacing w:before="0" w:beforeAutospacing="0" w:after="0" w:afterAutospacing="0"/>
              <w:divId w:val="1306549494"/>
              <w:rPr>
                <w:sz w:val="20"/>
                <w:szCs w:val="20"/>
              </w:rPr>
            </w:pPr>
            <w:r>
              <w:rPr>
                <w:sz w:val="2"/>
                <w:szCs w:val="2"/>
              </w:rPr>
              <w:t>​</w:t>
            </w:r>
          </w:p>
        </w:tc>
        <w:tc>
          <w:tcPr>
            <w:tcW w:w="88" w:type="pct"/>
            <w:noWrap/>
            <w:tcMar>
              <w:top w:w="0" w:type="dxa"/>
              <w:left w:w="0" w:type="dxa"/>
              <w:bottom w:w="0" w:type="dxa"/>
              <w:right w:w="0" w:type="dxa"/>
            </w:tcMar>
            <w:vAlign w:val="bottom"/>
            <w:hideMark/>
          </w:tcPr>
          <w:p w14:paraId="61CE2DB0" w14:textId="77777777" w:rsidR="00000000" w:rsidRDefault="00097612">
            <w:pPr>
              <w:pStyle w:val="a3"/>
              <w:spacing w:before="0" w:beforeAutospacing="0" w:after="0" w:afterAutospacing="0"/>
              <w:divId w:val="597639270"/>
              <w:rPr>
                <w:sz w:val="20"/>
                <w:szCs w:val="20"/>
              </w:rPr>
            </w:pPr>
            <w:r>
              <w:rPr>
                <w:sz w:val="2"/>
                <w:szCs w:val="2"/>
              </w:rPr>
              <w:t>​</w:t>
            </w:r>
          </w:p>
        </w:tc>
        <w:tc>
          <w:tcPr>
            <w:tcW w:w="88" w:type="pct"/>
            <w:noWrap/>
            <w:tcMar>
              <w:top w:w="0" w:type="dxa"/>
              <w:left w:w="0" w:type="dxa"/>
              <w:bottom w:w="0" w:type="dxa"/>
              <w:right w:w="0" w:type="dxa"/>
            </w:tcMar>
            <w:vAlign w:val="bottom"/>
            <w:hideMark/>
          </w:tcPr>
          <w:p w14:paraId="3DBB9DCB" w14:textId="77777777" w:rsidR="00000000" w:rsidRDefault="00097612">
            <w:pPr>
              <w:pStyle w:val="a3"/>
              <w:spacing w:before="0" w:beforeAutospacing="0" w:after="0" w:afterAutospacing="0"/>
              <w:divId w:val="195705926"/>
              <w:rPr>
                <w:sz w:val="20"/>
                <w:szCs w:val="20"/>
              </w:rPr>
            </w:pPr>
            <w:r>
              <w:rPr>
                <w:sz w:val="2"/>
                <w:szCs w:val="2"/>
              </w:rPr>
              <w:t>​</w:t>
            </w:r>
          </w:p>
        </w:tc>
        <w:tc>
          <w:tcPr>
            <w:tcW w:w="412" w:type="pct"/>
            <w:noWrap/>
            <w:tcMar>
              <w:top w:w="0" w:type="dxa"/>
              <w:left w:w="0" w:type="dxa"/>
              <w:bottom w:w="0" w:type="dxa"/>
              <w:right w:w="0" w:type="dxa"/>
            </w:tcMar>
            <w:vAlign w:val="bottom"/>
            <w:hideMark/>
          </w:tcPr>
          <w:p w14:paraId="61A13AF4" w14:textId="77777777" w:rsidR="00000000" w:rsidRDefault="00097612">
            <w:pPr>
              <w:pStyle w:val="a3"/>
              <w:spacing w:before="0" w:beforeAutospacing="0" w:after="0" w:afterAutospacing="0"/>
              <w:divId w:val="1745492583"/>
              <w:rPr>
                <w:sz w:val="20"/>
                <w:szCs w:val="20"/>
              </w:rPr>
            </w:pPr>
            <w:r>
              <w:rPr>
                <w:sz w:val="2"/>
                <w:szCs w:val="2"/>
              </w:rPr>
              <w:t>​</w:t>
            </w:r>
          </w:p>
        </w:tc>
        <w:tc>
          <w:tcPr>
            <w:tcW w:w="86" w:type="pct"/>
            <w:noWrap/>
            <w:tcMar>
              <w:top w:w="0" w:type="dxa"/>
              <w:left w:w="0" w:type="dxa"/>
              <w:bottom w:w="0" w:type="dxa"/>
              <w:right w:w="0" w:type="dxa"/>
            </w:tcMar>
            <w:vAlign w:val="bottom"/>
            <w:hideMark/>
          </w:tcPr>
          <w:p w14:paraId="015F840D" w14:textId="77777777" w:rsidR="00000000" w:rsidRDefault="00097612">
            <w:pPr>
              <w:pStyle w:val="a3"/>
              <w:spacing w:before="0" w:beforeAutospacing="0" w:after="0" w:afterAutospacing="0"/>
              <w:divId w:val="1153718486"/>
              <w:rPr>
                <w:sz w:val="20"/>
                <w:szCs w:val="20"/>
              </w:rPr>
            </w:pPr>
            <w:r>
              <w:rPr>
                <w:sz w:val="2"/>
                <w:szCs w:val="2"/>
              </w:rPr>
              <w:t>​</w:t>
            </w:r>
          </w:p>
        </w:tc>
      </w:tr>
      <w:tr w:rsidR="00000000" w14:paraId="69A77C0B" w14:textId="77777777">
        <w:trPr>
          <w:divId w:val="413936982"/>
        </w:trPr>
        <w:tc>
          <w:tcPr>
            <w:tcW w:w="2640" w:type="pct"/>
            <w:shd w:val="clear" w:color="auto" w:fill="auto"/>
            <w:tcMar>
              <w:top w:w="0" w:type="dxa"/>
              <w:left w:w="0" w:type="dxa"/>
              <w:bottom w:w="0" w:type="dxa"/>
              <w:right w:w="0" w:type="dxa"/>
            </w:tcMar>
            <w:vAlign w:val="bottom"/>
            <w:hideMark/>
          </w:tcPr>
          <w:p w14:paraId="3140DF68" w14:textId="77777777" w:rsidR="00000000" w:rsidRDefault="00097612">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14:paraId="20C771F3" w14:textId="77777777" w:rsidR="00000000" w:rsidRDefault="00097612">
            <w:pPr>
              <w:pStyle w:val="a3"/>
              <w:spacing w:before="0" w:beforeAutospacing="0" w:after="0" w:afterAutospacing="0"/>
              <w:rPr>
                <w:sz w:val="20"/>
                <w:szCs w:val="20"/>
              </w:rPr>
            </w:pPr>
            <w:r>
              <w:rPr>
                <w:b/>
                <w:bCs/>
                <w:sz w:val="16"/>
                <w:szCs w:val="16"/>
              </w:rPr>
              <w:t>​</w:t>
            </w:r>
          </w:p>
        </w:tc>
        <w:tc>
          <w:tcPr>
            <w:tcW w:w="1004" w:type="pct"/>
            <w:gridSpan w:val="5"/>
            <w:shd w:val="clear" w:color="auto" w:fill="auto"/>
            <w:noWrap/>
            <w:tcMar>
              <w:top w:w="0" w:type="dxa"/>
              <w:left w:w="0" w:type="dxa"/>
              <w:bottom w:w="0" w:type="dxa"/>
              <w:right w:w="0" w:type="dxa"/>
            </w:tcMar>
            <w:vAlign w:val="bottom"/>
            <w:hideMark/>
          </w:tcPr>
          <w:p w14:paraId="1E6B309A"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88" w:type="pct"/>
            <w:shd w:val="clear" w:color="auto" w:fill="auto"/>
            <w:noWrap/>
            <w:tcMar>
              <w:top w:w="0" w:type="dxa"/>
              <w:left w:w="0" w:type="dxa"/>
              <w:bottom w:w="0" w:type="dxa"/>
              <w:right w:w="0" w:type="dxa"/>
            </w:tcMar>
            <w:vAlign w:val="bottom"/>
            <w:hideMark/>
          </w:tcPr>
          <w:p w14:paraId="113435B3" w14:textId="77777777" w:rsidR="00000000" w:rsidRDefault="00097612">
            <w:pPr>
              <w:pStyle w:val="a3"/>
              <w:spacing w:before="0" w:beforeAutospacing="0" w:after="0" w:afterAutospacing="0"/>
              <w:rPr>
                <w:sz w:val="20"/>
                <w:szCs w:val="20"/>
              </w:rPr>
            </w:pPr>
            <w:r>
              <w:rPr>
                <w:b/>
                <w:bCs/>
                <w:sz w:val="16"/>
                <w:szCs w:val="16"/>
              </w:rPr>
              <w:t>​</w:t>
            </w:r>
          </w:p>
        </w:tc>
        <w:tc>
          <w:tcPr>
            <w:tcW w:w="1091" w:type="pct"/>
            <w:gridSpan w:val="5"/>
            <w:shd w:val="clear" w:color="auto" w:fill="auto"/>
            <w:noWrap/>
            <w:tcMar>
              <w:top w:w="0" w:type="dxa"/>
              <w:left w:w="0" w:type="dxa"/>
              <w:bottom w:w="0" w:type="dxa"/>
              <w:right w:w="0" w:type="dxa"/>
            </w:tcMar>
            <w:vAlign w:val="bottom"/>
            <w:hideMark/>
          </w:tcPr>
          <w:p w14:paraId="1AFCDEE2"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86" w:type="pct"/>
            <w:shd w:val="clear" w:color="auto" w:fill="auto"/>
            <w:noWrap/>
            <w:tcMar>
              <w:top w:w="0" w:type="dxa"/>
              <w:left w:w="0" w:type="dxa"/>
              <w:bottom w:w="0" w:type="dxa"/>
              <w:right w:w="0" w:type="dxa"/>
            </w:tcMar>
            <w:vAlign w:val="bottom"/>
            <w:hideMark/>
          </w:tcPr>
          <w:p w14:paraId="71FF492F" w14:textId="77777777" w:rsidR="00000000" w:rsidRDefault="00097612">
            <w:pPr>
              <w:pStyle w:val="a3"/>
              <w:spacing w:before="0" w:beforeAutospacing="0" w:after="0" w:afterAutospacing="0"/>
              <w:rPr>
                <w:sz w:val="20"/>
                <w:szCs w:val="20"/>
              </w:rPr>
            </w:pPr>
            <w:r>
              <w:rPr>
                <w:b/>
                <w:bCs/>
                <w:sz w:val="16"/>
                <w:szCs w:val="16"/>
              </w:rPr>
              <w:t>​</w:t>
            </w:r>
          </w:p>
        </w:tc>
      </w:tr>
      <w:tr w:rsidR="00000000" w14:paraId="0EFA8756" w14:textId="77777777">
        <w:trPr>
          <w:divId w:val="413936982"/>
        </w:trPr>
        <w:tc>
          <w:tcPr>
            <w:tcW w:w="2640" w:type="pct"/>
            <w:shd w:val="clear" w:color="auto" w:fill="auto"/>
            <w:tcMar>
              <w:top w:w="0" w:type="dxa"/>
              <w:left w:w="0" w:type="dxa"/>
              <w:bottom w:w="0" w:type="dxa"/>
              <w:right w:w="0" w:type="dxa"/>
            </w:tcMar>
            <w:vAlign w:val="bottom"/>
            <w:hideMark/>
          </w:tcPr>
          <w:p w14:paraId="594EA875" w14:textId="77777777" w:rsidR="00000000" w:rsidRDefault="00097612">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14:paraId="39A17103" w14:textId="77777777" w:rsidR="00000000" w:rsidRDefault="00097612">
            <w:pPr>
              <w:pStyle w:val="a3"/>
              <w:spacing w:before="0" w:beforeAutospacing="0" w:after="0" w:afterAutospacing="0"/>
              <w:rPr>
                <w:sz w:val="20"/>
                <w:szCs w:val="20"/>
              </w:rPr>
            </w:pPr>
            <w:r>
              <w:rPr>
                <w:b/>
                <w:bCs/>
                <w:sz w:val="16"/>
                <w:szCs w:val="16"/>
              </w:rPr>
              <w:t>​</w:t>
            </w:r>
          </w:p>
        </w:tc>
        <w:tc>
          <w:tcPr>
            <w:tcW w:w="1004" w:type="pct"/>
            <w:gridSpan w:val="5"/>
            <w:tcBorders>
              <w:bottom w:val="single" w:sz="6" w:space="0" w:color="000000"/>
            </w:tcBorders>
            <w:shd w:val="clear" w:color="auto" w:fill="auto"/>
            <w:tcMar>
              <w:top w:w="0" w:type="dxa"/>
              <w:left w:w="0" w:type="dxa"/>
              <w:bottom w:w="0" w:type="dxa"/>
              <w:right w:w="0" w:type="dxa"/>
            </w:tcMar>
            <w:vAlign w:val="bottom"/>
            <w:hideMark/>
          </w:tcPr>
          <w:p w14:paraId="01795822"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88" w:type="pct"/>
            <w:shd w:val="clear" w:color="auto" w:fill="auto"/>
            <w:noWrap/>
            <w:tcMar>
              <w:top w:w="0" w:type="dxa"/>
              <w:left w:w="0" w:type="dxa"/>
              <w:bottom w:w="0" w:type="dxa"/>
              <w:right w:w="0" w:type="dxa"/>
            </w:tcMar>
            <w:vAlign w:val="bottom"/>
            <w:hideMark/>
          </w:tcPr>
          <w:p w14:paraId="2736D43D" w14:textId="77777777" w:rsidR="00000000" w:rsidRDefault="00097612">
            <w:pPr>
              <w:pStyle w:val="a3"/>
              <w:spacing w:before="0" w:beforeAutospacing="0" w:after="0" w:afterAutospacing="0"/>
              <w:rPr>
                <w:sz w:val="20"/>
                <w:szCs w:val="20"/>
              </w:rPr>
            </w:pPr>
            <w:r>
              <w:rPr>
                <w:b/>
                <w:bCs/>
                <w:sz w:val="16"/>
                <w:szCs w:val="16"/>
              </w:rPr>
              <w:t>​</w:t>
            </w:r>
          </w:p>
        </w:tc>
        <w:tc>
          <w:tcPr>
            <w:tcW w:w="1091" w:type="pct"/>
            <w:gridSpan w:val="5"/>
            <w:tcBorders>
              <w:bottom w:val="single" w:sz="6" w:space="0" w:color="000000"/>
            </w:tcBorders>
            <w:shd w:val="clear" w:color="auto" w:fill="auto"/>
            <w:tcMar>
              <w:top w:w="0" w:type="dxa"/>
              <w:left w:w="0" w:type="dxa"/>
              <w:bottom w:w="0" w:type="dxa"/>
              <w:right w:w="0" w:type="dxa"/>
            </w:tcMar>
            <w:vAlign w:val="bottom"/>
            <w:hideMark/>
          </w:tcPr>
          <w:p w14:paraId="7D78F15D"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86" w:type="pct"/>
            <w:shd w:val="clear" w:color="auto" w:fill="auto"/>
            <w:noWrap/>
            <w:tcMar>
              <w:top w:w="0" w:type="dxa"/>
              <w:left w:w="0" w:type="dxa"/>
              <w:bottom w:w="0" w:type="dxa"/>
              <w:right w:w="0" w:type="dxa"/>
            </w:tcMar>
            <w:vAlign w:val="bottom"/>
            <w:hideMark/>
          </w:tcPr>
          <w:p w14:paraId="23D073E3" w14:textId="77777777" w:rsidR="00000000" w:rsidRDefault="00097612">
            <w:pPr>
              <w:pStyle w:val="a3"/>
              <w:spacing w:before="0" w:beforeAutospacing="0" w:after="0" w:afterAutospacing="0"/>
              <w:rPr>
                <w:sz w:val="20"/>
                <w:szCs w:val="20"/>
              </w:rPr>
            </w:pPr>
            <w:r>
              <w:rPr>
                <w:b/>
                <w:bCs/>
                <w:sz w:val="16"/>
                <w:szCs w:val="16"/>
              </w:rPr>
              <w:t>​</w:t>
            </w:r>
          </w:p>
        </w:tc>
      </w:tr>
      <w:tr w:rsidR="00000000" w14:paraId="52EB14F6" w14:textId="77777777">
        <w:trPr>
          <w:divId w:val="413936982"/>
        </w:trPr>
        <w:tc>
          <w:tcPr>
            <w:tcW w:w="2640" w:type="pct"/>
            <w:shd w:val="clear" w:color="auto" w:fill="auto"/>
            <w:tcMar>
              <w:top w:w="0" w:type="dxa"/>
              <w:left w:w="0" w:type="dxa"/>
              <w:bottom w:w="0" w:type="dxa"/>
              <w:right w:w="0" w:type="dxa"/>
            </w:tcMar>
            <w:vAlign w:val="bottom"/>
            <w:hideMark/>
          </w:tcPr>
          <w:p w14:paraId="3C26A6BD" w14:textId="77777777" w:rsidR="00000000" w:rsidRDefault="00097612">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14:paraId="31D778DA" w14:textId="77777777" w:rsidR="00000000" w:rsidRDefault="00097612">
            <w:pPr>
              <w:pStyle w:val="a3"/>
              <w:spacing w:before="0" w:beforeAutospacing="0" w:after="0" w:afterAutospacing="0"/>
              <w:rPr>
                <w:sz w:val="16"/>
                <w:szCs w:val="16"/>
              </w:rPr>
            </w:pPr>
            <w:r>
              <w:rPr>
                <w:b/>
                <w:bCs/>
                <w:sz w:val="16"/>
                <w:szCs w:val="16"/>
              </w:rPr>
              <w:t>    </w:t>
            </w:r>
          </w:p>
        </w:tc>
        <w:tc>
          <w:tcPr>
            <w:tcW w:w="457" w:type="pct"/>
            <w:gridSpan w:val="2"/>
            <w:tcBorders>
              <w:bottom w:val="single" w:sz="6" w:space="0" w:color="000000"/>
            </w:tcBorders>
            <w:shd w:val="clear" w:color="auto" w:fill="auto"/>
            <w:noWrap/>
            <w:tcMar>
              <w:top w:w="0" w:type="dxa"/>
              <w:left w:w="0" w:type="dxa"/>
              <w:bottom w:w="0" w:type="dxa"/>
              <w:right w:w="0" w:type="dxa"/>
            </w:tcMar>
            <w:vAlign w:val="bottom"/>
            <w:hideMark/>
          </w:tcPr>
          <w:p w14:paraId="32441505" w14:textId="77777777" w:rsidR="00000000" w:rsidRDefault="00097612">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14:paraId="78E721C7" w14:textId="77777777" w:rsidR="00000000" w:rsidRDefault="00097612">
            <w:pPr>
              <w:pStyle w:val="a3"/>
              <w:spacing w:before="0" w:beforeAutospacing="0" w:after="0" w:afterAutospacing="0"/>
              <w:rPr>
                <w:sz w:val="16"/>
                <w:szCs w:val="16"/>
              </w:rPr>
            </w:pPr>
            <w:r>
              <w:rPr>
                <w:b/>
                <w:bCs/>
                <w:sz w:val="16"/>
                <w:szCs w:val="16"/>
              </w:rPr>
              <w:t>    </w:t>
            </w:r>
          </w:p>
        </w:tc>
        <w:tc>
          <w:tcPr>
            <w:tcW w:w="458" w:type="pct"/>
            <w:gridSpan w:val="2"/>
            <w:tcBorders>
              <w:bottom w:val="single" w:sz="6" w:space="0" w:color="000000"/>
            </w:tcBorders>
            <w:shd w:val="clear" w:color="auto" w:fill="auto"/>
            <w:noWrap/>
            <w:tcMar>
              <w:top w:w="0" w:type="dxa"/>
              <w:left w:w="0" w:type="dxa"/>
              <w:bottom w:w="0" w:type="dxa"/>
              <w:right w:w="0" w:type="dxa"/>
            </w:tcMar>
            <w:vAlign w:val="bottom"/>
            <w:hideMark/>
          </w:tcPr>
          <w:p w14:paraId="5607BBA3" w14:textId="77777777" w:rsidR="00000000" w:rsidRDefault="00097612">
            <w:pPr>
              <w:pStyle w:val="a3"/>
              <w:spacing w:before="0" w:beforeAutospacing="0" w:after="0" w:afterAutospacing="0"/>
              <w:jc w:val="center"/>
              <w:rPr>
                <w:sz w:val="16"/>
                <w:szCs w:val="16"/>
              </w:rPr>
            </w:pPr>
            <w:r>
              <w:rPr>
                <w:b/>
                <w:bCs/>
                <w:sz w:val="16"/>
                <w:szCs w:val="16"/>
              </w:rPr>
              <w:t>2018</w:t>
            </w:r>
          </w:p>
        </w:tc>
        <w:tc>
          <w:tcPr>
            <w:tcW w:w="88" w:type="pct"/>
            <w:shd w:val="clear" w:color="auto" w:fill="auto"/>
            <w:noWrap/>
            <w:tcMar>
              <w:top w:w="0" w:type="dxa"/>
              <w:left w:w="0" w:type="dxa"/>
              <w:bottom w:w="0" w:type="dxa"/>
              <w:right w:w="0" w:type="dxa"/>
            </w:tcMar>
            <w:vAlign w:val="bottom"/>
            <w:hideMark/>
          </w:tcPr>
          <w:p w14:paraId="01B64F3C" w14:textId="77777777" w:rsidR="00000000" w:rsidRDefault="00097612">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shd w:val="clear" w:color="auto" w:fill="auto"/>
            <w:noWrap/>
            <w:tcMar>
              <w:top w:w="0" w:type="dxa"/>
              <w:left w:w="0" w:type="dxa"/>
              <w:bottom w:w="0" w:type="dxa"/>
              <w:right w:w="0" w:type="dxa"/>
            </w:tcMar>
            <w:vAlign w:val="bottom"/>
            <w:hideMark/>
          </w:tcPr>
          <w:p w14:paraId="4A0A5D4E" w14:textId="77777777" w:rsidR="00000000" w:rsidRDefault="00097612">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14:paraId="0AAA4F22" w14:textId="77777777" w:rsidR="00000000" w:rsidRDefault="00097612">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shd w:val="clear" w:color="auto" w:fill="auto"/>
            <w:noWrap/>
            <w:tcMar>
              <w:top w:w="0" w:type="dxa"/>
              <w:left w:w="0" w:type="dxa"/>
              <w:bottom w:w="0" w:type="dxa"/>
              <w:right w:w="0" w:type="dxa"/>
            </w:tcMar>
            <w:vAlign w:val="bottom"/>
            <w:hideMark/>
          </w:tcPr>
          <w:p w14:paraId="42AA9502" w14:textId="77777777" w:rsidR="00000000" w:rsidRDefault="00097612">
            <w:pPr>
              <w:pStyle w:val="a3"/>
              <w:spacing w:before="0" w:beforeAutospacing="0" w:after="0" w:afterAutospacing="0"/>
              <w:jc w:val="center"/>
              <w:rPr>
                <w:sz w:val="16"/>
                <w:szCs w:val="16"/>
              </w:rPr>
            </w:pPr>
            <w:r>
              <w:rPr>
                <w:b/>
                <w:bCs/>
                <w:sz w:val="16"/>
                <w:szCs w:val="16"/>
              </w:rPr>
              <w:t>2018</w:t>
            </w:r>
          </w:p>
        </w:tc>
        <w:tc>
          <w:tcPr>
            <w:tcW w:w="86" w:type="pct"/>
            <w:shd w:val="clear" w:color="auto" w:fill="auto"/>
            <w:noWrap/>
            <w:tcMar>
              <w:top w:w="0" w:type="dxa"/>
              <w:left w:w="0" w:type="dxa"/>
              <w:bottom w:w="0" w:type="dxa"/>
              <w:right w:w="0" w:type="dxa"/>
            </w:tcMar>
            <w:vAlign w:val="bottom"/>
            <w:hideMark/>
          </w:tcPr>
          <w:p w14:paraId="25233669" w14:textId="77777777" w:rsidR="00000000" w:rsidRDefault="00097612">
            <w:pPr>
              <w:pStyle w:val="a3"/>
              <w:spacing w:before="0" w:beforeAutospacing="0" w:after="0" w:afterAutospacing="0"/>
              <w:rPr>
                <w:sz w:val="16"/>
                <w:szCs w:val="16"/>
              </w:rPr>
            </w:pPr>
            <w:r>
              <w:rPr>
                <w:b/>
                <w:bCs/>
                <w:sz w:val="16"/>
                <w:szCs w:val="16"/>
              </w:rPr>
              <w:t>    </w:t>
            </w:r>
          </w:p>
        </w:tc>
      </w:tr>
      <w:tr w:rsidR="00000000" w14:paraId="32D64551" w14:textId="77777777">
        <w:trPr>
          <w:divId w:val="413936982"/>
        </w:trPr>
        <w:tc>
          <w:tcPr>
            <w:tcW w:w="2640" w:type="pct"/>
            <w:shd w:val="clear" w:color="auto" w:fill="auto"/>
            <w:noWrap/>
            <w:tcMar>
              <w:top w:w="0" w:type="dxa"/>
              <w:left w:w="0" w:type="dxa"/>
              <w:bottom w:w="0" w:type="dxa"/>
              <w:right w:w="0" w:type="dxa"/>
            </w:tcMar>
            <w:vAlign w:val="bottom"/>
            <w:hideMark/>
          </w:tcPr>
          <w:p w14:paraId="1F9011C3"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auto"/>
            <w:noWrap/>
            <w:tcMar>
              <w:top w:w="0" w:type="dxa"/>
              <w:left w:w="0" w:type="dxa"/>
              <w:bottom w:w="0" w:type="dxa"/>
              <w:right w:w="0" w:type="dxa"/>
            </w:tcMar>
            <w:vAlign w:val="bottom"/>
            <w:hideMark/>
          </w:tcPr>
          <w:p w14:paraId="75062AFF" w14:textId="77777777" w:rsidR="00000000" w:rsidRDefault="00097612">
            <w:pPr>
              <w:pStyle w:val="a3"/>
              <w:spacing w:before="0" w:beforeAutospacing="0" w:after="0" w:afterAutospacing="0"/>
              <w:rPr>
                <w:sz w:val="20"/>
                <w:szCs w:val="20"/>
              </w:rPr>
            </w:pPr>
            <w:r>
              <w:rPr>
                <w:b/>
                <w:bCs/>
                <w:sz w:val="20"/>
                <w:szCs w:val="20"/>
              </w:rPr>
              <w:t>​</w:t>
            </w:r>
          </w:p>
        </w:tc>
        <w:tc>
          <w:tcPr>
            <w:tcW w:w="87" w:type="pct"/>
            <w:shd w:val="clear" w:color="auto" w:fill="auto"/>
            <w:noWrap/>
            <w:tcMar>
              <w:top w:w="0" w:type="dxa"/>
              <w:left w:w="0" w:type="dxa"/>
              <w:bottom w:w="0" w:type="dxa"/>
              <w:right w:w="0" w:type="dxa"/>
            </w:tcMar>
            <w:vAlign w:val="bottom"/>
            <w:hideMark/>
          </w:tcPr>
          <w:p w14:paraId="08AC6B95" w14:textId="77777777" w:rsidR="00000000" w:rsidRDefault="00097612">
            <w:pPr>
              <w:pStyle w:val="a3"/>
              <w:spacing w:before="0" w:beforeAutospacing="0" w:after="0" w:afterAutospacing="0"/>
              <w:jc w:val="center"/>
              <w:rPr>
                <w:sz w:val="20"/>
                <w:szCs w:val="20"/>
              </w:rPr>
            </w:pPr>
            <w:r>
              <w:rPr>
                <w:b/>
                <w:bCs/>
                <w:sz w:val="20"/>
                <w:szCs w:val="20"/>
              </w:rPr>
              <w:t>​</w:t>
            </w:r>
          </w:p>
        </w:tc>
        <w:tc>
          <w:tcPr>
            <w:tcW w:w="369" w:type="pct"/>
            <w:shd w:val="clear" w:color="auto" w:fill="auto"/>
            <w:noWrap/>
            <w:tcMar>
              <w:top w:w="0" w:type="dxa"/>
              <w:left w:w="0" w:type="dxa"/>
              <w:bottom w:w="0" w:type="dxa"/>
              <w:right w:w="0" w:type="dxa"/>
            </w:tcMar>
            <w:vAlign w:val="bottom"/>
            <w:hideMark/>
          </w:tcPr>
          <w:p w14:paraId="59A7D8D1" w14:textId="77777777" w:rsidR="00000000" w:rsidRDefault="00097612">
            <w:pPr>
              <w:pStyle w:val="a3"/>
              <w:spacing w:before="0" w:beforeAutospacing="0" w:after="0" w:afterAutospacing="0"/>
              <w:jc w:val="right"/>
              <w:rPr>
                <w:sz w:val="20"/>
                <w:szCs w:val="20"/>
              </w:rPr>
            </w:pPr>
            <w:r>
              <w:rPr>
                <w:b/>
                <w:bCs/>
                <w:sz w:val="20"/>
                <w:szCs w:val="20"/>
              </w:rPr>
              <w:t>​</w:t>
            </w:r>
          </w:p>
        </w:tc>
        <w:tc>
          <w:tcPr>
            <w:tcW w:w="88" w:type="pct"/>
            <w:shd w:val="clear" w:color="auto" w:fill="auto"/>
            <w:noWrap/>
            <w:tcMar>
              <w:top w:w="0" w:type="dxa"/>
              <w:left w:w="0" w:type="dxa"/>
              <w:bottom w:w="0" w:type="dxa"/>
              <w:right w:w="0" w:type="dxa"/>
            </w:tcMar>
            <w:vAlign w:val="bottom"/>
            <w:hideMark/>
          </w:tcPr>
          <w:p w14:paraId="1735B1C7" w14:textId="77777777" w:rsidR="00000000" w:rsidRDefault="00097612">
            <w:pPr>
              <w:pStyle w:val="a3"/>
              <w:spacing w:before="0" w:beforeAutospacing="0" w:after="0" w:afterAutospacing="0"/>
              <w:rPr>
                <w:sz w:val="20"/>
                <w:szCs w:val="20"/>
              </w:rPr>
            </w:pPr>
            <w:r>
              <w:rPr>
                <w:b/>
                <w:bCs/>
                <w:sz w:val="20"/>
                <w:szCs w:val="20"/>
              </w:rPr>
              <w:t>​</w:t>
            </w:r>
          </w:p>
        </w:tc>
        <w:tc>
          <w:tcPr>
            <w:tcW w:w="458" w:type="pct"/>
            <w:gridSpan w:val="2"/>
            <w:shd w:val="clear" w:color="auto" w:fill="auto"/>
            <w:noWrap/>
            <w:tcMar>
              <w:top w:w="0" w:type="dxa"/>
              <w:left w:w="0" w:type="dxa"/>
              <w:bottom w:w="0" w:type="dxa"/>
              <w:right w:w="0" w:type="dxa"/>
            </w:tcMar>
            <w:vAlign w:val="bottom"/>
            <w:hideMark/>
          </w:tcPr>
          <w:p w14:paraId="01F1EFB2" w14:textId="77777777" w:rsidR="00000000" w:rsidRDefault="00097612">
            <w:pPr>
              <w:pStyle w:val="a3"/>
              <w:spacing w:before="0" w:beforeAutospacing="0" w:after="0" w:afterAutospacing="0"/>
              <w:jc w:val="center"/>
              <w:rPr>
                <w:sz w:val="20"/>
                <w:szCs w:val="20"/>
              </w:rPr>
            </w:pPr>
            <w:r>
              <w:rPr>
                <w:b/>
                <w:bCs/>
                <w:sz w:val="20"/>
                <w:szCs w:val="20"/>
              </w:rPr>
              <w:t>​</w:t>
            </w:r>
          </w:p>
        </w:tc>
        <w:tc>
          <w:tcPr>
            <w:tcW w:w="88" w:type="pct"/>
            <w:shd w:val="clear" w:color="auto" w:fill="auto"/>
            <w:noWrap/>
            <w:tcMar>
              <w:top w:w="0" w:type="dxa"/>
              <w:left w:w="0" w:type="dxa"/>
              <w:bottom w:w="0" w:type="dxa"/>
              <w:right w:w="0" w:type="dxa"/>
            </w:tcMar>
            <w:vAlign w:val="bottom"/>
            <w:hideMark/>
          </w:tcPr>
          <w:p w14:paraId="39852F52" w14:textId="77777777" w:rsidR="00000000" w:rsidRDefault="00097612">
            <w:pPr>
              <w:pStyle w:val="a3"/>
              <w:spacing w:before="0" w:beforeAutospacing="0" w:after="0" w:afterAutospacing="0"/>
              <w:rPr>
                <w:sz w:val="20"/>
                <w:szCs w:val="20"/>
              </w:rPr>
            </w:pPr>
            <w:r>
              <w:rPr>
                <w:b/>
                <w:bCs/>
                <w:sz w:val="20"/>
                <w:szCs w:val="20"/>
              </w:rPr>
              <w:t>​</w:t>
            </w:r>
          </w:p>
        </w:tc>
        <w:tc>
          <w:tcPr>
            <w:tcW w:w="88" w:type="pct"/>
            <w:shd w:val="clear" w:color="auto" w:fill="auto"/>
            <w:noWrap/>
            <w:tcMar>
              <w:top w:w="0" w:type="dxa"/>
              <w:left w:w="0" w:type="dxa"/>
              <w:bottom w:w="0" w:type="dxa"/>
              <w:right w:w="0" w:type="dxa"/>
            </w:tcMar>
            <w:vAlign w:val="bottom"/>
            <w:hideMark/>
          </w:tcPr>
          <w:p w14:paraId="45752459" w14:textId="77777777" w:rsidR="00000000" w:rsidRDefault="00097612">
            <w:pPr>
              <w:pStyle w:val="a3"/>
              <w:spacing w:before="0" w:beforeAutospacing="0" w:after="0" w:afterAutospacing="0"/>
              <w:jc w:val="center"/>
              <w:rPr>
                <w:sz w:val="20"/>
                <w:szCs w:val="20"/>
              </w:rPr>
            </w:pPr>
            <w:r>
              <w:rPr>
                <w:b/>
                <w:bCs/>
                <w:sz w:val="20"/>
                <w:szCs w:val="20"/>
              </w:rPr>
              <w:t>​</w:t>
            </w:r>
          </w:p>
        </w:tc>
        <w:tc>
          <w:tcPr>
            <w:tcW w:w="412" w:type="pct"/>
            <w:shd w:val="clear" w:color="auto" w:fill="auto"/>
            <w:noWrap/>
            <w:tcMar>
              <w:top w:w="0" w:type="dxa"/>
              <w:left w:w="0" w:type="dxa"/>
              <w:bottom w:w="0" w:type="dxa"/>
              <w:right w:w="0" w:type="dxa"/>
            </w:tcMar>
            <w:vAlign w:val="bottom"/>
            <w:hideMark/>
          </w:tcPr>
          <w:p w14:paraId="3A0046B8" w14:textId="77777777" w:rsidR="00000000" w:rsidRDefault="00097612">
            <w:pPr>
              <w:pStyle w:val="a3"/>
              <w:spacing w:before="0" w:beforeAutospacing="0" w:after="0" w:afterAutospacing="0"/>
              <w:jc w:val="right"/>
              <w:rPr>
                <w:sz w:val="20"/>
                <w:szCs w:val="20"/>
              </w:rPr>
            </w:pPr>
            <w:r>
              <w:rPr>
                <w:b/>
                <w:bCs/>
                <w:sz w:val="20"/>
                <w:szCs w:val="20"/>
              </w:rPr>
              <w:t>​</w:t>
            </w:r>
          </w:p>
        </w:tc>
        <w:tc>
          <w:tcPr>
            <w:tcW w:w="88" w:type="pct"/>
            <w:shd w:val="clear" w:color="auto" w:fill="auto"/>
            <w:noWrap/>
            <w:tcMar>
              <w:top w:w="0" w:type="dxa"/>
              <w:left w:w="0" w:type="dxa"/>
              <w:bottom w:w="0" w:type="dxa"/>
              <w:right w:w="0" w:type="dxa"/>
            </w:tcMar>
            <w:vAlign w:val="bottom"/>
            <w:hideMark/>
          </w:tcPr>
          <w:p w14:paraId="37A5D943" w14:textId="77777777" w:rsidR="00000000" w:rsidRDefault="00097612">
            <w:pPr>
              <w:pStyle w:val="a3"/>
              <w:spacing w:before="0" w:beforeAutospacing="0" w:after="0" w:afterAutospacing="0"/>
              <w:rPr>
                <w:sz w:val="20"/>
                <w:szCs w:val="20"/>
              </w:rPr>
            </w:pPr>
            <w:r>
              <w:rPr>
                <w:b/>
                <w:bCs/>
                <w:sz w:val="20"/>
                <w:szCs w:val="20"/>
              </w:rPr>
              <w:t>​</w:t>
            </w:r>
          </w:p>
        </w:tc>
        <w:tc>
          <w:tcPr>
            <w:tcW w:w="501" w:type="pct"/>
            <w:gridSpan w:val="2"/>
            <w:shd w:val="clear" w:color="auto" w:fill="auto"/>
            <w:noWrap/>
            <w:tcMar>
              <w:top w:w="0" w:type="dxa"/>
              <w:left w:w="0" w:type="dxa"/>
              <w:bottom w:w="0" w:type="dxa"/>
              <w:right w:w="0" w:type="dxa"/>
            </w:tcMar>
            <w:vAlign w:val="bottom"/>
            <w:hideMark/>
          </w:tcPr>
          <w:p w14:paraId="708C9FB3" w14:textId="77777777" w:rsidR="00000000" w:rsidRDefault="00097612">
            <w:pPr>
              <w:pStyle w:val="a3"/>
              <w:spacing w:before="0" w:beforeAutospacing="0" w:after="0" w:afterAutospacing="0"/>
              <w:jc w:val="center"/>
              <w:rPr>
                <w:sz w:val="20"/>
                <w:szCs w:val="20"/>
              </w:rPr>
            </w:pPr>
            <w:r>
              <w:rPr>
                <w:b/>
                <w:bCs/>
                <w:sz w:val="20"/>
                <w:szCs w:val="20"/>
              </w:rPr>
              <w:t>​</w:t>
            </w:r>
          </w:p>
        </w:tc>
        <w:tc>
          <w:tcPr>
            <w:tcW w:w="86" w:type="pct"/>
            <w:shd w:val="clear" w:color="auto" w:fill="auto"/>
            <w:noWrap/>
            <w:tcMar>
              <w:top w:w="0" w:type="dxa"/>
              <w:left w:w="0" w:type="dxa"/>
              <w:bottom w:w="0" w:type="dxa"/>
              <w:right w:w="0" w:type="dxa"/>
            </w:tcMar>
            <w:vAlign w:val="bottom"/>
            <w:hideMark/>
          </w:tcPr>
          <w:p w14:paraId="5DD7975A" w14:textId="77777777" w:rsidR="00000000" w:rsidRDefault="00097612">
            <w:pPr>
              <w:pStyle w:val="a3"/>
              <w:spacing w:before="0" w:beforeAutospacing="0" w:after="0" w:afterAutospacing="0"/>
              <w:rPr>
                <w:sz w:val="20"/>
                <w:szCs w:val="20"/>
              </w:rPr>
            </w:pPr>
            <w:r>
              <w:rPr>
                <w:b/>
                <w:bCs/>
                <w:sz w:val="20"/>
                <w:szCs w:val="20"/>
              </w:rPr>
              <w:t>​</w:t>
            </w:r>
          </w:p>
        </w:tc>
      </w:tr>
      <w:tr w:rsidR="00000000" w14:paraId="4A2BD2EF" w14:textId="77777777">
        <w:trPr>
          <w:divId w:val="413936982"/>
        </w:trPr>
        <w:tc>
          <w:tcPr>
            <w:tcW w:w="2640" w:type="pct"/>
            <w:shd w:val="clear" w:color="auto" w:fill="CCEEFF"/>
            <w:tcMar>
              <w:top w:w="0" w:type="dxa"/>
              <w:left w:w="0" w:type="dxa"/>
              <w:bottom w:w="0" w:type="dxa"/>
              <w:right w:w="0" w:type="dxa"/>
            </w:tcMar>
            <w:vAlign w:val="bottom"/>
            <w:hideMark/>
          </w:tcPr>
          <w:p w14:paraId="612E044C" w14:textId="77777777" w:rsidR="00000000" w:rsidRDefault="00097612">
            <w:pPr>
              <w:pStyle w:val="a3"/>
              <w:spacing w:before="0" w:beforeAutospacing="0" w:after="0" w:afterAutospacing="0"/>
              <w:rPr>
                <w:sz w:val="20"/>
                <w:szCs w:val="20"/>
              </w:rPr>
            </w:pPr>
            <w:r>
              <w:rPr>
                <w:sz w:val="20"/>
                <w:szCs w:val="20"/>
              </w:rPr>
              <w:t>Revenue:</w:t>
            </w:r>
          </w:p>
        </w:tc>
        <w:tc>
          <w:tcPr>
            <w:tcW w:w="87" w:type="pct"/>
            <w:shd w:val="clear" w:color="auto" w:fill="CCEEFF"/>
            <w:noWrap/>
            <w:tcMar>
              <w:top w:w="0" w:type="dxa"/>
              <w:left w:w="0" w:type="dxa"/>
              <w:bottom w:w="0" w:type="dxa"/>
              <w:right w:w="0" w:type="dxa"/>
            </w:tcMar>
            <w:vAlign w:val="bottom"/>
            <w:hideMark/>
          </w:tcPr>
          <w:p w14:paraId="3D67C993" w14:textId="77777777" w:rsidR="00000000" w:rsidRDefault="00097612">
            <w:pPr>
              <w:pStyle w:val="a3"/>
              <w:spacing w:before="0" w:beforeAutospacing="0" w:after="0" w:afterAutospacing="0"/>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14:paraId="51ACF0CE" w14:textId="77777777" w:rsidR="00000000" w:rsidRDefault="00097612">
            <w:pPr>
              <w:pStyle w:val="a3"/>
              <w:spacing w:before="0" w:beforeAutospacing="0" w:after="0" w:afterAutospacing="0"/>
              <w:jc w:val="center"/>
              <w:rPr>
                <w:sz w:val="20"/>
                <w:szCs w:val="20"/>
              </w:rPr>
            </w:pPr>
            <w:r>
              <w:rPr>
                <w:b/>
                <w:bCs/>
                <w:sz w:val="20"/>
                <w:szCs w:val="20"/>
              </w:rPr>
              <w:t>​</w:t>
            </w:r>
          </w:p>
        </w:tc>
        <w:tc>
          <w:tcPr>
            <w:tcW w:w="369" w:type="pct"/>
            <w:shd w:val="clear" w:color="auto" w:fill="CCEEFF"/>
            <w:noWrap/>
            <w:tcMar>
              <w:top w:w="0" w:type="dxa"/>
              <w:left w:w="0" w:type="dxa"/>
              <w:bottom w:w="0" w:type="dxa"/>
              <w:right w:w="0" w:type="dxa"/>
            </w:tcMar>
            <w:vAlign w:val="bottom"/>
            <w:hideMark/>
          </w:tcPr>
          <w:p w14:paraId="729EF7F5" w14:textId="77777777" w:rsidR="00000000" w:rsidRDefault="00097612">
            <w:pPr>
              <w:pStyle w:val="a3"/>
              <w:spacing w:before="0" w:beforeAutospacing="0" w:after="0" w:afterAutospacing="0"/>
              <w:jc w:val="right"/>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579B6C23" w14:textId="77777777" w:rsidR="00000000" w:rsidRDefault="00097612">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0090578E" w14:textId="77777777" w:rsidR="00000000" w:rsidRDefault="00097612">
            <w:pPr>
              <w:pStyle w:val="a3"/>
              <w:spacing w:before="0" w:beforeAutospacing="0" w:after="0" w:afterAutospacing="0"/>
              <w:jc w:val="center"/>
              <w:rPr>
                <w:sz w:val="20"/>
                <w:szCs w:val="20"/>
              </w:rPr>
            </w:pPr>
            <w:r>
              <w:rPr>
                <w:b/>
                <w:bCs/>
                <w:sz w:val="20"/>
                <w:szCs w:val="20"/>
              </w:rPr>
              <w:t>​</w:t>
            </w:r>
          </w:p>
        </w:tc>
        <w:tc>
          <w:tcPr>
            <w:tcW w:w="369" w:type="pct"/>
            <w:shd w:val="clear" w:color="auto" w:fill="CCEEFF"/>
            <w:noWrap/>
            <w:tcMar>
              <w:top w:w="0" w:type="dxa"/>
              <w:left w:w="0" w:type="dxa"/>
              <w:bottom w:w="0" w:type="dxa"/>
              <w:right w:w="0" w:type="dxa"/>
            </w:tcMar>
            <w:vAlign w:val="bottom"/>
            <w:hideMark/>
          </w:tcPr>
          <w:p w14:paraId="3C7B9816" w14:textId="77777777" w:rsidR="00000000" w:rsidRDefault="00097612">
            <w:pPr>
              <w:pStyle w:val="a3"/>
              <w:spacing w:before="0" w:beforeAutospacing="0" w:after="0" w:afterAutospacing="0"/>
              <w:jc w:val="center"/>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6C8651FE" w14:textId="77777777" w:rsidR="00000000" w:rsidRDefault="00097612">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780465F2" w14:textId="77777777" w:rsidR="00000000" w:rsidRDefault="00097612">
            <w:pPr>
              <w:pStyle w:val="a3"/>
              <w:spacing w:before="0" w:beforeAutospacing="0" w:after="0" w:afterAutospacing="0"/>
              <w:jc w:val="center"/>
              <w:rPr>
                <w:sz w:val="20"/>
                <w:szCs w:val="20"/>
              </w:rPr>
            </w:pPr>
            <w:r>
              <w:rPr>
                <w:b/>
                <w:bCs/>
                <w:sz w:val="20"/>
                <w:szCs w:val="20"/>
              </w:rPr>
              <w:t>​</w:t>
            </w:r>
          </w:p>
        </w:tc>
        <w:tc>
          <w:tcPr>
            <w:tcW w:w="412" w:type="pct"/>
            <w:shd w:val="clear" w:color="auto" w:fill="CCEEFF"/>
            <w:noWrap/>
            <w:tcMar>
              <w:top w:w="0" w:type="dxa"/>
              <w:left w:w="0" w:type="dxa"/>
              <w:bottom w:w="0" w:type="dxa"/>
              <w:right w:w="0" w:type="dxa"/>
            </w:tcMar>
            <w:vAlign w:val="bottom"/>
            <w:hideMark/>
          </w:tcPr>
          <w:p w14:paraId="5BC7EBAD" w14:textId="77777777" w:rsidR="00000000" w:rsidRDefault="00097612">
            <w:pPr>
              <w:pStyle w:val="a3"/>
              <w:spacing w:before="0" w:beforeAutospacing="0" w:after="0" w:afterAutospacing="0"/>
              <w:jc w:val="right"/>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1FA921F1" w14:textId="77777777" w:rsidR="00000000" w:rsidRDefault="00097612">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3687E914" w14:textId="77777777" w:rsidR="00000000" w:rsidRDefault="00097612">
            <w:pPr>
              <w:pStyle w:val="a3"/>
              <w:spacing w:before="0" w:beforeAutospacing="0" w:after="0" w:afterAutospacing="0"/>
              <w:jc w:val="center"/>
              <w:rPr>
                <w:sz w:val="20"/>
                <w:szCs w:val="20"/>
              </w:rPr>
            </w:pPr>
            <w:r>
              <w:rPr>
                <w:b/>
                <w:bCs/>
                <w:sz w:val="20"/>
                <w:szCs w:val="20"/>
              </w:rPr>
              <w:t>​</w:t>
            </w:r>
          </w:p>
        </w:tc>
        <w:tc>
          <w:tcPr>
            <w:tcW w:w="412" w:type="pct"/>
            <w:shd w:val="clear" w:color="auto" w:fill="CCEEFF"/>
            <w:noWrap/>
            <w:tcMar>
              <w:top w:w="0" w:type="dxa"/>
              <w:left w:w="0" w:type="dxa"/>
              <w:bottom w:w="0" w:type="dxa"/>
              <w:right w:w="0" w:type="dxa"/>
            </w:tcMar>
            <w:vAlign w:val="bottom"/>
            <w:hideMark/>
          </w:tcPr>
          <w:p w14:paraId="17056588" w14:textId="77777777" w:rsidR="00000000" w:rsidRDefault="00097612">
            <w:pPr>
              <w:pStyle w:val="a3"/>
              <w:spacing w:before="0" w:beforeAutospacing="0" w:after="0" w:afterAutospacing="0"/>
              <w:jc w:val="center"/>
              <w:rPr>
                <w:sz w:val="20"/>
                <w:szCs w:val="20"/>
              </w:rPr>
            </w:pPr>
            <w:r>
              <w:rPr>
                <w:b/>
                <w:bCs/>
                <w:sz w:val="20"/>
                <w:szCs w:val="20"/>
              </w:rPr>
              <w:t>​</w:t>
            </w:r>
          </w:p>
        </w:tc>
        <w:tc>
          <w:tcPr>
            <w:tcW w:w="86" w:type="pct"/>
            <w:shd w:val="clear" w:color="auto" w:fill="CCEEFF"/>
            <w:noWrap/>
            <w:tcMar>
              <w:top w:w="0" w:type="dxa"/>
              <w:left w:w="0" w:type="dxa"/>
              <w:bottom w:w="0" w:type="dxa"/>
              <w:right w:w="0" w:type="dxa"/>
            </w:tcMar>
            <w:vAlign w:val="bottom"/>
            <w:hideMark/>
          </w:tcPr>
          <w:p w14:paraId="4514CDE6" w14:textId="77777777" w:rsidR="00000000" w:rsidRDefault="00097612">
            <w:pPr>
              <w:pStyle w:val="a3"/>
              <w:spacing w:before="0" w:beforeAutospacing="0" w:after="0" w:afterAutospacing="0"/>
              <w:rPr>
                <w:sz w:val="20"/>
                <w:szCs w:val="20"/>
              </w:rPr>
            </w:pPr>
            <w:r>
              <w:rPr>
                <w:b/>
                <w:bCs/>
                <w:sz w:val="20"/>
                <w:szCs w:val="20"/>
              </w:rPr>
              <w:t>​</w:t>
            </w:r>
          </w:p>
        </w:tc>
      </w:tr>
      <w:tr w:rsidR="00000000" w14:paraId="73E36407" w14:textId="77777777">
        <w:trPr>
          <w:divId w:val="413936982"/>
        </w:trPr>
        <w:tc>
          <w:tcPr>
            <w:tcW w:w="2640" w:type="pct"/>
            <w:tcMar>
              <w:top w:w="0" w:type="dxa"/>
              <w:left w:w="0" w:type="dxa"/>
              <w:bottom w:w="0" w:type="dxa"/>
              <w:right w:w="0" w:type="dxa"/>
            </w:tcMar>
            <w:vAlign w:val="bottom"/>
            <w:hideMark/>
          </w:tcPr>
          <w:p w14:paraId="0E4807A0" w14:textId="77777777" w:rsidR="00000000" w:rsidRDefault="00097612">
            <w:pPr>
              <w:pStyle w:val="a3"/>
              <w:spacing w:before="0" w:beforeAutospacing="0" w:after="0" w:afterAutospacing="0"/>
              <w:ind w:left="240"/>
              <w:rPr>
                <w:sz w:val="20"/>
                <w:szCs w:val="20"/>
              </w:rPr>
            </w:pPr>
            <w:r>
              <w:rPr>
                <w:sz w:val="20"/>
                <w:szCs w:val="20"/>
              </w:rPr>
              <w:t xml:space="preserve">Product sales </w:t>
            </w:r>
          </w:p>
        </w:tc>
        <w:tc>
          <w:tcPr>
            <w:tcW w:w="87" w:type="pct"/>
            <w:noWrap/>
            <w:tcMar>
              <w:top w:w="0" w:type="dxa"/>
              <w:left w:w="0" w:type="dxa"/>
              <w:bottom w:w="0" w:type="dxa"/>
              <w:right w:w="0" w:type="dxa"/>
            </w:tcMar>
            <w:vAlign w:val="bottom"/>
            <w:hideMark/>
          </w:tcPr>
          <w:p w14:paraId="7C592EB5" w14:textId="77777777" w:rsidR="00000000" w:rsidRDefault="00097612">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0461CEB1"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3743165F" w14:textId="77777777" w:rsidR="00000000" w:rsidRDefault="00097612">
            <w:pPr>
              <w:pStyle w:val="a3"/>
              <w:spacing w:before="0" w:beforeAutospacing="0" w:after="0"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23BE0B96"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4CCF417F"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46109455" w14:textId="77777777" w:rsidR="00000000" w:rsidRDefault="00097612">
            <w:pPr>
              <w:pStyle w:val="a3"/>
              <w:spacing w:before="0" w:beforeAutospacing="0" w:after="0" w:afterAutospacing="0"/>
              <w:ind w:right="60"/>
              <w:jc w:val="right"/>
              <w:rPr>
                <w:sz w:val="20"/>
                <w:szCs w:val="20"/>
              </w:rPr>
            </w:pPr>
            <w:r>
              <w:rPr>
                <w:sz w:val="20"/>
                <w:szCs w:val="20"/>
              </w:rPr>
              <w:t>3,849</w:t>
            </w:r>
          </w:p>
        </w:tc>
        <w:tc>
          <w:tcPr>
            <w:tcW w:w="88" w:type="pct"/>
            <w:noWrap/>
            <w:tcMar>
              <w:top w:w="0" w:type="dxa"/>
              <w:left w:w="0" w:type="dxa"/>
              <w:bottom w:w="0" w:type="dxa"/>
              <w:right w:w="0" w:type="dxa"/>
            </w:tcMar>
            <w:vAlign w:val="bottom"/>
            <w:hideMark/>
          </w:tcPr>
          <w:p w14:paraId="051749A3"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6970B400"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23B65046" w14:textId="77777777" w:rsidR="00000000" w:rsidRDefault="00097612">
            <w:pPr>
              <w:pStyle w:val="a3"/>
              <w:spacing w:before="0" w:beforeAutospacing="0" w:after="0"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243252F7"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39A596C9"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20967AAF" w14:textId="77777777" w:rsidR="00000000" w:rsidRDefault="00097612">
            <w:pPr>
              <w:pStyle w:val="a3"/>
              <w:spacing w:before="0" w:beforeAutospacing="0" w:after="0" w:afterAutospacing="0"/>
              <w:ind w:right="60"/>
              <w:jc w:val="right"/>
              <w:rPr>
                <w:sz w:val="20"/>
                <w:szCs w:val="20"/>
              </w:rPr>
            </w:pPr>
            <w:r>
              <w:rPr>
                <w:sz w:val="20"/>
                <w:szCs w:val="20"/>
              </w:rPr>
              <w:t>12,889</w:t>
            </w:r>
          </w:p>
        </w:tc>
        <w:tc>
          <w:tcPr>
            <w:tcW w:w="86" w:type="pct"/>
            <w:noWrap/>
            <w:tcMar>
              <w:top w:w="0" w:type="dxa"/>
              <w:left w:w="0" w:type="dxa"/>
              <w:bottom w:w="0" w:type="dxa"/>
              <w:right w:w="0" w:type="dxa"/>
            </w:tcMar>
            <w:vAlign w:val="bottom"/>
            <w:hideMark/>
          </w:tcPr>
          <w:p w14:paraId="47ED40FF" w14:textId="77777777" w:rsidR="00000000" w:rsidRDefault="00097612">
            <w:pPr>
              <w:pStyle w:val="a3"/>
              <w:spacing w:before="0" w:beforeAutospacing="0" w:after="0" w:afterAutospacing="0"/>
              <w:rPr>
                <w:sz w:val="20"/>
                <w:szCs w:val="20"/>
              </w:rPr>
            </w:pPr>
            <w:r>
              <w:rPr>
                <w:sz w:val="20"/>
                <w:szCs w:val="20"/>
              </w:rPr>
              <w:t>​</w:t>
            </w:r>
          </w:p>
        </w:tc>
      </w:tr>
      <w:tr w:rsidR="00000000" w14:paraId="425D1969" w14:textId="77777777">
        <w:trPr>
          <w:divId w:val="413936982"/>
        </w:trPr>
        <w:tc>
          <w:tcPr>
            <w:tcW w:w="2640" w:type="pct"/>
            <w:shd w:val="clear" w:color="auto" w:fill="CCEEFF"/>
            <w:tcMar>
              <w:top w:w="0" w:type="dxa"/>
              <w:left w:w="0" w:type="dxa"/>
              <w:bottom w:w="0" w:type="dxa"/>
              <w:right w:w="0" w:type="dxa"/>
            </w:tcMar>
            <w:vAlign w:val="bottom"/>
            <w:hideMark/>
          </w:tcPr>
          <w:p w14:paraId="7581683C" w14:textId="77777777" w:rsidR="00000000" w:rsidRDefault="00097612">
            <w:pPr>
              <w:pStyle w:val="a3"/>
              <w:spacing w:before="0" w:beforeAutospacing="0" w:after="0" w:afterAutospacing="0"/>
              <w:ind w:left="240"/>
              <w:rPr>
                <w:sz w:val="20"/>
                <w:szCs w:val="20"/>
              </w:rPr>
            </w:pPr>
            <w:r>
              <w:rPr>
                <w:sz w:val="20"/>
                <w:szCs w:val="20"/>
              </w:rPr>
              <w:t>Collaboration revenue</w:t>
            </w:r>
          </w:p>
        </w:tc>
        <w:tc>
          <w:tcPr>
            <w:tcW w:w="87" w:type="pct"/>
            <w:shd w:val="clear" w:color="auto" w:fill="CCEEFF"/>
            <w:noWrap/>
            <w:tcMar>
              <w:top w:w="0" w:type="dxa"/>
              <w:left w:w="0" w:type="dxa"/>
              <w:bottom w:w="0" w:type="dxa"/>
              <w:right w:w="0" w:type="dxa"/>
            </w:tcMar>
            <w:vAlign w:val="bottom"/>
            <w:hideMark/>
          </w:tcPr>
          <w:p w14:paraId="0088C435"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19DBC2DA"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1ECEF55F" w14:textId="77777777" w:rsidR="00000000" w:rsidRDefault="00097612">
            <w:pPr>
              <w:pStyle w:val="a3"/>
              <w:spacing w:before="0" w:beforeAutospacing="0" w:after="0" w:afterAutospacing="0"/>
              <w:ind w:right="60"/>
              <w:jc w:val="right"/>
              <w:rPr>
                <w:sz w:val="20"/>
                <w:szCs w:val="20"/>
              </w:rPr>
            </w:pPr>
            <w:r>
              <w:rPr>
                <w:sz w:val="20"/>
                <w:szCs w:val="20"/>
              </w:rPr>
              <w:t>8,836</w:t>
            </w:r>
          </w:p>
        </w:tc>
        <w:tc>
          <w:tcPr>
            <w:tcW w:w="88" w:type="pct"/>
            <w:shd w:val="clear" w:color="auto" w:fill="CCEEFF"/>
            <w:noWrap/>
            <w:tcMar>
              <w:top w:w="0" w:type="dxa"/>
              <w:left w:w="0" w:type="dxa"/>
              <w:bottom w:w="0" w:type="dxa"/>
              <w:right w:w="0" w:type="dxa"/>
            </w:tcMar>
            <w:vAlign w:val="bottom"/>
            <w:hideMark/>
          </w:tcPr>
          <w:p w14:paraId="04A80A21"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D995032"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3DA652D6" w14:textId="77777777" w:rsidR="00000000" w:rsidRDefault="00097612">
            <w:pPr>
              <w:pStyle w:val="a3"/>
              <w:spacing w:before="0" w:beforeAutospacing="0" w:after="0" w:afterAutospacing="0"/>
              <w:ind w:right="60"/>
              <w:jc w:val="right"/>
              <w:rPr>
                <w:sz w:val="20"/>
                <w:szCs w:val="20"/>
              </w:rPr>
            </w:pPr>
            <w:r>
              <w:rPr>
                <w:sz w:val="20"/>
                <w:szCs w:val="20"/>
              </w:rPr>
              <w:t>8,989</w:t>
            </w:r>
          </w:p>
        </w:tc>
        <w:tc>
          <w:tcPr>
            <w:tcW w:w="88" w:type="pct"/>
            <w:shd w:val="clear" w:color="auto" w:fill="CCEEFF"/>
            <w:noWrap/>
            <w:tcMar>
              <w:top w:w="0" w:type="dxa"/>
              <w:left w:w="0" w:type="dxa"/>
              <w:bottom w:w="0" w:type="dxa"/>
              <w:right w:w="0" w:type="dxa"/>
            </w:tcMar>
            <w:vAlign w:val="bottom"/>
            <w:hideMark/>
          </w:tcPr>
          <w:p w14:paraId="30C4B49C"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551887C"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23EDBF49" w14:textId="77777777" w:rsidR="00000000" w:rsidRDefault="00097612">
            <w:pPr>
              <w:pStyle w:val="a3"/>
              <w:spacing w:before="0" w:beforeAutospacing="0" w:after="0" w:afterAutospacing="0"/>
              <w:ind w:right="60"/>
              <w:jc w:val="right"/>
              <w:rPr>
                <w:sz w:val="20"/>
                <w:szCs w:val="20"/>
              </w:rPr>
            </w:pPr>
            <w:r>
              <w:rPr>
                <w:sz w:val="20"/>
                <w:szCs w:val="20"/>
              </w:rPr>
              <w:t>21,666</w:t>
            </w:r>
          </w:p>
        </w:tc>
        <w:tc>
          <w:tcPr>
            <w:tcW w:w="88" w:type="pct"/>
            <w:shd w:val="clear" w:color="auto" w:fill="CCEEFF"/>
            <w:noWrap/>
            <w:tcMar>
              <w:top w:w="0" w:type="dxa"/>
              <w:left w:w="0" w:type="dxa"/>
              <w:bottom w:w="0" w:type="dxa"/>
              <w:right w:w="0" w:type="dxa"/>
            </w:tcMar>
            <w:vAlign w:val="bottom"/>
            <w:hideMark/>
          </w:tcPr>
          <w:p w14:paraId="72D01CDF"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4F0908C"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0BE61651" w14:textId="77777777" w:rsidR="00000000" w:rsidRDefault="00097612">
            <w:pPr>
              <w:pStyle w:val="a3"/>
              <w:spacing w:before="0" w:beforeAutospacing="0" w:after="0" w:afterAutospacing="0"/>
              <w:ind w:right="60"/>
              <w:jc w:val="right"/>
              <w:rPr>
                <w:sz w:val="20"/>
                <w:szCs w:val="20"/>
              </w:rPr>
            </w:pPr>
            <w:r>
              <w:rPr>
                <w:sz w:val="20"/>
                <w:szCs w:val="20"/>
              </w:rPr>
              <w:t>31,744</w:t>
            </w:r>
          </w:p>
        </w:tc>
        <w:tc>
          <w:tcPr>
            <w:tcW w:w="86" w:type="pct"/>
            <w:shd w:val="clear" w:color="auto" w:fill="CCEEFF"/>
            <w:noWrap/>
            <w:tcMar>
              <w:top w:w="0" w:type="dxa"/>
              <w:left w:w="0" w:type="dxa"/>
              <w:bottom w:w="0" w:type="dxa"/>
              <w:right w:w="0" w:type="dxa"/>
            </w:tcMar>
            <w:vAlign w:val="bottom"/>
            <w:hideMark/>
          </w:tcPr>
          <w:p w14:paraId="14F2D188" w14:textId="77777777" w:rsidR="00000000" w:rsidRDefault="00097612">
            <w:pPr>
              <w:pStyle w:val="a3"/>
              <w:spacing w:before="0" w:beforeAutospacing="0" w:after="0" w:afterAutospacing="0"/>
              <w:rPr>
                <w:sz w:val="20"/>
                <w:szCs w:val="20"/>
              </w:rPr>
            </w:pPr>
            <w:r>
              <w:rPr>
                <w:sz w:val="20"/>
                <w:szCs w:val="20"/>
              </w:rPr>
              <w:t>​</w:t>
            </w:r>
          </w:p>
        </w:tc>
      </w:tr>
      <w:tr w:rsidR="00000000" w14:paraId="0D635F5F" w14:textId="77777777">
        <w:trPr>
          <w:divId w:val="413936982"/>
        </w:trPr>
        <w:tc>
          <w:tcPr>
            <w:tcW w:w="2640" w:type="pct"/>
            <w:tcMar>
              <w:top w:w="0" w:type="dxa"/>
              <w:left w:w="0" w:type="dxa"/>
              <w:bottom w:w="0" w:type="dxa"/>
              <w:right w:w="0" w:type="dxa"/>
            </w:tcMar>
            <w:vAlign w:val="bottom"/>
            <w:hideMark/>
          </w:tcPr>
          <w:p w14:paraId="08A4A42B" w14:textId="77777777" w:rsidR="00000000" w:rsidRDefault="00097612">
            <w:pPr>
              <w:pStyle w:val="a3"/>
              <w:spacing w:before="0" w:beforeAutospacing="0" w:after="0" w:afterAutospacing="0"/>
              <w:ind w:left="240"/>
              <w:rPr>
                <w:sz w:val="20"/>
                <w:szCs w:val="20"/>
              </w:rPr>
            </w:pPr>
            <w:r>
              <w:rPr>
                <w:sz w:val="20"/>
                <w:szCs w:val="20"/>
              </w:rPr>
              <w:t>Licensing revenue</w:t>
            </w:r>
          </w:p>
        </w:tc>
        <w:tc>
          <w:tcPr>
            <w:tcW w:w="87" w:type="pct"/>
            <w:noWrap/>
            <w:tcMar>
              <w:top w:w="0" w:type="dxa"/>
              <w:left w:w="0" w:type="dxa"/>
              <w:bottom w:w="0" w:type="dxa"/>
              <w:right w:w="0" w:type="dxa"/>
            </w:tcMar>
            <w:vAlign w:val="bottom"/>
            <w:hideMark/>
          </w:tcPr>
          <w:p w14:paraId="2F3AC2FD" w14:textId="77777777" w:rsidR="00000000" w:rsidRDefault="00097612">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7C5734AE"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388CF012" w14:textId="77777777" w:rsidR="00000000" w:rsidRDefault="00097612">
            <w:pPr>
              <w:pStyle w:val="a3"/>
              <w:spacing w:before="0" w:beforeAutospacing="0" w:after="0"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11E2BBEF"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425067B0"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21A696B1" w14:textId="77777777" w:rsidR="00000000" w:rsidRDefault="00097612">
            <w:pPr>
              <w:pStyle w:val="a3"/>
              <w:spacing w:before="0" w:beforeAutospacing="0" w:after="0"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0EEFD048"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211614AD"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6724055D" w14:textId="77777777" w:rsidR="00000000" w:rsidRDefault="00097612">
            <w:pPr>
              <w:pStyle w:val="a3"/>
              <w:spacing w:before="0" w:beforeAutospacing="0" w:after="0" w:afterAutospacing="0"/>
              <w:ind w:right="60"/>
              <w:jc w:val="right"/>
              <w:rPr>
                <w:sz w:val="20"/>
                <w:szCs w:val="20"/>
              </w:rPr>
            </w:pPr>
            <w:r>
              <w:rPr>
                <w:sz w:val="20"/>
                <w:szCs w:val="20"/>
              </w:rPr>
              <w:t>18,500</w:t>
            </w:r>
          </w:p>
        </w:tc>
        <w:tc>
          <w:tcPr>
            <w:tcW w:w="88" w:type="pct"/>
            <w:noWrap/>
            <w:tcMar>
              <w:top w:w="0" w:type="dxa"/>
              <w:left w:w="0" w:type="dxa"/>
              <w:bottom w:w="0" w:type="dxa"/>
              <w:right w:w="0" w:type="dxa"/>
            </w:tcMar>
            <w:vAlign w:val="bottom"/>
            <w:hideMark/>
          </w:tcPr>
          <w:p w14:paraId="6BEEBCCA"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40CD82D3"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2720B2CB" w14:textId="77777777" w:rsidR="00000000" w:rsidRDefault="00097612">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14:paraId="2C77DCEE" w14:textId="77777777" w:rsidR="00000000" w:rsidRDefault="00097612">
            <w:pPr>
              <w:pStyle w:val="a3"/>
              <w:spacing w:before="0" w:beforeAutospacing="0" w:after="0" w:afterAutospacing="0"/>
              <w:rPr>
                <w:sz w:val="20"/>
                <w:szCs w:val="20"/>
              </w:rPr>
            </w:pPr>
            <w:r>
              <w:rPr>
                <w:sz w:val="20"/>
                <w:szCs w:val="20"/>
              </w:rPr>
              <w:t>​</w:t>
            </w:r>
          </w:p>
        </w:tc>
      </w:tr>
      <w:tr w:rsidR="00000000" w14:paraId="5BFCD850" w14:textId="77777777">
        <w:trPr>
          <w:divId w:val="413936982"/>
        </w:trPr>
        <w:tc>
          <w:tcPr>
            <w:tcW w:w="2640" w:type="pct"/>
            <w:shd w:val="clear" w:color="auto" w:fill="CCEEFF"/>
            <w:tcMar>
              <w:top w:w="0" w:type="dxa"/>
              <w:left w:w="0" w:type="dxa"/>
              <w:bottom w:w="0" w:type="dxa"/>
              <w:right w:w="0" w:type="dxa"/>
            </w:tcMar>
            <w:vAlign w:val="bottom"/>
            <w:hideMark/>
          </w:tcPr>
          <w:p w14:paraId="384E68DF" w14:textId="77777777" w:rsidR="00000000" w:rsidRDefault="00097612">
            <w:pPr>
              <w:pStyle w:val="a3"/>
              <w:spacing w:before="0" w:beforeAutospacing="0" w:after="0" w:afterAutospacing="0"/>
              <w:ind w:left="240"/>
              <w:rPr>
                <w:sz w:val="20"/>
                <w:szCs w:val="20"/>
              </w:rPr>
            </w:pPr>
            <w:r>
              <w:rPr>
                <w:sz w:val="20"/>
                <w:szCs w:val="20"/>
              </w:rPr>
              <w:t>Mylan collaboration agreement</w:t>
            </w:r>
          </w:p>
        </w:tc>
        <w:tc>
          <w:tcPr>
            <w:tcW w:w="87" w:type="pct"/>
            <w:shd w:val="clear" w:color="auto" w:fill="CCEEFF"/>
            <w:noWrap/>
            <w:tcMar>
              <w:top w:w="0" w:type="dxa"/>
              <w:left w:w="0" w:type="dxa"/>
              <w:bottom w:w="0" w:type="dxa"/>
              <w:right w:w="0" w:type="dxa"/>
            </w:tcMar>
            <w:vAlign w:val="bottom"/>
            <w:hideMark/>
          </w:tcPr>
          <w:p w14:paraId="331A170B" w14:textId="77777777" w:rsidR="00000000" w:rsidRDefault="00097612">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14:paraId="0AF2C748"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14:paraId="1ED3D72C" w14:textId="77777777" w:rsidR="00000000" w:rsidRDefault="00097612">
            <w:pPr>
              <w:pStyle w:val="a3"/>
              <w:spacing w:before="0" w:beforeAutospacing="0" w:after="0" w:afterAutospacing="0"/>
              <w:ind w:right="60"/>
              <w:jc w:val="right"/>
              <w:rPr>
                <w:sz w:val="20"/>
                <w:szCs w:val="20"/>
              </w:rPr>
            </w:pPr>
            <w:r>
              <w:rPr>
                <w:sz w:val="20"/>
                <w:szCs w:val="20"/>
              </w:rPr>
              <w:t>3,591</w:t>
            </w:r>
          </w:p>
        </w:tc>
        <w:tc>
          <w:tcPr>
            <w:tcW w:w="88" w:type="pct"/>
            <w:shd w:val="clear" w:color="auto" w:fill="CCEEFF"/>
            <w:noWrap/>
            <w:tcMar>
              <w:top w:w="0" w:type="dxa"/>
              <w:left w:w="0" w:type="dxa"/>
              <w:bottom w:w="0" w:type="dxa"/>
              <w:right w:w="0" w:type="dxa"/>
            </w:tcMar>
            <w:vAlign w:val="bottom"/>
            <w:hideMark/>
          </w:tcPr>
          <w:p w14:paraId="3FF2676F"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5176ECDB"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14:paraId="5A697E19" w14:textId="77777777" w:rsidR="00000000" w:rsidRDefault="00097612">
            <w:pPr>
              <w:pStyle w:val="a3"/>
              <w:spacing w:before="0" w:beforeAutospacing="0" w:after="0" w:afterAutospacing="0"/>
              <w:ind w:right="6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1C177E8B"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4C5E5ED5"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14:paraId="5B68DE07" w14:textId="77777777" w:rsidR="00000000" w:rsidRDefault="00097612">
            <w:pPr>
              <w:pStyle w:val="a3"/>
              <w:spacing w:before="0" w:beforeAutospacing="0" w:after="0" w:afterAutospacing="0"/>
              <w:ind w:right="60"/>
              <w:jc w:val="right"/>
              <w:rPr>
                <w:sz w:val="20"/>
                <w:szCs w:val="20"/>
              </w:rPr>
            </w:pPr>
            <w:r>
              <w:rPr>
                <w:sz w:val="20"/>
                <w:szCs w:val="20"/>
              </w:rPr>
              <w:t>3,749</w:t>
            </w:r>
          </w:p>
        </w:tc>
        <w:tc>
          <w:tcPr>
            <w:tcW w:w="88" w:type="pct"/>
            <w:shd w:val="clear" w:color="auto" w:fill="CCEEFF"/>
            <w:noWrap/>
            <w:tcMar>
              <w:top w:w="0" w:type="dxa"/>
              <w:left w:w="0" w:type="dxa"/>
              <w:bottom w:w="0" w:type="dxa"/>
              <w:right w:w="0" w:type="dxa"/>
            </w:tcMar>
            <w:vAlign w:val="bottom"/>
            <w:hideMark/>
          </w:tcPr>
          <w:p w14:paraId="611AABC6"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573CC716"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14:paraId="51AE7002" w14:textId="77777777" w:rsidR="00000000" w:rsidRDefault="00097612">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2C0BCE7A" w14:textId="77777777" w:rsidR="00000000" w:rsidRDefault="00097612">
            <w:pPr>
              <w:pStyle w:val="a3"/>
              <w:spacing w:before="0" w:beforeAutospacing="0" w:after="0" w:afterAutospacing="0"/>
              <w:rPr>
                <w:sz w:val="20"/>
                <w:szCs w:val="20"/>
              </w:rPr>
            </w:pPr>
            <w:r>
              <w:rPr>
                <w:sz w:val="20"/>
                <w:szCs w:val="20"/>
              </w:rPr>
              <w:t>​</w:t>
            </w:r>
          </w:p>
        </w:tc>
      </w:tr>
      <w:tr w:rsidR="00000000" w14:paraId="75294922" w14:textId="77777777">
        <w:trPr>
          <w:divId w:val="413936982"/>
        </w:trPr>
        <w:tc>
          <w:tcPr>
            <w:tcW w:w="2640" w:type="pct"/>
            <w:tcMar>
              <w:top w:w="0" w:type="dxa"/>
              <w:left w:w="0" w:type="dxa"/>
              <w:bottom w:w="0" w:type="dxa"/>
              <w:right w:w="0" w:type="dxa"/>
            </w:tcMar>
            <w:vAlign w:val="bottom"/>
            <w:hideMark/>
          </w:tcPr>
          <w:p w14:paraId="0E036589" w14:textId="77777777" w:rsidR="00000000" w:rsidRDefault="00097612">
            <w:pPr>
              <w:pStyle w:val="a3"/>
              <w:spacing w:before="0" w:beforeAutospacing="0" w:after="0" w:afterAutospacing="0"/>
              <w:ind w:left="360"/>
              <w:rPr>
                <w:sz w:val="20"/>
                <w:szCs w:val="20"/>
              </w:rPr>
            </w:pPr>
            <w:r>
              <w:rPr>
                <w:sz w:val="20"/>
                <w:szCs w:val="20"/>
              </w:rPr>
              <w:t>Total revenue</w:t>
            </w:r>
          </w:p>
        </w:tc>
        <w:tc>
          <w:tcPr>
            <w:tcW w:w="87" w:type="pct"/>
            <w:noWrap/>
            <w:tcMar>
              <w:top w:w="0" w:type="dxa"/>
              <w:left w:w="0" w:type="dxa"/>
              <w:bottom w:w="0" w:type="dxa"/>
              <w:right w:w="0" w:type="dxa"/>
            </w:tcMar>
            <w:vAlign w:val="bottom"/>
            <w:hideMark/>
          </w:tcPr>
          <w:p w14:paraId="335ADE89" w14:textId="77777777" w:rsidR="00000000" w:rsidRDefault="00097612">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4017F63A" w14:textId="77777777" w:rsidR="00000000" w:rsidRDefault="00097612">
            <w:pPr>
              <w:pStyle w:val="a3"/>
              <w:spacing w:before="0" w:beforeAutospacing="0" w:after="0" w:afterAutospacing="0"/>
              <w:jc w:val="center"/>
              <w:rPr>
                <w:sz w:val="20"/>
                <w:szCs w:val="20"/>
              </w:rPr>
            </w:pPr>
            <w:r>
              <w:rPr>
                <w:sz w:val="20"/>
                <w:szCs w:val="20"/>
              </w:rPr>
              <w:t> </w:t>
            </w:r>
          </w:p>
        </w:tc>
        <w:tc>
          <w:tcPr>
            <w:tcW w:w="369" w:type="pct"/>
            <w:noWrap/>
            <w:tcMar>
              <w:top w:w="0" w:type="dxa"/>
              <w:left w:w="0" w:type="dxa"/>
              <w:bottom w:w="0" w:type="dxa"/>
              <w:right w:w="0" w:type="dxa"/>
            </w:tcMar>
            <w:vAlign w:val="bottom"/>
            <w:hideMark/>
          </w:tcPr>
          <w:p w14:paraId="724DDB58" w14:textId="77777777" w:rsidR="00000000" w:rsidRDefault="00097612">
            <w:pPr>
              <w:pStyle w:val="a3"/>
              <w:spacing w:before="0" w:beforeAutospacing="0" w:after="0" w:afterAutospacing="0"/>
              <w:ind w:right="60"/>
              <w:jc w:val="right"/>
              <w:rPr>
                <w:sz w:val="20"/>
                <w:szCs w:val="20"/>
              </w:rPr>
            </w:pPr>
            <w:r>
              <w:rPr>
                <w:sz w:val="20"/>
                <w:szCs w:val="20"/>
              </w:rPr>
              <w:t>12,427</w:t>
            </w:r>
          </w:p>
        </w:tc>
        <w:tc>
          <w:tcPr>
            <w:tcW w:w="88" w:type="pct"/>
            <w:noWrap/>
            <w:tcMar>
              <w:top w:w="0" w:type="dxa"/>
              <w:left w:w="0" w:type="dxa"/>
              <w:bottom w:w="0" w:type="dxa"/>
              <w:right w:w="0" w:type="dxa"/>
            </w:tcMar>
            <w:vAlign w:val="bottom"/>
            <w:hideMark/>
          </w:tcPr>
          <w:p w14:paraId="2FE4BBBA"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750292AD" w14:textId="77777777" w:rsidR="00000000" w:rsidRDefault="00097612">
            <w:pPr>
              <w:pStyle w:val="a3"/>
              <w:spacing w:before="0" w:beforeAutospacing="0" w:after="0" w:afterAutospacing="0"/>
              <w:jc w:val="center"/>
              <w:rPr>
                <w:sz w:val="20"/>
                <w:szCs w:val="20"/>
              </w:rPr>
            </w:pPr>
            <w:r>
              <w:rPr>
                <w:sz w:val="20"/>
                <w:szCs w:val="20"/>
              </w:rPr>
              <w:t> </w:t>
            </w:r>
          </w:p>
        </w:tc>
        <w:tc>
          <w:tcPr>
            <w:tcW w:w="369" w:type="pct"/>
            <w:noWrap/>
            <w:tcMar>
              <w:top w:w="0" w:type="dxa"/>
              <w:left w:w="0" w:type="dxa"/>
              <w:bottom w:w="0" w:type="dxa"/>
              <w:right w:w="0" w:type="dxa"/>
            </w:tcMar>
            <w:vAlign w:val="bottom"/>
            <w:hideMark/>
          </w:tcPr>
          <w:p w14:paraId="7EC1FB51" w14:textId="77777777" w:rsidR="00000000" w:rsidRDefault="00097612">
            <w:pPr>
              <w:pStyle w:val="a3"/>
              <w:spacing w:before="0" w:beforeAutospacing="0" w:after="0" w:afterAutospacing="0"/>
              <w:ind w:right="60"/>
              <w:jc w:val="right"/>
              <w:rPr>
                <w:sz w:val="20"/>
                <w:szCs w:val="20"/>
              </w:rPr>
            </w:pPr>
            <w:r>
              <w:rPr>
                <w:sz w:val="20"/>
                <w:szCs w:val="20"/>
              </w:rPr>
              <w:t>12,838</w:t>
            </w:r>
          </w:p>
        </w:tc>
        <w:tc>
          <w:tcPr>
            <w:tcW w:w="88" w:type="pct"/>
            <w:noWrap/>
            <w:tcMar>
              <w:top w:w="0" w:type="dxa"/>
              <w:left w:w="0" w:type="dxa"/>
              <w:bottom w:w="0" w:type="dxa"/>
              <w:right w:w="0" w:type="dxa"/>
            </w:tcMar>
            <w:vAlign w:val="bottom"/>
            <w:hideMark/>
          </w:tcPr>
          <w:p w14:paraId="72D35805"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30E4B2ED" w14:textId="77777777" w:rsidR="00000000" w:rsidRDefault="00097612">
            <w:pPr>
              <w:pStyle w:val="a3"/>
              <w:spacing w:before="0" w:beforeAutospacing="0" w:after="0" w:afterAutospacing="0"/>
              <w:jc w:val="center"/>
              <w:rPr>
                <w:sz w:val="20"/>
                <w:szCs w:val="20"/>
              </w:rPr>
            </w:pPr>
            <w:r>
              <w:rPr>
                <w:sz w:val="20"/>
                <w:szCs w:val="20"/>
              </w:rPr>
              <w:t> </w:t>
            </w:r>
          </w:p>
        </w:tc>
        <w:tc>
          <w:tcPr>
            <w:tcW w:w="412" w:type="pct"/>
            <w:noWrap/>
            <w:tcMar>
              <w:top w:w="0" w:type="dxa"/>
              <w:left w:w="0" w:type="dxa"/>
              <w:bottom w:w="0" w:type="dxa"/>
              <w:right w:w="0" w:type="dxa"/>
            </w:tcMar>
            <w:vAlign w:val="bottom"/>
            <w:hideMark/>
          </w:tcPr>
          <w:p w14:paraId="50B0F25B" w14:textId="77777777" w:rsidR="00000000" w:rsidRDefault="00097612">
            <w:pPr>
              <w:pStyle w:val="a3"/>
              <w:spacing w:before="0" w:beforeAutospacing="0" w:after="0" w:afterAutospacing="0"/>
              <w:ind w:right="60"/>
              <w:jc w:val="right"/>
              <w:rPr>
                <w:sz w:val="20"/>
                <w:szCs w:val="20"/>
              </w:rPr>
            </w:pPr>
            <w:r>
              <w:rPr>
                <w:sz w:val="20"/>
                <w:szCs w:val="20"/>
              </w:rPr>
              <w:t>43,915</w:t>
            </w:r>
          </w:p>
        </w:tc>
        <w:tc>
          <w:tcPr>
            <w:tcW w:w="88" w:type="pct"/>
            <w:noWrap/>
            <w:tcMar>
              <w:top w:w="0" w:type="dxa"/>
              <w:left w:w="0" w:type="dxa"/>
              <w:bottom w:w="0" w:type="dxa"/>
              <w:right w:w="0" w:type="dxa"/>
            </w:tcMar>
            <w:vAlign w:val="bottom"/>
            <w:hideMark/>
          </w:tcPr>
          <w:p w14:paraId="2F4E791B"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7088D7CC" w14:textId="77777777" w:rsidR="00000000" w:rsidRDefault="00097612">
            <w:pPr>
              <w:pStyle w:val="a3"/>
              <w:spacing w:before="0" w:beforeAutospacing="0" w:after="0" w:afterAutospacing="0"/>
              <w:jc w:val="center"/>
              <w:rPr>
                <w:sz w:val="20"/>
                <w:szCs w:val="20"/>
              </w:rPr>
            </w:pPr>
            <w:r>
              <w:rPr>
                <w:sz w:val="20"/>
                <w:szCs w:val="20"/>
              </w:rPr>
              <w:t> </w:t>
            </w:r>
          </w:p>
        </w:tc>
        <w:tc>
          <w:tcPr>
            <w:tcW w:w="412" w:type="pct"/>
            <w:noWrap/>
            <w:tcMar>
              <w:top w:w="0" w:type="dxa"/>
              <w:left w:w="0" w:type="dxa"/>
              <w:bottom w:w="0" w:type="dxa"/>
              <w:right w:w="0" w:type="dxa"/>
            </w:tcMar>
            <w:vAlign w:val="bottom"/>
            <w:hideMark/>
          </w:tcPr>
          <w:p w14:paraId="4CCBA8E4" w14:textId="77777777" w:rsidR="00000000" w:rsidRDefault="00097612">
            <w:pPr>
              <w:pStyle w:val="a3"/>
              <w:spacing w:before="0" w:beforeAutospacing="0" w:after="0" w:afterAutospacing="0"/>
              <w:ind w:right="60"/>
              <w:jc w:val="right"/>
              <w:rPr>
                <w:sz w:val="20"/>
                <w:szCs w:val="20"/>
              </w:rPr>
            </w:pPr>
            <w:r>
              <w:rPr>
                <w:sz w:val="20"/>
                <w:szCs w:val="20"/>
              </w:rPr>
              <w:t>44,633</w:t>
            </w:r>
          </w:p>
        </w:tc>
        <w:tc>
          <w:tcPr>
            <w:tcW w:w="86" w:type="pct"/>
            <w:noWrap/>
            <w:tcMar>
              <w:top w:w="0" w:type="dxa"/>
              <w:left w:w="0" w:type="dxa"/>
              <w:bottom w:w="0" w:type="dxa"/>
              <w:right w:w="0" w:type="dxa"/>
            </w:tcMar>
            <w:vAlign w:val="bottom"/>
            <w:hideMark/>
          </w:tcPr>
          <w:p w14:paraId="3C1B0F5D" w14:textId="77777777" w:rsidR="00000000" w:rsidRDefault="00097612">
            <w:pPr>
              <w:pStyle w:val="a3"/>
              <w:spacing w:before="0" w:beforeAutospacing="0" w:after="0" w:afterAutospacing="0"/>
              <w:rPr>
                <w:sz w:val="20"/>
                <w:szCs w:val="20"/>
              </w:rPr>
            </w:pPr>
            <w:r>
              <w:rPr>
                <w:sz w:val="20"/>
                <w:szCs w:val="20"/>
              </w:rPr>
              <w:t>​</w:t>
            </w:r>
          </w:p>
        </w:tc>
      </w:tr>
      <w:tr w:rsidR="00000000" w14:paraId="0855B7BB" w14:textId="77777777">
        <w:trPr>
          <w:divId w:val="413936982"/>
        </w:trPr>
        <w:tc>
          <w:tcPr>
            <w:tcW w:w="2640" w:type="pct"/>
            <w:shd w:val="clear" w:color="auto" w:fill="CCEEFF"/>
            <w:tcMar>
              <w:top w:w="0" w:type="dxa"/>
              <w:left w:w="0" w:type="dxa"/>
              <w:bottom w:w="0" w:type="dxa"/>
              <w:right w:w="0" w:type="dxa"/>
            </w:tcMar>
            <w:vAlign w:val="bottom"/>
            <w:hideMark/>
          </w:tcPr>
          <w:p w14:paraId="4BE7A233"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10465A51"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76039C74"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039615D7"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2FD08AC9"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6E6904E7"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4DEE017C"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EBBDDB8"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4835B65B"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4FA1AB15"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82D1F4C"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461651D8"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614E9DE3" w14:textId="77777777" w:rsidR="00000000" w:rsidRDefault="00097612">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200C062D" w14:textId="77777777" w:rsidR="00000000" w:rsidRDefault="00097612">
            <w:pPr>
              <w:pStyle w:val="a3"/>
              <w:spacing w:before="0" w:beforeAutospacing="0" w:after="0" w:afterAutospacing="0"/>
              <w:rPr>
                <w:sz w:val="20"/>
                <w:szCs w:val="20"/>
              </w:rPr>
            </w:pPr>
            <w:r>
              <w:rPr>
                <w:sz w:val="20"/>
                <w:szCs w:val="20"/>
              </w:rPr>
              <w:t>​</w:t>
            </w:r>
          </w:p>
        </w:tc>
      </w:tr>
      <w:tr w:rsidR="00000000" w14:paraId="743A3EAE" w14:textId="77777777">
        <w:trPr>
          <w:divId w:val="413936982"/>
        </w:trPr>
        <w:tc>
          <w:tcPr>
            <w:tcW w:w="2640" w:type="pct"/>
            <w:tcMar>
              <w:top w:w="0" w:type="dxa"/>
              <w:left w:w="0" w:type="dxa"/>
              <w:bottom w:w="0" w:type="dxa"/>
              <w:right w:w="0" w:type="dxa"/>
            </w:tcMar>
            <w:vAlign w:val="bottom"/>
            <w:hideMark/>
          </w:tcPr>
          <w:p w14:paraId="5B762A11" w14:textId="77777777" w:rsidR="00000000" w:rsidRDefault="00097612">
            <w:pPr>
              <w:pStyle w:val="a3"/>
              <w:spacing w:before="0" w:beforeAutospacing="0" w:after="0" w:afterAutospacing="0"/>
              <w:rPr>
                <w:sz w:val="20"/>
                <w:szCs w:val="20"/>
              </w:rPr>
            </w:pPr>
            <w:r>
              <w:rPr>
                <w:sz w:val="20"/>
                <w:szCs w:val="20"/>
              </w:rPr>
              <w:t>Costs and expenses:</w:t>
            </w:r>
          </w:p>
        </w:tc>
        <w:tc>
          <w:tcPr>
            <w:tcW w:w="87" w:type="pct"/>
            <w:noWrap/>
            <w:tcMar>
              <w:top w:w="0" w:type="dxa"/>
              <w:left w:w="0" w:type="dxa"/>
              <w:bottom w:w="0" w:type="dxa"/>
              <w:right w:w="0" w:type="dxa"/>
            </w:tcMar>
            <w:vAlign w:val="bottom"/>
            <w:hideMark/>
          </w:tcPr>
          <w:p w14:paraId="5F38C3A9" w14:textId="77777777" w:rsidR="00000000" w:rsidRDefault="00097612">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1FB72368"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4FD60DAB" w14:textId="77777777" w:rsidR="00000000" w:rsidRDefault="00097612">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61D73E7F"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19858520"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3250E130" w14:textId="77777777" w:rsidR="00000000" w:rsidRDefault="00097612">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63DBA9A1"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7D07725B"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21BB0A57" w14:textId="77777777" w:rsidR="00000000" w:rsidRDefault="00097612">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1F887A0F"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51BF4BBE"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32C99E01" w14:textId="77777777" w:rsidR="00000000" w:rsidRDefault="00097612">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14:paraId="7BBF4801" w14:textId="77777777" w:rsidR="00000000" w:rsidRDefault="00097612">
            <w:pPr>
              <w:pStyle w:val="a3"/>
              <w:spacing w:before="0" w:beforeAutospacing="0" w:after="0" w:afterAutospacing="0"/>
              <w:rPr>
                <w:sz w:val="20"/>
                <w:szCs w:val="20"/>
              </w:rPr>
            </w:pPr>
            <w:r>
              <w:rPr>
                <w:sz w:val="20"/>
                <w:szCs w:val="20"/>
              </w:rPr>
              <w:t>​</w:t>
            </w:r>
          </w:p>
        </w:tc>
      </w:tr>
      <w:tr w:rsidR="00000000" w14:paraId="588129FC" w14:textId="77777777">
        <w:trPr>
          <w:divId w:val="413936982"/>
        </w:trPr>
        <w:tc>
          <w:tcPr>
            <w:tcW w:w="2640" w:type="pct"/>
            <w:shd w:val="clear" w:color="auto" w:fill="CCEEFF"/>
            <w:tcMar>
              <w:top w:w="0" w:type="dxa"/>
              <w:left w:w="0" w:type="dxa"/>
              <w:bottom w:w="0" w:type="dxa"/>
              <w:right w:w="0" w:type="dxa"/>
            </w:tcMar>
            <w:vAlign w:val="bottom"/>
            <w:hideMark/>
          </w:tcPr>
          <w:p w14:paraId="79837DD6" w14:textId="77777777" w:rsidR="00000000" w:rsidRDefault="00097612">
            <w:pPr>
              <w:pStyle w:val="a3"/>
              <w:spacing w:before="0" w:beforeAutospacing="0" w:after="0" w:afterAutospacing="0"/>
              <w:ind w:left="240"/>
              <w:rPr>
                <w:sz w:val="20"/>
                <w:szCs w:val="20"/>
              </w:rPr>
            </w:pPr>
            <w:r>
              <w:rPr>
                <w:sz w:val="20"/>
                <w:szCs w:val="20"/>
              </w:rPr>
              <w:t>Cost of goods sold</w:t>
            </w:r>
          </w:p>
        </w:tc>
        <w:tc>
          <w:tcPr>
            <w:tcW w:w="87" w:type="pct"/>
            <w:shd w:val="clear" w:color="auto" w:fill="CCEEFF"/>
            <w:noWrap/>
            <w:tcMar>
              <w:top w:w="0" w:type="dxa"/>
              <w:left w:w="0" w:type="dxa"/>
              <w:bottom w:w="0" w:type="dxa"/>
              <w:right w:w="0" w:type="dxa"/>
            </w:tcMar>
            <w:vAlign w:val="bottom"/>
            <w:hideMark/>
          </w:tcPr>
          <w:p w14:paraId="447F78D9"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694BEB48" w14:textId="77777777" w:rsidR="00000000" w:rsidRDefault="00097612">
            <w:pPr>
              <w:pStyle w:val="a3"/>
              <w:spacing w:before="0" w:beforeAutospacing="0" w:after="0" w:afterAutospacing="0"/>
              <w:jc w:val="center"/>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14:paraId="208E09D1" w14:textId="77777777" w:rsidR="00000000" w:rsidRDefault="00097612">
            <w:pPr>
              <w:pStyle w:val="a3"/>
              <w:spacing w:before="0" w:beforeAutospacing="0" w:after="0" w:afterAutospacing="0"/>
              <w:ind w:right="6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41B568B"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27D3CE24" w14:textId="77777777" w:rsidR="00000000" w:rsidRDefault="00097612">
            <w:pPr>
              <w:pStyle w:val="a3"/>
              <w:spacing w:before="0" w:beforeAutospacing="0" w:after="0" w:afterAutospacing="0"/>
              <w:jc w:val="center"/>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14:paraId="03980509" w14:textId="77777777" w:rsidR="00000000" w:rsidRDefault="00097612">
            <w:pPr>
              <w:pStyle w:val="a3"/>
              <w:spacing w:before="0" w:beforeAutospacing="0" w:after="0" w:afterAutospacing="0"/>
              <w:ind w:right="60"/>
              <w:jc w:val="right"/>
              <w:rPr>
                <w:sz w:val="20"/>
                <w:szCs w:val="20"/>
              </w:rPr>
            </w:pPr>
            <w:r>
              <w:rPr>
                <w:sz w:val="20"/>
                <w:szCs w:val="20"/>
              </w:rPr>
              <w:t>705</w:t>
            </w:r>
          </w:p>
        </w:tc>
        <w:tc>
          <w:tcPr>
            <w:tcW w:w="88" w:type="pct"/>
            <w:shd w:val="clear" w:color="auto" w:fill="CCEEFF"/>
            <w:noWrap/>
            <w:tcMar>
              <w:top w:w="0" w:type="dxa"/>
              <w:left w:w="0" w:type="dxa"/>
              <w:bottom w:w="0" w:type="dxa"/>
              <w:right w:w="0" w:type="dxa"/>
            </w:tcMar>
            <w:vAlign w:val="bottom"/>
            <w:hideMark/>
          </w:tcPr>
          <w:p w14:paraId="7A05E875"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4FB3C790" w14:textId="77777777" w:rsidR="00000000" w:rsidRDefault="00097612">
            <w:pPr>
              <w:pStyle w:val="a3"/>
              <w:spacing w:before="0" w:beforeAutospacing="0" w:after="0" w:afterAutospacing="0"/>
              <w:jc w:val="center"/>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14:paraId="3EFBD147" w14:textId="77777777" w:rsidR="00000000" w:rsidRDefault="00097612">
            <w:pPr>
              <w:pStyle w:val="a3"/>
              <w:spacing w:before="0" w:beforeAutospacing="0" w:after="0" w:afterAutospacing="0"/>
              <w:ind w:right="6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5D987532"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CD4E84A" w14:textId="77777777" w:rsidR="00000000" w:rsidRDefault="00097612">
            <w:pPr>
              <w:pStyle w:val="a3"/>
              <w:spacing w:before="0" w:beforeAutospacing="0" w:after="0" w:afterAutospacing="0"/>
              <w:jc w:val="center"/>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14:paraId="4EE032A7" w14:textId="77777777" w:rsidR="00000000" w:rsidRDefault="00097612">
            <w:pPr>
              <w:pStyle w:val="a3"/>
              <w:spacing w:before="0" w:beforeAutospacing="0" w:after="0" w:afterAutospacing="0"/>
              <w:ind w:right="60"/>
              <w:jc w:val="right"/>
              <w:rPr>
                <w:sz w:val="20"/>
                <w:szCs w:val="20"/>
              </w:rPr>
            </w:pPr>
            <w:r>
              <w:rPr>
                <w:sz w:val="20"/>
                <w:szCs w:val="20"/>
              </w:rPr>
              <w:t>83</w:t>
            </w:r>
          </w:p>
        </w:tc>
        <w:tc>
          <w:tcPr>
            <w:tcW w:w="86" w:type="pct"/>
            <w:shd w:val="clear" w:color="auto" w:fill="CCEEFF"/>
            <w:noWrap/>
            <w:tcMar>
              <w:top w:w="0" w:type="dxa"/>
              <w:left w:w="0" w:type="dxa"/>
              <w:bottom w:w="0" w:type="dxa"/>
              <w:right w:w="0" w:type="dxa"/>
            </w:tcMar>
            <w:vAlign w:val="bottom"/>
            <w:hideMark/>
          </w:tcPr>
          <w:p w14:paraId="0A040D5C" w14:textId="77777777" w:rsidR="00000000" w:rsidRDefault="00097612">
            <w:pPr>
              <w:pStyle w:val="a3"/>
              <w:spacing w:before="0" w:beforeAutospacing="0" w:after="0" w:afterAutospacing="0"/>
              <w:rPr>
                <w:sz w:val="20"/>
                <w:szCs w:val="20"/>
              </w:rPr>
            </w:pPr>
            <w:r>
              <w:rPr>
                <w:sz w:val="20"/>
                <w:szCs w:val="20"/>
              </w:rPr>
              <w:t>​</w:t>
            </w:r>
          </w:p>
        </w:tc>
      </w:tr>
      <w:tr w:rsidR="00000000" w14:paraId="17F9D70F" w14:textId="77777777">
        <w:trPr>
          <w:divId w:val="413936982"/>
        </w:trPr>
        <w:tc>
          <w:tcPr>
            <w:tcW w:w="2640" w:type="pct"/>
            <w:tcMar>
              <w:top w:w="0" w:type="dxa"/>
              <w:left w:w="0" w:type="dxa"/>
              <w:bottom w:w="0" w:type="dxa"/>
              <w:right w:w="0" w:type="dxa"/>
            </w:tcMar>
            <w:vAlign w:val="bottom"/>
            <w:hideMark/>
          </w:tcPr>
          <w:p w14:paraId="6E347EC9" w14:textId="77777777" w:rsidR="00000000" w:rsidRDefault="00097612">
            <w:pPr>
              <w:pStyle w:val="a3"/>
              <w:spacing w:before="0" w:beforeAutospacing="0" w:after="0" w:afterAutospacing="0"/>
              <w:ind w:left="240"/>
              <w:rPr>
                <w:sz w:val="20"/>
                <w:szCs w:val="20"/>
              </w:rPr>
            </w:pPr>
            <w:r>
              <w:rPr>
                <w:sz w:val="20"/>
                <w:szCs w:val="20"/>
              </w:rPr>
              <w:t>Research and development (1)</w:t>
            </w:r>
          </w:p>
        </w:tc>
        <w:tc>
          <w:tcPr>
            <w:tcW w:w="87" w:type="pct"/>
            <w:noWrap/>
            <w:tcMar>
              <w:top w:w="0" w:type="dxa"/>
              <w:left w:w="0" w:type="dxa"/>
              <w:bottom w:w="0" w:type="dxa"/>
              <w:right w:w="0" w:type="dxa"/>
            </w:tcMar>
            <w:vAlign w:val="bottom"/>
            <w:hideMark/>
          </w:tcPr>
          <w:p w14:paraId="6EF0E7D8" w14:textId="77777777" w:rsidR="00000000" w:rsidRDefault="00097612">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2AFB2901" w14:textId="77777777" w:rsidR="00000000" w:rsidRDefault="00097612">
            <w:pPr>
              <w:pStyle w:val="a3"/>
              <w:spacing w:before="0" w:beforeAutospacing="0" w:after="0" w:afterAutospacing="0"/>
              <w:jc w:val="center"/>
              <w:rPr>
                <w:sz w:val="20"/>
                <w:szCs w:val="20"/>
              </w:rPr>
            </w:pPr>
            <w:r>
              <w:rPr>
                <w:sz w:val="20"/>
                <w:szCs w:val="20"/>
              </w:rPr>
              <w:t> </w:t>
            </w:r>
          </w:p>
        </w:tc>
        <w:tc>
          <w:tcPr>
            <w:tcW w:w="369" w:type="pct"/>
            <w:noWrap/>
            <w:tcMar>
              <w:top w:w="0" w:type="dxa"/>
              <w:left w:w="0" w:type="dxa"/>
              <w:bottom w:w="0" w:type="dxa"/>
              <w:right w:w="0" w:type="dxa"/>
            </w:tcMar>
            <w:vAlign w:val="bottom"/>
            <w:hideMark/>
          </w:tcPr>
          <w:p w14:paraId="0060D59F" w14:textId="77777777" w:rsidR="00000000" w:rsidRDefault="00097612">
            <w:pPr>
              <w:pStyle w:val="a3"/>
              <w:spacing w:before="0" w:beforeAutospacing="0" w:after="0" w:afterAutospacing="0"/>
              <w:ind w:right="60"/>
              <w:jc w:val="right"/>
              <w:rPr>
                <w:sz w:val="20"/>
                <w:szCs w:val="20"/>
              </w:rPr>
            </w:pPr>
            <w:r>
              <w:rPr>
                <w:sz w:val="20"/>
                <w:szCs w:val="20"/>
              </w:rPr>
              <w:t>52,006</w:t>
            </w:r>
          </w:p>
        </w:tc>
        <w:tc>
          <w:tcPr>
            <w:tcW w:w="88" w:type="pct"/>
            <w:noWrap/>
            <w:tcMar>
              <w:top w:w="0" w:type="dxa"/>
              <w:left w:w="0" w:type="dxa"/>
              <w:bottom w:w="0" w:type="dxa"/>
              <w:right w:w="0" w:type="dxa"/>
            </w:tcMar>
            <w:vAlign w:val="bottom"/>
            <w:hideMark/>
          </w:tcPr>
          <w:p w14:paraId="1DEFE877"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17B5DD73" w14:textId="77777777" w:rsidR="00000000" w:rsidRDefault="00097612">
            <w:pPr>
              <w:pStyle w:val="a3"/>
              <w:spacing w:before="0" w:beforeAutospacing="0" w:after="0" w:afterAutospacing="0"/>
              <w:jc w:val="center"/>
              <w:rPr>
                <w:sz w:val="20"/>
                <w:szCs w:val="20"/>
              </w:rPr>
            </w:pPr>
            <w:r>
              <w:rPr>
                <w:sz w:val="20"/>
                <w:szCs w:val="20"/>
              </w:rPr>
              <w:t> </w:t>
            </w:r>
          </w:p>
        </w:tc>
        <w:tc>
          <w:tcPr>
            <w:tcW w:w="369" w:type="pct"/>
            <w:noWrap/>
            <w:tcMar>
              <w:top w:w="0" w:type="dxa"/>
              <w:left w:w="0" w:type="dxa"/>
              <w:bottom w:w="0" w:type="dxa"/>
              <w:right w:w="0" w:type="dxa"/>
            </w:tcMar>
            <w:vAlign w:val="bottom"/>
            <w:hideMark/>
          </w:tcPr>
          <w:p w14:paraId="36FD39D4" w14:textId="77777777" w:rsidR="00000000" w:rsidRDefault="00097612">
            <w:pPr>
              <w:pStyle w:val="a3"/>
              <w:spacing w:before="0" w:beforeAutospacing="0" w:after="0" w:afterAutospacing="0"/>
              <w:ind w:right="60"/>
              <w:jc w:val="right"/>
              <w:rPr>
                <w:sz w:val="20"/>
                <w:szCs w:val="20"/>
              </w:rPr>
            </w:pPr>
            <w:r>
              <w:rPr>
                <w:sz w:val="20"/>
                <w:szCs w:val="20"/>
              </w:rPr>
              <w:t>52,693</w:t>
            </w:r>
          </w:p>
        </w:tc>
        <w:tc>
          <w:tcPr>
            <w:tcW w:w="88" w:type="pct"/>
            <w:noWrap/>
            <w:tcMar>
              <w:top w:w="0" w:type="dxa"/>
              <w:left w:w="0" w:type="dxa"/>
              <w:bottom w:w="0" w:type="dxa"/>
              <w:right w:w="0" w:type="dxa"/>
            </w:tcMar>
            <w:vAlign w:val="bottom"/>
            <w:hideMark/>
          </w:tcPr>
          <w:p w14:paraId="2BA04492"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3E73649D" w14:textId="77777777" w:rsidR="00000000" w:rsidRDefault="00097612">
            <w:pPr>
              <w:pStyle w:val="a3"/>
              <w:spacing w:before="0" w:beforeAutospacing="0" w:after="0" w:afterAutospacing="0"/>
              <w:jc w:val="center"/>
              <w:rPr>
                <w:sz w:val="20"/>
                <w:szCs w:val="20"/>
              </w:rPr>
            </w:pPr>
            <w:r>
              <w:rPr>
                <w:sz w:val="20"/>
                <w:szCs w:val="20"/>
              </w:rPr>
              <w:t> </w:t>
            </w:r>
          </w:p>
        </w:tc>
        <w:tc>
          <w:tcPr>
            <w:tcW w:w="412" w:type="pct"/>
            <w:noWrap/>
            <w:tcMar>
              <w:top w:w="0" w:type="dxa"/>
              <w:left w:w="0" w:type="dxa"/>
              <w:bottom w:w="0" w:type="dxa"/>
              <w:right w:w="0" w:type="dxa"/>
            </w:tcMar>
            <w:vAlign w:val="bottom"/>
            <w:hideMark/>
          </w:tcPr>
          <w:p w14:paraId="6BE7B120" w14:textId="77777777" w:rsidR="00000000" w:rsidRDefault="00097612">
            <w:pPr>
              <w:pStyle w:val="a3"/>
              <w:spacing w:before="0" w:beforeAutospacing="0" w:after="0" w:afterAutospacing="0"/>
              <w:ind w:right="60"/>
              <w:jc w:val="right"/>
              <w:rPr>
                <w:sz w:val="20"/>
                <w:szCs w:val="20"/>
              </w:rPr>
            </w:pPr>
            <w:r>
              <w:rPr>
                <w:sz w:val="20"/>
                <w:szCs w:val="20"/>
              </w:rPr>
              <w:t>152,223</w:t>
            </w:r>
          </w:p>
        </w:tc>
        <w:tc>
          <w:tcPr>
            <w:tcW w:w="88" w:type="pct"/>
            <w:noWrap/>
            <w:tcMar>
              <w:top w:w="0" w:type="dxa"/>
              <w:left w:w="0" w:type="dxa"/>
              <w:bottom w:w="0" w:type="dxa"/>
              <w:right w:w="0" w:type="dxa"/>
            </w:tcMar>
            <w:vAlign w:val="bottom"/>
            <w:hideMark/>
          </w:tcPr>
          <w:p w14:paraId="32830D84"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68AA4237" w14:textId="77777777" w:rsidR="00000000" w:rsidRDefault="00097612">
            <w:pPr>
              <w:pStyle w:val="a3"/>
              <w:spacing w:before="0" w:beforeAutospacing="0" w:after="0" w:afterAutospacing="0"/>
              <w:jc w:val="center"/>
              <w:rPr>
                <w:sz w:val="20"/>
                <w:szCs w:val="20"/>
              </w:rPr>
            </w:pPr>
            <w:r>
              <w:rPr>
                <w:sz w:val="20"/>
                <w:szCs w:val="20"/>
              </w:rPr>
              <w:t> </w:t>
            </w:r>
          </w:p>
        </w:tc>
        <w:tc>
          <w:tcPr>
            <w:tcW w:w="412" w:type="pct"/>
            <w:noWrap/>
            <w:tcMar>
              <w:top w:w="0" w:type="dxa"/>
              <w:left w:w="0" w:type="dxa"/>
              <w:bottom w:w="0" w:type="dxa"/>
              <w:right w:w="0" w:type="dxa"/>
            </w:tcMar>
            <w:vAlign w:val="bottom"/>
            <w:hideMark/>
          </w:tcPr>
          <w:p w14:paraId="66BB19D6" w14:textId="77777777" w:rsidR="00000000" w:rsidRDefault="00097612">
            <w:pPr>
              <w:pStyle w:val="a3"/>
              <w:spacing w:before="0" w:beforeAutospacing="0" w:after="0" w:afterAutospacing="0"/>
              <w:ind w:right="60"/>
              <w:jc w:val="right"/>
              <w:rPr>
                <w:sz w:val="20"/>
                <w:szCs w:val="20"/>
              </w:rPr>
            </w:pPr>
            <w:r>
              <w:rPr>
                <w:sz w:val="20"/>
                <w:szCs w:val="20"/>
              </w:rPr>
              <w:t>149,079</w:t>
            </w:r>
          </w:p>
        </w:tc>
        <w:tc>
          <w:tcPr>
            <w:tcW w:w="86" w:type="pct"/>
            <w:noWrap/>
            <w:tcMar>
              <w:top w:w="0" w:type="dxa"/>
              <w:left w:w="0" w:type="dxa"/>
              <w:bottom w:w="0" w:type="dxa"/>
              <w:right w:w="0" w:type="dxa"/>
            </w:tcMar>
            <w:vAlign w:val="bottom"/>
            <w:hideMark/>
          </w:tcPr>
          <w:p w14:paraId="32DB0920" w14:textId="77777777" w:rsidR="00000000" w:rsidRDefault="00097612">
            <w:pPr>
              <w:pStyle w:val="a3"/>
              <w:spacing w:before="0" w:beforeAutospacing="0" w:after="0" w:afterAutospacing="0"/>
              <w:rPr>
                <w:sz w:val="20"/>
                <w:szCs w:val="20"/>
              </w:rPr>
            </w:pPr>
            <w:r>
              <w:rPr>
                <w:sz w:val="20"/>
                <w:szCs w:val="20"/>
              </w:rPr>
              <w:t>​</w:t>
            </w:r>
          </w:p>
        </w:tc>
      </w:tr>
      <w:tr w:rsidR="00000000" w14:paraId="1EF70805" w14:textId="77777777">
        <w:trPr>
          <w:divId w:val="413936982"/>
        </w:trPr>
        <w:tc>
          <w:tcPr>
            <w:tcW w:w="2640" w:type="pct"/>
            <w:shd w:val="clear" w:color="auto" w:fill="CCEEFF"/>
            <w:tcMar>
              <w:top w:w="0" w:type="dxa"/>
              <w:left w:w="0" w:type="dxa"/>
              <w:bottom w:w="0" w:type="dxa"/>
              <w:right w:w="0" w:type="dxa"/>
            </w:tcMar>
            <w:vAlign w:val="bottom"/>
            <w:hideMark/>
          </w:tcPr>
          <w:p w14:paraId="66BC2A65" w14:textId="77777777" w:rsidR="00000000" w:rsidRDefault="00097612">
            <w:pPr>
              <w:pStyle w:val="a3"/>
              <w:spacing w:before="0" w:beforeAutospacing="0" w:after="0" w:afterAutospacing="0"/>
              <w:ind w:left="240"/>
              <w:rPr>
                <w:sz w:val="20"/>
                <w:szCs w:val="20"/>
              </w:rPr>
            </w:pPr>
            <w:r>
              <w:rPr>
                <w:sz w:val="20"/>
                <w:szCs w:val="20"/>
              </w:rPr>
              <w:t>Selling, general and administrative (1)</w:t>
            </w:r>
          </w:p>
        </w:tc>
        <w:tc>
          <w:tcPr>
            <w:tcW w:w="87" w:type="pct"/>
            <w:shd w:val="clear" w:color="auto" w:fill="CCEEFF"/>
            <w:noWrap/>
            <w:tcMar>
              <w:top w:w="0" w:type="dxa"/>
              <w:left w:w="0" w:type="dxa"/>
              <w:bottom w:w="0" w:type="dxa"/>
              <w:right w:w="0" w:type="dxa"/>
            </w:tcMar>
            <w:vAlign w:val="bottom"/>
            <w:hideMark/>
          </w:tcPr>
          <w:p w14:paraId="5BB35DA0" w14:textId="77777777" w:rsidR="00000000" w:rsidRDefault="00097612">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14:paraId="0B1BA369"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14:paraId="3E58B648" w14:textId="77777777" w:rsidR="00000000" w:rsidRDefault="00097612">
            <w:pPr>
              <w:pStyle w:val="a3"/>
              <w:spacing w:before="0" w:beforeAutospacing="0" w:after="0" w:afterAutospacing="0"/>
              <w:ind w:right="60"/>
              <w:jc w:val="right"/>
              <w:rPr>
                <w:sz w:val="20"/>
                <w:szCs w:val="20"/>
              </w:rPr>
            </w:pPr>
            <w:r>
              <w:rPr>
                <w:sz w:val="20"/>
                <w:szCs w:val="20"/>
              </w:rPr>
              <w:t>25,622</w:t>
            </w:r>
          </w:p>
        </w:tc>
        <w:tc>
          <w:tcPr>
            <w:tcW w:w="88" w:type="pct"/>
            <w:shd w:val="clear" w:color="auto" w:fill="CCEEFF"/>
            <w:noWrap/>
            <w:tcMar>
              <w:top w:w="0" w:type="dxa"/>
              <w:left w:w="0" w:type="dxa"/>
              <w:bottom w:w="0" w:type="dxa"/>
              <w:right w:w="0" w:type="dxa"/>
            </w:tcMar>
            <w:vAlign w:val="bottom"/>
            <w:hideMark/>
          </w:tcPr>
          <w:p w14:paraId="6C55B867"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2F9035DD"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14:paraId="4A6F2F3C" w14:textId="77777777" w:rsidR="00000000" w:rsidRDefault="00097612">
            <w:pPr>
              <w:pStyle w:val="a3"/>
              <w:spacing w:before="0" w:beforeAutospacing="0" w:after="0" w:afterAutospacing="0"/>
              <w:ind w:right="60"/>
              <w:jc w:val="right"/>
              <w:rPr>
                <w:sz w:val="20"/>
                <w:szCs w:val="20"/>
              </w:rPr>
            </w:pPr>
            <w:r>
              <w:rPr>
                <w:sz w:val="20"/>
                <w:szCs w:val="20"/>
              </w:rPr>
              <w:t>21,890</w:t>
            </w:r>
          </w:p>
        </w:tc>
        <w:tc>
          <w:tcPr>
            <w:tcW w:w="88" w:type="pct"/>
            <w:shd w:val="clear" w:color="auto" w:fill="CCEEFF"/>
            <w:noWrap/>
            <w:tcMar>
              <w:top w:w="0" w:type="dxa"/>
              <w:left w:w="0" w:type="dxa"/>
              <w:bottom w:w="0" w:type="dxa"/>
              <w:right w:w="0" w:type="dxa"/>
            </w:tcMar>
            <w:vAlign w:val="bottom"/>
            <w:hideMark/>
          </w:tcPr>
          <w:p w14:paraId="2673E35F"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46E66D6E"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14:paraId="1100FE77" w14:textId="77777777" w:rsidR="00000000" w:rsidRDefault="00097612">
            <w:pPr>
              <w:pStyle w:val="a3"/>
              <w:spacing w:before="0" w:beforeAutospacing="0" w:after="0" w:afterAutospacing="0"/>
              <w:ind w:right="60"/>
              <w:jc w:val="right"/>
              <w:rPr>
                <w:sz w:val="20"/>
                <w:szCs w:val="20"/>
              </w:rPr>
            </w:pPr>
            <w:r>
              <w:rPr>
                <w:sz w:val="20"/>
                <w:szCs w:val="20"/>
              </w:rPr>
              <w:t>73,035</w:t>
            </w:r>
          </w:p>
        </w:tc>
        <w:tc>
          <w:tcPr>
            <w:tcW w:w="88" w:type="pct"/>
            <w:shd w:val="clear" w:color="auto" w:fill="CCEEFF"/>
            <w:noWrap/>
            <w:tcMar>
              <w:top w:w="0" w:type="dxa"/>
              <w:left w:w="0" w:type="dxa"/>
              <w:bottom w:w="0" w:type="dxa"/>
              <w:right w:w="0" w:type="dxa"/>
            </w:tcMar>
            <w:vAlign w:val="bottom"/>
            <w:hideMark/>
          </w:tcPr>
          <w:p w14:paraId="6E2EC51D"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134CD7FC"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14:paraId="06068823" w14:textId="77777777" w:rsidR="00000000" w:rsidRDefault="00097612">
            <w:pPr>
              <w:pStyle w:val="a3"/>
              <w:spacing w:before="0" w:beforeAutospacing="0" w:after="0" w:afterAutospacing="0"/>
              <w:ind w:right="60"/>
              <w:jc w:val="right"/>
              <w:rPr>
                <w:sz w:val="20"/>
                <w:szCs w:val="20"/>
              </w:rPr>
            </w:pPr>
            <w:r>
              <w:rPr>
                <w:sz w:val="20"/>
                <w:szCs w:val="20"/>
              </w:rPr>
              <w:t>71,601</w:t>
            </w:r>
          </w:p>
        </w:tc>
        <w:tc>
          <w:tcPr>
            <w:tcW w:w="86" w:type="pct"/>
            <w:shd w:val="clear" w:color="auto" w:fill="CCEEFF"/>
            <w:noWrap/>
            <w:tcMar>
              <w:top w:w="0" w:type="dxa"/>
              <w:left w:w="0" w:type="dxa"/>
              <w:bottom w:w="0" w:type="dxa"/>
              <w:right w:w="0" w:type="dxa"/>
            </w:tcMar>
            <w:vAlign w:val="bottom"/>
            <w:hideMark/>
          </w:tcPr>
          <w:p w14:paraId="43A152EC" w14:textId="77777777" w:rsidR="00000000" w:rsidRDefault="00097612">
            <w:pPr>
              <w:pStyle w:val="a3"/>
              <w:spacing w:before="0" w:beforeAutospacing="0" w:after="0" w:afterAutospacing="0"/>
              <w:rPr>
                <w:sz w:val="20"/>
                <w:szCs w:val="20"/>
              </w:rPr>
            </w:pPr>
            <w:r>
              <w:rPr>
                <w:sz w:val="20"/>
                <w:szCs w:val="20"/>
              </w:rPr>
              <w:t>​</w:t>
            </w:r>
          </w:p>
        </w:tc>
      </w:tr>
      <w:tr w:rsidR="00000000" w14:paraId="54459FFF" w14:textId="77777777">
        <w:trPr>
          <w:divId w:val="413936982"/>
        </w:trPr>
        <w:tc>
          <w:tcPr>
            <w:tcW w:w="2640" w:type="pct"/>
            <w:tcMar>
              <w:top w:w="0" w:type="dxa"/>
              <w:left w:w="0" w:type="dxa"/>
              <w:bottom w:w="0" w:type="dxa"/>
              <w:right w:w="0" w:type="dxa"/>
            </w:tcMar>
            <w:vAlign w:val="bottom"/>
            <w:hideMark/>
          </w:tcPr>
          <w:p w14:paraId="05FB6AF5" w14:textId="77777777" w:rsidR="00000000" w:rsidRDefault="00097612">
            <w:pPr>
              <w:pStyle w:val="a3"/>
              <w:spacing w:before="0" w:beforeAutospacing="0" w:after="0" w:afterAutospacing="0"/>
              <w:ind w:left="360"/>
              <w:rPr>
                <w:sz w:val="20"/>
                <w:szCs w:val="20"/>
              </w:rPr>
            </w:pPr>
            <w:r>
              <w:rPr>
                <w:sz w:val="20"/>
                <w:szCs w:val="20"/>
              </w:rPr>
              <w:t xml:space="preserve">Total costs and expenses </w:t>
            </w:r>
          </w:p>
        </w:tc>
        <w:tc>
          <w:tcPr>
            <w:tcW w:w="87" w:type="pct"/>
            <w:noWrap/>
            <w:tcMar>
              <w:top w:w="0" w:type="dxa"/>
              <w:left w:w="0" w:type="dxa"/>
              <w:bottom w:w="0" w:type="dxa"/>
              <w:right w:w="0" w:type="dxa"/>
            </w:tcMar>
            <w:vAlign w:val="bottom"/>
            <w:hideMark/>
          </w:tcPr>
          <w:p w14:paraId="1942E2E4" w14:textId="77777777" w:rsidR="00000000" w:rsidRDefault="00097612">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14:paraId="36070CE9"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noWrap/>
            <w:tcMar>
              <w:top w:w="0" w:type="dxa"/>
              <w:left w:w="0" w:type="dxa"/>
              <w:bottom w:w="0" w:type="dxa"/>
              <w:right w:w="0" w:type="dxa"/>
            </w:tcMar>
            <w:vAlign w:val="bottom"/>
            <w:hideMark/>
          </w:tcPr>
          <w:p w14:paraId="47871671" w14:textId="77777777" w:rsidR="00000000" w:rsidRDefault="00097612">
            <w:pPr>
              <w:pStyle w:val="a3"/>
              <w:spacing w:before="0" w:beforeAutospacing="0" w:after="0" w:afterAutospacing="0"/>
              <w:ind w:right="60"/>
              <w:jc w:val="right"/>
              <w:rPr>
                <w:sz w:val="20"/>
                <w:szCs w:val="20"/>
              </w:rPr>
            </w:pPr>
            <w:r>
              <w:rPr>
                <w:sz w:val="20"/>
                <w:szCs w:val="20"/>
              </w:rPr>
              <w:t>77,628</w:t>
            </w:r>
          </w:p>
        </w:tc>
        <w:tc>
          <w:tcPr>
            <w:tcW w:w="88" w:type="pct"/>
            <w:noWrap/>
            <w:tcMar>
              <w:top w:w="0" w:type="dxa"/>
              <w:left w:w="0" w:type="dxa"/>
              <w:bottom w:w="0" w:type="dxa"/>
              <w:right w:w="0" w:type="dxa"/>
            </w:tcMar>
            <w:vAlign w:val="bottom"/>
            <w:hideMark/>
          </w:tcPr>
          <w:p w14:paraId="2474D80D"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31912CE3"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noWrap/>
            <w:tcMar>
              <w:top w:w="0" w:type="dxa"/>
              <w:left w:w="0" w:type="dxa"/>
              <w:bottom w:w="0" w:type="dxa"/>
              <w:right w:w="0" w:type="dxa"/>
            </w:tcMar>
            <w:vAlign w:val="bottom"/>
            <w:hideMark/>
          </w:tcPr>
          <w:p w14:paraId="2973C2DA" w14:textId="77777777" w:rsidR="00000000" w:rsidRDefault="00097612">
            <w:pPr>
              <w:pStyle w:val="a3"/>
              <w:spacing w:before="0" w:beforeAutospacing="0" w:after="0" w:afterAutospacing="0"/>
              <w:ind w:right="60"/>
              <w:jc w:val="right"/>
              <w:rPr>
                <w:sz w:val="20"/>
                <w:szCs w:val="20"/>
              </w:rPr>
            </w:pPr>
            <w:r>
              <w:rPr>
                <w:sz w:val="20"/>
                <w:szCs w:val="20"/>
              </w:rPr>
              <w:t>75,288</w:t>
            </w:r>
          </w:p>
        </w:tc>
        <w:tc>
          <w:tcPr>
            <w:tcW w:w="88" w:type="pct"/>
            <w:noWrap/>
            <w:tcMar>
              <w:top w:w="0" w:type="dxa"/>
              <w:left w:w="0" w:type="dxa"/>
              <w:bottom w:w="0" w:type="dxa"/>
              <w:right w:w="0" w:type="dxa"/>
            </w:tcMar>
            <w:vAlign w:val="bottom"/>
            <w:hideMark/>
          </w:tcPr>
          <w:p w14:paraId="5906FC7C"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7C111256"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14:paraId="35F95FA9" w14:textId="77777777" w:rsidR="00000000" w:rsidRDefault="00097612">
            <w:pPr>
              <w:pStyle w:val="a3"/>
              <w:spacing w:before="0" w:beforeAutospacing="0" w:after="0" w:afterAutospacing="0"/>
              <w:ind w:right="60"/>
              <w:jc w:val="right"/>
              <w:rPr>
                <w:sz w:val="20"/>
                <w:szCs w:val="20"/>
              </w:rPr>
            </w:pPr>
            <w:r>
              <w:rPr>
                <w:sz w:val="20"/>
                <w:szCs w:val="20"/>
              </w:rPr>
              <w:t>225,258</w:t>
            </w:r>
          </w:p>
        </w:tc>
        <w:tc>
          <w:tcPr>
            <w:tcW w:w="88" w:type="pct"/>
            <w:noWrap/>
            <w:tcMar>
              <w:top w:w="0" w:type="dxa"/>
              <w:left w:w="0" w:type="dxa"/>
              <w:bottom w:w="0" w:type="dxa"/>
              <w:right w:w="0" w:type="dxa"/>
            </w:tcMar>
            <w:vAlign w:val="bottom"/>
            <w:hideMark/>
          </w:tcPr>
          <w:p w14:paraId="3AD797F5"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7BED695E"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14:paraId="5DF03368" w14:textId="77777777" w:rsidR="00000000" w:rsidRDefault="00097612">
            <w:pPr>
              <w:pStyle w:val="a3"/>
              <w:spacing w:before="0" w:beforeAutospacing="0" w:after="0" w:afterAutospacing="0"/>
              <w:ind w:right="60"/>
              <w:jc w:val="right"/>
              <w:rPr>
                <w:sz w:val="20"/>
                <w:szCs w:val="20"/>
              </w:rPr>
            </w:pPr>
            <w:r>
              <w:rPr>
                <w:sz w:val="20"/>
                <w:szCs w:val="20"/>
              </w:rPr>
              <w:t>220,763</w:t>
            </w:r>
          </w:p>
        </w:tc>
        <w:tc>
          <w:tcPr>
            <w:tcW w:w="86" w:type="pct"/>
            <w:noWrap/>
            <w:tcMar>
              <w:top w:w="0" w:type="dxa"/>
              <w:left w:w="0" w:type="dxa"/>
              <w:bottom w:w="0" w:type="dxa"/>
              <w:right w:w="0" w:type="dxa"/>
            </w:tcMar>
            <w:vAlign w:val="bottom"/>
            <w:hideMark/>
          </w:tcPr>
          <w:p w14:paraId="62F10B26" w14:textId="77777777" w:rsidR="00000000" w:rsidRDefault="00097612">
            <w:pPr>
              <w:pStyle w:val="a3"/>
              <w:spacing w:before="0" w:beforeAutospacing="0" w:after="0" w:afterAutospacing="0"/>
              <w:rPr>
                <w:sz w:val="20"/>
                <w:szCs w:val="20"/>
              </w:rPr>
            </w:pPr>
            <w:r>
              <w:rPr>
                <w:sz w:val="20"/>
                <w:szCs w:val="20"/>
              </w:rPr>
              <w:t>​</w:t>
            </w:r>
          </w:p>
        </w:tc>
      </w:tr>
      <w:tr w:rsidR="00000000" w14:paraId="6EA34DAB" w14:textId="77777777">
        <w:trPr>
          <w:divId w:val="413936982"/>
        </w:trPr>
        <w:tc>
          <w:tcPr>
            <w:tcW w:w="2640" w:type="pct"/>
            <w:shd w:val="clear" w:color="auto" w:fill="CCEEFF"/>
            <w:tcMar>
              <w:top w:w="0" w:type="dxa"/>
              <w:left w:w="0" w:type="dxa"/>
              <w:bottom w:w="0" w:type="dxa"/>
              <w:right w:w="0" w:type="dxa"/>
            </w:tcMar>
            <w:vAlign w:val="bottom"/>
            <w:hideMark/>
          </w:tcPr>
          <w:p w14:paraId="0E17E8C2"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46491C43"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7DCE229C"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6812A691"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2E8CF818"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71168E60"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0960FB07"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688B02A6"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7F1829B"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472C4827"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8D8E3D4"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3A8DF76"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00916220" w14:textId="77777777" w:rsidR="00000000" w:rsidRDefault="00097612">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646E1833" w14:textId="77777777" w:rsidR="00000000" w:rsidRDefault="00097612">
            <w:pPr>
              <w:pStyle w:val="a3"/>
              <w:spacing w:before="0" w:beforeAutospacing="0" w:after="0" w:afterAutospacing="0"/>
              <w:rPr>
                <w:sz w:val="20"/>
                <w:szCs w:val="20"/>
              </w:rPr>
            </w:pPr>
            <w:r>
              <w:rPr>
                <w:sz w:val="20"/>
                <w:szCs w:val="20"/>
              </w:rPr>
              <w:t>​</w:t>
            </w:r>
          </w:p>
        </w:tc>
      </w:tr>
      <w:tr w:rsidR="00000000" w14:paraId="7AE169D1" w14:textId="77777777">
        <w:trPr>
          <w:divId w:val="413936982"/>
        </w:trPr>
        <w:tc>
          <w:tcPr>
            <w:tcW w:w="2640" w:type="pct"/>
            <w:tcMar>
              <w:top w:w="0" w:type="dxa"/>
              <w:left w:w="0" w:type="dxa"/>
              <w:bottom w:w="0" w:type="dxa"/>
              <w:right w:w="0" w:type="dxa"/>
            </w:tcMar>
            <w:vAlign w:val="bottom"/>
            <w:hideMark/>
          </w:tcPr>
          <w:p w14:paraId="09E78911" w14:textId="77777777" w:rsidR="00000000" w:rsidRDefault="00097612">
            <w:pPr>
              <w:pStyle w:val="a3"/>
              <w:spacing w:before="0" w:beforeAutospacing="0" w:after="0" w:afterAutospacing="0"/>
              <w:rPr>
                <w:sz w:val="20"/>
                <w:szCs w:val="20"/>
              </w:rPr>
            </w:pPr>
            <w:r>
              <w:rPr>
                <w:sz w:val="20"/>
                <w:szCs w:val="20"/>
              </w:rPr>
              <w:t xml:space="preserve">Loss from operations </w:t>
            </w:r>
          </w:p>
        </w:tc>
        <w:tc>
          <w:tcPr>
            <w:tcW w:w="87" w:type="pct"/>
            <w:noWrap/>
            <w:tcMar>
              <w:top w:w="0" w:type="dxa"/>
              <w:left w:w="0" w:type="dxa"/>
              <w:bottom w:w="0" w:type="dxa"/>
              <w:right w:w="0" w:type="dxa"/>
            </w:tcMar>
            <w:vAlign w:val="bottom"/>
            <w:hideMark/>
          </w:tcPr>
          <w:p w14:paraId="1282130A" w14:textId="77777777" w:rsidR="00000000" w:rsidRDefault="00097612">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23213383" w14:textId="77777777" w:rsidR="00000000" w:rsidRDefault="00097612">
            <w:pPr>
              <w:pStyle w:val="a3"/>
              <w:spacing w:before="0" w:beforeAutospacing="0" w:after="0" w:afterAutospacing="0"/>
              <w:jc w:val="center"/>
              <w:rPr>
                <w:sz w:val="20"/>
                <w:szCs w:val="20"/>
              </w:rPr>
            </w:pPr>
            <w:r>
              <w:rPr>
                <w:sz w:val="20"/>
                <w:szCs w:val="20"/>
              </w:rPr>
              <w:t> </w:t>
            </w:r>
          </w:p>
        </w:tc>
        <w:tc>
          <w:tcPr>
            <w:tcW w:w="369" w:type="pct"/>
            <w:noWrap/>
            <w:tcMar>
              <w:top w:w="0" w:type="dxa"/>
              <w:left w:w="0" w:type="dxa"/>
              <w:bottom w:w="0" w:type="dxa"/>
              <w:right w:w="0" w:type="dxa"/>
            </w:tcMar>
            <w:vAlign w:val="bottom"/>
            <w:hideMark/>
          </w:tcPr>
          <w:p w14:paraId="4BC1EA00" w14:textId="77777777" w:rsidR="00000000" w:rsidRDefault="00097612">
            <w:pPr>
              <w:pStyle w:val="a3"/>
              <w:spacing w:before="0" w:beforeAutospacing="0" w:after="0" w:afterAutospacing="0"/>
              <w:jc w:val="right"/>
              <w:rPr>
                <w:sz w:val="20"/>
                <w:szCs w:val="20"/>
              </w:rPr>
            </w:pPr>
            <w:r>
              <w:rPr>
                <w:sz w:val="20"/>
                <w:szCs w:val="20"/>
              </w:rPr>
              <w:t>(65,201)</w:t>
            </w:r>
          </w:p>
        </w:tc>
        <w:tc>
          <w:tcPr>
            <w:tcW w:w="88" w:type="pct"/>
            <w:noWrap/>
            <w:tcMar>
              <w:top w:w="0" w:type="dxa"/>
              <w:left w:w="0" w:type="dxa"/>
              <w:bottom w:w="0" w:type="dxa"/>
              <w:right w:w="0" w:type="dxa"/>
            </w:tcMar>
            <w:vAlign w:val="bottom"/>
            <w:hideMark/>
          </w:tcPr>
          <w:p w14:paraId="693AF1CA"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155AD2E3" w14:textId="77777777" w:rsidR="00000000" w:rsidRDefault="00097612">
            <w:pPr>
              <w:pStyle w:val="a3"/>
              <w:spacing w:before="0" w:beforeAutospacing="0" w:after="0" w:afterAutospacing="0"/>
              <w:jc w:val="center"/>
              <w:rPr>
                <w:sz w:val="20"/>
                <w:szCs w:val="20"/>
              </w:rPr>
            </w:pPr>
            <w:r>
              <w:rPr>
                <w:sz w:val="20"/>
                <w:szCs w:val="20"/>
              </w:rPr>
              <w:t> </w:t>
            </w:r>
          </w:p>
        </w:tc>
        <w:tc>
          <w:tcPr>
            <w:tcW w:w="369" w:type="pct"/>
            <w:noWrap/>
            <w:tcMar>
              <w:top w:w="0" w:type="dxa"/>
              <w:left w:w="0" w:type="dxa"/>
              <w:bottom w:w="0" w:type="dxa"/>
              <w:right w:w="0" w:type="dxa"/>
            </w:tcMar>
            <w:vAlign w:val="bottom"/>
            <w:hideMark/>
          </w:tcPr>
          <w:p w14:paraId="585915A5" w14:textId="77777777" w:rsidR="00000000" w:rsidRDefault="00097612">
            <w:pPr>
              <w:pStyle w:val="a3"/>
              <w:spacing w:before="0" w:beforeAutospacing="0" w:after="0" w:afterAutospacing="0"/>
              <w:jc w:val="right"/>
              <w:rPr>
                <w:sz w:val="20"/>
                <w:szCs w:val="20"/>
              </w:rPr>
            </w:pPr>
            <w:r>
              <w:rPr>
                <w:sz w:val="20"/>
                <w:szCs w:val="20"/>
              </w:rPr>
              <w:t>(62,450)</w:t>
            </w:r>
          </w:p>
        </w:tc>
        <w:tc>
          <w:tcPr>
            <w:tcW w:w="88" w:type="pct"/>
            <w:noWrap/>
            <w:tcMar>
              <w:top w:w="0" w:type="dxa"/>
              <w:left w:w="0" w:type="dxa"/>
              <w:bottom w:w="0" w:type="dxa"/>
              <w:right w:w="0" w:type="dxa"/>
            </w:tcMar>
            <w:vAlign w:val="bottom"/>
            <w:hideMark/>
          </w:tcPr>
          <w:p w14:paraId="6CA04A35"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5C4BC957" w14:textId="77777777" w:rsidR="00000000" w:rsidRDefault="00097612">
            <w:pPr>
              <w:pStyle w:val="a3"/>
              <w:spacing w:before="0" w:beforeAutospacing="0" w:after="0" w:afterAutospacing="0"/>
              <w:jc w:val="center"/>
              <w:rPr>
                <w:sz w:val="20"/>
                <w:szCs w:val="20"/>
              </w:rPr>
            </w:pPr>
            <w:r>
              <w:rPr>
                <w:sz w:val="20"/>
                <w:szCs w:val="20"/>
              </w:rPr>
              <w:t> </w:t>
            </w:r>
          </w:p>
        </w:tc>
        <w:tc>
          <w:tcPr>
            <w:tcW w:w="412" w:type="pct"/>
            <w:noWrap/>
            <w:tcMar>
              <w:top w:w="0" w:type="dxa"/>
              <w:left w:w="0" w:type="dxa"/>
              <w:bottom w:w="0" w:type="dxa"/>
              <w:right w:w="0" w:type="dxa"/>
            </w:tcMar>
            <w:vAlign w:val="bottom"/>
            <w:hideMark/>
          </w:tcPr>
          <w:p w14:paraId="6277F2A2" w14:textId="77777777" w:rsidR="00000000" w:rsidRDefault="00097612">
            <w:pPr>
              <w:pStyle w:val="a3"/>
              <w:spacing w:before="0" w:beforeAutospacing="0" w:after="0" w:afterAutospacing="0"/>
              <w:jc w:val="right"/>
              <w:rPr>
                <w:sz w:val="20"/>
                <w:szCs w:val="20"/>
              </w:rPr>
            </w:pPr>
            <w:r>
              <w:rPr>
                <w:sz w:val="20"/>
                <w:szCs w:val="20"/>
              </w:rPr>
              <w:t>(181,343)</w:t>
            </w:r>
          </w:p>
        </w:tc>
        <w:tc>
          <w:tcPr>
            <w:tcW w:w="88" w:type="pct"/>
            <w:noWrap/>
            <w:tcMar>
              <w:top w:w="0" w:type="dxa"/>
              <w:left w:w="0" w:type="dxa"/>
              <w:bottom w:w="0" w:type="dxa"/>
              <w:right w:w="0" w:type="dxa"/>
            </w:tcMar>
            <w:vAlign w:val="bottom"/>
            <w:hideMark/>
          </w:tcPr>
          <w:p w14:paraId="2EA41D80"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690C7982" w14:textId="77777777" w:rsidR="00000000" w:rsidRDefault="00097612">
            <w:pPr>
              <w:pStyle w:val="a3"/>
              <w:spacing w:before="0" w:beforeAutospacing="0" w:after="0" w:afterAutospacing="0"/>
              <w:jc w:val="center"/>
              <w:rPr>
                <w:sz w:val="20"/>
                <w:szCs w:val="20"/>
              </w:rPr>
            </w:pPr>
            <w:r>
              <w:rPr>
                <w:sz w:val="20"/>
                <w:szCs w:val="20"/>
              </w:rPr>
              <w:t> </w:t>
            </w:r>
          </w:p>
        </w:tc>
        <w:tc>
          <w:tcPr>
            <w:tcW w:w="412" w:type="pct"/>
            <w:noWrap/>
            <w:tcMar>
              <w:top w:w="0" w:type="dxa"/>
              <w:left w:w="0" w:type="dxa"/>
              <w:bottom w:w="0" w:type="dxa"/>
              <w:right w:w="0" w:type="dxa"/>
            </w:tcMar>
            <w:vAlign w:val="bottom"/>
            <w:hideMark/>
          </w:tcPr>
          <w:p w14:paraId="1E9E7168" w14:textId="77777777" w:rsidR="00000000" w:rsidRDefault="00097612">
            <w:pPr>
              <w:pStyle w:val="a3"/>
              <w:spacing w:before="0" w:beforeAutospacing="0" w:after="0" w:afterAutospacing="0"/>
              <w:jc w:val="right"/>
              <w:rPr>
                <w:sz w:val="20"/>
                <w:szCs w:val="20"/>
              </w:rPr>
            </w:pPr>
            <w:r>
              <w:rPr>
                <w:sz w:val="20"/>
                <w:szCs w:val="20"/>
              </w:rPr>
              <w:t>(176,130)</w:t>
            </w:r>
          </w:p>
        </w:tc>
        <w:tc>
          <w:tcPr>
            <w:tcW w:w="86" w:type="pct"/>
            <w:noWrap/>
            <w:tcMar>
              <w:top w:w="0" w:type="dxa"/>
              <w:left w:w="0" w:type="dxa"/>
              <w:bottom w:w="0" w:type="dxa"/>
              <w:right w:w="0" w:type="dxa"/>
            </w:tcMar>
            <w:vAlign w:val="bottom"/>
            <w:hideMark/>
          </w:tcPr>
          <w:p w14:paraId="3F715BF4" w14:textId="77777777" w:rsidR="00000000" w:rsidRDefault="00097612">
            <w:pPr>
              <w:pStyle w:val="a3"/>
              <w:spacing w:before="0" w:beforeAutospacing="0" w:after="0" w:afterAutospacing="0"/>
              <w:rPr>
                <w:sz w:val="20"/>
                <w:szCs w:val="20"/>
              </w:rPr>
            </w:pPr>
            <w:r>
              <w:rPr>
                <w:sz w:val="20"/>
                <w:szCs w:val="20"/>
              </w:rPr>
              <w:t>​</w:t>
            </w:r>
          </w:p>
        </w:tc>
      </w:tr>
      <w:tr w:rsidR="00000000" w14:paraId="10F70FE3" w14:textId="77777777">
        <w:trPr>
          <w:divId w:val="413936982"/>
        </w:trPr>
        <w:tc>
          <w:tcPr>
            <w:tcW w:w="2640" w:type="pct"/>
            <w:shd w:val="clear" w:color="auto" w:fill="CCEEFF"/>
            <w:tcMar>
              <w:top w:w="0" w:type="dxa"/>
              <w:left w:w="0" w:type="dxa"/>
              <w:bottom w:w="0" w:type="dxa"/>
              <w:right w:w="0" w:type="dxa"/>
            </w:tcMar>
            <w:vAlign w:val="bottom"/>
            <w:hideMark/>
          </w:tcPr>
          <w:p w14:paraId="34A57063" w14:textId="77777777" w:rsidR="00000000" w:rsidRDefault="00097612">
            <w:pPr>
              <w:pStyle w:val="a3"/>
              <w:spacing w:before="0" w:beforeAutospacing="0" w:after="0" w:afterAutospacing="0"/>
              <w:rPr>
                <w:sz w:val="20"/>
                <w:szCs w:val="20"/>
              </w:rPr>
            </w:pPr>
            <w:r>
              <w:rPr>
                <w:sz w:val="20"/>
                <w:szCs w:val="20"/>
              </w:rPr>
              <w:t>Income from investment in TRC, LLC</w:t>
            </w:r>
          </w:p>
        </w:tc>
        <w:tc>
          <w:tcPr>
            <w:tcW w:w="87" w:type="pct"/>
            <w:shd w:val="clear" w:color="auto" w:fill="CCEEFF"/>
            <w:noWrap/>
            <w:tcMar>
              <w:top w:w="0" w:type="dxa"/>
              <w:left w:w="0" w:type="dxa"/>
              <w:bottom w:w="0" w:type="dxa"/>
              <w:right w:w="0" w:type="dxa"/>
            </w:tcMar>
            <w:vAlign w:val="bottom"/>
            <w:hideMark/>
          </w:tcPr>
          <w:p w14:paraId="49D54A60"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1693187F"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241F8EE3" w14:textId="77777777" w:rsidR="00000000" w:rsidRDefault="00097612">
            <w:pPr>
              <w:pStyle w:val="a3"/>
              <w:spacing w:before="0" w:beforeAutospacing="0" w:after="0" w:afterAutospacing="0"/>
              <w:ind w:right="60"/>
              <w:jc w:val="right"/>
              <w:rPr>
                <w:sz w:val="20"/>
                <w:szCs w:val="20"/>
              </w:rPr>
            </w:pPr>
            <w:r>
              <w:rPr>
                <w:sz w:val="20"/>
                <w:szCs w:val="20"/>
              </w:rPr>
              <w:t>7,197</w:t>
            </w:r>
          </w:p>
        </w:tc>
        <w:tc>
          <w:tcPr>
            <w:tcW w:w="88" w:type="pct"/>
            <w:shd w:val="clear" w:color="auto" w:fill="CCEEFF"/>
            <w:noWrap/>
            <w:tcMar>
              <w:top w:w="0" w:type="dxa"/>
              <w:left w:w="0" w:type="dxa"/>
              <w:bottom w:w="0" w:type="dxa"/>
              <w:right w:w="0" w:type="dxa"/>
            </w:tcMar>
            <w:vAlign w:val="bottom"/>
            <w:hideMark/>
          </w:tcPr>
          <w:p w14:paraId="69B970A1"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A22CC59"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74062F78" w14:textId="77777777" w:rsidR="00000000" w:rsidRDefault="00097612">
            <w:pPr>
              <w:pStyle w:val="a3"/>
              <w:spacing w:before="0" w:beforeAutospacing="0" w:after="0" w:afterAutospacing="0"/>
              <w:ind w:right="60"/>
              <w:jc w:val="right"/>
              <w:rPr>
                <w:sz w:val="20"/>
                <w:szCs w:val="20"/>
              </w:rPr>
            </w:pPr>
            <w:r>
              <w:rPr>
                <w:sz w:val="20"/>
                <w:szCs w:val="20"/>
              </w:rPr>
              <w:t>3,119</w:t>
            </w:r>
          </w:p>
        </w:tc>
        <w:tc>
          <w:tcPr>
            <w:tcW w:w="88" w:type="pct"/>
            <w:shd w:val="clear" w:color="auto" w:fill="CCEEFF"/>
            <w:noWrap/>
            <w:tcMar>
              <w:top w:w="0" w:type="dxa"/>
              <w:left w:w="0" w:type="dxa"/>
              <w:bottom w:w="0" w:type="dxa"/>
              <w:right w:w="0" w:type="dxa"/>
            </w:tcMar>
            <w:vAlign w:val="bottom"/>
            <w:hideMark/>
          </w:tcPr>
          <w:p w14:paraId="2C581731"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4A7E6B5F"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6EE9FAAB" w14:textId="77777777" w:rsidR="00000000" w:rsidRDefault="00097612">
            <w:pPr>
              <w:pStyle w:val="a3"/>
              <w:spacing w:before="0" w:beforeAutospacing="0" w:after="0" w:afterAutospacing="0"/>
              <w:ind w:right="60"/>
              <w:jc w:val="right"/>
              <w:rPr>
                <w:sz w:val="20"/>
                <w:szCs w:val="20"/>
              </w:rPr>
            </w:pPr>
            <w:r>
              <w:rPr>
                <w:sz w:val="20"/>
                <w:szCs w:val="20"/>
              </w:rPr>
              <w:t>21,792</w:t>
            </w:r>
          </w:p>
        </w:tc>
        <w:tc>
          <w:tcPr>
            <w:tcW w:w="88" w:type="pct"/>
            <w:shd w:val="clear" w:color="auto" w:fill="CCEEFF"/>
            <w:noWrap/>
            <w:tcMar>
              <w:top w:w="0" w:type="dxa"/>
              <w:left w:w="0" w:type="dxa"/>
              <w:bottom w:w="0" w:type="dxa"/>
              <w:right w:w="0" w:type="dxa"/>
            </w:tcMar>
            <w:vAlign w:val="bottom"/>
            <w:hideMark/>
          </w:tcPr>
          <w:p w14:paraId="21426630"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B5700DA"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23C874A1" w14:textId="77777777" w:rsidR="00000000" w:rsidRDefault="00097612">
            <w:pPr>
              <w:pStyle w:val="a3"/>
              <w:spacing w:before="0" w:beforeAutospacing="0" w:after="0" w:afterAutospacing="0"/>
              <w:ind w:right="60"/>
              <w:jc w:val="right"/>
              <w:rPr>
                <w:sz w:val="20"/>
                <w:szCs w:val="20"/>
              </w:rPr>
            </w:pPr>
            <w:r>
              <w:rPr>
                <w:sz w:val="20"/>
                <w:szCs w:val="20"/>
              </w:rPr>
              <w:t>5,754</w:t>
            </w:r>
          </w:p>
        </w:tc>
        <w:tc>
          <w:tcPr>
            <w:tcW w:w="86" w:type="pct"/>
            <w:shd w:val="clear" w:color="auto" w:fill="CCEEFF"/>
            <w:noWrap/>
            <w:tcMar>
              <w:top w:w="0" w:type="dxa"/>
              <w:left w:w="0" w:type="dxa"/>
              <w:bottom w:w="0" w:type="dxa"/>
              <w:right w:w="0" w:type="dxa"/>
            </w:tcMar>
            <w:vAlign w:val="bottom"/>
            <w:hideMark/>
          </w:tcPr>
          <w:p w14:paraId="5C2EF843" w14:textId="77777777" w:rsidR="00000000" w:rsidRDefault="00097612">
            <w:pPr>
              <w:pStyle w:val="a3"/>
              <w:spacing w:before="0" w:beforeAutospacing="0" w:after="0" w:afterAutospacing="0"/>
              <w:rPr>
                <w:sz w:val="20"/>
                <w:szCs w:val="20"/>
              </w:rPr>
            </w:pPr>
            <w:r>
              <w:rPr>
                <w:sz w:val="20"/>
                <w:szCs w:val="20"/>
              </w:rPr>
              <w:t>​</w:t>
            </w:r>
          </w:p>
        </w:tc>
      </w:tr>
      <w:tr w:rsidR="00000000" w14:paraId="432012D9" w14:textId="77777777">
        <w:trPr>
          <w:divId w:val="413936982"/>
        </w:trPr>
        <w:tc>
          <w:tcPr>
            <w:tcW w:w="2640" w:type="pct"/>
            <w:noWrap/>
            <w:tcMar>
              <w:top w:w="0" w:type="dxa"/>
              <w:left w:w="0" w:type="dxa"/>
              <w:bottom w:w="0" w:type="dxa"/>
              <w:right w:w="0" w:type="dxa"/>
            </w:tcMar>
            <w:vAlign w:val="bottom"/>
            <w:hideMark/>
          </w:tcPr>
          <w:p w14:paraId="7129405E" w14:textId="77777777" w:rsidR="00000000" w:rsidRDefault="00097612">
            <w:pPr>
              <w:pStyle w:val="a3"/>
              <w:spacing w:before="0" w:beforeAutospacing="0" w:after="0" w:afterAutospacing="0"/>
              <w:rPr>
                <w:sz w:val="20"/>
                <w:szCs w:val="20"/>
              </w:rPr>
            </w:pPr>
            <w:r>
              <w:rPr>
                <w:sz w:val="20"/>
                <w:szCs w:val="20"/>
              </w:rPr>
              <w:t>Interest expense</w:t>
            </w:r>
          </w:p>
        </w:tc>
        <w:tc>
          <w:tcPr>
            <w:tcW w:w="87" w:type="pct"/>
            <w:noWrap/>
            <w:tcMar>
              <w:top w:w="0" w:type="dxa"/>
              <w:left w:w="0" w:type="dxa"/>
              <w:bottom w:w="0" w:type="dxa"/>
              <w:right w:w="0" w:type="dxa"/>
            </w:tcMar>
            <w:vAlign w:val="bottom"/>
            <w:hideMark/>
          </w:tcPr>
          <w:p w14:paraId="56974C3C" w14:textId="77777777" w:rsidR="00000000" w:rsidRDefault="00097612">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05547DD4"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156BF44D" w14:textId="77777777" w:rsidR="00000000" w:rsidRDefault="00097612">
            <w:pPr>
              <w:pStyle w:val="a3"/>
              <w:spacing w:before="0" w:beforeAutospacing="0" w:after="0" w:afterAutospacing="0"/>
              <w:jc w:val="right"/>
              <w:rPr>
                <w:sz w:val="20"/>
                <w:szCs w:val="20"/>
              </w:rPr>
            </w:pPr>
            <w:r>
              <w:rPr>
                <w:sz w:val="20"/>
                <w:szCs w:val="20"/>
              </w:rPr>
              <w:t>(8,068)</w:t>
            </w:r>
          </w:p>
        </w:tc>
        <w:tc>
          <w:tcPr>
            <w:tcW w:w="88" w:type="pct"/>
            <w:noWrap/>
            <w:tcMar>
              <w:top w:w="0" w:type="dxa"/>
              <w:left w:w="0" w:type="dxa"/>
              <w:bottom w:w="0" w:type="dxa"/>
              <w:right w:w="0" w:type="dxa"/>
            </w:tcMar>
            <w:vAlign w:val="bottom"/>
            <w:hideMark/>
          </w:tcPr>
          <w:p w14:paraId="6987EFFB"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1F0E715D"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081FB5F6" w14:textId="77777777" w:rsidR="00000000" w:rsidRDefault="00097612">
            <w:pPr>
              <w:pStyle w:val="a3"/>
              <w:spacing w:before="0" w:beforeAutospacing="0" w:after="0" w:afterAutospacing="0"/>
              <w:jc w:val="right"/>
              <w:rPr>
                <w:sz w:val="20"/>
                <w:szCs w:val="20"/>
              </w:rPr>
            </w:pPr>
            <w:r>
              <w:rPr>
                <w:sz w:val="20"/>
                <w:szCs w:val="20"/>
              </w:rPr>
              <w:t>(2,137)</w:t>
            </w:r>
          </w:p>
        </w:tc>
        <w:tc>
          <w:tcPr>
            <w:tcW w:w="88" w:type="pct"/>
            <w:noWrap/>
            <w:tcMar>
              <w:top w:w="0" w:type="dxa"/>
              <w:left w:w="0" w:type="dxa"/>
              <w:bottom w:w="0" w:type="dxa"/>
              <w:right w:w="0" w:type="dxa"/>
            </w:tcMar>
            <w:vAlign w:val="bottom"/>
            <w:hideMark/>
          </w:tcPr>
          <w:p w14:paraId="4394422F"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29BBD82C"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2660D452" w14:textId="77777777" w:rsidR="00000000" w:rsidRDefault="00097612">
            <w:pPr>
              <w:pStyle w:val="a3"/>
              <w:spacing w:before="0" w:beforeAutospacing="0" w:after="0" w:afterAutospacing="0"/>
              <w:jc w:val="right"/>
              <w:rPr>
                <w:sz w:val="20"/>
                <w:szCs w:val="20"/>
              </w:rPr>
            </w:pPr>
            <w:r>
              <w:rPr>
                <w:sz w:val="20"/>
                <w:szCs w:val="20"/>
              </w:rPr>
              <w:t>(23,827)</w:t>
            </w:r>
          </w:p>
        </w:tc>
        <w:tc>
          <w:tcPr>
            <w:tcW w:w="88" w:type="pct"/>
            <w:noWrap/>
            <w:tcMar>
              <w:top w:w="0" w:type="dxa"/>
              <w:left w:w="0" w:type="dxa"/>
              <w:bottom w:w="0" w:type="dxa"/>
              <w:right w:w="0" w:type="dxa"/>
            </w:tcMar>
            <w:vAlign w:val="bottom"/>
            <w:hideMark/>
          </w:tcPr>
          <w:p w14:paraId="6BBE1A70"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770933EB"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3719BAAE" w14:textId="77777777" w:rsidR="00000000" w:rsidRDefault="00097612">
            <w:pPr>
              <w:pStyle w:val="a3"/>
              <w:spacing w:before="0" w:beforeAutospacing="0" w:after="0" w:afterAutospacing="0"/>
              <w:jc w:val="right"/>
              <w:rPr>
                <w:sz w:val="20"/>
                <w:szCs w:val="20"/>
              </w:rPr>
            </w:pPr>
            <w:r>
              <w:rPr>
                <w:sz w:val="20"/>
                <w:szCs w:val="20"/>
              </w:rPr>
              <w:t>(6,411)</w:t>
            </w:r>
          </w:p>
        </w:tc>
        <w:tc>
          <w:tcPr>
            <w:tcW w:w="86" w:type="pct"/>
            <w:noWrap/>
            <w:tcMar>
              <w:top w:w="0" w:type="dxa"/>
              <w:left w:w="0" w:type="dxa"/>
              <w:bottom w:w="0" w:type="dxa"/>
              <w:right w:w="0" w:type="dxa"/>
            </w:tcMar>
            <w:vAlign w:val="bottom"/>
            <w:hideMark/>
          </w:tcPr>
          <w:p w14:paraId="711B65DF" w14:textId="77777777" w:rsidR="00000000" w:rsidRDefault="00097612">
            <w:pPr>
              <w:pStyle w:val="a3"/>
              <w:spacing w:before="0" w:beforeAutospacing="0" w:after="0" w:afterAutospacing="0"/>
              <w:rPr>
                <w:sz w:val="20"/>
                <w:szCs w:val="20"/>
              </w:rPr>
            </w:pPr>
            <w:r>
              <w:rPr>
                <w:sz w:val="20"/>
                <w:szCs w:val="20"/>
              </w:rPr>
              <w:t>​</w:t>
            </w:r>
          </w:p>
        </w:tc>
      </w:tr>
      <w:tr w:rsidR="00000000" w14:paraId="2C3BEC24" w14:textId="77777777">
        <w:trPr>
          <w:divId w:val="413936982"/>
        </w:trPr>
        <w:tc>
          <w:tcPr>
            <w:tcW w:w="2640" w:type="pct"/>
            <w:shd w:val="clear" w:color="auto" w:fill="CCEEFF"/>
            <w:tcMar>
              <w:top w:w="0" w:type="dxa"/>
              <w:left w:w="0" w:type="dxa"/>
              <w:bottom w:w="0" w:type="dxa"/>
              <w:right w:w="0" w:type="dxa"/>
            </w:tcMar>
            <w:vAlign w:val="bottom"/>
            <w:hideMark/>
          </w:tcPr>
          <w:p w14:paraId="407FEBF8" w14:textId="77777777" w:rsidR="00000000" w:rsidRDefault="00097612">
            <w:pPr>
              <w:pStyle w:val="a3"/>
              <w:spacing w:before="0" w:beforeAutospacing="0" w:after="0" w:afterAutospacing="0"/>
              <w:rPr>
                <w:sz w:val="20"/>
                <w:szCs w:val="20"/>
              </w:rPr>
            </w:pPr>
            <w:r>
              <w:rPr>
                <w:sz w:val="20"/>
                <w:szCs w:val="20"/>
              </w:rPr>
              <w:t>Interest and other income, net</w:t>
            </w:r>
          </w:p>
        </w:tc>
        <w:tc>
          <w:tcPr>
            <w:tcW w:w="87" w:type="pct"/>
            <w:shd w:val="clear" w:color="auto" w:fill="CCEEFF"/>
            <w:noWrap/>
            <w:tcMar>
              <w:top w:w="0" w:type="dxa"/>
              <w:left w:w="0" w:type="dxa"/>
              <w:bottom w:w="0" w:type="dxa"/>
              <w:right w:w="0" w:type="dxa"/>
            </w:tcMar>
            <w:vAlign w:val="bottom"/>
            <w:hideMark/>
          </w:tcPr>
          <w:p w14:paraId="068C5A78" w14:textId="77777777" w:rsidR="00000000" w:rsidRDefault="00097612">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14:paraId="51776B1C"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14:paraId="6D54EFE1" w14:textId="77777777" w:rsidR="00000000" w:rsidRDefault="00097612">
            <w:pPr>
              <w:pStyle w:val="a3"/>
              <w:spacing w:before="0" w:beforeAutospacing="0" w:after="0" w:afterAutospacing="0"/>
              <w:ind w:right="60"/>
              <w:jc w:val="right"/>
              <w:rPr>
                <w:sz w:val="20"/>
                <w:szCs w:val="20"/>
              </w:rPr>
            </w:pPr>
            <w:r>
              <w:rPr>
                <w:sz w:val="20"/>
                <w:szCs w:val="20"/>
              </w:rPr>
              <w:t>2,089</w:t>
            </w:r>
          </w:p>
        </w:tc>
        <w:tc>
          <w:tcPr>
            <w:tcW w:w="88" w:type="pct"/>
            <w:shd w:val="clear" w:color="auto" w:fill="CCEEFF"/>
            <w:noWrap/>
            <w:tcMar>
              <w:top w:w="0" w:type="dxa"/>
              <w:left w:w="0" w:type="dxa"/>
              <w:bottom w:w="0" w:type="dxa"/>
              <w:right w:w="0" w:type="dxa"/>
            </w:tcMar>
            <w:vAlign w:val="bottom"/>
            <w:hideMark/>
          </w:tcPr>
          <w:p w14:paraId="6E837B5A"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45202C33"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14:paraId="7E4C67C8" w14:textId="77777777" w:rsidR="00000000" w:rsidRDefault="00097612">
            <w:pPr>
              <w:pStyle w:val="a3"/>
              <w:spacing w:before="0" w:beforeAutospacing="0" w:after="0" w:afterAutospacing="0"/>
              <w:ind w:right="60"/>
              <w:jc w:val="right"/>
              <w:rPr>
                <w:sz w:val="20"/>
                <w:szCs w:val="20"/>
              </w:rPr>
            </w:pPr>
            <w:r>
              <w:rPr>
                <w:sz w:val="20"/>
                <w:szCs w:val="20"/>
              </w:rPr>
              <w:t>1,376</w:t>
            </w:r>
          </w:p>
        </w:tc>
        <w:tc>
          <w:tcPr>
            <w:tcW w:w="88" w:type="pct"/>
            <w:shd w:val="clear" w:color="auto" w:fill="CCEEFF"/>
            <w:noWrap/>
            <w:tcMar>
              <w:top w:w="0" w:type="dxa"/>
              <w:left w:w="0" w:type="dxa"/>
              <w:bottom w:w="0" w:type="dxa"/>
              <w:right w:w="0" w:type="dxa"/>
            </w:tcMar>
            <w:vAlign w:val="bottom"/>
            <w:hideMark/>
          </w:tcPr>
          <w:p w14:paraId="543659E4"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442371F2"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14:paraId="1ED71CE5" w14:textId="77777777" w:rsidR="00000000" w:rsidRDefault="00097612">
            <w:pPr>
              <w:pStyle w:val="a3"/>
              <w:spacing w:before="0" w:beforeAutospacing="0" w:after="0" w:afterAutospacing="0"/>
              <w:ind w:right="60"/>
              <w:jc w:val="right"/>
              <w:rPr>
                <w:sz w:val="20"/>
                <w:szCs w:val="20"/>
              </w:rPr>
            </w:pPr>
            <w:r>
              <w:rPr>
                <w:sz w:val="20"/>
                <w:szCs w:val="20"/>
              </w:rPr>
              <w:t>7,258</w:t>
            </w:r>
          </w:p>
        </w:tc>
        <w:tc>
          <w:tcPr>
            <w:tcW w:w="88" w:type="pct"/>
            <w:shd w:val="clear" w:color="auto" w:fill="CCEEFF"/>
            <w:noWrap/>
            <w:tcMar>
              <w:top w:w="0" w:type="dxa"/>
              <w:left w:w="0" w:type="dxa"/>
              <w:bottom w:w="0" w:type="dxa"/>
              <w:right w:w="0" w:type="dxa"/>
            </w:tcMar>
            <w:vAlign w:val="bottom"/>
            <w:hideMark/>
          </w:tcPr>
          <w:p w14:paraId="3D7C37B6"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617215A2"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14:paraId="70B4E3DB" w14:textId="77777777" w:rsidR="00000000" w:rsidRDefault="00097612">
            <w:pPr>
              <w:pStyle w:val="a3"/>
              <w:spacing w:before="0" w:beforeAutospacing="0" w:after="0" w:afterAutospacing="0"/>
              <w:ind w:right="60"/>
              <w:jc w:val="right"/>
              <w:rPr>
                <w:sz w:val="20"/>
                <w:szCs w:val="20"/>
              </w:rPr>
            </w:pPr>
            <w:r>
              <w:rPr>
                <w:sz w:val="20"/>
                <w:szCs w:val="20"/>
              </w:rPr>
              <w:t>4,144</w:t>
            </w:r>
          </w:p>
        </w:tc>
        <w:tc>
          <w:tcPr>
            <w:tcW w:w="86" w:type="pct"/>
            <w:shd w:val="clear" w:color="auto" w:fill="CCEEFF"/>
            <w:noWrap/>
            <w:tcMar>
              <w:top w:w="0" w:type="dxa"/>
              <w:left w:w="0" w:type="dxa"/>
              <w:bottom w:w="0" w:type="dxa"/>
              <w:right w:w="0" w:type="dxa"/>
            </w:tcMar>
            <w:vAlign w:val="bottom"/>
            <w:hideMark/>
          </w:tcPr>
          <w:p w14:paraId="669639FF" w14:textId="77777777" w:rsidR="00000000" w:rsidRDefault="00097612">
            <w:pPr>
              <w:pStyle w:val="a3"/>
              <w:spacing w:before="0" w:beforeAutospacing="0" w:after="0" w:afterAutospacing="0"/>
              <w:rPr>
                <w:sz w:val="20"/>
                <w:szCs w:val="20"/>
              </w:rPr>
            </w:pPr>
            <w:r>
              <w:rPr>
                <w:sz w:val="20"/>
                <w:szCs w:val="20"/>
              </w:rPr>
              <w:t>​</w:t>
            </w:r>
          </w:p>
        </w:tc>
      </w:tr>
      <w:tr w:rsidR="00000000" w14:paraId="08D1A473" w14:textId="77777777">
        <w:trPr>
          <w:divId w:val="413936982"/>
        </w:trPr>
        <w:tc>
          <w:tcPr>
            <w:tcW w:w="2640" w:type="pct"/>
            <w:tcMar>
              <w:top w:w="0" w:type="dxa"/>
              <w:left w:w="0" w:type="dxa"/>
              <w:bottom w:w="0" w:type="dxa"/>
              <w:right w:w="0" w:type="dxa"/>
            </w:tcMar>
            <w:vAlign w:val="bottom"/>
            <w:hideMark/>
          </w:tcPr>
          <w:p w14:paraId="11DEE843" w14:textId="77777777" w:rsidR="00000000" w:rsidRDefault="00097612">
            <w:pPr>
              <w:pStyle w:val="a3"/>
              <w:spacing w:before="0" w:beforeAutospacing="0" w:after="0" w:afterAutospacing="0"/>
              <w:rPr>
                <w:sz w:val="20"/>
                <w:szCs w:val="20"/>
              </w:rPr>
            </w:pPr>
            <w:r>
              <w:rPr>
                <w:sz w:val="20"/>
                <w:szCs w:val="20"/>
              </w:rPr>
              <w:t xml:space="preserve">Loss before income taxes </w:t>
            </w:r>
          </w:p>
        </w:tc>
        <w:tc>
          <w:tcPr>
            <w:tcW w:w="87" w:type="pct"/>
            <w:noWrap/>
            <w:tcMar>
              <w:top w:w="0" w:type="dxa"/>
              <w:left w:w="0" w:type="dxa"/>
              <w:bottom w:w="0" w:type="dxa"/>
              <w:right w:w="0" w:type="dxa"/>
            </w:tcMar>
            <w:vAlign w:val="bottom"/>
            <w:hideMark/>
          </w:tcPr>
          <w:p w14:paraId="2F811B3F" w14:textId="77777777" w:rsidR="00000000" w:rsidRDefault="00097612">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06FF0F9D" w14:textId="77777777" w:rsidR="00000000" w:rsidRDefault="00097612">
            <w:pPr>
              <w:pStyle w:val="a3"/>
              <w:spacing w:before="0" w:beforeAutospacing="0" w:after="0" w:afterAutospacing="0"/>
              <w:jc w:val="center"/>
              <w:rPr>
                <w:sz w:val="20"/>
                <w:szCs w:val="20"/>
              </w:rPr>
            </w:pPr>
            <w:r>
              <w:rPr>
                <w:sz w:val="20"/>
                <w:szCs w:val="20"/>
              </w:rPr>
              <w:t> </w:t>
            </w:r>
          </w:p>
        </w:tc>
        <w:tc>
          <w:tcPr>
            <w:tcW w:w="369" w:type="pct"/>
            <w:noWrap/>
            <w:tcMar>
              <w:top w:w="0" w:type="dxa"/>
              <w:left w:w="0" w:type="dxa"/>
              <w:bottom w:w="0" w:type="dxa"/>
              <w:right w:w="0" w:type="dxa"/>
            </w:tcMar>
            <w:vAlign w:val="bottom"/>
            <w:hideMark/>
          </w:tcPr>
          <w:p w14:paraId="0206B7B5" w14:textId="77777777" w:rsidR="00000000" w:rsidRDefault="00097612">
            <w:pPr>
              <w:pStyle w:val="a3"/>
              <w:spacing w:before="0" w:beforeAutospacing="0" w:after="0" w:afterAutospacing="0"/>
              <w:jc w:val="right"/>
              <w:rPr>
                <w:sz w:val="20"/>
                <w:szCs w:val="20"/>
              </w:rPr>
            </w:pPr>
            <w:r>
              <w:rPr>
                <w:sz w:val="20"/>
                <w:szCs w:val="20"/>
              </w:rPr>
              <w:t>(63,983)</w:t>
            </w:r>
          </w:p>
        </w:tc>
        <w:tc>
          <w:tcPr>
            <w:tcW w:w="88" w:type="pct"/>
            <w:noWrap/>
            <w:tcMar>
              <w:top w:w="0" w:type="dxa"/>
              <w:left w:w="0" w:type="dxa"/>
              <w:bottom w:w="0" w:type="dxa"/>
              <w:right w:w="0" w:type="dxa"/>
            </w:tcMar>
            <w:vAlign w:val="bottom"/>
            <w:hideMark/>
          </w:tcPr>
          <w:p w14:paraId="56C23AAC"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7451C0DC" w14:textId="77777777" w:rsidR="00000000" w:rsidRDefault="00097612">
            <w:pPr>
              <w:pStyle w:val="a3"/>
              <w:spacing w:before="0" w:beforeAutospacing="0" w:after="0" w:afterAutospacing="0"/>
              <w:jc w:val="center"/>
              <w:rPr>
                <w:sz w:val="20"/>
                <w:szCs w:val="20"/>
              </w:rPr>
            </w:pPr>
            <w:r>
              <w:rPr>
                <w:sz w:val="20"/>
                <w:szCs w:val="20"/>
              </w:rPr>
              <w:t> </w:t>
            </w:r>
          </w:p>
        </w:tc>
        <w:tc>
          <w:tcPr>
            <w:tcW w:w="369" w:type="pct"/>
            <w:noWrap/>
            <w:tcMar>
              <w:top w:w="0" w:type="dxa"/>
              <w:left w:w="0" w:type="dxa"/>
              <w:bottom w:w="0" w:type="dxa"/>
              <w:right w:w="0" w:type="dxa"/>
            </w:tcMar>
            <w:vAlign w:val="bottom"/>
            <w:hideMark/>
          </w:tcPr>
          <w:p w14:paraId="7F60A9BC" w14:textId="77777777" w:rsidR="00000000" w:rsidRDefault="00097612">
            <w:pPr>
              <w:pStyle w:val="a3"/>
              <w:spacing w:before="0" w:beforeAutospacing="0" w:after="0" w:afterAutospacing="0"/>
              <w:jc w:val="right"/>
              <w:rPr>
                <w:sz w:val="20"/>
                <w:szCs w:val="20"/>
              </w:rPr>
            </w:pPr>
            <w:r>
              <w:rPr>
                <w:sz w:val="20"/>
                <w:szCs w:val="20"/>
              </w:rPr>
              <w:t>(60,092)</w:t>
            </w:r>
          </w:p>
        </w:tc>
        <w:tc>
          <w:tcPr>
            <w:tcW w:w="88" w:type="pct"/>
            <w:noWrap/>
            <w:tcMar>
              <w:top w:w="0" w:type="dxa"/>
              <w:left w:w="0" w:type="dxa"/>
              <w:bottom w:w="0" w:type="dxa"/>
              <w:right w:w="0" w:type="dxa"/>
            </w:tcMar>
            <w:vAlign w:val="bottom"/>
            <w:hideMark/>
          </w:tcPr>
          <w:p w14:paraId="3A5C8E34"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0BC832F1" w14:textId="77777777" w:rsidR="00000000" w:rsidRDefault="00097612">
            <w:pPr>
              <w:pStyle w:val="a3"/>
              <w:spacing w:before="0" w:beforeAutospacing="0" w:after="0" w:afterAutospacing="0"/>
              <w:jc w:val="center"/>
              <w:rPr>
                <w:sz w:val="20"/>
                <w:szCs w:val="20"/>
              </w:rPr>
            </w:pPr>
            <w:r>
              <w:rPr>
                <w:sz w:val="20"/>
                <w:szCs w:val="20"/>
              </w:rPr>
              <w:t> </w:t>
            </w:r>
          </w:p>
        </w:tc>
        <w:tc>
          <w:tcPr>
            <w:tcW w:w="412" w:type="pct"/>
            <w:noWrap/>
            <w:tcMar>
              <w:top w:w="0" w:type="dxa"/>
              <w:left w:w="0" w:type="dxa"/>
              <w:bottom w:w="0" w:type="dxa"/>
              <w:right w:w="0" w:type="dxa"/>
            </w:tcMar>
            <w:vAlign w:val="bottom"/>
            <w:hideMark/>
          </w:tcPr>
          <w:p w14:paraId="1A56F70F" w14:textId="77777777" w:rsidR="00000000" w:rsidRDefault="00097612">
            <w:pPr>
              <w:pStyle w:val="a3"/>
              <w:spacing w:before="0" w:beforeAutospacing="0" w:after="0" w:afterAutospacing="0"/>
              <w:jc w:val="right"/>
              <w:rPr>
                <w:sz w:val="20"/>
                <w:szCs w:val="20"/>
              </w:rPr>
            </w:pPr>
            <w:r>
              <w:rPr>
                <w:sz w:val="20"/>
                <w:szCs w:val="20"/>
              </w:rPr>
              <w:t>(176,120)</w:t>
            </w:r>
          </w:p>
        </w:tc>
        <w:tc>
          <w:tcPr>
            <w:tcW w:w="88" w:type="pct"/>
            <w:noWrap/>
            <w:tcMar>
              <w:top w:w="0" w:type="dxa"/>
              <w:left w:w="0" w:type="dxa"/>
              <w:bottom w:w="0" w:type="dxa"/>
              <w:right w:w="0" w:type="dxa"/>
            </w:tcMar>
            <w:vAlign w:val="bottom"/>
            <w:hideMark/>
          </w:tcPr>
          <w:p w14:paraId="1550B412"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5418E42A" w14:textId="77777777" w:rsidR="00000000" w:rsidRDefault="00097612">
            <w:pPr>
              <w:pStyle w:val="a3"/>
              <w:spacing w:before="0" w:beforeAutospacing="0" w:after="0" w:afterAutospacing="0"/>
              <w:jc w:val="center"/>
              <w:rPr>
                <w:sz w:val="20"/>
                <w:szCs w:val="20"/>
              </w:rPr>
            </w:pPr>
            <w:r>
              <w:rPr>
                <w:sz w:val="20"/>
                <w:szCs w:val="20"/>
              </w:rPr>
              <w:t> </w:t>
            </w:r>
          </w:p>
        </w:tc>
        <w:tc>
          <w:tcPr>
            <w:tcW w:w="412" w:type="pct"/>
            <w:noWrap/>
            <w:tcMar>
              <w:top w:w="0" w:type="dxa"/>
              <w:left w:w="0" w:type="dxa"/>
              <w:bottom w:w="0" w:type="dxa"/>
              <w:right w:w="0" w:type="dxa"/>
            </w:tcMar>
            <w:vAlign w:val="bottom"/>
            <w:hideMark/>
          </w:tcPr>
          <w:p w14:paraId="59F5FFFD" w14:textId="77777777" w:rsidR="00000000" w:rsidRDefault="00097612">
            <w:pPr>
              <w:pStyle w:val="a3"/>
              <w:spacing w:before="0" w:beforeAutospacing="0" w:after="0" w:afterAutospacing="0"/>
              <w:jc w:val="right"/>
              <w:rPr>
                <w:sz w:val="20"/>
                <w:szCs w:val="20"/>
              </w:rPr>
            </w:pPr>
            <w:r>
              <w:rPr>
                <w:sz w:val="20"/>
                <w:szCs w:val="20"/>
              </w:rPr>
              <w:t>(172,643)</w:t>
            </w:r>
          </w:p>
        </w:tc>
        <w:tc>
          <w:tcPr>
            <w:tcW w:w="86" w:type="pct"/>
            <w:noWrap/>
            <w:tcMar>
              <w:top w:w="0" w:type="dxa"/>
              <w:left w:w="0" w:type="dxa"/>
              <w:bottom w:w="0" w:type="dxa"/>
              <w:right w:w="0" w:type="dxa"/>
            </w:tcMar>
            <w:vAlign w:val="bottom"/>
            <w:hideMark/>
          </w:tcPr>
          <w:p w14:paraId="4D6A79DB" w14:textId="77777777" w:rsidR="00000000" w:rsidRDefault="00097612">
            <w:pPr>
              <w:pStyle w:val="a3"/>
              <w:spacing w:before="0" w:beforeAutospacing="0" w:after="0" w:afterAutospacing="0"/>
              <w:rPr>
                <w:sz w:val="20"/>
                <w:szCs w:val="20"/>
              </w:rPr>
            </w:pPr>
            <w:r>
              <w:rPr>
                <w:sz w:val="20"/>
                <w:szCs w:val="20"/>
              </w:rPr>
              <w:t>​</w:t>
            </w:r>
          </w:p>
        </w:tc>
      </w:tr>
      <w:tr w:rsidR="00000000" w14:paraId="6C4FEBA4" w14:textId="77777777">
        <w:trPr>
          <w:divId w:val="413936982"/>
        </w:trPr>
        <w:tc>
          <w:tcPr>
            <w:tcW w:w="2640" w:type="pct"/>
            <w:shd w:val="clear" w:color="auto" w:fill="CCEEFF"/>
            <w:tcMar>
              <w:top w:w="0" w:type="dxa"/>
              <w:left w:w="0" w:type="dxa"/>
              <w:bottom w:w="0" w:type="dxa"/>
              <w:right w:w="0" w:type="dxa"/>
            </w:tcMar>
            <w:vAlign w:val="bottom"/>
            <w:hideMark/>
          </w:tcPr>
          <w:p w14:paraId="6D9E73BE" w14:textId="77777777" w:rsidR="00000000" w:rsidRDefault="00097612">
            <w:pPr>
              <w:pStyle w:val="a3"/>
              <w:spacing w:before="0" w:beforeAutospacing="0" w:after="0" w:afterAutospacing="0"/>
              <w:rPr>
                <w:sz w:val="20"/>
                <w:szCs w:val="20"/>
              </w:rPr>
            </w:pPr>
            <w:r>
              <w:rPr>
                <w:sz w:val="20"/>
                <w:szCs w:val="20"/>
              </w:rPr>
              <w:t>Provision for income tax benefit</w:t>
            </w:r>
          </w:p>
        </w:tc>
        <w:tc>
          <w:tcPr>
            <w:tcW w:w="87" w:type="pct"/>
            <w:shd w:val="clear" w:color="auto" w:fill="CCEEFF"/>
            <w:noWrap/>
            <w:tcMar>
              <w:top w:w="0" w:type="dxa"/>
              <w:left w:w="0" w:type="dxa"/>
              <w:bottom w:w="0" w:type="dxa"/>
              <w:right w:w="0" w:type="dxa"/>
            </w:tcMar>
            <w:vAlign w:val="bottom"/>
            <w:hideMark/>
          </w:tcPr>
          <w:p w14:paraId="72CB210E" w14:textId="77777777" w:rsidR="00000000" w:rsidRDefault="00097612">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14:paraId="75BFF89D"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14:paraId="60B199D7" w14:textId="77777777" w:rsidR="00000000" w:rsidRDefault="00097612">
            <w:pPr>
              <w:pStyle w:val="a3"/>
              <w:spacing w:before="0" w:beforeAutospacing="0" w:after="0" w:afterAutospacing="0"/>
              <w:ind w:right="60"/>
              <w:jc w:val="right"/>
              <w:rPr>
                <w:sz w:val="20"/>
                <w:szCs w:val="20"/>
              </w:rPr>
            </w:pPr>
            <w:r>
              <w:rPr>
                <w:sz w:val="20"/>
                <w:szCs w:val="20"/>
              </w:rPr>
              <w:t>5,552</w:t>
            </w:r>
          </w:p>
        </w:tc>
        <w:tc>
          <w:tcPr>
            <w:tcW w:w="88" w:type="pct"/>
            <w:shd w:val="clear" w:color="auto" w:fill="CCEEFF"/>
            <w:noWrap/>
            <w:tcMar>
              <w:top w:w="0" w:type="dxa"/>
              <w:left w:w="0" w:type="dxa"/>
              <w:bottom w:w="0" w:type="dxa"/>
              <w:right w:w="0" w:type="dxa"/>
            </w:tcMar>
            <w:vAlign w:val="bottom"/>
            <w:hideMark/>
          </w:tcPr>
          <w:p w14:paraId="1867C239"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5F92B482"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14:paraId="1A23DB16" w14:textId="77777777" w:rsidR="00000000" w:rsidRDefault="00097612">
            <w:pPr>
              <w:pStyle w:val="a3"/>
              <w:spacing w:before="0" w:beforeAutospacing="0" w:after="0" w:afterAutospacing="0"/>
              <w:ind w:right="60"/>
              <w:jc w:val="right"/>
              <w:rPr>
                <w:sz w:val="20"/>
                <w:szCs w:val="20"/>
              </w:rPr>
            </w:pPr>
            <w:r>
              <w:rPr>
                <w:sz w:val="20"/>
                <w:szCs w:val="20"/>
              </w:rPr>
              <w:t>659</w:t>
            </w:r>
          </w:p>
        </w:tc>
        <w:tc>
          <w:tcPr>
            <w:tcW w:w="88" w:type="pct"/>
            <w:shd w:val="clear" w:color="auto" w:fill="CCEEFF"/>
            <w:noWrap/>
            <w:tcMar>
              <w:top w:w="0" w:type="dxa"/>
              <w:left w:w="0" w:type="dxa"/>
              <w:bottom w:w="0" w:type="dxa"/>
              <w:right w:w="0" w:type="dxa"/>
            </w:tcMar>
            <w:vAlign w:val="bottom"/>
            <w:hideMark/>
          </w:tcPr>
          <w:p w14:paraId="6C989822"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35113295"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14:paraId="6FCE5D0F" w14:textId="77777777" w:rsidR="00000000" w:rsidRDefault="00097612">
            <w:pPr>
              <w:pStyle w:val="a3"/>
              <w:spacing w:before="0" w:beforeAutospacing="0" w:after="0" w:afterAutospacing="0"/>
              <w:ind w:right="60"/>
              <w:jc w:val="right"/>
              <w:rPr>
                <w:sz w:val="20"/>
                <w:szCs w:val="20"/>
              </w:rPr>
            </w:pPr>
            <w:r>
              <w:rPr>
                <w:sz w:val="20"/>
                <w:szCs w:val="20"/>
              </w:rPr>
              <w:t>5,271</w:t>
            </w:r>
          </w:p>
        </w:tc>
        <w:tc>
          <w:tcPr>
            <w:tcW w:w="88" w:type="pct"/>
            <w:shd w:val="clear" w:color="auto" w:fill="CCEEFF"/>
            <w:noWrap/>
            <w:tcMar>
              <w:top w:w="0" w:type="dxa"/>
              <w:left w:w="0" w:type="dxa"/>
              <w:bottom w:w="0" w:type="dxa"/>
              <w:right w:w="0" w:type="dxa"/>
            </w:tcMar>
            <w:vAlign w:val="bottom"/>
            <w:hideMark/>
          </w:tcPr>
          <w:p w14:paraId="5AD50DF8"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3A85D74F"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14:paraId="3BA1C0F9" w14:textId="77777777" w:rsidR="00000000" w:rsidRDefault="00097612">
            <w:pPr>
              <w:pStyle w:val="a3"/>
              <w:spacing w:before="0" w:beforeAutospacing="0" w:after="0" w:afterAutospacing="0"/>
              <w:ind w:right="60"/>
              <w:jc w:val="right"/>
              <w:rPr>
                <w:sz w:val="20"/>
                <w:szCs w:val="20"/>
              </w:rPr>
            </w:pPr>
            <w:r>
              <w:rPr>
                <w:sz w:val="20"/>
                <w:szCs w:val="20"/>
              </w:rPr>
              <w:t>7,305</w:t>
            </w:r>
          </w:p>
        </w:tc>
        <w:tc>
          <w:tcPr>
            <w:tcW w:w="86" w:type="pct"/>
            <w:shd w:val="clear" w:color="auto" w:fill="CCEEFF"/>
            <w:noWrap/>
            <w:tcMar>
              <w:top w:w="0" w:type="dxa"/>
              <w:left w:w="0" w:type="dxa"/>
              <w:bottom w:w="0" w:type="dxa"/>
              <w:right w:w="0" w:type="dxa"/>
            </w:tcMar>
            <w:vAlign w:val="bottom"/>
            <w:hideMark/>
          </w:tcPr>
          <w:p w14:paraId="4774F10A" w14:textId="77777777" w:rsidR="00000000" w:rsidRDefault="00097612">
            <w:pPr>
              <w:pStyle w:val="a3"/>
              <w:spacing w:before="0" w:beforeAutospacing="0" w:after="0" w:afterAutospacing="0"/>
              <w:rPr>
                <w:sz w:val="20"/>
                <w:szCs w:val="20"/>
              </w:rPr>
            </w:pPr>
            <w:r>
              <w:rPr>
                <w:sz w:val="20"/>
                <w:szCs w:val="20"/>
              </w:rPr>
              <w:t>​</w:t>
            </w:r>
          </w:p>
        </w:tc>
      </w:tr>
      <w:tr w:rsidR="00000000" w14:paraId="2BB089A8" w14:textId="77777777">
        <w:trPr>
          <w:divId w:val="413936982"/>
        </w:trPr>
        <w:tc>
          <w:tcPr>
            <w:tcW w:w="2640" w:type="pct"/>
            <w:tcMar>
              <w:top w:w="0" w:type="dxa"/>
              <w:left w:w="0" w:type="dxa"/>
              <w:bottom w:w="0" w:type="dxa"/>
              <w:right w:w="0" w:type="dxa"/>
            </w:tcMar>
            <w:vAlign w:val="bottom"/>
            <w:hideMark/>
          </w:tcPr>
          <w:p w14:paraId="510FD8B4" w14:textId="77777777" w:rsidR="00000000" w:rsidRDefault="00097612">
            <w:pPr>
              <w:pStyle w:val="a3"/>
              <w:spacing w:before="0" w:beforeAutospacing="0" w:after="0" w:afterAutospacing="0"/>
              <w:rPr>
                <w:sz w:val="20"/>
                <w:szCs w:val="20"/>
              </w:rPr>
            </w:pPr>
            <w:r>
              <w:rPr>
                <w:sz w:val="20"/>
                <w:szCs w:val="20"/>
              </w:rPr>
              <w:t xml:space="preserve">Net loss </w:t>
            </w:r>
          </w:p>
        </w:tc>
        <w:tc>
          <w:tcPr>
            <w:tcW w:w="87" w:type="pct"/>
            <w:noWrap/>
            <w:tcMar>
              <w:top w:w="0" w:type="dxa"/>
              <w:left w:w="0" w:type="dxa"/>
              <w:bottom w:w="0" w:type="dxa"/>
              <w:right w:w="0" w:type="dxa"/>
            </w:tcMar>
            <w:vAlign w:val="bottom"/>
            <w:hideMark/>
          </w:tcPr>
          <w:p w14:paraId="67F96168" w14:textId="77777777" w:rsidR="00000000" w:rsidRDefault="00097612">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14:paraId="651AC1D3" w14:textId="77777777" w:rsidR="00000000" w:rsidRDefault="00097612">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14:paraId="4E8A9CD5" w14:textId="77777777" w:rsidR="00000000" w:rsidRDefault="00097612">
            <w:pPr>
              <w:pStyle w:val="a3"/>
              <w:spacing w:before="0" w:beforeAutospacing="0" w:after="0" w:afterAutospacing="0"/>
              <w:jc w:val="right"/>
              <w:rPr>
                <w:sz w:val="20"/>
                <w:szCs w:val="20"/>
              </w:rPr>
            </w:pPr>
            <w:r>
              <w:rPr>
                <w:sz w:val="20"/>
                <w:szCs w:val="20"/>
              </w:rPr>
              <w:t>(58,431)</w:t>
            </w:r>
          </w:p>
        </w:tc>
        <w:tc>
          <w:tcPr>
            <w:tcW w:w="88" w:type="pct"/>
            <w:noWrap/>
            <w:tcMar>
              <w:top w:w="0" w:type="dxa"/>
              <w:left w:w="0" w:type="dxa"/>
              <w:bottom w:w="0" w:type="dxa"/>
              <w:right w:w="0" w:type="dxa"/>
            </w:tcMar>
            <w:vAlign w:val="bottom"/>
            <w:hideMark/>
          </w:tcPr>
          <w:p w14:paraId="36AF87C6"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06F87C18" w14:textId="77777777" w:rsidR="00000000" w:rsidRDefault="00097612">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14:paraId="05BD4AF0" w14:textId="77777777" w:rsidR="00000000" w:rsidRDefault="00097612">
            <w:pPr>
              <w:pStyle w:val="a3"/>
              <w:spacing w:before="0" w:beforeAutospacing="0" w:after="0" w:afterAutospacing="0"/>
              <w:jc w:val="right"/>
              <w:rPr>
                <w:sz w:val="20"/>
                <w:szCs w:val="20"/>
              </w:rPr>
            </w:pPr>
            <w:r>
              <w:rPr>
                <w:sz w:val="20"/>
                <w:szCs w:val="20"/>
              </w:rPr>
              <w:t>(59,433)</w:t>
            </w:r>
          </w:p>
        </w:tc>
        <w:tc>
          <w:tcPr>
            <w:tcW w:w="88" w:type="pct"/>
            <w:noWrap/>
            <w:tcMar>
              <w:top w:w="0" w:type="dxa"/>
              <w:left w:w="0" w:type="dxa"/>
              <w:bottom w:w="0" w:type="dxa"/>
              <w:right w:w="0" w:type="dxa"/>
            </w:tcMar>
            <w:vAlign w:val="bottom"/>
            <w:hideMark/>
          </w:tcPr>
          <w:p w14:paraId="49F07EBA"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2A3A7F7C" w14:textId="77777777" w:rsidR="00000000" w:rsidRDefault="00097612">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noWrap/>
            <w:tcMar>
              <w:top w:w="0" w:type="dxa"/>
              <w:left w:w="0" w:type="dxa"/>
              <w:bottom w:w="0" w:type="dxa"/>
              <w:right w:w="0" w:type="dxa"/>
            </w:tcMar>
            <w:vAlign w:val="bottom"/>
            <w:hideMark/>
          </w:tcPr>
          <w:p w14:paraId="213990B0" w14:textId="77777777" w:rsidR="00000000" w:rsidRDefault="00097612">
            <w:pPr>
              <w:pStyle w:val="a3"/>
              <w:spacing w:before="0" w:beforeAutospacing="0" w:after="0" w:afterAutospacing="0"/>
              <w:jc w:val="right"/>
              <w:rPr>
                <w:sz w:val="20"/>
                <w:szCs w:val="20"/>
              </w:rPr>
            </w:pPr>
            <w:r>
              <w:rPr>
                <w:sz w:val="20"/>
                <w:szCs w:val="20"/>
              </w:rPr>
              <w:t>(170,849)</w:t>
            </w:r>
          </w:p>
        </w:tc>
        <w:tc>
          <w:tcPr>
            <w:tcW w:w="88" w:type="pct"/>
            <w:noWrap/>
            <w:tcMar>
              <w:top w:w="0" w:type="dxa"/>
              <w:left w:w="0" w:type="dxa"/>
              <w:bottom w:w="0" w:type="dxa"/>
              <w:right w:w="0" w:type="dxa"/>
            </w:tcMar>
            <w:vAlign w:val="bottom"/>
            <w:hideMark/>
          </w:tcPr>
          <w:p w14:paraId="38708535"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4FB310DA" w14:textId="77777777" w:rsidR="00000000" w:rsidRDefault="00097612">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noWrap/>
            <w:tcMar>
              <w:top w:w="0" w:type="dxa"/>
              <w:left w:w="0" w:type="dxa"/>
              <w:bottom w:w="0" w:type="dxa"/>
              <w:right w:w="0" w:type="dxa"/>
            </w:tcMar>
            <w:vAlign w:val="bottom"/>
            <w:hideMark/>
          </w:tcPr>
          <w:p w14:paraId="239A69CB" w14:textId="77777777" w:rsidR="00000000" w:rsidRDefault="00097612">
            <w:pPr>
              <w:pStyle w:val="a3"/>
              <w:spacing w:before="0" w:beforeAutospacing="0" w:after="0" w:afterAutospacing="0"/>
              <w:jc w:val="right"/>
              <w:rPr>
                <w:sz w:val="20"/>
                <w:szCs w:val="20"/>
              </w:rPr>
            </w:pPr>
            <w:r>
              <w:rPr>
                <w:sz w:val="20"/>
                <w:szCs w:val="20"/>
              </w:rPr>
              <w:t>(165,338)</w:t>
            </w:r>
          </w:p>
        </w:tc>
        <w:tc>
          <w:tcPr>
            <w:tcW w:w="86" w:type="pct"/>
            <w:noWrap/>
            <w:tcMar>
              <w:top w:w="0" w:type="dxa"/>
              <w:left w:w="0" w:type="dxa"/>
              <w:bottom w:w="0" w:type="dxa"/>
              <w:right w:w="0" w:type="dxa"/>
            </w:tcMar>
            <w:vAlign w:val="bottom"/>
            <w:hideMark/>
          </w:tcPr>
          <w:p w14:paraId="75D9481D" w14:textId="77777777" w:rsidR="00000000" w:rsidRDefault="00097612">
            <w:pPr>
              <w:pStyle w:val="a3"/>
              <w:spacing w:before="0" w:beforeAutospacing="0" w:after="0" w:afterAutospacing="0"/>
              <w:rPr>
                <w:sz w:val="20"/>
                <w:szCs w:val="20"/>
              </w:rPr>
            </w:pPr>
            <w:r>
              <w:rPr>
                <w:sz w:val="20"/>
                <w:szCs w:val="20"/>
              </w:rPr>
              <w:t>​</w:t>
            </w:r>
          </w:p>
        </w:tc>
      </w:tr>
      <w:tr w:rsidR="00000000" w14:paraId="0CFA5667" w14:textId="77777777">
        <w:trPr>
          <w:divId w:val="413936982"/>
        </w:trPr>
        <w:tc>
          <w:tcPr>
            <w:tcW w:w="2640" w:type="pct"/>
            <w:shd w:val="clear" w:color="auto" w:fill="CCEEFF"/>
            <w:tcMar>
              <w:top w:w="0" w:type="dxa"/>
              <w:left w:w="0" w:type="dxa"/>
              <w:bottom w:w="0" w:type="dxa"/>
              <w:right w:w="0" w:type="dxa"/>
            </w:tcMar>
            <w:vAlign w:val="bottom"/>
            <w:hideMark/>
          </w:tcPr>
          <w:p w14:paraId="2E9DB518"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733922FF"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72008333"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18B63164"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20919888"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0C954CA9"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56AAAC29"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6C9B86A5"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25895B68"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21847B2D"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72763161"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B5153BE"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3A068374" w14:textId="77777777" w:rsidR="00000000" w:rsidRDefault="00097612">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26EDD468" w14:textId="77777777" w:rsidR="00000000" w:rsidRDefault="00097612">
            <w:pPr>
              <w:pStyle w:val="a3"/>
              <w:spacing w:before="0" w:beforeAutospacing="0" w:after="0" w:afterAutospacing="0"/>
              <w:rPr>
                <w:sz w:val="20"/>
                <w:szCs w:val="20"/>
              </w:rPr>
            </w:pPr>
            <w:r>
              <w:rPr>
                <w:sz w:val="20"/>
                <w:szCs w:val="20"/>
              </w:rPr>
              <w:t>​</w:t>
            </w:r>
          </w:p>
        </w:tc>
      </w:tr>
      <w:tr w:rsidR="00000000" w14:paraId="7DD91089" w14:textId="77777777">
        <w:trPr>
          <w:divId w:val="413936982"/>
        </w:trPr>
        <w:tc>
          <w:tcPr>
            <w:tcW w:w="2640" w:type="pct"/>
            <w:tcMar>
              <w:top w:w="0" w:type="dxa"/>
              <w:left w:w="0" w:type="dxa"/>
              <w:bottom w:w="0" w:type="dxa"/>
              <w:right w:w="0" w:type="dxa"/>
            </w:tcMar>
            <w:vAlign w:val="bottom"/>
            <w:hideMark/>
          </w:tcPr>
          <w:p w14:paraId="7AD15EDE" w14:textId="77777777" w:rsidR="00000000" w:rsidRDefault="00097612">
            <w:pPr>
              <w:pStyle w:val="a3"/>
              <w:spacing w:before="0" w:beforeAutospacing="0" w:after="0" w:afterAutospacing="0"/>
              <w:ind w:left="240"/>
              <w:rPr>
                <w:sz w:val="20"/>
                <w:szCs w:val="20"/>
              </w:rPr>
            </w:pPr>
            <w:r>
              <w:rPr>
                <w:sz w:val="20"/>
                <w:szCs w:val="20"/>
              </w:rPr>
              <w:t>Net unrealized (loss) gain on available-for-sale investments</w:t>
            </w:r>
          </w:p>
        </w:tc>
        <w:tc>
          <w:tcPr>
            <w:tcW w:w="87" w:type="pct"/>
            <w:noWrap/>
            <w:tcMar>
              <w:top w:w="0" w:type="dxa"/>
              <w:left w:w="0" w:type="dxa"/>
              <w:bottom w:w="0" w:type="dxa"/>
              <w:right w:w="0" w:type="dxa"/>
            </w:tcMar>
            <w:vAlign w:val="bottom"/>
            <w:hideMark/>
          </w:tcPr>
          <w:p w14:paraId="4D31665B" w14:textId="77777777" w:rsidR="00000000" w:rsidRDefault="00097612">
            <w:pPr>
              <w:pStyle w:val="a3"/>
              <w:spacing w:before="0" w:beforeAutospacing="0" w:after="0" w:afterAutospacing="0"/>
              <w:rPr>
                <w:sz w:val="20"/>
                <w:szCs w:val="20"/>
              </w:rPr>
            </w:pPr>
            <w:r>
              <w:rPr>
                <w:sz w:val="22"/>
                <w:szCs w:val="22"/>
              </w:rPr>
              <w:t>​</w:t>
            </w:r>
          </w:p>
        </w:tc>
        <w:tc>
          <w:tcPr>
            <w:tcW w:w="87" w:type="pct"/>
            <w:tcBorders>
              <w:bottom w:val="single" w:sz="6" w:space="0" w:color="000000"/>
            </w:tcBorders>
            <w:noWrap/>
            <w:tcMar>
              <w:top w:w="0" w:type="dxa"/>
              <w:left w:w="0" w:type="dxa"/>
              <w:bottom w:w="0" w:type="dxa"/>
              <w:right w:w="0" w:type="dxa"/>
            </w:tcMar>
            <w:vAlign w:val="bottom"/>
            <w:hideMark/>
          </w:tcPr>
          <w:p w14:paraId="7B3086B3" w14:textId="77777777" w:rsidR="00000000" w:rsidRDefault="00097612">
            <w:pPr>
              <w:pStyle w:val="a3"/>
              <w:spacing w:before="0" w:beforeAutospacing="0" w:after="0" w:afterAutospacing="0"/>
              <w:jc w:val="center"/>
              <w:rPr>
                <w:sz w:val="20"/>
                <w:szCs w:val="20"/>
              </w:rPr>
            </w:pPr>
            <w:r>
              <w:rPr>
                <w:sz w:val="20"/>
                <w:szCs w:val="20"/>
              </w:rPr>
              <w:t>​</w:t>
            </w:r>
          </w:p>
        </w:tc>
        <w:tc>
          <w:tcPr>
            <w:tcW w:w="369" w:type="pct"/>
            <w:tcBorders>
              <w:bottom w:val="single" w:sz="6" w:space="0" w:color="000000"/>
            </w:tcBorders>
            <w:noWrap/>
            <w:tcMar>
              <w:top w:w="0" w:type="dxa"/>
              <w:left w:w="0" w:type="dxa"/>
              <w:bottom w:w="0" w:type="dxa"/>
              <w:right w:w="0" w:type="dxa"/>
            </w:tcMar>
            <w:vAlign w:val="bottom"/>
            <w:hideMark/>
          </w:tcPr>
          <w:p w14:paraId="0FAC7279" w14:textId="77777777" w:rsidR="00000000" w:rsidRDefault="00097612">
            <w:pPr>
              <w:pStyle w:val="a3"/>
              <w:spacing w:before="0" w:beforeAutospacing="0" w:after="0" w:afterAutospacing="0"/>
              <w:jc w:val="right"/>
              <w:rPr>
                <w:sz w:val="20"/>
                <w:szCs w:val="20"/>
              </w:rPr>
            </w:pPr>
            <w:r>
              <w:rPr>
                <w:sz w:val="20"/>
                <w:szCs w:val="20"/>
              </w:rPr>
              <w:t>(35)</w:t>
            </w:r>
          </w:p>
        </w:tc>
        <w:tc>
          <w:tcPr>
            <w:tcW w:w="88" w:type="pct"/>
            <w:noWrap/>
            <w:tcMar>
              <w:top w:w="0" w:type="dxa"/>
              <w:left w:w="0" w:type="dxa"/>
              <w:bottom w:w="0" w:type="dxa"/>
              <w:right w:w="0" w:type="dxa"/>
            </w:tcMar>
            <w:vAlign w:val="bottom"/>
            <w:hideMark/>
          </w:tcPr>
          <w:p w14:paraId="65B03FBB" w14:textId="77777777" w:rsidR="00000000" w:rsidRDefault="00097612">
            <w:pPr>
              <w:pStyle w:val="a3"/>
              <w:spacing w:before="0" w:beforeAutospacing="0" w:after="0" w:afterAutospacing="0"/>
              <w:rPr>
                <w:sz w:val="20"/>
                <w:szCs w:val="20"/>
              </w:rPr>
            </w:pPr>
            <w:r>
              <w:rPr>
                <w:sz w:val="22"/>
                <w:szCs w:val="22"/>
              </w:rPr>
              <w:t>​</w:t>
            </w:r>
          </w:p>
        </w:tc>
        <w:tc>
          <w:tcPr>
            <w:tcW w:w="88" w:type="pct"/>
            <w:tcBorders>
              <w:bottom w:val="single" w:sz="6" w:space="0" w:color="000000"/>
            </w:tcBorders>
            <w:noWrap/>
            <w:tcMar>
              <w:top w:w="0" w:type="dxa"/>
              <w:left w:w="0" w:type="dxa"/>
              <w:bottom w:w="0" w:type="dxa"/>
              <w:right w:w="0" w:type="dxa"/>
            </w:tcMar>
            <w:vAlign w:val="bottom"/>
            <w:hideMark/>
          </w:tcPr>
          <w:p w14:paraId="3589D67B" w14:textId="77777777" w:rsidR="00000000" w:rsidRDefault="00097612">
            <w:pPr>
              <w:pStyle w:val="a3"/>
              <w:spacing w:before="0" w:beforeAutospacing="0" w:after="0" w:afterAutospacing="0"/>
              <w:jc w:val="center"/>
              <w:rPr>
                <w:sz w:val="20"/>
                <w:szCs w:val="20"/>
              </w:rPr>
            </w:pPr>
            <w:r>
              <w:rPr>
                <w:sz w:val="20"/>
                <w:szCs w:val="20"/>
              </w:rPr>
              <w:t>​</w:t>
            </w:r>
          </w:p>
        </w:tc>
        <w:tc>
          <w:tcPr>
            <w:tcW w:w="369" w:type="pct"/>
            <w:tcBorders>
              <w:bottom w:val="single" w:sz="6" w:space="0" w:color="000000"/>
            </w:tcBorders>
            <w:noWrap/>
            <w:tcMar>
              <w:top w:w="0" w:type="dxa"/>
              <w:left w:w="0" w:type="dxa"/>
              <w:bottom w:w="0" w:type="dxa"/>
              <w:right w:w="0" w:type="dxa"/>
            </w:tcMar>
            <w:vAlign w:val="bottom"/>
            <w:hideMark/>
          </w:tcPr>
          <w:p w14:paraId="03F5F598" w14:textId="77777777" w:rsidR="00000000" w:rsidRDefault="00097612">
            <w:pPr>
              <w:pStyle w:val="a3"/>
              <w:spacing w:before="0" w:beforeAutospacing="0" w:after="0" w:afterAutospacing="0"/>
              <w:ind w:right="60"/>
              <w:jc w:val="right"/>
              <w:rPr>
                <w:sz w:val="20"/>
                <w:szCs w:val="20"/>
              </w:rPr>
            </w:pPr>
            <w:r>
              <w:rPr>
                <w:sz w:val="20"/>
                <w:szCs w:val="20"/>
              </w:rPr>
              <w:t>194</w:t>
            </w:r>
          </w:p>
        </w:tc>
        <w:tc>
          <w:tcPr>
            <w:tcW w:w="88" w:type="pct"/>
            <w:noWrap/>
            <w:tcMar>
              <w:top w:w="0" w:type="dxa"/>
              <w:left w:w="0" w:type="dxa"/>
              <w:bottom w:w="0" w:type="dxa"/>
              <w:right w:w="0" w:type="dxa"/>
            </w:tcMar>
            <w:vAlign w:val="bottom"/>
            <w:hideMark/>
          </w:tcPr>
          <w:p w14:paraId="0DDB7195" w14:textId="77777777" w:rsidR="00000000" w:rsidRDefault="00097612">
            <w:pPr>
              <w:pStyle w:val="a3"/>
              <w:spacing w:before="0" w:beforeAutospacing="0" w:after="0" w:afterAutospacing="0"/>
              <w:rPr>
                <w:sz w:val="20"/>
                <w:szCs w:val="20"/>
              </w:rPr>
            </w:pPr>
            <w:r>
              <w:rPr>
                <w:sz w:val="22"/>
                <w:szCs w:val="22"/>
              </w:rPr>
              <w:t>​</w:t>
            </w:r>
          </w:p>
        </w:tc>
        <w:tc>
          <w:tcPr>
            <w:tcW w:w="88" w:type="pct"/>
            <w:tcBorders>
              <w:bottom w:val="single" w:sz="6" w:space="0" w:color="000000"/>
            </w:tcBorders>
            <w:noWrap/>
            <w:tcMar>
              <w:top w:w="0" w:type="dxa"/>
              <w:left w:w="0" w:type="dxa"/>
              <w:bottom w:w="0" w:type="dxa"/>
              <w:right w:w="0" w:type="dxa"/>
            </w:tcMar>
            <w:vAlign w:val="bottom"/>
            <w:hideMark/>
          </w:tcPr>
          <w:p w14:paraId="36A11ECC" w14:textId="77777777" w:rsidR="00000000" w:rsidRDefault="00097612">
            <w:pPr>
              <w:pStyle w:val="a3"/>
              <w:spacing w:before="0" w:beforeAutospacing="0" w:after="0" w:afterAutospacing="0"/>
              <w:jc w:val="center"/>
              <w:rPr>
                <w:sz w:val="20"/>
                <w:szCs w:val="20"/>
              </w:rPr>
            </w:pPr>
            <w:r>
              <w:rPr>
                <w:sz w:val="20"/>
                <w:szCs w:val="20"/>
              </w:rPr>
              <w:t>​</w:t>
            </w:r>
          </w:p>
        </w:tc>
        <w:tc>
          <w:tcPr>
            <w:tcW w:w="412" w:type="pct"/>
            <w:tcBorders>
              <w:bottom w:val="single" w:sz="6" w:space="0" w:color="000000"/>
            </w:tcBorders>
            <w:noWrap/>
            <w:tcMar>
              <w:top w:w="0" w:type="dxa"/>
              <w:left w:w="0" w:type="dxa"/>
              <w:bottom w:w="0" w:type="dxa"/>
              <w:right w:w="0" w:type="dxa"/>
            </w:tcMar>
            <w:vAlign w:val="bottom"/>
            <w:hideMark/>
          </w:tcPr>
          <w:p w14:paraId="5E273E64" w14:textId="77777777" w:rsidR="00000000" w:rsidRDefault="00097612">
            <w:pPr>
              <w:pStyle w:val="a3"/>
              <w:spacing w:before="0" w:beforeAutospacing="0" w:after="0" w:afterAutospacing="0"/>
              <w:ind w:right="60"/>
              <w:jc w:val="right"/>
              <w:rPr>
                <w:sz w:val="20"/>
                <w:szCs w:val="20"/>
              </w:rPr>
            </w:pPr>
            <w:r>
              <w:rPr>
                <w:sz w:val="20"/>
                <w:szCs w:val="20"/>
              </w:rPr>
              <w:t>260</w:t>
            </w:r>
          </w:p>
        </w:tc>
        <w:tc>
          <w:tcPr>
            <w:tcW w:w="88" w:type="pct"/>
            <w:noWrap/>
            <w:tcMar>
              <w:top w:w="0" w:type="dxa"/>
              <w:left w:w="0" w:type="dxa"/>
              <w:bottom w:w="0" w:type="dxa"/>
              <w:right w:w="0" w:type="dxa"/>
            </w:tcMar>
            <w:vAlign w:val="bottom"/>
            <w:hideMark/>
          </w:tcPr>
          <w:p w14:paraId="22916AB5" w14:textId="77777777" w:rsidR="00000000" w:rsidRDefault="00097612">
            <w:pPr>
              <w:pStyle w:val="a3"/>
              <w:spacing w:before="0" w:beforeAutospacing="0" w:after="0" w:afterAutospacing="0"/>
              <w:rPr>
                <w:sz w:val="20"/>
                <w:szCs w:val="20"/>
              </w:rPr>
            </w:pPr>
            <w:r>
              <w:rPr>
                <w:sz w:val="22"/>
                <w:szCs w:val="22"/>
              </w:rPr>
              <w:t>​</w:t>
            </w:r>
          </w:p>
        </w:tc>
        <w:tc>
          <w:tcPr>
            <w:tcW w:w="88" w:type="pct"/>
            <w:tcBorders>
              <w:bottom w:val="single" w:sz="6" w:space="0" w:color="000000"/>
            </w:tcBorders>
            <w:noWrap/>
            <w:tcMar>
              <w:top w:w="0" w:type="dxa"/>
              <w:left w:w="0" w:type="dxa"/>
              <w:bottom w:w="0" w:type="dxa"/>
              <w:right w:w="0" w:type="dxa"/>
            </w:tcMar>
            <w:vAlign w:val="bottom"/>
            <w:hideMark/>
          </w:tcPr>
          <w:p w14:paraId="3FB75634" w14:textId="77777777" w:rsidR="00000000" w:rsidRDefault="00097612">
            <w:pPr>
              <w:pStyle w:val="a3"/>
              <w:spacing w:before="0" w:beforeAutospacing="0" w:after="0" w:afterAutospacing="0"/>
              <w:jc w:val="center"/>
              <w:rPr>
                <w:sz w:val="20"/>
                <w:szCs w:val="20"/>
              </w:rPr>
            </w:pPr>
            <w:r>
              <w:rPr>
                <w:sz w:val="20"/>
                <w:szCs w:val="20"/>
              </w:rPr>
              <w:t>​</w:t>
            </w:r>
          </w:p>
        </w:tc>
        <w:tc>
          <w:tcPr>
            <w:tcW w:w="412" w:type="pct"/>
            <w:tcBorders>
              <w:bottom w:val="single" w:sz="6" w:space="0" w:color="000000"/>
            </w:tcBorders>
            <w:noWrap/>
            <w:tcMar>
              <w:top w:w="0" w:type="dxa"/>
              <w:left w:w="0" w:type="dxa"/>
              <w:bottom w:w="0" w:type="dxa"/>
              <w:right w:w="0" w:type="dxa"/>
            </w:tcMar>
            <w:vAlign w:val="bottom"/>
            <w:hideMark/>
          </w:tcPr>
          <w:p w14:paraId="7772E86C" w14:textId="77777777" w:rsidR="00000000" w:rsidRDefault="00097612">
            <w:pPr>
              <w:pStyle w:val="a3"/>
              <w:spacing w:before="0" w:beforeAutospacing="0" w:after="0" w:afterAutospacing="0"/>
              <w:ind w:right="60"/>
              <w:jc w:val="right"/>
              <w:rPr>
                <w:sz w:val="20"/>
                <w:szCs w:val="20"/>
              </w:rPr>
            </w:pPr>
            <w:r>
              <w:rPr>
                <w:sz w:val="20"/>
                <w:szCs w:val="20"/>
              </w:rPr>
              <w:t>402</w:t>
            </w:r>
          </w:p>
        </w:tc>
        <w:tc>
          <w:tcPr>
            <w:tcW w:w="86" w:type="pct"/>
            <w:noWrap/>
            <w:tcMar>
              <w:top w:w="0" w:type="dxa"/>
              <w:left w:w="0" w:type="dxa"/>
              <w:bottom w:w="0" w:type="dxa"/>
              <w:right w:w="0" w:type="dxa"/>
            </w:tcMar>
            <w:vAlign w:val="bottom"/>
            <w:hideMark/>
          </w:tcPr>
          <w:p w14:paraId="0E4B67C8" w14:textId="77777777" w:rsidR="00000000" w:rsidRDefault="00097612">
            <w:pPr>
              <w:pStyle w:val="a3"/>
              <w:spacing w:before="0" w:beforeAutospacing="0" w:after="0" w:afterAutospacing="0"/>
              <w:rPr>
                <w:sz w:val="20"/>
                <w:szCs w:val="20"/>
              </w:rPr>
            </w:pPr>
            <w:r>
              <w:rPr>
                <w:sz w:val="20"/>
                <w:szCs w:val="20"/>
              </w:rPr>
              <w:t>​</w:t>
            </w:r>
          </w:p>
        </w:tc>
      </w:tr>
      <w:tr w:rsidR="00000000" w14:paraId="18B56C3A" w14:textId="77777777">
        <w:trPr>
          <w:divId w:val="413936982"/>
        </w:trPr>
        <w:tc>
          <w:tcPr>
            <w:tcW w:w="2640" w:type="pct"/>
            <w:shd w:val="clear" w:color="auto" w:fill="CCEEFF"/>
            <w:noWrap/>
            <w:tcMar>
              <w:top w:w="0" w:type="dxa"/>
              <w:left w:w="0" w:type="dxa"/>
              <w:bottom w:w="0" w:type="dxa"/>
              <w:right w:w="0" w:type="dxa"/>
            </w:tcMar>
            <w:vAlign w:val="bottom"/>
            <w:hideMark/>
          </w:tcPr>
          <w:p w14:paraId="0B5C5068" w14:textId="77777777" w:rsidR="00000000" w:rsidRDefault="00097612">
            <w:pPr>
              <w:pStyle w:val="a3"/>
              <w:spacing w:before="0" w:beforeAutospacing="0" w:after="0" w:afterAutospacing="0"/>
              <w:rPr>
                <w:sz w:val="20"/>
                <w:szCs w:val="20"/>
              </w:rPr>
            </w:pPr>
            <w:r>
              <w:rPr>
                <w:sz w:val="20"/>
                <w:szCs w:val="20"/>
              </w:rPr>
              <w:t>Total comprehensive loss</w:t>
            </w:r>
          </w:p>
        </w:tc>
        <w:tc>
          <w:tcPr>
            <w:tcW w:w="87" w:type="pct"/>
            <w:shd w:val="clear" w:color="auto" w:fill="CCEEFF"/>
            <w:noWrap/>
            <w:tcMar>
              <w:top w:w="0" w:type="dxa"/>
              <w:left w:w="0" w:type="dxa"/>
              <w:bottom w:w="0" w:type="dxa"/>
              <w:right w:w="0" w:type="dxa"/>
            </w:tcMar>
            <w:vAlign w:val="bottom"/>
            <w:hideMark/>
          </w:tcPr>
          <w:p w14:paraId="6F856A57" w14:textId="77777777" w:rsidR="00000000" w:rsidRDefault="00097612">
            <w:pPr>
              <w:pStyle w:val="a3"/>
              <w:spacing w:before="0" w:beforeAutospacing="0" w:after="0" w:afterAutospacing="0"/>
              <w:rPr>
                <w:sz w:val="20"/>
                <w:szCs w:val="20"/>
              </w:rPr>
            </w:pPr>
            <w:r>
              <w:rPr>
                <w:sz w:val="22"/>
                <w:szCs w:val="22"/>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6C4D6D29" w14:textId="77777777" w:rsidR="00000000" w:rsidRDefault="00097612">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shd w:val="clear" w:color="auto" w:fill="CCEEFF"/>
            <w:noWrap/>
            <w:tcMar>
              <w:top w:w="0" w:type="dxa"/>
              <w:left w:w="0" w:type="dxa"/>
              <w:bottom w:w="0" w:type="dxa"/>
              <w:right w:w="0" w:type="dxa"/>
            </w:tcMar>
            <w:vAlign w:val="bottom"/>
            <w:hideMark/>
          </w:tcPr>
          <w:p w14:paraId="7161AAEA" w14:textId="77777777" w:rsidR="00000000" w:rsidRDefault="00097612">
            <w:pPr>
              <w:pStyle w:val="a3"/>
              <w:spacing w:before="0" w:beforeAutospacing="0" w:after="0" w:afterAutospacing="0"/>
              <w:jc w:val="right"/>
              <w:rPr>
                <w:sz w:val="20"/>
                <w:szCs w:val="20"/>
              </w:rPr>
            </w:pPr>
            <w:r>
              <w:rPr>
                <w:sz w:val="20"/>
                <w:szCs w:val="20"/>
              </w:rPr>
              <w:t>(58,466)</w:t>
            </w:r>
          </w:p>
        </w:tc>
        <w:tc>
          <w:tcPr>
            <w:tcW w:w="88" w:type="pct"/>
            <w:shd w:val="clear" w:color="auto" w:fill="CCEEFF"/>
            <w:noWrap/>
            <w:tcMar>
              <w:top w:w="0" w:type="dxa"/>
              <w:left w:w="0" w:type="dxa"/>
              <w:bottom w:w="0" w:type="dxa"/>
              <w:right w:w="0" w:type="dxa"/>
            </w:tcMar>
            <w:vAlign w:val="bottom"/>
            <w:hideMark/>
          </w:tcPr>
          <w:p w14:paraId="4AE6B7F0" w14:textId="77777777" w:rsidR="00000000" w:rsidRDefault="00097612">
            <w:pPr>
              <w:pStyle w:val="a3"/>
              <w:spacing w:before="0" w:beforeAutospacing="0" w:after="0" w:afterAutospacing="0"/>
              <w:rPr>
                <w:sz w:val="20"/>
                <w:szCs w:val="20"/>
              </w:rPr>
            </w:pPr>
            <w:r>
              <w:rPr>
                <w:sz w:val="22"/>
                <w:szCs w:val="22"/>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102B3F71" w14:textId="77777777" w:rsidR="00000000" w:rsidRDefault="00097612">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shd w:val="clear" w:color="auto" w:fill="CCEEFF"/>
            <w:noWrap/>
            <w:tcMar>
              <w:top w:w="0" w:type="dxa"/>
              <w:left w:w="0" w:type="dxa"/>
              <w:bottom w:w="0" w:type="dxa"/>
              <w:right w:w="0" w:type="dxa"/>
            </w:tcMar>
            <w:vAlign w:val="bottom"/>
            <w:hideMark/>
          </w:tcPr>
          <w:p w14:paraId="662D8FF1" w14:textId="77777777" w:rsidR="00000000" w:rsidRDefault="00097612">
            <w:pPr>
              <w:pStyle w:val="a3"/>
              <w:spacing w:before="0" w:beforeAutospacing="0" w:after="0" w:afterAutospacing="0"/>
              <w:jc w:val="right"/>
              <w:rPr>
                <w:sz w:val="20"/>
                <w:szCs w:val="20"/>
              </w:rPr>
            </w:pPr>
            <w:r>
              <w:rPr>
                <w:sz w:val="20"/>
                <w:szCs w:val="20"/>
              </w:rPr>
              <w:t>(59,239)</w:t>
            </w:r>
          </w:p>
        </w:tc>
        <w:tc>
          <w:tcPr>
            <w:tcW w:w="88" w:type="pct"/>
            <w:shd w:val="clear" w:color="auto" w:fill="CCEEFF"/>
            <w:noWrap/>
            <w:tcMar>
              <w:top w:w="0" w:type="dxa"/>
              <w:left w:w="0" w:type="dxa"/>
              <w:bottom w:w="0" w:type="dxa"/>
              <w:right w:w="0" w:type="dxa"/>
            </w:tcMar>
            <w:vAlign w:val="bottom"/>
            <w:hideMark/>
          </w:tcPr>
          <w:p w14:paraId="7CF7EBBC" w14:textId="77777777" w:rsidR="00000000" w:rsidRDefault="00097612">
            <w:pPr>
              <w:pStyle w:val="a3"/>
              <w:spacing w:before="0" w:beforeAutospacing="0" w:after="0" w:afterAutospacing="0"/>
              <w:rPr>
                <w:sz w:val="20"/>
                <w:szCs w:val="20"/>
              </w:rPr>
            </w:pPr>
            <w:r>
              <w:rPr>
                <w:sz w:val="22"/>
                <w:szCs w:val="22"/>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4E1B8DAC" w14:textId="77777777" w:rsidR="00000000" w:rsidRDefault="00097612">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14:paraId="1216DB6D" w14:textId="77777777" w:rsidR="00000000" w:rsidRDefault="00097612">
            <w:pPr>
              <w:pStyle w:val="a3"/>
              <w:spacing w:before="0" w:beforeAutospacing="0" w:after="0" w:afterAutospacing="0"/>
              <w:jc w:val="right"/>
              <w:rPr>
                <w:sz w:val="20"/>
                <w:szCs w:val="20"/>
              </w:rPr>
            </w:pPr>
            <w:r>
              <w:rPr>
                <w:sz w:val="20"/>
                <w:szCs w:val="20"/>
              </w:rPr>
              <w:t>(170,589)</w:t>
            </w:r>
          </w:p>
        </w:tc>
        <w:tc>
          <w:tcPr>
            <w:tcW w:w="88" w:type="pct"/>
            <w:shd w:val="clear" w:color="auto" w:fill="CCEEFF"/>
            <w:noWrap/>
            <w:tcMar>
              <w:top w:w="0" w:type="dxa"/>
              <w:left w:w="0" w:type="dxa"/>
              <w:bottom w:w="0" w:type="dxa"/>
              <w:right w:w="0" w:type="dxa"/>
            </w:tcMar>
            <w:vAlign w:val="bottom"/>
            <w:hideMark/>
          </w:tcPr>
          <w:p w14:paraId="11EC9335" w14:textId="77777777" w:rsidR="00000000" w:rsidRDefault="00097612">
            <w:pPr>
              <w:pStyle w:val="a3"/>
              <w:spacing w:before="0" w:beforeAutospacing="0" w:after="0" w:afterAutospacing="0"/>
              <w:rPr>
                <w:sz w:val="20"/>
                <w:szCs w:val="20"/>
              </w:rPr>
            </w:pPr>
            <w:r>
              <w:rPr>
                <w:sz w:val="22"/>
                <w:szCs w:val="22"/>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3BD80AFB" w14:textId="77777777" w:rsidR="00000000" w:rsidRDefault="00097612">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14:paraId="6A2A17E5" w14:textId="77777777" w:rsidR="00000000" w:rsidRDefault="00097612">
            <w:pPr>
              <w:pStyle w:val="a3"/>
              <w:spacing w:before="0" w:beforeAutospacing="0" w:after="0" w:afterAutospacing="0"/>
              <w:jc w:val="right"/>
              <w:rPr>
                <w:sz w:val="20"/>
                <w:szCs w:val="20"/>
              </w:rPr>
            </w:pPr>
            <w:r>
              <w:rPr>
                <w:sz w:val="20"/>
                <w:szCs w:val="20"/>
              </w:rPr>
              <w:t>(164,936)</w:t>
            </w:r>
          </w:p>
        </w:tc>
        <w:tc>
          <w:tcPr>
            <w:tcW w:w="86" w:type="pct"/>
            <w:shd w:val="clear" w:color="auto" w:fill="CCEEFF"/>
            <w:noWrap/>
            <w:tcMar>
              <w:top w:w="0" w:type="dxa"/>
              <w:left w:w="0" w:type="dxa"/>
              <w:bottom w:w="0" w:type="dxa"/>
              <w:right w:w="0" w:type="dxa"/>
            </w:tcMar>
            <w:vAlign w:val="bottom"/>
            <w:hideMark/>
          </w:tcPr>
          <w:p w14:paraId="6BE3AECA" w14:textId="77777777" w:rsidR="00000000" w:rsidRDefault="00097612">
            <w:pPr>
              <w:pStyle w:val="a3"/>
              <w:spacing w:before="0" w:beforeAutospacing="0" w:after="0" w:afterAutospacing="0"/>
              <w:rPr>
                <w:sz w:val="20"/>
                <w:szCs w:val="20"/>
              </w:rPr>
            </w:pPr>
            <w:r>
              <w:rPr>
                <w:sz w:val="20"/>
                <w:szCs w:val="20"/>
              </w:rPr>
              <w:t>​</w:t>
            </w:r>
          </w:p>
        </w:tc>
      </w:tr>
      <w:tr w:rsidR="00000000" w14:paraId="756F512F" w14:textId="77777777">
        <w:trPr>
          <w:divId w:val="413936982"/>
        </w:trPr>
        <w:tc>
          <w:tcPr>
            <w:tcW w:w="2640" w:type="pct"/>
            <w:tcMar>
              <w:top w:w="0" w:type="dxa"/>
              <w:left w:w="0" w:type="dxa"/>
              <w:bottom w:w="0" w:type="dxa"/>
              <w:right w:w="0" w:type="dxa"/>
            </w:tcMar>
            <w:vAlign w:val="bottom"/>
            <w:hideMark/>
          </w:tcPr>
          <w:p w14:paraId="0305B5D4" w14:textId="77777777" w:rsidR="00000000" w:rsidRDefault="00097612">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0D1D47CE" w14:textId="77777777" w:rsidR="00000000" w:rsidRDefault="00097612">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37586FBF"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56C3CEEA" w14:textId="77777777" w:rsidR="00000000" w:rsidRDefault="00097612">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30E5BE13"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78B9BB49"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0852DE4D" w14:textId="77777777" w:rsidR="00000000" w:rsidRDefault="00097612">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6E26F055"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66DEEE34"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11652E84" w14:textId="77777777" w:rsidR="00000000" w:rsidRDefault="00097612">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71B62776"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7414CBD5"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5CDC8EDB" w14:textId="77777777" w:rsidR="00000000" w:rsidRDefault="00097612">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14:paraId="146157BB" w14:textId="77777777" w:rsidR="00000000" w:rsidRDefault="00097612">
            <w:pPr>
              <w:pStyle w:val="a3"/>
              <w:spacing w:before="0" w:beforeAutospacing="0" w:after="0" w:afterAutospacing="0"/>
              <w:rPr>
                <w:sz w:val="20"/>
                <w:szCs w:val="20"/>
              </w:rPr>
            </w:pPr>
            <w:r>
              <w:rPr>
                <w:sz w:val="20"/>
                <w:szCs w:val="20"/>
              </w:rPr>
              <w:t>​</w:t>
            </w:r>
          </w:p>
        </w:tc>
      </w:tr>
      <w:tr w:rsidR="00000000" w14:paraId="1CFBF19E" w14:textId="77777777">
        <w:trPr>
          <w:divId w:val="413936982"/>
        </w:trPr>
        <w:tc>
          <w:tcPr>
            <w:tcW w:w="2640" w:type="pct"/>
            <w:shd w:val="clear" w:color="auto" w:fill="CCEEFF"/>
            <w:tcMar>
              <w:top w:w="0" w:type="dxa"/>
              <w:left w:w="0" w:type="dxa"/>
              <w:bottom w:w="0" w:type="dxa"/>
              <w:right w:w="0" w:type="dxa"/>
            </w:tcMar>
            <w:vAlign w:val="bottom"/>
            <w:hideMark/>
          </w:tcPr>
          <w:p w14:paraId="4A8A7761" w14:textId="77777777" w:rsidR="00000000" w:rsidRDefault="00097612">
            <w:pPr>
              <w:pStyle w:val="a3"/>
              <w:spacing w:before="0" w:beforeAutospacing="0" w:after="0" w:afterAutospacing="0"/>
              <w:rPr>
                <w:sz w:val="20"/>
                <w:szCs w:val="20"/>
              </w:rPr>
            </w:pPr>
            <w:r>
              <w:rPr>
                <w:sz w:val="20"/>
                <w:szCs w:val="20"/>
              </w:rPr>
              <w:t>Net loss per share:</w:t>
            </w:r>
          </w:p>
        </w:tc>
        <w:tc>
          <w:tcPr>
            <w:tcW w:w="87" w:type="pct"/>
            <w:shd w:val="clear" w:color="auto" w:fill="CCEEFF"/>
            <w:noWrap/>
            <w:tcMar>
              <w:top w:w="0" w:type="dxa"/>
              <w:left w:w="0" w:type="dxa"/>
              <w:bottom w:w="0" w:type="dxa"/>
              <w:right w:w="0" w:type="dxa"/>
            </w:tcMar>
            <w:vAlign w:val="bottom"/>
            <w:hideMark/>
          </w:tcPr>
          <w:p w14:paraId="3D128F18"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0C0850CE"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3610B472"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9E74970"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78F92739" w14:textId="77777777" w:rsidR="00000000" w:rsidRDefault="00097612">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14:paraId="0962B83C"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2B429975"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505F82B"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410E5B38" w14:textId="77777777" w:rsidR="00000000" w:rsidRDefault="00097612">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5ECE45C3"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2A57428D" w14:textId="77777777" w:rsidR="00000000" w:rsidRDefault="00097612">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14:paraId="70A0E699" w14:textId="77777777" w:rsidR="00000000" w:rsidRDefault="00097612">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67BB7171" w14:textId="77777777" w:rsidR="00000000" w:rsidRDefault="00097612">
            <w:pPr>
              <w:pStyle w:val="a3"/>
              <w:spacing w:before="0" w:beforeAutospacing="0" w:after="0" w:afterAutospacing="0"/>
              <w:rPr>
                <w:sz w:val="20"/>
                <w:szCs w:val="20"/>
              </w:rPr>
            </w:pPr>
            <w:r>
              <w:rPr>
                <w:sz w:val="20"/>
                <w:szCs w:val="20"/>
              </w:rPr>
              <w:t>​</w:t>
            </w:r>
          </w:p>
        </w:tc>
      </w:tr>
      <w:tr w:rsidR="00000000" w14:paraId="62291C41" w14:textId="77777777">
        <w:trPr>
          <w:divId w:val="413936982"/>
        </w:trPr>
        <w:tc>
          <w:tcPr>
            <w:tcW w:w="2640" w:type="pct"/>
            <w:tcMar>
              <w:top w:w="0" w:type="dxa"/>
              <w:left w:w="0" w:type="dxa"/>
              <w:bottom w:w="0" w:type="dxa"/>
              <w:right w:w="0" w:type="dxa"/>
            </w:tcMar>
            <w:vAlign w:val="bottom"/>
            <w:hideMark/>
          </w:tcPr>
          <w:p w14:paraId="0870EDA7" w14:textId="77777777" w:rsidR="00000000" w:rsidRDefault="00097612">
            <w:pPr>
              <w:pStyle w:val="a3"/>
              <w:spacing w:before="0" w:beforeAutospacing="0" w:after="0" w:afterAutospacing="0"/>
              <w:ind w:left="240"/>
              <w:rPr>
                <w:sz w:val="20"/>
                <w:szCs w:val="20"/>
              </w:rPr>
            </w:pPr>
            <w:r>
              <w:rPr>
                <w:sz w:val="20"/>
                <w:szCs w:val="20"/>
              </w:rPr>
              <w:t>Basic and diluted net loss per share</w:t>
            </w:r>
          </w:p>
        </w:tc>
        <w:tc>
          <w:tcPr>
            <w:tcW w:w="87" w:type="pct"/>
            <w:noWrap/>
            <w:tcMar>
              <w:top w:w="0" w:type="dxa"/>
              <w:left w:w="0" w:type="dxa"/>
              <w:bottom w:w="0" w:type="dxa"/>
              <w:right w:w="0" w:type="dxa"/>
            </w:tcMar>
            <w:vAlign w:val="bottom"/>
            <w:hideMark/>
          </w:tcPr>
          <w:p w14:paraId="6F59DC6F" w14:textId="77777777" w:rsidR="00000000" w:rsidRDefault="00097612">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14:paraId="656A7413" w14:textId="77777777" w:rsidR="00000000" w:rsidRDefault="00097612">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14:paraId="3FF3F084" w14:textId="77777777" w:rsidR="00000000" w:rsidRDefault="00097612">
            <w:pPr>
              <w:pStyle w:val="a3"/>
              <w:spacing w:before="0" w:beforeAutospacing="0" w:after="0" w:afterAutospacing="0"/>
              <w:jc w:val="right"/>
              <w:rPr>
                <w:sz w:val="20"/>
                <w:szCs w:val="20"/>
              </w:rPr>
            </w:pPr>
            <w:r>
              <w:rPr>
                <w:sz w:val="20"/>
                <w:szCs w:val="20"/>
              </w:rPr>
              <w:t>(1.05)</w:t>
            </w:r>
          </w:p>
        </w:tc>
        <w:tc>
          <w:tcPr>
            <w:tcW w:w="88" w:type="pct"/>
            <w:noWrap/>
            <w:tcMar>
              <w:top w:w="0" w:type="dxa"/>
              <w:left w:w="0" w:type="dxa"/>
              <w:bottom w:w="0" w:type="dxa"/>
              <w:right w:w="0" w:type="dxa"/>
            </w:tcMar>
            <w:vAlign w:val="bottom"/>
            <w:hideMark/>
          </w:tcPr>
          <w:p w14:paraId="0C5EDC36"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2E32B871" w14:textId="77777777" w:rsidR="00000000" w:rsidRDefault="00097612">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14:paraId="6ADAA30F" w14:textId="77777777" w:rsidR="00000000" w:rsidRDefault="00097612">
            <w:pPr>
              <w:pStyle w:val="a3"/>
              <w:spacing w:before="0" w:beforeAutospacing="0" w:after="0" w:afterAutospacing="0"/>
              <w:jc w:val="right"/>
              <w:rPr>
                <w:sz w:val="20"/>
                <w:szCs w:val="20"/>
              </w:rPr>
            </w:pPr>
            <w:r>
              <w:rPr>
                <w:sz w:val="20"/>
                <w:szCs w:val="20"/>
              </w:rPr>
              <w:t>(1.10)</w:t>
            </w:r>
          </w:p>
        </w:tc>
        <w:tc>
          <w:tcPr>
            <w:tcW w:w="88" w:type="pct"/>
            <w:noWrap/>
            <w:tcMar>
              <w:top w:w="0" w:type="dxa"/>
              <w:left w:w="0" w:type="dxa"/>
              <w:bottom w:w="0" w:type="dxa"/>
              <w:right w:w="0" w:type="dxa"/>
            </w:tcMar>
            <w:vAlign w:val="bottom"/>
            <w:hideMark/>
          </w:tcPr>
          <w:p w14:paraId="60AE78BF"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205B32CC" w14:textId="77777777" w:rsidR="00000000" w:rsidRDefault="00097612">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noWrap/>
            <w:tcMar>
              <w:top w:w="0" w:type="dxa"/>
              <w:left w:w="0" w:type="dxa"/>
              <w:bottom w:w="0" w:type="dxa"/>
              <w:right w:w="0" w:type="dxa"/>
            </w:tcMar>
            <w:vAlign w:val="bottom"/>
            <w:hideMark/>
          </w:tcPr>
          <w:p w14:paraId="65B875CD" w14:textId="77777777" w:rsidR="00000000" w:rsidRDefault="00097612">
            <w:pPr>
              <w:pStyle w:val="a3"/>
              <w:spacing w:before="0" w:beforeAutospacing="0" w:after="0" w:afterAutospacing="0"/>
              <w:jc w:val="right"/>
              <w:rPr>
                <w:sz w:val="20"/>
                <w:szCs w:val="20"/>
              </w:rPr>
            </w:pPr>
            <w:r>
              <w:rPr>
                <w:sz w:val="20"/>
                <w:szCs w:val="20"/>
              </w:rPr>
              <w:t>(3.08)</w:t>
            </w:r>
          </w:p>
        </w:tc>
        <w:tc>
          <w:tcPr>
            <w:tcW w:w="88" w:type="pct"/>
            <w:noWrap/>
            <w:tcMar>
              <w:top w:w="0" w:type="dxa"/>
              <w:left w:w="0" w:type="dxa"/>
              <w:bottom w:w="0" w:type="dxa"/>
              <w:right w:w="0" w:type="dxa"/>
            </w:tcMar>
            <w:vAlign w:val="bottom"/>
            <w:hideMark/>
          </w:tcPr>
          <w:p w14:paraId="708C346D"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4DC43C92" w14:textId="77777777" w:rsidR="00000000" w:rsidRDefault="00097612">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noWrap/>
            <w:tcMar>
              <w:top w:w="0" w:type="dxa"/>
              <w:left w:w="0" w:type="dxa"/>
              <w:bottom w:w="0" w:type="dxa"/>
              <w:right w:w="0" w:type="dxa"/>
            </w:tcMar>
            <w:vAlign w:val="bottom"/>
            <w:hideMark/>
          </w:tcPr>
          <w:p w14:paraId="7C549A5B" w14:textId="77777777" w:rsidR="00000000" w:rsidRDefault="00097612">
            <w:pPr>
              <w:pStyle w:val="a3"/>
              <w:spacing w:before="0" w:beforeAutospacing="0" w:after="0" w:afterAutospacing="0"/>
              <w:jc w:val="right"/>
              <w:rPr>
                <w:sz w:val="20"/>
                <w:szCs w:val="20"/>
              </w:rPr>
            </w:pPr>
            <w:r>
              <w:rPr>
                <w:sz w:val="20"/>
                <w:szCs w:val="20"/>
              </w:rPr>
              <w:t>(3.07)</w:t>
            </w:r>
          </w:p>
        </w:tc>
        <w:tc>
          <w:tcPr>
            <w:tcW w:w="86" w:type="pct"/>
            <w:noWrap/>
            <w:tcMar>
              <w:top w:w="0" w:type="dxa"/>
              <w:left w:w="0" w:type="dxa"/>
              <w:bottom w:w="0" w:type="dxa"/>
              <w:right w:w="0" w:type="dxa"/>
            </w:tcMar>
            <w:vAlign w:val="bottom"/>
            <w:hideMark/>
          </w:tcPr>
          <w:p w14:paraId="54B295C9" w14:textId="77777777" w:rsidR="00000000" w:rsidRDefault="00097612">
            <w:pPr>
              <w:pStyle w:val="a3"/>
              <w:spacing w:before="0" w:beforeAutospacing="0" w:after="0" w:afterAutospacing="0"/>
              <w:rPr>
                <w:sz w:val="20"/>
                <w:szCs w:val="20"/>
              </w:rPr>
            </w:pPr>
            <w:r>
              <w:rPr>
                <w:sz w:val="20"/>
                <w:szCs w:val="20"/>
              </w:rPr>
              <w:t>​</w:t>
            </w:r>
          </w:p>
        </w:tc>
      </w:tr>
      <w:tr w:rsidR="00000000" w14:paraId="55B7D2FB" w14:textId="77777777">
        <w:trPr>
          <w:divId w:val="413936982"/>
        </w:trPr>
        <w:tc>
          <w:tcPr>
            <w:tcW w:w="2640" w:type="pct"/>
            <w:shd w:val="clear" w:color="auto" w:fill="CCEEFF"/>
            <w:tcMar>
              <w:top w:w="0" w:type="dxa"/>
              <w:left w:w="0" w:type="dxa"/>
              <w:bottom w:w="0" w:type="dxa"/>
              <w:right w:w="0" w:type="dxa"/>
            </w:tcMar>
            <w:vAlign w:val="bottom"/>
            <w:hideMark/>
          </w:tcPr>
          <w:p w14:paraId="5E2DDA74" w14:textId="77777777" w:rsidR="00000000" w:rsidRDefault="00097612">
            <w:pPr>
              <w:pStyle w:val="a3"/>
              <w:spacing w:before="0" w:beforeAutospacing="0" w:after="0" w:afterAutospacing="0"/>
              <w:ind w:left="240"/>
              <w:rPr>
                <w:sz w:val="20"/>
                <w:szCs w:val="20"/>
              </w:rPr>
            </w:pPr>
            <w:r>
              <w:rPr>
                <w:sz w:val="20"/>
                <w:szCs w:val="20"/>
              </w:rPr>
              <w:t>Shares used to compute basic and diluted net loss per share</w:t>
            </w:r>
          </w:p>
        </w:tc>
        <w:tc>
          <w:tcPr>
            <w:tcW w:w="87" w:type="pct"/>
            <w:shd w:val="clear" w:color="auto" w:fill="CCEEFF"/>
            <w:noWrap/>
            <w:tcMar>
              <w:top w:w="0" w:type="dxa"/>
              <w:left w:w="0" w:type="dxa"/>
              <w:bottom w:w="0" w:type="dxa"/>
              <w:right w:w="0" w:type="dxa"/>
            </w:tcMar>
            <w:vAlign w:val="bottom"/>
            <w:hideMark/>
          </w:tcPr>
          <w:p w14:paraId="2022831D" w14:textId="77777777" w:rsidR="00000000" w:rsidRDefault="00097612">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670CA362"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double" w:sz="6" w:space="0" w:color="000000"/>
            </w:tcBorders>
            <w:shd w:val="clear" w:color="auto" w:fill="CCEEFF"/>
            <w:noWrap/>
            <w:tcMar>
              <w:top w:w="0" w:type="dxa"/>
              <w:left w:w="0" w:type="dxa"/>
              <w:bottom w:w="0" w:type="dxa"/>
              <w:right w:w="0" w:type="dxa"/>
            </w:tcMar>
            <w:vAlign w:val="bottom"/>
            <w:hideMark/>
          </w:tcPr>
          <w:p w14:paraId="6AE4DB1D" w14:textId="77777777" w:rsidR="00000000" w:rsidRDefault="00097612">
            <w:pPr>
              <w:pStyle w:val="a3"/>
              <w:spacing w:before="0" w:beforeAutospacing="0" w:after="0" w:afterAutospacing="0"/>
              <w:ind w:right="60"/>
              <w:jc w:val="right"/>
              <w:rPr>
                <w:sz w:val="20"/>
                <w:szCs w:val="20"/>
              </w:rPr>
            </w:pPr>
            <w:r>
              <w:rPr>
                <w:sz w:val="20"/>
                <w:szCs w:val="20"/>
              </w:rPr>
              <w:t>55,858</w:t>
            </w:r>
          </w:p>
        </w:tc>
        <w:tc>
          <w:tcPr>
            <w:tcW w:w="88" w:type="pct"/>
            <w:shd w:val="clear" w:color="auto" w:fill="CCEEFF"/>
            <w:noWrap/>
            <w:tcMar>
              <w:top w:w="0" w:type="dxa"/>
              <w:left w:w="0" w:type="dxa"/>
              <w:bottom w:w="0" w:type="dxa"/>
              <w:right w:w="0" w:type="dxa"/>
            </w:tcMar>
            <w:vAlign w:val="bottom"/>
            <w:hideMark/>
          </w:tcPr>
          <w:p w14:paraId="68B6D2AE"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48BD53D2" w14:textId="77777777" w:rsidR="00000000" w:rsidRDefault="00097612">
            <w:pPr>
              <w:pStyle w:val="a3"/>
              <w:spacing w:before="0" w:beforeAutospacing="0" w:after="0" w:afterAutospacing="0"/>
              <w:jc w:val="center"/>
              <w:rPr>
                <w:sz w:val="20"/>
                <w:szCs w:val="20"/>
              </w:rPr>
            </w:pPr>
            <w:r>
              <w:rPr>
                <w:sz w:val="20"/>
                <w:szCs w:val="20"/>
              </w:rPr>
              <w:t> </w:t>
            </w:r>
          </w:p>
        </w:tc>
        <w:tc>
          <w:tcPr>
            <w:tcW w:w="369" w:type="pct"/>
            <w:tcBorders>
              <w:bottom w:val="double" w:sz="6" w:space="0" w:color="000000"/>
            </w:tcBorders>
            <w:shd w:val="clear" w:color="auto" w:fill="CCEEFF"/>
            <w:noWrap/>
            <w:tcMar>
              <w:top w:w="0" w:type="dxa"/>
              <w:left w:w="0" w:type="dxa"/>
              <w:bottom w:w="0" w:type="dxa"/>
              <w:right w:w="0" w:type="dxa"/>
            </w:tcMar>
            <w:vAlign w:val="bottom"/>
            <w:hideMark/>
          </w:tcPr>
          <w:p w14:paraId="22458DBC" w14:textId="77777777" w:rsidR="00000000" w:rsidRDefault="00097612">
            <w:pPr>
              <w:pStyle w:val="a3"/>
              <w:spacing w:before="0" w:beforeAutospacing="0" w:after="0" w:afterAutospacing="0"/>
              <w:ind w:right="60"/>
              <w:jc w:val="right"/>
              <w:rPr>
                <w:sz w:val="20"/>
                <w:szCs w:val="20"/>
              </w:rPr>
            </w:pPr>
            <w:r>
              <w:rPr>
                <w:sz w:val="20"/>
                <w:szCs w:val="20"/>
              </w:rPr>
              <w:t>54,248</w:t>
            </w:r>
          </w:p>
        </w:tc>
        <w:tc>
          <w:tcPr>
            <w:tcW w:w="88" w:type="pct"/>
            <w:shd w:val="clear" w:color="auto" w:fill="CCEEFF"/>
            <w:noWrap/>
            <w:tcMar>
              <w:top w:w="0" w:type="dxa"/>
              <w:left w:w="0" w:type="dxa"/>
              <w:bottom w:w="0" w:type="dxa"/>
              <w:right w:w="0" w:type="dxa"/>
            </w:tcMar>
            <w:vAlign w:val="bottom"/>
            <w:hideMark/>
          </w:tcPr>
          <w:p w14:paraId="615B3518"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0310C4B8"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14:paraId="35578902" w14:textId="77777777" w:rsidR="00000000" w:rsidRDefault="00097612">
            <w:pPr>
              <w:pStyle w:val="a3"/>
              <w:spacing w:before="0" w:beforeAutospacing="0" w:after="0" w:afterAutospacing="0"/>
              <w:ind w:right="60"/>
              <w:jc w:val="right"/>
              <w:rPr>
                <w:sz w:val="20"/>
                <w:szCs w:val="20"/>
              </w:rPr>
            </w:pPr>
            <w:r>
              <w:rPr>
                <w:sz w:val="20"/>
                <w:szCs w:val="20"/>
              </w:rPr>
              <w:t>55,445</w:t>
            </w:r>
          </w:p>
        </w:tc>
        <w:tc>
          <w:tcPr>
            <w:tcW w:w="88" w:type="pct"/>
            <w:shd w:val="clear" w:color="auto" w:fill="CCEEFF"/>
            <w:noWrap/>
            <w:tcMar>
              <w:top w:w="0" w:type="dxa"/>
              <w:left w:w="0" w:type="dxa"/>
              <w:bottom w:w="0" w:type="dxa"/>
              <w:right w:w="0" w:type="dxa"/>
            </w:tcMar>
            <w:vAlign w:val="bottom"/>
            <w:hideMark/>
          </w:tcPr>
          <w:p w14:paraId="7A2FD41D"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17E94AD5" w14:textId="77777777" w:rsidR="00000000" w:rsidRDefault="00097612">
            <w:pPr>
              <w:pStyle w:val="a3"/>
              <w:spacing w:before="0" w:beforeAutospacing="0" w:after="0" w:afterAutospacing="0"/>
              <w:jc w:val="center"/>
              <w:rPr>
                <w:sz w:val="20"/>
                <w:szCs w:val="20"/>
              </w:rPr>
            </w:pPr>
            <w:r>
              <w:rPr>
                <w:sz w:val="20"/>
                <w:szCs w:val="20"/>
              </w:rPr>
              <w:t> </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14:paraId="6BE88F3D" w14:textId="77777777" w:rsidR="00000000" w:rsidRDefault="00097612">
            <w:pPr>
              <w:pStyle w:val="a3"/>
              <w:spacing w:before="0" w:beforeAutospacing="0" w:after="0" w:afterAutospacing="0"/>
              <w:ind w:right="60"/>
              <w:jc w:val="right"/>
              <w:rPr>
                <w:sz w:val="20"/>
                <w:szCs w:val="20"/>
              </w:rPr>
            </w:pPr>
            <w:r>
              <w:rPr>
                <w:sz w:val="20"/>
                <w:szCs w:val="20"/>
              </w:rPr>
              <w:t>53,771</w:t>
            </w:r>
          </w:p>
        </w:tc>
        <w:tc>
          <w:tcPr>
            <w:tcW w:w="86" w:type="pct"/>
            <w:shd w:val="clear" w:color="auto" w:fill="CCEEFF"/>
            <w:noWrap/>
            <w:tcMar>
              <w:top w:w="0" w:type="dxa"/>
              <w:left w:w="0" w:type="dxa"/>
              <w:bottom w:w="0" w:type="dxa"/>
              <w:right w:w="0" w:type="dxa"/>
            </w:tcMar>
            <w:vAlign w:val="bottom"/>
            <w:hideMark/>
          </w:tcPr>
          <w:p w14:paraId="53CC0A66" w14:textId="77777777" w:rsidR="00000000" w:rsidRDefault="00097612">
            <w:pPr>
              <w:pStyle w:val="a3"/>
              <w:spacing w:before="0" w:beforeAutospacing="0" w:after="0" w:afterAutospacing="0"/>
              <w:rPr>
                <w:sz w:val="20"/>
                <w:szCs w:val="20"/>
              </w:rPr>
            </w:pPr>
            <w:r>
              <w:rPr>
                <w:sz w:val="20"/>
                <w:szCs w:val="20"/>
              </w:rPr>
              <w:t>​</w:t>
            </w:r>
          </w:p>
        </w:tc>
      </w:tr>
      <w:tr w:rsidR="00000000" w14:paraId="10F5ADD0" w14:textId="77777777">
        <w:trPr>
          <w:divId w:val="413936982"/>
        </w:trPr>
        <w:tc>
          <w:tcPr>
            <w:tcW w:w="2640" w:type="pct"/>
            <w:tcMar>
              <w:top w:w="0" w:type="dxa"/>
              <w:left w:w="0" w:type="dxa"/>
              <w:bottom w:w="0" w:type="dxa"/>
              <w:right w:w="0" w:type="dxa"/>
            </w:tcMar>
            <w:vAlign w:val="bottom"/>
            <w:hideMark/>
          </w:tcPr>
          <w:p w14:paraId="0825BE8E" w14:textId="77777777" w:rsidR="00000000" w:rsidRDefault="00097612">
            <w:pPr>
              <w:pStyle w:val="a3"/>
              <w:spacing w:before="0" w:beforeAutospacing="0" w:after="0" w:afterAutospacing="0"/>
              <w:ind w:left="240"/>
              <w:rPr>
                <w:sz w:val="20"/>
                <w:szCs w:val="20"/>
              </w:rPr>
            </w:pPr>
            <w:r>
              <w:rPr>
                <w:sz w:val="20"/>
                <w:szCs w:val="20"/>
              </w:rPr>
              <w:t>​</w:t>
            </w:r>
          </w:p>
        </w:tc>
        <w:tc>
          <w:tcPr>
            <w:tcW w:w="87" w:type="pct"/>
            <w:noWrap/>
            <w:tcMar>
              <w:top w:w="0" w:type="dxa"/>
              <w:left w:w="0" w:type="dxa"/>
              <w:bottom w:w="0" w:type="dxa"/>
              <w:right w:w="0" w:type="dxa"/>
            </w:tcMar>
            <w:vAlign w:val="bottom"/>
            <w:hideMark/>
          </w:tcPr>
          <w:p w14:paraId="2B0BF91F" w14:textId="77777777" w:rsidR="00000000" w:rsidRDefault="00097612">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0560E232"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70D25A06" w14:textId="77777777" w:rsidR="00000000" w:rsidRDefault="00097612">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50D48B6B"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04F56FCD" w14:textId="77777777" w:rsidR="00000000" w:rsidRDefault="00097612">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14:paraId="56CEBC7A" w14:textId="77777777" w:rsidR="00000000" w:rsidRDefault="00097612">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54216637"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205B3A47"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66D777A7" w14:textId="77777777" w:rsidR="00000000" w:rsidRDefault="00097612">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14:paraId="731634E8" w14:textId="77777777" w:rsidR="00000000" w:rsidRDefault="00097612">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35F8900F" w14:textId="77777777" w:rsidR="00000000" w:rsidRDefault="00097612">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14:paraId="1BBB58F5" w14:textId="77777777" w:rsidR="00000000" w:rsidRDefault="00097612">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14:paraId="7D5069BF" w14:textId="77777777" w:rsidR="00000000" w:rsidRDefault="00097612">
            <w:pPr>
              <w:pStyle w:val="a3"/>
              <w:spacing w:before="0" w:beforeAutospacing="0" w:after="0" w:afterAutospacing="0"/>
              <w:rPr>
                <w:sz w:val="20"/>
                <w:szCs w:val="20"/>
              </w:rPr>
            </w:pPr>
            <w:r>
              <w:rPr>
                <w:sz w:val="20"/>
                <w:szCs w:val="20"/>
              </w:rPr>
              <w:t>​</w:t>
            </w:r>
          </w:p>
        </w:tc>
      </w:tr>
    </w:tbl>
    <w:p w14:paraId="3C19CDEB" w14:textId="77777777" w:rsidR="00000000" w:rsidRDefault="00097612">
      <w:pPr>
        <w:divId w:val="41393698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14:paraId="05BF1F02" w14:textId="77777777">
        <w:trPr>
          <w:divId w:val="413936982"/>
        </w:trPr>
        <w:tc>
          <w:tcPr>
            <w:tcW w:w="360" w:type="dxa"/>
            <w:noWrap/>
            <w:tcMar>
              <w:top w:w="0" w:type="dxa"/>
              <w:left w:w="0" w:type="dxa"/>
              <w:bottom w:w="0" w:type="dxa"/>
              <w:right w:w="0" w:type="dxa"/>
            </w:tcMar>
            <w:hideMark/>
          </w:tcPr>
          <w:p w14:paraId="44FD838B" w14:textId="77777777" w:rsidR="00000000" w:rsidRDefault="00097612">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14:paraId="4CAC36CC" w14:textId="77777777" w:rsidR="00000000" w:rsidRDefault="00097612">
            <w:pPr>
              <w:rPr>
                <w:rFonts w:eastAsia="Times New Roman"/>
                <w:sz w:val="20"/>
                <w:szCs w:val="20"/>
              </w:rPr>
            </w:pPr>
            <w:r>
              <w:rPr>
                <w:rFonts w:eastAsia="Times New Roman"/>
                <w:color w:val="000000"/>
                <w:sz w:val="20"/>
                <w:szCs w:val="20"/>
              </w:rPr>
              <w:t>Amounts include share-based compensation expense as follows:</w:t>
            </w:r>
          </w:p>
        </w:tc>
      </w:tr>
    </w:tbl>
    <w:p w14:paraId="10153C9D" w14:textId="77777777" w:rsidR="00000000" w:rsidRDefault="00097612">
      <w:pPr>
        <w:pStyle w:val="a3"/>
        <w:spacing w:before="0" w:beforeAutospacing="0" w:after="0" w:afterAutospacing="0"/>
        <w:divId w:val="41393698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32"/>
        <w:gridCol w:w="160"/>
        <w:gridCol w:w="108"/>
        <w:gridCol w:w="610"/>
        <w:gridCol w:w="160"/>
        <w:gridCol w:w="108"/>
        <w:gridCol w:w="610"/>
        <w:gridCol w:w="160"/>
        <w:gridCol w:w="109"/>
        <w:gridCol w:w="610"/>
        <w:gridCol w:w="160"/>
        <w:gridCol w:w="109"/>
        <w:gridCol w:w="610"/>
        <w:gridCol w:w="160"/>
      </w:tblGrid>
      <w:tr w:rsidR="00000000" w14:paraId="0C945707" w14:textId="77777777">
        <w:trPr>
          <w:divId w:val="413936982"/>
          <w:trHeight w:val="20"/>
        </w:trPr>
        <w:tc>
          <w:tcPr>
            <w:tcW w:w="2809" w:type="pct"/>
            <w:tcMar>
              <w:top w:w="0" w:type="dxa"/>
              <w:left w:w="0" w:type="dxa"/>
              <w:bottom w:w="0" w:type="dxa"/>
              <w:right w:w="0" w:type="dxa"/>
            </w:tcMar>
            <w:vAlign w:val="bottom"/>
            <w:hideMark/>
          </w:tcPr>
          <w:p w14:paraId="19C2FEF2" w14:textId="77777777" w:rsidR="00000000" w:rsidRDefault="00097612">
            <w:pPr>
              <w:pStyle w:val="a3"/>
              <w:spacing w:before="0" w:beforeAutospacing="0" w:after="0" w:afterAutospacing="0"/>
              <w:divId w:val="1348411371"/>
              <w:rPr>
                <w:sz w:val="20"/>
                <w:szCs w:val="20"/>
              </w:rPr>
            </w:pPr>
            <w:r>
              <w:rPr>
                <w:sz w:val="2"/>
                <w:szCs w:val="2"/>
              </w:rPr>
              <w:t>​</w:t>
            </w:r>
          </w:p>
        </w:tc>
        <w:tc>
          <w:tcPr>
            <w:tcW w:w="88" w:type="pct"/>
            <w:noWrap/>
            <w:tcMar>
              <w:top w:w="0" w:type="dxa"/>
              <w:left w:w="0" w:type="dxa"/>
              <w:bottom w:w="0" w:type="dxa"/>
              <w:right w:w="0" w:type="dxa"/>
            </w:tcMar>
            <w:vAlign w:val="bottom"/>
            <w:hideMark/>
          </w:tcPr>
          <w:p w14:paraId="68BB4E52" w14:textId="77777777" w:rsidR="00000000" w:rsidRDefault="00097612">
            <w:pPr>
              <w:pStyle w:val="a3"/>
              <w:spacing w:before="0" w:beforeAutospacing="0" w:after="0" w:afterAutospacing="0"/>
              <w:divId w:val="941304401"/>
              <w:rPr>
                <w:sz w:val="20"/>
                <w:szCs w:val="20"/>
              </w:rPr>
            </w:pPr>
            <w:r>
              <w:rPr>
                <w:sz w:val="2"/>
                <w:szCs w:val="2"/>
              </w:rPr>
              <w:t>​</w:t>
            </w:r>
          </w:p>
        </w:tc>
        <w:tc>
          <w:tcPr>
            <w:tcW w:w="88" w:type="pct"/>
            <w:noWrap/>
            <w:tcMar>
              <w:top w:w="0" w:type="dxa"/>
              <w:left w:w="0" w:type="dxa"/>
              <w:bottom w:w="0" w:type="dxa"/>
              <w:right w:w="0" w:type="dxa"/>
            </w:tcMar>
            <w:vAlign w:val="bottom"/>
            <w:hideMark/>
          </w:tcPr>
          <w:p w14:paraId="74B899C5" w14:textId="77777777" w:rsidR="00000000" w:rsidRDefault="00097612">
            <w:pPr>
              <w:pStyle w:val="a3"/>
              <w:spacing w:before="0" w:beforeAutospacing="0" w:after="0" w:afterAutospacing="0"/>
              <w:divId w:val="1756317418"/>
              <w:rPr>
                <w:sz w:val="20"/>
                <w:szCs w:val="20"/>
              </w:rPr>
            </w:pPr>
            <w:r>
              <w:rPr>
                <w:sz w:val="2"/>
                <w:szCs w:val="2"/>
              </w:rPr>
              <w:t>​</w:t>
            </w:r>
          </w:p>
        </w:tc>
        <w:tc>
          <w:tcPr>
            <w:tcW w:w="350" w:type="pct"/>
            <w:noWrap/>
            <w:tcMar>
              <w:top w:w="0" w:type="dxa"/>
              <w:left w:w="0" w:type="dxa"/>
              <w:bottom w:w="0" w:type="dxa"/>
              <w:right w:w="0" w:type="dxa"/>
            </w:tcMar>
            <w:vAlign w:val="center"/>
            <w:hideMark/>
          </w:tcPr>
          <w:p w14:paraId="68F00FAD" w14:textId="77777777" w:rsidR="00000000" w:rsidRDefault="00097612">
            <w:pPr>
              <w:pStyle w:val="a3"/>
              <w:spacing w:before="0" w:beforeAutospacing="0" w:after="0" w:afterAutospacing="0"/>
              <w:divId w:val="1666127731"/>
              <w:rPr>
                <w:sz w:val="20"/>
                <w:szCs w:val="20"/>
              </w:rPr>
            </w:pPr>
            <w:r>
              <w:rPr>
                <w:sz w:val="2"/>
                <w:szCs w:val="2"/>
              </w:rPr>
              <w:t>​</w:t>
            </w:r>
          </w:p>
        </w:tc>
        <w:tc>
          <w:tcPr>
            <w:tcW w:w="88" w:type="pct"/>
            <w:noWrap/>
            <w:tcMar>
              <w:top w:w="0" w:type="dxa"/>
              <w:left w:w="0" w:type="dxa"/>
              <w:bottom w:w="0" w:type="dxa"/>
              <w:right w:w="0" w:type="dxa"/>
            </w:tcMar>
            <w:vAlign w:val="bottom"/>
            <w:hideMark/>
          </w:tcPr>
          <w:p w14:paraId="5C965C74" w14:textId="77777777" w:rsidR="00000000" w:rsidRDefault="00097612">
            <w:pPr>
              <w:pStyle w:val="a3"/>
              <w:spacing w:before="0" w:beforeAutospacing="0" w:after="0" w:afterAutospacing="0"/>
              <w:divId w:val="1146244714"/>
              <w:rPr>
                <w:sz w:val="20"/>
                <w:szCs w:val="20"/>
              </w:rPr>
            </w:pPr>
            <w:r>
              <w:rPr>
                <w:sz w:val="2"/>
                <w:szCs w:val="2"/>
              </w:rPr>
              <w:t>​</w:t>
            </w:r>
          </w:p>
        </w:tc>
        <w:tc>
          <w:tcPr>
            <w:tcW w:w="88" w:type="pct"/>
            <w:noWrap/>
            <w:tcMar>
              <w:top w:w="0" w:type="dxa"/>
              <w:left w:w="0" w:type="dxa"/>
              <w:bottom w:w="0" w:type="dxa"/>
              <w:right w:w="0" w:type="dxa"/>
            </w:tcMar>
            <w:vAlign w:val="bottom"/>
            <w:hideMark/>
          </w:tcPr>
          <w:p w14:paraId="0F65AA9B" w14:textId="77777777" w:rsidR="00000000" w:rsidRDefault="00097612">
            <w:pPr>
              <w:pStyle w:val="a3"/>
              <w:spacing w:before="0" w:beforeAutospacing="0" w:after="0" w:afterAutospacing="0"/>
              <w:divId w:val="1496142786"/>
              <w:rPr>
                <w:sz w:val="20"/>
                <w:szCs w:val="20"/>
              </w:rPr>
            </w:pPr>
            <w:r>
              <w:rPr>
                <w:sz w:val="2"/>
                <w:szCs w:val="2"/>
              </w:rPr>
              <w:t>​</w:t>
            </w:r>
          </w:p>
        </w:tc>
        <w:tc>
          <w:tcPr>
            <w:tcW w:w="350" w:type="pct"/>
            <w:noWrap/>
            <w:tcMar>
              <w:top w:w="0" w:type="dxa"/>
              <w:left w:w="0" w:type="dxa"/>
              <w:bottom w:w="0" w:type="dxa"/>
              <w:right w:w="0" w:type="dxa"/>
            </w:tcMar>
            <w:vAlign w:val="center"/>
            <w:hideMark/>
          </w:tcPr>
          <w:p w14:paraId="4A4EB554" w14:textId="77777777" w:rsidR="00000000" w:rsidRDefault="00097612">
            <w:pPr>
              <w:pStyle w:val="a3"/>
              <w:spacing w:before="0" w:beforeAutospacing="0" w:after="0" w:afterAutospacing="0"/>
              <w:divId w:val="1986544513"/>
              <w:rPr>
                <w:sz w:val="20"/>
                <w:szCs w:val="20"/>
              </w:rPr>
            </w:pPr>
            <w:r>
              <w:rPr>
                <w:sz w:val="2"/>
                <w:szCs w:val="2"/>
              </w:rPr>
              <w:t>​</w:t>
            </w:r>
          </w:p>
        </w:tc>
        <w:tc>
          <w:tcPr>
            <w:tcW w:w="88" w:type="pct"/>
            <w:noWrap/>
            <w:tcMar>
              <w:top w:w="0" w:type="dxa"/>
              <w:left w:w="0" w:type="dxa"/>
              <w:bottom w:w="0" w:type="dxa"/>
              <w:right w:w="0" w:type="dxa"/>
            </w:tcMar>
            <w:vAlign w:val="bottom"/>
            <w:hideMark/>
          </w:tcPr>
          <w:p w14:paraId="488F3A1F" w14:textId="77777777" w:rsidR="00000000" w:rsidRDefault="00097612">
            <w:pPr>
              <w:pStyle w:val="a3"/>
              <w:spacing w:before="0" w:beforeAutospacing="0" w:after="0" w:afterAutospacing="0"/>
              <w:divId w:val="1348368203"/>
              <w:rPr>
                <w:sz w:val="20"/>
                <w:szCs w:val="20"/>
              </w:rPr>
            </w:pPr>
            <w:r>
              <w:rPr>
                <w:sz w:val="2"/>
                <w:szCs w:val="2"/>
              </w:rPr>
              <w:t>​</w:t>
            </w:r>
          </w:p>
        </w:tc>
        <w:tc>
          <w:tcPr>
            <w:tcW w:w="88" w:type="pct"/>
            <w:noWrap/>
            <w:tcMar>
              <w:top w:w="0" w:type="dxa"/>
              <w:left w:w="0" w:type="dxa"/>
              <w:bottom w:w="0" w:type="dxa"/>
              <w:right w:w="0" w:type="dxa"/>
            </w:tcMar>
            <w:vAlign w:val="bottom"/>
            <w:hideMark/>
          </w:tcPr>
          <w:p w14:paraId="39B5929A" w14:textId="77777777" w:rsidR="00000000" w:rsidRDefault="00097612">
            <w:pPr>
              <w:pStyle w:val="a3"/>
              <w:spacing w:before="0" w:beforeAutospacing="0" w:after="0" w:afterAutospacing="0"/>
              <w:divId w:val="920870519"/>
              <w:rPr>
                <w:sz w:val="20"/>
                <w:szCs w:val="20"/>
              </w:rPr>
            </w:pPr>
            <w:r>
              <w:rPr>
                <w:sz w:val="2"/>
                <w:szCs w:val="2"/>
              </w:rPr>
              <w:t>​</w:t>
            </w:r>
          </w:p>
        </w:tc>
        <w:tc>
          <w:tcPr>
            <w:tcW w:w="350" w:type="pct"/>
            <w:noWrap/>
            <w:tcMar>
              <w:top w:w="0" w:type="dxa"/>
              <w:left w:w="0" w:type="dxa"/>
              <w:bottom w:w="0" w:type="dxa"/>
              <w:right w:w="0" w:type="dxa"/>
            </w:tcMar>
            <w:vAlign w:val="center"/>
            <w:hideMark/>
          </w:tcPr>
          <w:p w14:paraId="05C5E189" w14:textId="77777777" w:rsidR="00000000" w:rsidRDefault="00097612">
            <w:pPr>
              <w:pStyle w:val="a3"/>
              <w:spacing w:before="0" w:beforeAutospacing="0" w:after="0" w:afterAutospacing="0"/>
              <w:divId w:val="1736976587"/>
              <w:rPr>
                <w:sz w:val="20"/>
                <w:szCs w:val="20"/>
              </w:rPr>
            </w:pPr>
            <w:r>
              <w:rPr>
                <w:sz w:val="2"/>
                <w:szCs w:val="2"/>
              </w:rPr>
              <w:t>​</w:t>
            </w:r>
          </w:p>
        </w:tc>
        <w:tc>
          <w:tcPr>
            <w:tcW w:w="88" w:type="pct"/>
            <w:noWrap/>
            <w:tcMar>
              <w:top w:w="0" w:type="dxa"/>
              <w:left w:w="0" w:type="dxa"/>
              <w:bottom w:w="0" w:type="dxa"/>
              <w:right w:w="0" w:type="dxa"/>
            </w:tcMar>
            <w:vAlign w:val="bottom"/>
            <w:hideMark/>
          </w:tcPr>
          <w:p w14:paraId="1369F21B" w14:textId="77777777" w:rsidR="00000000" w:rsidRDefault="00097612">
            <w:pPr>
              <w:pStyle w:val="a3"/>
              <w:spacing w:before="0" w:beforeAutospacing="0" w:after="0" w:afterAutospacing="0"/>
              <w:divId w:val="1866477662"/>
              <w:rPr>
                <w:sz w:val="20"/>
                <w:szCs w:val="20"/>
              </w:rPr>
            </w:pPr>
            <w:r>
              <w:rPr>
                <w:sz w:val="2"/>
                <w:szCs w:val="2"/>
              </w:rPr>
              <w:t>​</w:t>
            </w:r>
          </w:p>
        </w:tc>
        <w:tc>
          <w:tcPr>
            <w:tcW w:w="88" w:type="pct"/>
            <w:noWrap/>
            <w:tcMar>
              <w:top w:w="0" w:type="dxa"/>
              <w:left w:w="0" w:type="dxa"/>
              <w:bottom w:w="0" w:type="dxa"/>
              <w:right w:w="0" w:type="dxa"/>
            </w:tcMar>
            <w:vAlign w:val="bottom"/>
            <w:hideMark/>
          </w:tcPr>
          <w:p w14:paraId="6279A529" w14:textId="77777777" w:rsidR="00000000" w:rsidRDefault="00097612">
            <w:pPr>
              <w:pStyle w:val="a3"/>
              <w:spacing w:before="0" w:beforeAutospacing="0" w:after="0" w:afterAutospacing="0"/>
              <w:divId w:val="25446097"/>
              <w:rPr>
                <w:sz w:val="20"/>
                <w:szCs w:val="20"/>
              </w:rPr>
            </w:pPr>
            <w:r>
              <w:rPr>
                <w:sz w:val="2"/>
                <w:szCs w:val="2"/>
              </w:rPr>
              <w:t>​</w:t>
            </w:r>
          </w:p>
        </w:tc>
        <w:tc>
          <w:tcPr>
            <w:tcW w:w="350" w:type="pct"/>
            <w:noWrap/>
            <w:tcMar>
              <w:top w:w="0" w:type="dxa"/>
              <w:left w:w="0" w:type="dxa"/>
              <w:bottom w:w="0" w:type="dxa"/>
              <w:right w:w="0" w:type="dxa"/>
            </w:tcMar>
            <w:vAlign w:val="center"/>
            <w:hideMark/>
          </w:tcPr>
          <w:p w14:paraId="6FC20E4D" w14:textId="77777777" w:rsidR="00000000" w:rsidRDefault="00097612">
            <w:pPr>
              <w:pStyle w:val="a3"/>
              <w:spacing w:before="0" w:beforeAutospacing="0" w:after="0" w:afterAutospacing="0"/>
              <w:divId w:val="683242329"/>
              <w:rPr>
                <w:sz w:val="20"/>
                <w:szCs w:val="20"/>
              </w:rPr>
            </w:pPr>
            <w:r>
              <w:rPr>
                <w:sz w:val="2"/>
                <w:szCs w:val="2"/>
              </w:rPr>
              <w:t>​</w:t>
            </w:r>
          </w:p>
        </w:tc>
        <w:tc>
          <w:tcPr>
            <w:tcW w:w="79" w:type="pct"/>
            <w:noWrap/>
            <w:tcMar>
              <w:top w:w="0" w:type="dxa"/>
              <w:left w:w="0" w:type="dxa"/>
              <w:bottom w:w="0" w:type="dxa"/>
              <w:right w:w="0" w:type="dxa"/>
            </w:tcMar>
            <w:vAlign w:val="bottom"/>
            <w:hideMark/>
          </w:tcPr>
          <w:p w14:paraId="02AB9C35" w14:textId="77777777" w:rsidR="00000000" w:rsidRDefault="00097612">
            <w:pPr>
              <w:pStyle w:val="a3"/>
              <w:spacing w:before="0" w:beforeAutospacing="0" w:after="0" w:afterAutospacing="0"/>
              <w:divId w:val="951126977"/>
              <w:rPr>
                <w:sz w:val="20"/>
                <w:szCs w:val="20"/>
              </w:rPr>
            </w:pPr>
            <w:r>
              <w:rPr>
                <w:sz w:val="2"/>
                <w:szCs w:val="2"/>
              </w:rPr>
              <w:t>​</w:t>
            </w:r>
          </w:p>
        </w:tc>
      </w:tr>
      <w:tr w:rsidR="00000000" w14:paraId="616F85E4" w14:textId="77777777">
        <w:trPr>
          <w:divId w:val="413936982"/>
        </w:trPr>
        <w:tc>
          <w:tcPr>
            <w:tcW w:w="2809" w:type="pct"/>
            <w:shd w:val="clear" w:color="auto" w:fill="auto"/>
            <w:tcMar>
              <w:top w:w="0" w:type="dxa"/>
              <w:left w:w="0" w:type="dxa"/>
              <w:bottom w:w="0" w:type="dxa"/>
              <w:right w:w="0" w:type="dxa"/>
            </w:tcMar>
            <w:vAlign w:val="bottom"/>
            <w:hideMark/>
          </w:tcPr>
          <w:p w14:paraId="31DB5CBF" w14:textId="77777777" w:rsidR="00000000" w:rsidRDefault="00097612">
            <w:pPr>
              <w:pStyle w:val="a3"/>
              <w:spacing w:before="0" w:beforeAutospacing="0" w:after="0" w:afterAutospacing="0"/>
              <w:rPr>
                <w:sz w:val="20"/>
                <w:szCs w:val="20"/>
              </w:rPr>
            </w:pPr>
            <w:r>
              <w:rPr>
                <w:b/>
                <w:bCs/>
                <w:sz w:val="16"/>
                <w:szCs w:val="16"/>
              </w:rPr>
              <w:t>​</w:t>
            </w:r>
          </w:p>
        </w:tc>
        <w:tc>
          <w:tcPr>
            <w:tcW w:w="88" w:type="pct"/>
            <w:shd w:val="clear" w:color="auto" w:fill="auto"/>
            <w:noWrap/>
            <w:tcMar>
              <w:top w:w="0" w:type="dxa"/>
              <w:left w:w="0" w:type="dxa"/>
              <w:bottom w:w="0" w:type="dxa"/>
              <w:right w:w="0" w:type="dxa"/>
            </w:tcMar>
            <w:vAlign w:val="bottom"/>
            <w:hideMark/>
          </w:tcPr>
          <w:p w14:paraId="4781D482" w14:textId="77777777" w:rsidR="00000000" w:rsidRDefault="00097612">
            <w:pPr>
              <w:pStyle w:val="a3"/>
              <w:spacing w:before="0" w:beforeAutospacing="0" w:after="0" w:afterAutospacing="0"/>
              <w:rPr>
                <w:sz w:val="20"/>
                <w:szCs w:val="20"/>
              </w:rPr>
            </w:pPr>
            <w:r>
              <w:rPr>
                <w:b/>
                <w:bCs/>
                <w:sz w:val="16"/>
                <w:szCs w:val="16"/>
              </w:rPr>
              <w:t>​</w:t>
            </w:r>
          </w:p>
        </w:tc>
        <w:tc>
          <w:tcPr>
            <w:tcW w:w="966" w:type="pct"/>
            <w:gridSpan w:val="5"/>
            <w:shd w:val="clear" w:color="auto" w:fill="auto"/>
            <w:tcMar>
              <w:top w:w="0" w:type="dxa"/>
              <w:left w:w="0" w:type="dxa"/>
              <w:bottom w:w="0" w:type="dxa"/>
              <w:right w:w="0" w:type="dxa"/>
            </w:tcMar>
            <w:vAlign w:val="bottom"/>
            <w:hideMark/>
          </w:tcPr>
          <w:p w14:paraId="5AC2549B"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88" w:type="pct"/>
            <w:shd w:val="clear" w:color="auto" w:fill="auto"/>
            <w:noWrap/>
            <w:tcMar>
              <w:top w:w="0" w:type="dxa"/>
              <w:left w:w="0" w:type="dxa"/>
              <w:bottom w:w="0" w:type="dxa"/>
              <w:right w:w="0" w:type="dxa"/>
            </w:tcMar>
            <w:vAlign w:val="bottom"/>
            <w:hideMark/>
          </w:tcPr>
          <w:p w14:paraId="6C34AA81" w14:textId="77777777" w:rsidR="00000000" w:rsidRDefault="00097612">
            <w:pPr>
              <w:pStyle w:val="a3"/>
              <w:spacing w:before="0" w:beforeAutospacing="0" w:after="0" w:afterAutospacing="0"/>
              <w:rPr>
                <w:sz w:val="20"/>
                <w:szCs w:val="20"/>
              </w:rPr>
            </w:pPr>
            <w:r>
              <w:rPr>
                <w:b/>
                <w:bCs/>
                <w:sz w:val="16"/>
                <w:szCs w:val="16"/>
              </w:rPr>
              <w:t>​</w:t>
            </w:r>
          </w:p>
        </w:tc>
        <w:tc>
          <w:tcPr>
            <w:tcW w:w="966" w:type="pct"/>
            <w:gridSpan w:val="5"/>
            <w:shd w:val="clear" w:color="auto" w:fill="auto"/>
            <w:tcMar>
              <w:top w:w="0" w:type="dxa"/>
              <w:left w:w="0" w:type="dxa"/>
              <w:bottom w:w="0" w:type="dxa"/>
              <w:right w:w="0" w:type="dxa"/>
            </w:tcMar>
            <w:vAlign w:val="bottom"/>
            <w:hideMark/>
          </w:tcPr>
          <w:p w14:paraId="3B7DFBCB"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79" w:type="pct"/>
            <w:shd w:val="clear" w:color="auto" w:fill="auto"/>
            <w:noWrap/>
            <w:tcMar>
              <w:top w:w="0" w:type="dxa"/>
              <w:left w:w="0" w:type="dxa"/>
              <w:bottom w:w="0" w:type="dxa"/>
              <w:right w:w="0" w:type="dxa"/>
            </w:tcMar>
            <w:vAlign w:val="bottom"/>
            <w:hideMark/>
          </w:tcPr>
          <w:p w14:paraId="6B3167FF" w14:textId="77777777" w:rsidR="00000000" w:rsidRDefault="00097612">
            <w:pPr>
              <w:pStyle w:val="a3"/>
              <w:spacing w:before="0" w:beforeAutospacing="0" w:after="0" w:afterAutospacing="0"/>
              <w:rPr>
                <w:sz w:val="20"/>
                <w:szCs w:val="20"/>
              </w:rPr>
            </w:pPr>
            <w:r>
              <w:rPr>
                <w:b/>
                <w:bCs/>
                <w:sz w:val="16"/>
                <w:szCs w:val="16"/>
              </w:rPr>
              <w:t>​</w:t>
            </w:r>
          </w:p>
        </w:tc>
      </w:tr>
      <w:tr w:rsidR="00000000" w14:paraId="3DDC5909" w14:textId="77777777">
        <w:trPr>
          <w:divId w:val="413936982"/>
        </w:trPr>
        <w:tc>
          <w:tcPr>
            <w:tcW w:w="2809" w:type="pct"/>
            <w:shd w:val="clear" w:color="auto" w:fill="auto"/>
            <w:tcMar>
              <w:top w:w="0" w:type="dxa"/>
              <w:left w:w="0" w:type="dxa"/>
              <w:bottom w:w="0" w:type="dxa"/>
              <w:right w:w="0" w:type="dxa"/>
            </w:tcMar>
            <w:vAlign w:val="bottom"/>
            <w:hideMark/>
          </w:tcPr>
          <w:p w14:paraId="0E70572B" w14:textId="77777777" w:rsidR="00000000" w:rsidRDefault="00097612">
            <w:pPr>
              <w:pStyle w:val="a3"/>
              <w:spacing w:before="0" w:beforeAutospacing="0" w:after="0" w:afterAutospacing="0"/>
              <w:rPr>
                <w:sz w:val="20"/>
                <w:szCs w:val="20"/>
              </w:rPr>
            </w:pPr>
            <w:r>
              <w:rPr>
                <w:b/>
                <w:bCs/>
                <w:sz w:val="16"/>
                <w:szCs w:val="16"/>
              </w:rPr>
              <w:t>​</w:t>
            </w:r>
          </w:p>
        </w:tc>
        <w:tc>
          <w:tcPr>
            <w:tcW w:w="88" w:type="pct"/>
            <w:shd w:val="clear" w:color="auto" w:fill="auto"/>
            <w:noWrap/>
            <w:tcMar>
              <w:top w:w="0" w:type="dxa"/>
              <w:left w:w="0" w:type="dxa"/>
              <w:bottom w:w="0" w:type="dxa"/>
              <w:right w:w="0" w:type="dxa"/>
            </w:tcMar>
            <w:vAlign w:val="bottom"/>
            <w:hideMark/>
          </w:tcPr>
          <w:p w14:paraId="06CCD036" w14:textId="77777777" w:rsidR="00000000" w:rsidRDefault="00097612">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shd w:val="clear" w:color="auto" w:fill="auto"/>
            <w:tcMar>
              <w:top w:w="0" w:type="dxa"/>
              <w:left w:w="0" w:type="dxa"/>
              <w:bottom w:w="0" w:type="dxa"/>
              <w:right w:w="0" w:type="dxa"/>
            </w:tcMar>
            <w:vAlign w:val="bottom"/>
            <w:hideMark/>
          </w:tcPr>
          <w:p w14:paraId="7A5C54F2"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88" w:type="pct"/>
            <w:shd w:val="clear" w:color="auto" w:fill="auto"/>
            <w:noWrap/>
            <w:tcMar>
              <w:top w:w="0" w:type="dxa"/>
              <w:left w:w="0" w:type="dxa"/>
              <w:bottom w:w="0" w:type="dxa"/>
              <w:right w:w="0" w:type="dxa"/>
            </w:tcMar>
            <w:vAlign w:val="bottom"/>
            <w:hideMark/>
          </w:tcPr>
          <w:p w14:paraId="4333C3FF" w14:textId="77777777" w:rsidR="00000000" w:rsidRDefault="00097612">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shd w:val="clear" w:color="auto" w:fill="auto"/>
            <w:tcMar>
              <w:top w:w="0" w:type="dxa"/>
              <w:left w:w="0" w:type="dxa"/>
              <w:bottom w:w="0" w:type="dxa"/>
              <w:right w:w="0" w:type="dxa"/>
            </w:tcMar>
            <w:vAlign w:val="bottom"/>
            <w:hideMark/>
          </w:tcPr>
          <w:p w14:paraId="33F2DFAF"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077C1272" w14:textId="77777777" w:rsidR="00000000" w:rsidRDefault="00097612">
            <w:pPr>
              <w:pStyle w:val="a3"/>
              <w:spacing w:before="0" w:beforeAutospacing="0" w:after="0" w:afterAutospacing="0"/>
              <w:rPr>
                <w:sz w:val="20"/>
                <w:szCs w:val="20"/>
              </w:rPr>
            </w:pPr>
            <w:r>
              <w:rPr>
                <w:b/>
                <w:bCs/>
                <w:sz w:val="16"/>
                <w:szCs w:val="16"/>
              </w:rPr>
              <w:t>​</w:t>
            </w:r>
          </w:p>
        </w:tc>
      </w:tr>
      <w:tr w:rsidR="00000000" w14:paraId="2D155015" w14:textId="77777777">
        <w:trPr>
          <w:divId w:val="413936982"/>
        </w:trPr>
        <w:tc>
          <w:tcPr>
            <w:tcW w:w="2809" w:type="pct"/>
            <w:tcBorders>
              <w:bottom w:val="single" w:sz="6" w:space="0" w:color="000000"/>
            </w:tcBorders>
            <w:shd w:val="clear" w:color="auto" w:fill="auto"/>
            <w:tcMar>
              <w:top w:w="0" w:type="dxa"/>
              <w:left w:w="0" w:type="dxa"/>
              <w:bottom w:w="0" w:type="dxa"/>
              <w:right w:w="0" w:type="dxa"/>
            </w:tcMar>
            <w:vAlign w:val="bottom"/>
            <w:hideMark/>
          </w:tcPr>
          <w:p w14:paraId="49507BE5" w14:textId="77777777" w:rsidR="00000000" w:rsidRDefault="00097612">
            <w:pPr>
              <w:pStyle w:val="a3"/>
              <w:spacing w:before="0" w:beforeAutospacing="0" w:after="0" w:afterAutospacing="0"/>
              <w:rPr>
                <w:sz w:val="16"/>
                <w:szCs w:val="16"/>
              </w:rPr>
            </w:pPr>
            <w:r>
              <w:rPr>
                <w:b/>
                <w:bCs/>
                <w:sz w:val="16"/>
                <w:szCs w:val="16"/>
              </w:rPr>
              <w:t>(In thousands)</w:t>
            </w:r>
          </w:p>
        </w:tc>
        <w:tc>
          <w:tcPr>
            <w:tcW w:w="88" w:type="pct"/>
            <w:shd w:val="clear" w:color="auto" w:fill="auto"/>
            <w:noWrap/>
            <w:tcMar>
              <w:top w:w="0" w:type="dxa"/>
              <w:left w:w="0" w:type="dxa"/>
              <w:bottom w:w="0" w:type="dxa"/>
              <w:right w:w="0" w:type="dxa"/>
            </w:tcMar>
            <w:vAlign w:val="bottom"/>
            <w:hideMark/>
          </w:tcPr>
          <w:p w14:paraId="2FADE0ED" w14:textId="77777777" w:rsidR="00000000" w:rsidRDefault="00097612">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14:paraId="3C9AAAAE" w14:textId="77777777" w:rsidR="00000000" w:rsidRDefault="00097612">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14:paraId="1492B319" w14:textId="77777777" w:rsidR="00000000" w:rsidRDefault="00097612">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14:paraId="5AED9069" w14:textId="77777777" w:rsidR="00000000" w:rsidRDefault="00097612">
            <w:pPr>
              <w:pStyle w:val="a3"/>
              <w:spacing w:before="0" w:beforeAutospacing="0" w:after="0" w:afterAutospacing="0"/>
              <w:jc w:val="center"/>
              <w:rPr>
                <w:sz w:val="16"/>
                <w:szCs w:val="16"/>
              </w:rPr>
            </w:pPr>
            <w:r>
              <w:rPr>
                <w:b/>
                <w:bCs/>
                <w:sz w:val="16"/>
                <w:szCs w:val="16"/>
              </w:rPr>
              <w:t>2018</w:t>
            </w:r>
          </w:p>
        </w:tc>
        <w:tc>
          <w:tcPr>
            <w:tcW w:w="88" w:type="pct"/>
            <w:shd w:val="clear" w:color="auto" w:fill="auto"/>
            <w:noWrap/>
            <w:tcMar>
              <w:top w:w="0" w:type="dxa"/>
              <w:left w:w="0" w:type="dxa"/>
              <w:bottom w:w="0" w:type="dxa"/>
              <w:right w:w="0" w:type="dxa"/>
            </w:tcMar>
            <w:vAlign w:val="bottom"/>
            <w:hideMark/>
          </w:tcPr>
          <w:p w14:paraId="66C9ED2D" w14:textId="77777777" w:rsidR="00000000" w:rsidRDefault="00097612">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14:paraId="6B9CB9CD" w14:textId="77777777" w:rsidR="00000000" w:rsidRDefault="00097612">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14:paraId="7690E13C" w14:textId="77777777" w:rsidR="00000000" w:rsidRDefault="00097612">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14:paraId="2F1DAD10"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208518CE" w14:textId="77777777" w:rsidR="00000000" w:rsidRDefault="00097612">
            <w:pPr>
              <w:pStyle w:val="a3"/>
              <w:spacing w:before="0" w:beforeAutospacing="0" w:after="0" w:afterAutospacing="0"/>
              <w:rPr>
                <w:sz w:val="16"/>
                <w:szCs w:val="16"/>
              </w:rPr>
            </w:pPr>
            <w:r>
              <w:rPr>
                <w:b/>
                <w:bCs/>
                <w:sz w:val="16"/>
                <w:szCs w:val="16"/>
              </w:rPr>
              <w:t>    </w:t>
            </w:r>
          </w:p>
        </w:tc>
      </w:tr>
      <w:tr w:rsidR="00000000" w14:paraId="6C90BEFD" w14:textId="77777777">
        <w:trPr>
          <w:divId w:val="413936982"/>
        </w:trPr>
        <w:tc>
          <w:tcPr>
            <w:tcW w:w="2809" w:type="pct"/>
            <w:shd w:val="clear" w:color="auto" w:fill="CCEEFF"/>
            <w:tcMar>
              <w:top w:w="0" w:type="dxa"/>
              <w:left w:w="0" w:type="dxa"/>
              <w:bottom w:w="0" w:type="dxa"/>
              <w:right w:w="0" w:type="dxa"/>
            </w:tcMar>
            <w:vAlign w:val="bottom"/>
            <w:hideMark/>
          </w:tcPr>
          <w:p w14:paraId="25AE06C7" w14:textId="77777777" w:rsidR="00000000" w:rsidRDefault="00097612">
            <w:pPr>
              <w:pStyle w:val="a3"/>
              <w:spacing w:before="0" w:beforeAutospacing="0" w:after="0" w:afterAutospacing="0"/>
              <w:rPr>
                <w:sz w:val="20"/>
                <w:szCs w:val="20"/>
              </w:rPr>
            </w:pPr>
            <w:r>
              <w:rPr>
                <w:sz w:val="20"/>
                <w:szCs w:val="20"/>
              </w:rPr>
              <w:t xml:space="preserve">Research and development </w:t>
            </w:r>
          </w:p>
        </w:tc>
        <w:tc>
          <w:tcPr>
            <w:tcW w:w="88" w:type="pct"/>
            <w:shd w:val="clear" w:color="auto" w:fill="CCEEFF"/>
            <w:noWrap/>
            <w:tcMar>
              <w:top w:w="0" w:type="dxa"/>
              <w:left w:w="0" w:type="dxa"/>
              <w:bottom w:w="0" w:type="dxa"/>
              <w:right w:w="0" w:type="dxa"/>
            </w:tcMar>
            <w:vAlign w:val="bottom"/>
            <w:hideMark/>
          </w:tcPr>
          <w:p w14:paraId="2046CF45"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578A4EC6"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6FFCF16C" w14:textId="77777777" w:rsidR="00000000" w:rsidRDefault="00097612">
            <w:pPr>
              <w:pStyle w:val="a3"/>
              <w:spacing w:before="0" w:beforeAutospacing="0" w:after="0" w:afterAutospacing="0"/>
              <w:ind w:right="60"/>
              <w:jc w:val="right"/>
              <w:rPr>
                <w:sz w:val="20"/>
                <w:szCs w:val="20"/>
              </w:rPr>
            </w:pPr>
            <w:r>
              <w:rPr>
                <w:sz w:val="20"/>
                <w:szCs w:val="20"/>
              </w:rPr>
              <w:t>6,458</w:t>
            </w:r>
          </w:p>
        </w:tc>
        <w:tc>
          <w:tcPr>
            <w:tcW w:w="88" w:type="pct"/>
            <w:shd w:val="clear" w:color="auto" w:fill="CCEEFF"/>
            <w:noWrap/>
            <w:tcMar>
              <w:top w:w="0" w:type="dxa"/>
              <w:left w:w="0" w:type="dxa"/>
              <w:bottom w:w="0" w:type="dxa"/>
              <w:right w:w="0" w:type="dxa"/>
            </w:tcMar>
            <w:vAlign w:val="bottom"/>
            <w:hideMark/>
          </w:tcPr>
          <w:p w14:paraId="55C6A0DD"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40161607"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2A57D8EB" w14:textId="77777777" w:rsidR="00000000" w:rsidRDefault="00097612">
            <w:pPr>
              <w:pStyle w:val="a3"/>
              <w:spacing w:before="0" w:beforeAutospacing="0" w:after="0" w:afterAutospacing="0"/>
              <w:ind w:right="60"/>
              <w:jc w:val="right"/>
              <w:rPr>
                <w:sz w:val="20"/>
                <w:szCs w:val="20"/>
              </w:rPr>
            </w:pPr>
            <w:r>
              <w:rPr>
                <w:sz w:val="20"/>
                <w:szCs w:val="20"/>
              </w:rPr>
              <w:t>6,294</w:t>
            </w:r>
          </w:p>
        </w:tc>
        <w:tc>
          <w:tcPr>
            <w:tcW w:w="88" w:type="pct"/>
            <w:shd w:val="clear" w:color="auto" w:fill="CCEEFF"/>
            <w:noWrap/>
            <w:tcMar>
              <w:top w:w="0" w:type="dxa"/>
              <w:left w:w="0" w:type="dxa"/>
              <w:bottom w:w="0" w:type="dxa"/>
              <w:right w:w="0" w:type="dxa"/>
            </w:tcMar>
            <w:vAlign w:val="bottom"/>
            <w:hideMark/>
          </w:tcPr>
          <w:p w14:paraId="07298910"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5F7BEE8C"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307B527E" w14:textId="77777777" w:rsidR="00000000" w:rsidRDefault="00097612">
            <w:pPr>
              <w:pStyle w:val="a3"/>
              <w:spacing w:before="0" w:beforeAutospacing="0" w:after="0" w:afterAutospacing="0"/>
              <w:ind w:right="60"/>
              <w:jc w:val="right"/>
              <w:rPr>
                <w:sz w:val="20"/>
                <w:szCs w:val="20"/>
              </w:rPr>
            </w:pPr>
            <w:r>
              <w:rPr>
                <w:sz w:val="20"/>
                <w:szCs w:val="20"/>
              </w:rPr>
              <w:t>18,338</w:t>
            </w:r>
          </w:p>
        </w:tc>
        <w:tc>
          <w:tcPr>
            <w:tcW w:w="88" w:type="pct"/>
            <w:shd w:val="clear" w:color="auto" w:fill="CCEEFF"/>
            <w:noWrap/>
            <w:tcMar>
              <w:top w:w="0" w:type="dxa"/>
              <w:left w:w="0" w:type="dxa"/>
              <w:bottom w:w="0" w:type="dxa"/>
              <w:right w:w="0" w:type="dxa"/>
            </w:tcMar>
            <w:vAlign w:val="bottom"/>
            <w:hideMark/>
          </w:tcPr>
          <w:p w14:paraId="06187941"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73F05F0B"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677B1E2F" w14:textId="77777777" w:rsidR="00000000" w:rsidRDefault="00097612">
            <w:pPr>
              <w:pStyle w:val="a3"/>
              <w:spacing w:before="0" w:beforeAutospacing="0" w:after="0" w:afterAutospacing="0"/>
              <w:ind w:right="60"/>
              <w:jc w:val="right"/>
              <w:rPr>
                <w:sz w:val="20"/>
                <w:szCs w:val="20"/>
              </w:rPr>
            </w:pPr>
            <w:r>
              <w:rPr>
                <w:sz w:val="20"/>
                <w:szCs w:val="20"/>
              </w:rPr>
              <w:t>19,757</w:t>
            </w:r>
          </w:p>
        </w:tc>
        <w:tc>
          <w:tcPr>
            <w:tcW w:w="79" w:type="pct"/>
            <w:shd w:val="clear" w:color="auto" w:fill="CCEEFF"/>
            <w:noWrap/>
            <w:tcMar>
              <w:top w:w="0" w:type="dxa"/>
              <w:left w:w="0" w:type="dxa"/>
              <w:bottom w:w="0" w:type="dxa"/>
              <w:right w:w="0" w:type="dxa"/>
            </w:tcMar>
            <w:vAlign w:val="bottom"/>
            <w:hideMark/>
          </w:tcPr>
          <w:p w14:paraId="7941CE35" w14:textId="77777777" w:rsidR="00000000" w:rsidRDefault="00097612">
            <w:pPr>
              <w:pStyle w:val="a3"/>
              <w:spacing w:before="0" w:beforeAutospacing="0" w:after="0" w:afterAutospacing="0"/>
              <w:rPr>
                <w:sz w:val="20"/>
                <w:szCs w:val="20"/>
              </w:rPr>
            </w:pPr>
            <w:r>
              <w:rPr>
                <w:sz w:val="20"/>
                <w:szCs w:val="20"/>
              </w:rPr>
              <w:t>​</w:t>
            </w:r>
          </w:p>
        </w:tc>
      </w:tr>
      <w:tr w:rsidR="00000000" w14:paraId="30E12935" w14:textId="77777777">
        <w:trPr>
          <w:divId w:val="413936982"/>
        </w:trPr>
        <w:tc>
          <w:tcPr>
            <w:tcW w:w="2809" w:type="pct"/>
            <w:tcMar>
              <w:top w:w="0" w:type="dxa"/>
              <w:left w:w="0" w:type="dxa"/>
              <w:bottom w:w="0" w:type="dxa"/>
              <w:right w:w="0" w:type="dxa"/>
            </w:tcMar>
            <w:vAlign w:val="bottom"/>
            <w:hideMark/>
          </w:tcPr>
          <w:p w14:paraId="07FBD3F1" w14:textId="77777777" w:rsidR="00000000" w:rsidRDefault="00097612">
            <w:pPr>
              <w:pStyle w:val="a3"/>
              <w:spacing w:before="0" w:beforeAutospacing="0" w:after="0" w:afterAutospacing="0"/>
              <w:rPr>
                <w:sz w:val="20"/>
                <w:szCs w:val="20"/>
              </w:rPr>
            </w:pPr>
            <w:r>
              <w:rPr>
                <w:sz w:val="20"/>
                <w:szCs w:val="20"/>
              </w:rPr>
              <w:lastRenderedPageBreak/>
              <w:t xml:space="preserve">Selling, general and administrative </w:t>
            </w:r>
          </w:p>
        </w:tc>
        <w:tc>
          <w:tcPr>
            <w:tcW w:w="88" w:type="pct"/>
            <w:noWrap/>
            <w:tcMar>
              <w:top w:w="0" w:type="dxa"/>
              <w:left w:w="0" w:type="dxa"/>
              <w:bottom w:w="0" w:type="dxa"/>
              <w:right w:w="0" w:type="dxa"/>
            </w:tcMar>
            <w:vAlign w:val="bottom"/>
            <w:hideMark/>
          </w:tcPr>
          <w:p w14:paraId="62FE8AE8"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5A23D5A0" w14:textId="77777777" w:rsidR="00000000" w:rsidRDefault="00097612">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14:paraId="2BC731D2" w14:textId="77777777" w:rsidR="00000000" w:rsidRDefault="00097612">
            <w:pPr>
              <w:pStyle w:val="a3"/>
              <w:spacing w:before="0" w:beforeAutospacing="0" w:after="0" w:afterAutospacing="0"/>
              <w:ind w:right="60"/>
              <w:jc w:val="right"/>
              <w:rPr>
                <w:sz w:val="20"/>
                <w:szCs w:val="20"/>
              </w:rPr>
            </w:pPr>
            <w:r>
              <w:rPr>
                <w:sz w:val="20"/>
                <w:szCs w:val="20"/>
              </w:rPr>
              <w:t>6,561</w:t>
            </w:r>
          </w:p>
        </w:tc>
        <w:tc>
          <w:tcPr>
            <w:tcW w:w="88" w:type="pct"/>
            <w:noWrap/>
            <w:tcMar>
              <w:top w:w="0" w:type="dxa"/>
              <w:left w:w="0" w:type="dxa"/>
              <w:bottom w:w="0" w:type="dxa"/>
              <w:right w:w="0" w:type="dxa"/>
            </w:tcMar>
            <w:vAlign w:val="bottom"/>
            <w:hideMark/>
          </w:tcPr>
          <w:p w14:paraId="13CEFED6"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07131E67" w14:textId="77777777" w:rsidR="00000000" w:rsidRDefault="00097612">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14:paraId="038213EA" w14:textId="77777777" w:rsidR="00000000" w:rsidRDefault="00097612">
            <w:pPr>
              <w:pStyle w:val="a3"/>
              <w:spacing w:before="0" w:beforeAutospacing="0" w:after="0" w:afterAutospacing="0"/>
              <w:ind w:right="60"/>
              <w:jc w:val="right"/>
              <w:rPr>
                <w:sz w:val="20"/>
                <w:szCs w:val="20"/>
              </w:rPr>
            </w:pPr>
            <w:r>
              <w:rPr>
                <w:sz w:val="20"/>
                <w:szCs w:val="20"/>
              </w:rPr>
              <w:t>5,452</w:t>
            </w:r>
          </w:p>
        </w:tc>
        <w:tc>
          <w:tcPr>
            <w:tcW w:w="88" w:type="pct"/>
            <w:noWrap/>
            <w:tcMar>
              <w:top w:w="0" w:type="dxa"/>
              <w:left w:w="0" w:type="dxa"/>
              <w:bottom w:w="0" w:type="dxa"/>
              <w:right w:w="0" w:type="dxa"/>
            </w:tcMar>
            <w:vAlign w:val="bottom"/>
            <w:hideMark/>
          </w:tcPr>
          <w:p w14:paraId="304297DB"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05C8679B" w14:textId="77777777" w:rsidR="00000000" w:rsidRDefault="00097612">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14:paraId="743B5DE0" w14:textId="77777777" w:rsidR="00000000" w:rsidRDefault="00097612">
            <w:pPr>
              <w:pStyle w:val="a3"/>
              <w:spacing w:before="0" w:beforeAutospacing="0" w:after="0" w:afterAutospacing="0"/>
              <w:ind w:right="60"/>
              <w:jc w:val="right"/>
              <w:rPr>
                <w:sz w:val="20"/>
                <w:szCs w:val="20"/>
              </w:rPr>
            </w:pPr>
            <w:r>
              <w:rPr>
                <w:sz w:val="20"/>
                <w:szCs w:val="20"/>
              </w:rPr>
              <w:t>18,200</w:t>
            </w:r>
          </w:p>
        </w:tc>
        <w:tc>
          <w:tcPr>
            <w:tcW w:w="88" w:type="pct"/>
            <w:noWrap/>
            <w:tcMar>
              <w:top w:w="0" w:type="dxa"/>
              <w:left w:w="0" w:type="dxa"/>
              <w:bottom w:w="0" w:type="dxa"/>
              <w:right w:w="0" w:type="dxa"/>
            </w:tcMar>
            <w:vAlign w:val="bottom"/>
            <w:hideMark/>
          </w:tcPr>
          <w:p w14:paraId="248D5FE6"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5EA4C867" w14:textId="77777777" w:rsidR="00000000" w:rsidRDefault="00097612">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14:paraId="72A90D0D" w14:textId="77777777" w:rsidR="00000000" w:rsidRDefault="00097612">
            <w:pPr>
              <w:pStyle w:val="a3"/>
              <w:spacing w:before="0" w:beforeAutospacing="0" w:after="0" w:afterAutospacing="0"/>
              <w:ind w:right="60"/>
              <w:jc w:val="right"/>
              <w:rPr>
                <w:sz w:val="20"/>
                <w:szCs w:val="20"/>
              </w:rPr>
            </w:pPr>
            <w:r>
              <w:rPr>
                <w:sz w:val="20"/>
                <w:szCs w:val="20"/>
              </w:rPr>
              <w:t>19,842</w:t>
            </w:r>
          </w:p>
        </w:tc>
        <w:tc>
          <w:tcPr>
            <w:tcW w:w="79" w:type="pct"/>
            <w:noWrap/>
            <w:tcMar>
              <w:top w:w="0" w:type="dxa"/>
              <w:left w:w="0" w:type="dxa"/>
              <w:bottom w:w="0" w:type="dxa"/>
              <w:right w:w="0" w:type="dxa"/>
            </w:tcMar>
            <w:vAlign w:val="bottom"/>
            <w:hideMark/>
          </w:tcPr>
          <w:p w14:paraId="5A66B2AB" w14:textId="77777777" w:rsidR="00000000" w:rsidRDefault="00097612">
            <w:pPr>
              <w:pStyle w:val="a3"/>
              <w:spacing w:before="0" w:beforeAutospacing="0" w:after="0" w:afterAutospacing="0"/>
              <w:rPr>
                <w:sz w:val="20"/>
                <w:szCs w:val="20"/>
              </w:rPr>
            </w:pPr>
            <w:r>
              <w:rPr>
                <w:sz w:val="20"/>
                <w:szCs w:val="20"/>
              </w:rPr>
              <w:t>​</w:t>
            </w:r>
          </w:p>
        </w:tc>
      </w:tr>
      <w:tr w:rsidR="00000000" w14:paraId="062DD2AB" w14:textId="77777777">
        <w:trPr>
          <w:divId w:val="413936982"/>
        </w:trPr>
        <w:tc>
          <w:tcPr>
            <w:tcW w:w="2809" w:type="pct"/>
            <w:shd w:val="clear" w:color="auto" w:fill="CCEEFF"/>
            <w:tcMar>
              <w:top w:w="0" w:type="dxa"/>
              <w:left w:w="0" w:type="dxa"/>
              <w:bottom w:w="0" w:type="dxa"/>
              <w:right w:w="0" w:type="dxa"/>
            </w:tcMar>
            <w:vAlign w:val="bottom"/>
            <w:hideMark/>
          </w:tcPr>
          <w:p w14:paraId="48F69CFC" w14:textId="77777777" w:rsidR="00000000" w:rsidRDefault="00097612">
            <w:pPr>
              <w:pStyle w:val="a3"/>
              <w:spacing w:before="0" w:beforeAutospacing="0" w:after="0" w:afterAutospacing="0"/>
              <w:ind w:left="240"/>
              <w:rPr>
                <w:sz w:val="20"/>
                <w:szCs w:val="20"/>
              </w:rPr>
            </w:pPr>
            <w:r>
              <w:rPr>
                <w:sz w:val="20"/>
                <w:szCs w:val="20"/>
              </w:rPr>
              <w:t xml:space="preserve">Total share-based compensation expense </w:t>
            </w:r>
          </w:p>
        </w:tc>
        <w:tc>
          <w:tcPr>
            <w:tcW w:w="88" w:type="pct"/>
            <w:shd w:val="clear" w:color="auto" w:fill="CCEEFF"/>
            <w:noWrap/>
            <w:tcMar>
              <w:top w:w="0" w:type="dxa"/>
              <w:left w:w="0" w:type="dxa"/>
              <w:bottom w:w="0" w:type="dxa"/>
              <w:right w:w="0" w:type="dxa"/>
            </w:tcMar>
            <w:vAlign w:val="bottom"/>
            <w:hideMark/>
          </w:tcPr>
          <w:p w14:paraId="37F15B5F"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414B0D99"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7755885C" w14:textId="77777777" w:rsidR="00000000" w:rsidRDefault="00097612">
            <w:pPr>
              <w:pStyle w:val="a3"/>
              <w:spacing w:before="0" w:beforeAutospacing="0" w:after="0" w:afterAutospacing="0"/>
              <w:ind w:right="60"/>
              <w:jc w:val="right"/>
              <w:rPr>
                <w:sz w:val="20"/>
                <w:szCs w:val="20"/>
              </w:rPr>
            </w:pPr>
            <w:r>
              <w:rPr>
                <w:sz w:val="20"/>
                <w:szCs w:val="20"/>
              </w:rPr>
              <w:t>13,019</w:t>
            </w:r>
          </w:p>
        </w:tc>
        <w:tc>
          <w:tcPr>
            <w:tcW w:w="88" w:type="pct"/>
            <w:shd w:val="clear" w:color="auto" w:fill="CCEEFF"/>
            <w:noWrap/>
            <w:tcMar>
              <w:top w:w="0" w:type="dxa"/>
              <w:left w:w="0" w:type="dxa"/>
              <w:bottom w:w="0" w:type="dxa"/>
              <w:right w:w="0" w:type="dxa"/>
            </w:tcMar>
            <w:vAlign w:val="bottom"/>
            <w:hideMark/>
          </w:tcPr>
          <w:p w14:paraId="275D3333"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3D81F615"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3DCA5334" w14:textId="77777777" w:rsidR="00000000" w:rsidRDefault="00097612">
            <w:pPr>
              <w:pStyle w:val="a3"/>
              <w:spacing w:before="0" w:beforeAutospacing="0" w:after="0" w:afterAutospacing="0"/>
              <w:ind w:right="60"/>
              <w:jc w:val="right"/>
              <w:rPr>
                <w:sz w:val="20"/>
                <w:szCs w:val="20"/>
              </w:rPr>
            </w:pPr>
            <w:r>
              <w:rPr>
                <w:sz w:val="20"/>
                <w:szCs w:val="20"/>
              </w:rPr>
              <w:t>11,746</w:t>
            </w:r>
          </w:p>
        </w:tc>
        <w:tc>
          <w:tcPr>
            <w:tcW w:w="88" w:type="pct"/>
            <w:shd w:val="clear" w:color="auto" w:fill="CCEEFF"/>
            <w:noWrap/>
            <w:tcMar>
              <w:top w:w="0" w:type="dxa"/>
              <w:left w:w="0" w:type="dxa"/>
              <w:bottom w:w="0" w:type="dxa"/>
              <w:right w:w="0" w:type="dxa"/>
            </w:tcMar>
            <w:vAlign w:val="bottom"/>
            <w:hideMark/>
          </w:tcPr>
          <w:p w14:paraId="15E6C7FC"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5192DD12"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0A37E32B" w14:textId="77777777" w:rsidR="00000000" w:rsidRDefault="00097612">
            <w:pPr>
              <w:pStyle w:val="a3"/>
              <w:spacing w:before="0" w:beforeAutospacing="0" w:after="0" w:afterAutospacing="0"/>
              <w:ind w:right="60"/>
              <w:jc w:val="right"/>
              <w:rPr>
                <w:sz w:val="20"/>
                <w:szCs w:val="20"/>
              </w:rPr>
            </w:pPr>
            <w:r>
              <w:rPr>
                <w:sz w:val="20"/>
                <w:szCs w:val="20"/>
              </w:rPr>
              <w:t>36,538</w:t>
            </w:r>
          </w:p>
        </w:tc>
        <w:tc>
          <w:tcPr>
            <w:tcW w:w="88" w:type="pct"/>
            <w:shd w:val="clear" w:color="auto" w:fill="CCEEFF"/>
            <w:noWrap/>
            <w:tcMar>
              <w:top w:w="0" w:type="dxa"/>
              <w:left w:w="0" w:type="dxa"/>
              <w:bottom w:w="0" w:type="dxa"/>
              <w:right w:w="0" w:type="dxa"/>
            </w:tcMar>
            <w:vAlign w:val="bottom"/>
            <w:hideMark/>
          </w:tcPr>
          <w:p w14:paraId="1D12A41E"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6F2ECEEA"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71C4D3CD" w14:textId="77777777" w:rsidR="00000000" w:rsidRDefault="00097612">
            <w:pPr>
              <w:pStyle w:val="a3"/>
              <w:spacing w:before="0" w:beforeAutospacing="0" w:after="0" w:afterAutospacing="0"/>
              <w:ind w:right="60"/>
              <w:jc w:val="right"/>
              <w:rPr>
                <w:sz w:val="20"/>
                <w:szCs w:val="20"/>
              </w:rPr>
            </w:pPr>
            <w:r>
              <w:rPr>
                <w:sz w:val="20"/>
                <w:szCs w:val="20"/>
              </w:rPr>
              <w:t>39,599</w:t>
            </w:r>
          </w:p>
        </w:tc>
        <w:tc>
          <w:tcPr>
            <w:tcW w:w="79" w:type="pct"/>
            <w:shd w:val="clear" w:color="auto" w:fill="CCEEFF"/>
            <w:noWrap/>
            <w:tcMar>
              <w:top w:w="0" w:type="dxa"/>
              <w:left w:w="0" w:type="dxa"/>
              <w:bottom w:w="0" w:type="dxa"/>
              <w:right w:w="0" w:type="dxa"/>
            </w:tcMar>
            <w:vAlign w:val="bottom"/>
            <w:hideMark/>
          </w:tcPr>
          <w:p w14:paraId="26FE55C9" w14:textId="77777777" w:rsidR="00000000" w:rsidRDefault="00097612">
            <w:pPr>
              <w:pStyle w:val="a3"/>
              <w:spacing w:before="0" w:beforeAutospacing="0" w:after="0" w:afterAutospacing="0"/>
              <w:rPr>
                <w:sz w:val="20"/>
                <w:szCs w:val="20"/>
              </w:rPr>
            </w:pPr>
            <w:r>
              <w:rPr>
                <w:sz w:val="20"/>
                <w:szCs w:val="20"/>
              </w:rPr>
              <w:t>​</w:t>
            </w:r>
          </w:p>
        </w:tc>
      </w:tr>
    </w:tbl>
    <w:p w14:paraId="26F7AB03" w14:textId="77777777" w:rsidR="00000000" w:rsidRDefault="00097612">
      <w:pPr>
        <w:pStyle w:val="a3"/>
        <w:spacing w:before="0" w:beforeAutospacing="0" w:after="0" w:afterAutospacing="0"/>
        <w:divId w:val="413936982"/>
        <w:rPr>
          <w:sz w:val="20"/>
          <w:szCs w:val="20"/>
        </w:rPr>
      </w:pPr>
      <w:r>
        <w:rPr>
          <w:sz w:val="20"/>
          <w:szCs w:val="20"/>
        </w:rPr>
        <w:t>​</w:t>
      </w:r>
    </w:p>
    <w:p w14:paraId="0668511C" w14:textId="77777777" w:rsidR="00000000" w:rsidRDefault="00097612">
      <w:pPr>
        <w:pStyle w:val="a3"/>
        <w:spacing w:before="0" w:beforeAutospacing="0" w:after="0" w:afterAutospacing="0"/>
        <w:jc w:val="center"/>
        <w:divId w:val="413936982"/>
        <w:rPr>
          <w:sz w:val="20"/>
          <w:szCs w:val="20"/>
        </w:rPr>
      </w:pPr>
      <w:r>
        <w:rPr>
          <w:i/>
          <w:iCs/>
          <w:sz w:val="20"/>
          <w:szCs w:val="20"/>
        </w:rPr>
        <w:t>See accompanying notes to condensed consolidated financial statements.</w:t>
      </w:r>
    </w:p>
    <w:p w14:paraId="6AFC496E" w14:textId="77777777" w:rsidR="00000000" w:rsidRDefault="00097612">
      <w:pPr>
        <w:pStyle w:val="a3"/>
        <w:spacing w:before="0" w:beforeAutospacing="0" w:after="0" w:afterAutospacing="0"/>
        <w:divId w:val="413936982"/>
        <w:rPr>
          <w:sz w:val="20"/>
          <w:szCs w:val="20"/>
        </w:rPr>
      </w:pPr>
      <w:r>
        <w:rPr>
          <w:sz w:val="20"/>
          <w:szCs w:val="20"/>
        </w:rPr>
        <w:t>​</w:t>
      </w:r>
    </w:p>
    <w:p w14:paraId="6B99EBE2" w14:textId="77777777" w:rsidR="00000000" w:rsidRDefault="00097612">
      <w:pPr>
        <w:pStyle w:val="a3"/>
        <w:spacing w:before="360" w:beforeAutospacing="0" w:after="0" w:afterAutospacing="0"/>
        <w:jc w:val="center"/>
        <w:divId w:val="1053506946"/>
        <w:rPr>
          <w:sz w:val="20"/>
          <w:szCs w:val="20"/>
        </w:rPr>
      </w:pPr>
      <w:r>
        <w:rPr>
          <w:sz w:val="20"/>
          <w:szCs w:val="20"/>
        </w:rPr>
        <w:t>4</w:t>
      </w:r>
    </w:p>
    <w:p w14:paraId="0AFB1EBD" w14:textId="77777777" w:rsidR="00000000" w:rsidRDefault="00097612">
      <w:pPr>
        <w:pStyle w:val="a3"/>
        <w:spacing w:before="0" w:beforeAutospacing="0" w:after="600" w:afterAutospacing="0"/>
        <w:divId w:val="1265456076"/>
        <w:rPr>
          <w:sz w:val="20"/>
          <w:szCs w:val="20"/>
        </w:rPr>
      </w:pPr>
      <w:hyperlink w:anchor="TOC" w:history="1">
        <w:r>
          <w:rPr>
            <w:rStyle w:val="a4"/>
            <w:sz w:val="20"/>
            <w:szCs w:val="20"/>
          </w:rPr>
          <w:t>Table of Contents</w:t>
        </w:r>
      </w:hyperlink>
    </w:p>
    <w:p w14:paraId="5ED6DFD9" w14:textId="77777777" w:rsidR="00000000" w:rsidRDefault="00097612">
      <w:pPr>
        <w:pStyle w:val="a3"/>
        <w:spacing w:before="0" w:beforeAutospacing="0" w:after="0" w:afterAutospacing="0"/>
        <w:jc w:val="center"/>
        <w:divId w:val="1429960337"/>
        <w:rPr>
          <w:sz w:val="20"/>
          <w:szCs w:val="20"/>
        </w:rPr>
      </w:pPr>
      <w:r>
        <w:rPr>
          <w:b/>
          <w:bCs/>
          <w:sz w:val="20"/>
          <w:szCs w:val="20"/>
        </w:rPr>
        <w:t>THERAVANCE BIOPHARMA, INC.</w:t>
      </w:r>
    </w:p>
    <w:p w14:paraId="74566198" w14:textId="77777777" w:rsidR="00000000" w:rsidRDefault="00097612">
      <w:pPr>
        <w:pStyle w:val="a3"/>
        <w:spacing w:before="0" w:beforeAutospacing="0" w:after="0" w:afterAutospacing="0"/>
        <w:jc w:val="center"/>
        <w:divId w:val="1429960337"/>
        <w:rPr>
          <w:sz w:val="20"/>
          <w:szCs w:val="20"/>
        </w:rPr>
      </w:pPr>
      <w:r>
        <w:rPr>
          <w:b/>
          <w:bCs/>
          <w:sz w:val="20"/>
          <w:szCs w:val="20"/>
        </w:rPr>
        <w:t>CONDENSED CONSOLIDATED STATEMENTS OF SHAREHOLDERS’ EQUITY (DEFICIT)</w:t>
      </w:r>
    </w:p>
    <w:p w14:paraId="30EAF549" w14:textId="77777777" w:rsidR="00000000" w:rsidRDefault="00097612">
      <w:pPr>
        <w:pStyle w:val="a3"/>
        <w:spacing w:before="0" w:beforeAutospacing="0" w:after="0" w:afterAutospacing="0"/>
        <w:jc w:val="center"/>
        <w:divId w:val="1429960337"/>
        <w:rPr>
          <w:sz w:val="20"/>
          <w:szCs w:val="20"/>
        </w:rPr>
      </w:pPr>
      <w:r>
        <w:rPr>
          <w:b/>
          <w:bCs/>
          <w:sz w:val="20"/>
          <w:szCs w:val="20"/>
        </w:rPr>
        <w:t>(Unaudited)</w:t>
      </w:r>
    </w:p>
    <w:p w14:paraId="40D0CF1B" w14:textId="77777777" w:rsidR="00000000" w:rsidRDefault="00097612">
      <w:pPr>
        <w:pStyle w:val="a3"/>
        <w:spacing w:before="0" w:beforeAutospacing="0" w:after="0" w:afterAutospacing="0"/>
        <w:jc w:val="center"/>
        <w:divId w:val="1429960337"/>
        <w:rPr>
          <w:sz w:val="20"/>
          <w:szCs w:val="20"/>
        </w:rPr>
      </w:pPr>
      <w:r>
        <w:rPr>
          <w:b/>
          <w:bCs/>
          <w:sz w:val="20"/>
          <w:szCs w:val="20"/>
        </w:rPr>
        <w:t>(In thousands)</w:t>
      </w:r>
    </w:p>
    <w:p w14:paraId="25A613A1" w14:textId="77777777" w:rsidR="00000000" w:rsidRDefault="00097612">
      <w:pPr>
        <w:pStyle w:val="a3"/>
        <w:spacing w:before="0" w:beforeAutospacing="0" w:after="0" w:afterAutospacing="0"/>
        <w:divId w:val="1429960337"/>
        <w:rPr>
          <w:sz w:val="20"/>
          <w:szCs w:val="20"/>
        </w:rPr>
      </w:pPr>
      <w:r>
        <w:rPr>
          <w:b/>
          <w:bCs/>
          <w:sz w:val="14"/>
          <w:szCs w:val="14"/>
        </w:rPr>
        <w:t>​</w:t>
      </w:r>
    </w:p>
    <w:tbl>
      <w:tblPr>
        <w:tblW w:w="5000" w:type="pct"/>
        <w:tblCellMar>
          <w:top w:w="15" w:type="dxa"/>
          <w:left w:w="0" w:type="dxa"/>
          <w:bottom w:w="15" w:type="dxa"/>
          <w:right w:w="0" w:type="dxa"/>
        </w:tblCellMar>
        <w:tblLook w:val="04A0" w:firstRow="1" w:lastRow="0" w:firstColumn="1" w:lastColumn="0" w:noHBand="0" w:noVBand="1"/>
      </w:tblPr>
      <w:tblGrid>
        <w:gridCol w:w="2789"/>
        <w:gridCol w:w="120"/>
        <w:gridCol w:w="501"/>
        <w:gridCol w:w="121"/>
        <w:gridCol w:w="104"/>
        <w:gridCol w:w="473"/>
        <w:gridCol w:w="120"/>
        <w:gridCol w:w="80"/>
        <w:gridCol w:w="700"/>
        <w:gridCol w:w="120"/>
        <w:gridCol w:w="218"/>
        <w:gridCol w:w="849"/>
        <w:gridCol w:w="120"/>
        <w:gridCol w:w="172"/>
        <w:gridCol w:w="747"/>
        <w:gridCol w:w="120"/>
        <w:gridCol w:w="194"/>
        <w:gridCol w:w="758"/>
      </w:tblGrid>
      <w:tr w:rsidR="00000000" w14:paraId="06F0DA2D" w14:textId="77777777">
        <w:trPr>
          <w:divId w:val="1429960337"/>
          <w:trHeight w:val="20"/>
        </w:trPr>
        <w:tc>
          <w:tcPr>
            <w:tcW w:w="1847" w:type="pct"/>
            <w:tcMar>
              <w:top w:w="0" w:type="dxa"/>
              <w:left w:w="0" w:type="dxa"/>
              <w:bottom w:w="0" w:type="dxa"/>
              <w:right w:w="0" w:type="dxa"/>
            </w:tcMar>
            <w:vAlign w:val="bottom"/>
            <w:hideMark/>
          </w:tcPr>
          <w:p w14:paraId="6F4BD2A4" w14:textId="77777777" w:rsidR="00000000" w:rsidRDefault="00097612">
            <w:pPr>
              <w:pStyle w:val="a3"/>
              <w:spacing w:before="0" w:beforeAutospacing="0" w:after="0" w:afterAutospacing="0"/>
              <w:divId w:val="1711804086"/>
              <w:rPr>
                <w:sz w:val="20"/>
                <w:szCs w:val="20"/>
              </w:rPr>
            </w:pPr>
            <w:r>
              <w:rPr>
                <w:sz w:val="2"/>
                <w:szCs w:val="2"/>
              </w:rPr>
              <w:t>​</w:t>
            </w:r>
          </w:p>
        </w:tc>
        <w:tc>
          <w:tcPr>
            <w:tcW w:w="76" w:type="pct"/>
            <w:noWrap/>
            <w:tcMar>
              <w:top w:w="0" w:type="dxa"/>
              <w:left w:w="0" w:type="dxa"/>
              <w:bottom w:w="0" w:type="dxa"/>
              <w:right w:w="0" w:type="dxa"/>
            </w:tcMar>
            <w:vAlign w:val="bottom"/>
            <w:hideMark/>
          </w:tcPr>
          <w:p w14:paraId="4ADCBE89" w14:textId="77777777" w:rsidR="00000000" w:rsidRDefault="00097612">
            <w:pPr>
              <w:pStyle w:val="a3"/>
              <w:spacing w:before="0" w:beforeAutospacing="0" w:after="0" w:afterAutospacing="0"/>
              <w:divId w:val="1086148715"/>
              <w:rPr>
                <w:sz w:val="20"/>
                <w:szCs w:val="20"/>
              </w:rPr>
            </w:pPr>
            <w:r>
              <w:rPr>
                <w:sz w:val="2"/>
                <w:szCs w:val="2"/>
              </w:rPr>
              <w:t>​</w:t>
            </w:r>
          </w:p>
        </w:tc>
        <w:tc>
          <w:tcPr>
            <w:tcW w:w="342" w:type="pct"/>
            <w:noWrap/>
            <w:tcMar>
              <w:top w:w="0" w:type="dxa"/>
              <w:left w:w="0" w:type="dxa"/>
              <w:bottom w:w="0" w:type="dxa"/>
              <w:right w:w="0" w:type="dxa"/>
            </w:tcMar>
            <w:vAlign w:val="bottom"/>
            <w:hideMark/>
          </w:tcPr>
          <w:p w14:paraId="11866969" w14:textId="77777777" w:rsidR="00000000" w:rsidRDefault="00097612">
            <w:pPr>
              <w:pStyle w:val="a3"/>
              <w:spacing w:before="0" w:beforeAutospacing="0" w:after="0" w:afterAutospacing="0"/>
              <w:divId w:val="1840653753"/>
              <w:rPr>
                <w:sz w:val="20"/>
                <w:szCs w:val="20"/>
              </w:rPr>
            </w:pPr>
            <w:r>
              <w:rPr>
                <w:sz w:val="2"/>
                <w:szCs w:val="2"/>
              </w:rPr>
              <w:t>​</w:t>
            </w:r>
          </w:p>
        </w:tc>
        <w:tc>
          <w:tcPr>
            <w:tcW w:w="76" w:type="pct"/>
            <w:noWrap/>
            <w:tcMar>
              <w:top w:w="0" w:type="dxa"/>
              <w:left w:w="0" w:type="dxa"/>
              <w:bottom w:w="0" w:type="dxa"/>
              <w:right w:w="0" w:type="dxa"/>
            </w:tcMar>
            <w:vAlign w:val="bottom"/>
            <w:hideMark/>
          </w:tcPr>
          <w:p w14:paraId="6C869A3D" w14:textId="77777777" w:rsidR="00000000" w:rsidRDefault="00097612">
            <w:pPr>
              <w:pStyle w:val="a3"/>
              <w:spacing w:before="0" w:beforeAutospacing="0" w:after="0" w:afterAutospacing="0"/>
              <w:divId w:val="1010528240"/>
              <w:rPr>
                <w:sz w:val="20"/>
                <w:szCs w:val="20"/>
              </w:rPr>
            </w:pPr>
            <w:r>
              <w:rPr>
                <w:sz w:val="2"/>
                <w:szCs w:val="2"/>
              </w:rPr>
              <w:t>​</w:t>
            </w:r>
          </w:p>
        </w:tc>
        <w:tc>
          <w:tcPr>
            <w:tcW w:w="76" w:type="pct"/>
            <w:noWrap/>
            <w:tcMar>
              <w:top w:w="0" w:type="dxa"/>
              <w:left w:w="0" w:type="dxa"/>
              <w:bottom w:w="0" w:type="dxa"/>
              <w:right w:w="0" w:type="dxa"/>
            </w:tcMar>
            <w:vAlign w:val="bottom"/>
            <w:hideMark/>
          </w:tcPr>
          <w:p w14:paraId="02D7FFBD" w14:textId="77777777" w:rsidR="00000000" w:rsidRDefault="00097612">
            <w:pPr>
              <w:pStyle w:val="a3"/>
              <w:spacing w:before="0" w:beforeAutospacing="0" w:after="0" w:afterAutospacing="0"/>
              <w:divId w:val="938297204"/>
              <w:rPr>
                <w:sz w:val="20"/>
                <w:szCs w:val="20"/>
              </w:rPr>
            </w:pPr>
            <w:r>
              <w:rPr>
                <w:sz w:val="2"/>
                <w:szCs w:val="2"/>
              </w:rPr>
              <w:t>​</w:t>
            </w:r>
          </w:p>
        </w:tc>
        <w:tc>
          <w:tcPr>
            <w:tcW w:w="342" w:type="pct"/>
            <w:noWrap/>
            <w:tcMar>
              <w:top w:w="0" w:type="dxa"/>
              <w:left w:w="0" w:type="dxa"/>
              <w:bottom w:w="0" w:type="dxa"/>
              <w:right w:w="0" w:type="dxa"/>
            </w:tcMar>
            <w:vAlign w:val="bottom"/>
            <w:hideMark/>
          </w:tcPr>
          <w:p w14:paraId="337AA697" w14:textId="77777777" w:rsidR="00000000" w:rsidRDefault="00097612">
            <w:pPr>
              <w:pStyle w:val="a3"/>
              <w:spacing w:before="0" w:beforeAutospacing="0" w:after="0" w:afterAutospacing="0"/>
              <w:divId w:val="1888833556"/>
              <w:rPr>
                <w:sz w:val="20"/>
                <w:szCs w:val="20"/>
              </w:rPr>
            </w:pPr>
            <w:r>
              <w:rPr>
                <w:sz w:val="2"/>
                <w:szCs w:val="2"/>
              </w:rPr>
              <w:t>​</w:t>
            </w:r>
          </w:p>
        </w:tc>
        <w:tc>
          <w:tcPr>
            <w:tcW w:w="76" w:type="pct"/>
            <w:noWrap/>
            <w:tcMar>
              <w:top w:w="0" w:type="dxa"/>
              <w:left w:w="0" w:type="dxa"/>
              <w:bottom w:w="0" w:type="dxa"/>
              <w:right w:w="0" w:type="dxa"/>
            </w:tcMar>
            <w:vAlign w:val="bottom"/>
            <w:hideMark/>
          </w:tcPr>
          <w:p w14:paraId="0355B9CA" w14:textId="77777777" w:rsidR="00000000" w:rsidRDefault="00097612">
            <w:pPr>
              <w:pStyle w:val="a3"/>
              <w:spacing w:before="0" w:beforeAutospacing="0" w:after="0" w:afterAutospacing="0"/>
              <w:divId w:val="967903879"/>
              <w:rPr>
                <w:sz w:val="20"/>
                <w:szCs w:val="20"/>
              </w:rPr>
            </w:pPr>
            <w:r>
              <w:rPr>
                <w:sz w:val="2"/>
                <w:szCs w:val="2"/>
              </w:rPr>
              <w:t>​</w:t>
            </w:r>
          </w:p>
        </w:tc>
        <w:tc>
          <w:tcPr>
            <w:tcW w:w="76" w:type="pct"/>
            <w:noWrap/>
            <w:tcMar>
              <w:top w:w="0" w:type="dxa"/>
              <w:left w:w="0" w:type="dxa"/>
              <w:bottom w:w="0" w:type="dxa"/>
              <w:right w:w="0" w:type="dxa"/>
            </w:tcMar>
            <w:vAlign w:val="bottom"/>
            <w:hideMark/>
          </w:tcPr>
          <w:p w14:paraId="0AC53714" w14:textId="77777777" w:rsidR="00000000" w:rsidRDefault="00097612">
            <w:pPr>
              <w:pStyle w:val="a3"/>
              <w:spacing w:before="0" w:beforeAutospacing="0" w:after="0" w:afterAutospacing="0"/>
              <w:divId w:val="465126722"/>
              <w:rPr>
                <w:sz w:val="20"/>
                <w:szCs w:val="20"/>
              </w:rPr>
            </w:pPr>
            <w:r>
              <w:rPr>
                <w:sz w:val="2"/>
                <w:szCs w:val="2"/>
              </w:rPr>
              <w:t>​</w:t>
            </w:r>
          </w:p>
        </w:tc>
        <w:tc>
          <w:tcPr>
            <w:tcW w:w="367" w:type="pct"/>
            <w:noWrap/>
            <w:tcMar>
              <w:top w:w="0" w:type="dxa"/>
              <w:left w:w="0" w:type="dxa"/>
              <w:bottom w:w="0" w:type="dxa"/>
              <w:right w:w="0" w:type="dxa"/>
            </w:tcMar>
            <w:vAlign w:val="bottom"/>
            <w:hideMark/>
          </w:tcPr>
          <w:p w14:paraId="4ADEB2B0" w14:textId="77777777" w:rsidR="00000000" w:rsidRDefault="00097612">
            <w:pPr>
              <w:pStyle w:val="a3"/>
              <w:spacing w:before="0" w:beforeAutospacing="0" w:after="0" w:afterAutospacing="0"/>
              <w:divId w:val="1593783767"/>
              <w:rPr>
                <w:sz w:val="20"/>
                <w:szCs w:val="20"/>
              </w:rPr>
            </w:pPr>
            <w:r>
              <w:rPr>
                <w:sz w:val="2"/>
                <w:szCs w:val="2"/>
              </w:rPr>
              <w:t>​</w:t>
            </w:r>
          </w:p>
        </w:tc>
        <w:tc>
          <w:tcPr>
            <w:tcW w:w="76" w:type="pct"/>
            <w:noWrap/>
            <w:tcMar>
              <w:top w:w="0" w:type="dxa"/>
              <w:left w:w="0" w:type="dxa"/>
              <w:bottom w:w="0" w:type="dxa"/>
              <w:right w:w="0" w:type="dxa"/>
            </w:tcMar>
            <w:vAlign w:val="bottom"/>
            <w:hideMark/>
          </w:tcPr>
          <w:p w14:paraId="5C79DB29" w14:textId="77777777" w:rsidR="00000000" w:rsidRDefault="00097612">
            <w:pPr>
              <w:pStyle w:val="a3"/>
              <w:spacing w:before="0" w:beforeAutospacing="0" w:after="0" w:afterAutospacing="0"/>
              <w:divId w:val="418987576"/>
              <w:rPr>
                <w:sz w:val="20"/>
                <w:szCs w:val="20"/>
              </w:rPr>
            </w:pPr>
            <w:r>
              <w:rPr>
                <w:sz w:val="2"/>
                <w:szCs w:val="2"/>
              </w:rPr>
              <w:t>​</w:t>
            </w:r>
          </w:p>
        </w:tc>
        <w:tc>
          <w:tcPr>
            <w:tcW w:w="108" w:type="pct"/>
            <w:noWrap/>
            <w:tcMar>
              <w:top w:w="0" w:type="dxa"/>
              <w:left w:w="0" w:type="dxa"/>
              <w:bottom w:w="0" w:type="dxa"/>
              <w:right w:w="0" w:type="dxa"/>
            </w:tcMar>
            <w:vAlign w:val="bottom"/>
            <w:hideMark/>
          </w:tcPr>
          <w:p w14:paraId="49D989D6" w14:textId="77777777" w:rsidR="00000000" w:rsidRDefault="00097612">
            <w:pPr>
              <w:pStyle w:val="a3"/>
              <w:spacing w:before="0" w:beforeAutospacing="0" w:after="0" w:afterAutospacing="0"/>
              <w:divId w:val="1710498108"/>
              <w:rPr>
                <w:sz w:val="20"/>
                <w:szCs w:val="20"/>
              </w:rPr>
            </w:pPr>
            <w:r>
              <w:rPr>
                <w:sz w:val="2"/>
                <w:szCs w:val="2"/>
              </w:rPr>
              <w:t>​</w:t>
            </w:r>
          </w:p>
        </w:tc>
        <w:tc>
          <w:tcPr>
            <w:tcW w:w="422" w:type="pct"/>
            <w:noWrap/>
            <w:tcMar>
              <w:top w:w="0" w:type="dxa"/>
              <w:left w:w="0" w:type="dxa"/>
              <w:bottom w:w="0" w:type="dxa"/>
              <w:right w:w="0" w:type="dxa"/>
            </w:tcMar>
            <w:vAlign w:val="bottom"/>
            <w:hideMark/>
          </w:tcPr>
          <w:p w14:paraId="3989BDB2" w14:textId="77777777" w:rsidR="00000000" w:rsidRDefault="00097612">
            <w:pPr>
              <w:pStyle w:val="a3"/>
              <w:spacing w:before="0" w:beforeAutospacing="0" w:after="0" w:afterAutospacing="0"/>
              <w:divId w:val="828205232"/>
              <w:rPr>
                <w:sz w:val="20"/>
                <w:szCs w:val="20"/>
              </w:rPr>
            </w:pPr>
            <w:r>
              <w:rPr>
                <w:sz w:val="2"/>
                <w:szCs w:val="2"/>
              </w:rPr>
              <w:t>​</w:t>
            </w:r>
          </w:p>
        </w:tc>
        <w:tc>
          <w:tcPr>
            <w:tcW w:w="76" w:type="pct"/>
            <w:noWrap/>
            <w:tcMar>
              <w:top w:w="0" w:type="dxa"/>
              <w:left w:w="0" w:type="dxa"/>
              <w:bottom w:w="0" w:type="dxa"/>
              <w:right w:w="0" w:type="dxa"/>
            </w:tcMar>
            <w:vAlign w:val="bottom"/>
            <w:hideMark/>
          </w:tcPr>
          <w:p w14:paraId="743F1F2A" w14:textId="77777777" w:rsidR="00000000" w:rsidRDefault="00097612">
            <w:pPr>
              <w:pStyle w:val="a3"/>
              <w:spacing w:before="0" w:beforeAutospacing="0" w:after="0" w:afterAutospacing="0"/>
              <w:divId w:val="97915980"/>
              <w:rPr>
                <w:sz w:val="20"/>
                <w:szCs w:val="20"/>
              </w:rPr>
            </w:pPr>
            <w:r>
              <w:rPr>
                <w:sz w:val="2"/>
                <w:szCs w:val="2"/>
              </w:rPr>
              <w:t>​</w:t>
            </w:r>
          </w:p>
        </w:tc>
        <w:tc>
          <w:tcPr>
            <w:tcW w:w="91" w:type="pct"/>
            <w:noWrap/>
            <w:tcMar>
              <w:top w:w="0" w:type="dxa"/>
              <w:left w:w="0" w:type="dxa"/>
              <w:bottom w:w="0" w:type="dxa"/>
              <w:right w:w="0" w:type="dxa"/>
            </w:tcMar>
            <w:vAlign w:val="bottom"/>
            <w:hideMark/>
          </w:tcPr>
          <w:p w14:paraId="349B95BB" w14:textId="77777777" w:rsidR="00000000" w:rsidRDefault="00097612">
            <w:pPr>
              <w:pStyle w:val="a3"/>
              <w:spacing w:before="0" w:beforeAutospacing="0" w:after="0" w:afterAutospacing="0"/>
              <w:divId w:val="1199247011"/>
              <w:rPr>
                <w:sz w:val="20"/>
                <w:szCs w:val="20"/>
              </w:rPr>
            </w:pPr>
            <w:r>
              <w:rPr>
                <w:sz w:val="2"/>
                <w:szCs w:val="2"/>
              </w:rPr>
              <w:t>​</w:t>
            </w:r>
          </w:p>
        </w:tc>
        <w:tc>
          <w:tcPr>
            <w:tcW w:w="390" w:type="pct"/>
            <w:noWrap/>
            <w:tcMar>
              <w:top w:w="0" w:type="dxa"/>
              <w:left w:w="0" w:type="dxa"/>
              <w:bottom w:w="0" w:type="dxa"/>
              <w:right w:w="0" w:type="dxa"/>
            </w:tcMar>
            <w:vAlign w:val="bottom"/>
            <w:hideMark/>
          </w:tcPr>
          <w:p w14:paraId="4FCBE9FE" w14:textId="77777777" w:rsidR="00000000" w:rsidRDefault="00097612">
            <w:pPr>
              <w:pStyle w:val="a3"/>
              <w:spacing w:before="0" w:beforeAutospacing="0" w:after="0" w:afterAutospacing="0"/>
              <w:divId w:val="214128850"/>
              <w:rPr>
                <w:sz w:val="20"/>
                <w:szCs w:val="20"/>
              </w:rPr>
            </w:pPr>
            <w:r>
              <w:rPr>
                <w:sz w:val="2"/>
                <w:szCs w:val="2"/>
              </w:rPr>
              <w:t>​</w:t>
            </w:r>
          </w:p>
        </w:tc>
        <w:tc>
          <w:tcPr>
            <w:tcW w:w="76" w:type="pct"/>
            <w:noWrap/>
            <w:tcMar>
              <w:top w:w="0" w:type="dxa"/>
              <w:left w:w="0" w:type="dxa"/>
              <w:bottom w:w="0" w:type="dxa"/>
              <w:right w:w="0" w:type="dxa"/>
            </w:tcMar>
            <w:vAlign w:val="bottom"/>
            <w:hideMark/>
          </w:tcPr>
          <w:p w14:paraId="5CDCA4EA" w14:textId="77777777" w:rsidR="00000000" w:rsidRDefault="00097612">
            <w:pPr>
              <w:pStyle w:val="a3"/>
              <w:spacing w:before="0" w:beforeAutospacing="0" w:after="0" w:afterAutospacing="0"/>
              <w:divId w:val="621882065"/>
              <w:rPr>
                <w:sz w:val="20"/>
                <w:szCs w:val="20"/>
              </w:rPr>
            </w:pPr>
            <w:r>
              <w:rPr>
                <w:sz w:val="2"/>
                <w:szCs w:val="2"/>
              </w:rPr>
              <w:t>​</w:t>
            </w:r>
          </w:p>
        </w:tc>
        <w:tc>
          <w:tcPr>
            <w:tcW w:w="96" w:type="pct"/>
            <w:noWrap/>
            <w:tcMar>
              <w:top w:w="0" w:type="dxa"/>
              <w:left w:w="0" w:type="dxa"/>
              <w:bottom w:w="0" w:type="dxa"/>
              <w:right w:w="0" w:type="dxa"/>
            </w:tcMar>
            <w:vAlign w:val="bottom"/>
            <w:hideMark/>
          </w:tcPr>
          <w:p w14:paraId="17AF9793" w14:textId="77777777" w:rsidR="00000000" w:rsidRDefault="00097612">
            <w:pPr>
              <w:pStyle w:val="a3"/>
              <w:spacing w:before="0" w:beforeAutospacing="0" w:after="0" w:afterAutospacing="0"/>
              <w:divId w:val="2055034779"/>
              <w:rPr>
                <w:sz w:val="20"/>
                <w:szCs w:val="20"/>
              </w:rPr>
            </w:pPr>
            <w:r>
              <w:rPr>
                <w:sz w:val="2"/>
                <w:szCs w:val="2"/>
              </w:rPr>
              <w:t>​</w:t>
            </w:r>
          </w:p>
        </w:tc>
        <w:tc>
          <w:tcPr>
            <w:tcW w:w="375" w:type="pct"/>
            <w:noWrap/>
            <w:tcMar>
              <w:top w:w="0" w:type="dxa"/>
              <w:left w:w="0" w:type="dxa"/>
              <w:bottom w:w="0" w:type="dxa"/>
              <w:right w:w="0" w:type="dxa"/>
            </w:tcMar>
            <w:vAlign w:val="bottom"/>
            <w:hideMark/>
          </w:tcPr>
          <w:p w14:paraId="4656B1D4" w14:textId="77777777" w:rsidR="00000000" w:rsidRDefault="00097612">
            <w:pPr>
              <w:pStyle w:val="a3"/>
              <w:spacing w:before="0" w:beforeAutospacing="0" w:after="0" w:afterAutospacing="0"/>
              <w:divId w:val="1108892690"/>
              <w:rPr>
                <w:sz w:val="20"/>
                <w:szCs w:val="20"/>
              </w:rPr>
            </w:pPr>
            <w:r>
              <w:rPr>
                <w:sz w:val="2"/>
                <w:szCs w:val="2"/>
              </w:rPr>
              <w:t>​</w:t>
            </w:r>
          </w:p>
        </w:tc>
      </w:tr>
      <w:tr w:rsidR="00000000" w14:paraId="10292E25" w14:textId="77777777">
        <w:trPr>
          <w:divId w:val="1429960337"/>
        </w:trPr>
        <w:tc>
          <w:tcPr>
            <w:tcW w:w="1847" w:type="pct"/>
            <w:shd w:val="clear" w:color="auto" w:fill="auto"/>
            <w:noWrap/>
            <w:tcMar>
              <w:top w:w="0" w:type="dxa"/>
              <w:left w:w="0" w:type="dxa"/>
              <w:bottom w:w="0" w:type="dxa"/>
              <w:right w:w="0" w:type="dxa"/>
            </w:tcMar>
            <w:vAlign w:val="bottom"/>
            <w:hideMark/>
          </w:tcPr>
          <w:p w14:paraId="60EEA0C0" w14:textId="77777777" w:rsidR="00000000" w:rsidRDefault="00097612">
            <w:pPr>
              <w:pStyle w:val="a3"/>
              <w:spacing w:before="0" w:beforeAutospacing="0" w:after="0" w:afterAutospacing="0"/>
              <w:rPr>
                <w:sz w:val="20"/>
                <w:szCs w:val="20"/>
              </w:rPr>
            </w:pPr>
            <w:r>
              <w:rPr>
                <w:b/>
                <w:bCs/>
                <w:color w:val="0563C1"/>
                <w:sz w:val="16"/>
                <w:szCs w:val="16"/>
                <w:u w:val="single"/>
              </w:rPr>
              <w:t>​</w:t>
            </w:r>
          </w:p>
        </w:tc>
        <w:tc>
          <w:tcPr>
            <w:tcW w:w="76" w:type="pct"/>
            <w:shd w:val="clear" w:color="auto" w:fill="auto"/>
            <w:noWrap/>
            <w:tcMar>
              <w:top w:w="0" w:type="dxa"/>
              <w:left w:w="0" w:type="dxa"/>
              <w:bottom w:w="0" w:type="dxa"/>
              <w:right w:w="0" w:type="dxa"/>
            </w:tcMar>
            <w:vAlign w:val="bottom"/>
            <w:hideMark/>
          </w:tcPr>
          <w:p w14:paraId="3D99CCA1"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auto"/>
            <w:noWrap/>
            <w:tcMar>
              <w:top w:w="0" w:type="dxa"/>
              <w:left w:w="0" w:type="dxa"/>
              <w:bottom w:w="0" w:type="dxa"/>
              <w:right w:w="0" w:type="dxa"/>
            </w:tcMar>
            <w:vAlign w:val="bottom"/>
            <w:hideMark/>
          </w:tcPr>
          <w:p w14:paraId="504BFF06"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auto"/>
            <w:noWrap/>
            <w:tcMar>
              <w:top w:w="0" w:type="dxa"/>
              <w:left w:w="0" w:type="dxa"/>
              <w:bottom w:w="0" w:type="dxa"/>
              <w:right w:w="0" w:type="dxa"/>
            </w:tcMar>
            <w:vAlign w:val="bottom"/>
            <w:hideMark/>
          </w:tcPr>
          <w:p w14:paraId="0E836E69"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auto"/>
            <w:noWrap/>
            <w:tcMar>
              <w:top w:w="0" w:type="dxa"/>
              <w:left w:w="0" w:type="dxa"/>
              <w:bottom w:w="0" w:type="dxa"/>
              <w:right w:w="0" w:type="dxa"/>
            </w:tcMar>
            <w:vAlign w:val="bottom"/>
            <w:hideMark/>
          </w:tcPr>
          <w:p w14:paraId="632F74D4"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auto"/>
            <w:noWrap/>
            <w:tcMar>
              <w:top w:w="0" w:type="dxa"/>
              <w:left w:w="0" w:type="dxa"/>
              <w:bottom w:w="0" w:type="dxa"/>
              <w:right w:w="0" w:type="dxa"/>
            </w:tcMar>
            <w:vAlign w:val="bottom"/>
            <w:hideMark/>
          </w:tcPr>
          <w:p w14:paraId="2EA1DC2F"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auto"/>
            <w:noWrap/>
            <w:tcMar>
              <w:top w:w="0" w:type="dxa"/>
              <w:left w:w="0" w:type="dxa"/>
              <w:bottom w:w="0" w:type="dxa"/>
              <w:right w:w="0" w:type="dxa"/>
            </w:tcMar>
            <w:vAlign w:val="bottom"/>
            <w:hideMark/>
          </w:tcPr>
          <w:p w14:paraId="1288B185"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auto"/>
            <w:noWrap/>
            <w:tcMar>
              <w:top w:w="0" w:type="dxa"/>
              <w:left w:w="0" w:type="dxa"/>
              <w:bottom w:w="0" w:type="dxa"/>
              <w:right w:w="0" w:type="dxa"/>
            </w:tcMar>
            <w:vAlign w:val="bottom"/>
            <w:hideMark/>
          </w:tcPr>
          <w:p w14:paraId="210F08DF"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auto"/>
            <w:noWrap/>
            <w:tcMar>
              <w:top w:w="0" w:type="dxa"/>
              <w:left w:w="0" w:type="dxa"/>
              <w:bottom w:w="0" w:type="dxa"/>
              <w:right w:w="0" w:type="dxa"/>
            </w:tcMar>
            <w:vAlign w:val="bottom"/>
            <w:hideMark/>
          </w:tcPr>
          <w:p w14:paraId="58D40669"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auto"/>
            <w:noWrap/>
            <w:tcMar>
              <w:top w:w="0" w:type="dxa"/>
              <w:left w:w="0" w:type="dxa"/>
              <w:bottom w:w="0" w:type="dxa"/>
              <w:right w:w="0" w:type="dxa"/>
            </w:tcMar>
            <w:vAlign w:val="bottom"/>
            <w:hideMark/>
          </w:tcPr>
          <w:p w14:paraId="5906DB36" w14:textId="77777777" w:rsidR="00000000" w:rsidRDefault="00097612">
            <w:pPr>
              <w:pStyle w:val="a3"/>
              <w:spacing w:before="0" w:beforeAutospacing="0" w:after="0" w:afterAutospacing="0"/>
              <w:rPr>
                <w:sz w:val="20"/>
                <w:szCs w:val="20"/>
              </w:rPr>
            </w:pPr>
            <w:r>
              <w:rPr>
                <w:sz w:val="16"/>
                <w:szCs w:val="16"/>
              </w:rPr>
              <w:t>​</w:t>
            </w:r>
          </w:p>
        </w:tc>
        <w:tc>
          <w:tcPr>
            <w:tcW w:w="530" w:type="pct"/>
            <w:gridSpan w:val="2"/>
            <w:shd w:val="clear" w:color="auto" w:fill="auto"/>
            <w:noWrap/>
            <w:tcMar>
              <w:top w:w="0" w:type="dxa"/>
              <w:left w:w="0" w:type="dxa"/>
              <w:bottom w:w="0" w:type="dxa"/>
              <w:right w:w="0" w:type="dxa"/>
            </w:tcMar>
            <w:vAlign w:val="bottom"/>
            <w:hideMark/>
          </w:tcPr>
          <w:p w14:paraId="77148420" w14:textId="77777777" w:rsidR="00000000" w:rsidRDefault="00097612">
            <w:pPr>
              <w:pStyle w:val="a3"/>
              <w:spacing w:before="0" w:beforeAutospacing="0" w:after="0" w:afterAutospacing="0"/>
              <w:jc w:val="center"/>
              <w:rPr>
                <w:sz w:val="16"/>
                <w:szCs w:val="16"/>
              </w:rPr>
            </w:pPr>
            <w:r>
              <w:rPr>
                <w:b/>
                <w:bCs/>
                <w:sz w:val="16"/>
                <w:szCs w:val="16"/>
              </w:rPr>
              <w:t>Accumulated</w:t>
            </w:r>
          </w:p>
        </w:tc>
        <w:tc>
          <w:tcPr>
            <w:tcW w:w="76" w:type="pct"/>
            <w:shd w:val="clear" w:color="auto" w:fill="auto"/>
            <w:tcMar>
              <w:top w:w="0" w:type="dxa"/>
              <w:left w:w="0" w:type="dxa"/>
              <w:bottom w:w="0" w:type="dxa"/>
              <w:right w:w="0" w:type="dxa"/>
            </w:tcMar>
            <w:vAlign w:val="bottom"/>
            <w:hideMark/>
          </w:tcPr>
          <w:p w14:paraId="691DB3D6" w14:textId="77777777" w:rsidR="00000000" w:rsidRDefault="00097612">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14:paraId="33890E75"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auto"/>
            <w:noWrap/>
            <w:tcMar>
              <w:top w:w="0" w:type="dxa"/>
              <w:left w:w="0" w:type="dxa"/>
              <w:bottom w:w="0" w:type="dxa"/>
              <w:right w:w="0" w:type="dxa"/>
            </w:tcMar>
            <w:vAlign w:val="bottom"/>
            <w:hideMark/>
          </w:tcPr>
          <w:p w14:paraId="2BFC5FB1"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auto"/>
            <w:noWrap/>
            <w:tcMar>
              <w:top w:w="0" w:type="dxa"/>
              <w:left w:w="0" w:type="dxa"/>
              <w:bottom w:w="0" w:type="dxa"/>
              <w:right w:w="0" w:type="dxa"/>
            </w:tcMar>
            <w:vAlign w:val="bottom"/>
            <w:hideMark/>
          </w:tcPr>
          <w:p w14:paraId="0BEFE431"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auto"/>
            <w:noWrap/>
            <w:tcMar>
              <w:top w:w="0" w:type="dxa"/>
              <w:left w:w="0" w:type="dxa"/>
              <w:bottom w:w="0" w:type="dxa"/>
              <w:right w:w="0" w:type="dxa"/>
            </w:tcMar>
            <w:vAlign w:val="bottom"/>
            <w:hideMark/>
          </w:tcPr>
          <w:p w14:paraId="0D11EBF1"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auto"/>
            <w:noWrap/>
            <w:tcMar>
              <w:top w:w="0" w:type="dxa"/>
              <w:left w:w="0" w:type="dxa"/>
              <w:bottom w:w="0" w:type="dxa"/>
              <w:right w:w="0" w:type="dxa"/>
            </w:tcMar>
            <w:vAlign w:val="bottom"/>
            <w:hideMark/>
          </w:tcPr>
          <w:p w14:paraId="0395429D" w14:textId="77777777" w:rsidR="00000000" w:rsidRDefault="00097612">
            <w:pPr>
              <w:pStyle w:val="a3"/>
              <w:spacing w:before="0" w:beforeAutospacing="0" w:after="0" w:afterAutospacing="0"/>
              <w:rPr>
                <w:sz w:val="20"/>
                <w:szCs w:val="20"/>
              </w:rPr>
            </w:pPr>
            <w:r>
              <w:rPr>
                <w:sz w:val="16"/>
                <w:szCs w:val="16"/>
              </w:rPr>
              <w:t>​</w:t>
            </w:r>
          </w:p>
        </w:tc>
      </w:tr>
      <w:tr w:rsidR="00000000" w14:paraId="3622E19B" w14:textId="77777777">
        <w:trPr>
          <w:divId w:val="1429960337"/>
        </w:trPr>
        <w:tc>
          <w:tcPr>
            <w:tcW w:w="1847" w:type="pct"/>
            <w:shd w:val="clear" w:color="auto" w:fill="auto"/>
            <w:tcMar>
              <w:top w:w="0" w:type="dxa"/>
              <w:left w:w="0" w:type="dxa"/>
              <w:bottom w:w="0" w:type="dxa"/>
              <w:right w:w="0" w:type="dxa"/>
            </w:tcMar>
            <w:vAlign w:val="bottom"/>
            <w:hideMark/>
          </w:tcPr>
          <w:p w14:paraId="16DC0242"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shd w:val="clear" w:color="auto" w:fill="auto"/>
            <w:tcMar>
              <w:top w:w="0" w:type="dxa"/>
              <w:left w:w="0" w:type="dxa"/>
              <w:bottom w:w="0" w:type="dxa"/>
              <w:right w:w="0" w:type="dxa"/>
            </w:tcMar>
            <w:vAlign w:val="bottom"/>
            <w:hideMark/>
          </w:tcPr>
          <w:p w14:paraId="114F5607" w14:textId="77777777" w:rsidR="00000000" w:rsidRDefault="00097612">
            <w:pPr>
              <w:pStyle w:val="a3"/>
              <w:spacing w:before="0" w:beforeAutospacing="0" w:after="0" w:afterAutospacing="0"/>
              <w:rPr>
                <w:sz w:val="20"/>
                <w:szCs w:val="20"/>
              </w:rPr>
            </w:pPr>
            <w:r>
              <w:rPr>
                <w:b/>
                <w:bCs/>
                <w:sz w:val="16"/>
                <w:szCs w:val="16"/>
              </w:rPr>
              <w:t>​</w:t>
            </w:r>
          </w:p>
        </w:tc>
        <w:tc>
          <w:tcPr>
            <w:tcW w:w="342" w:type="pct"/>
            <w:shd w:val="clear" w:color="auto" w:fill="auto"/>
            <w:tcMar>
              <w:top w:w="0" w:type="dxa"/>
              <w:left w:w="0" w:type="dxa"/>
              <w:bottom w:w="0" w:type="dxa"/>
              <w:right w:w="0" w:type="dxa"/>
            </w:tcMar>
            <w:vAlign w:val="bottom"/>
            <w:hideMark/>
          </w:tcPr>
          <w:p w14:paraId="2BA3F8ED"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shd w:val="clear" w:color="auto" w:fill="auto"/>
            <w:tcMar>
              <w:top w:w="0" w:type="dxa"/>
              <w:left w:w="0" w:type="dxa"/>
              <w:bottom w:w="0" w:type="dxa"/>
              <w:right w:w="0" w:type="dxa"/>
            </w:tcMar>
            <w:vAlign w:val="bottom"/>
            <w:hideMark/>
          </w:tcPr>
          <w:p w14:paraId="4C916048"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shd w:val="clear" w:color="auto" w:fill="auto"/>
            <w:tcMar>
              <w:top w:w="0" w:type="dxa"/>
              <w:left w:w="0" w:type="dxa"/>
              <w:bottom w:w="0" w:type="dxa"/>
              <w:right w:w="0" w:type="dxa"/>
            </w:tcMar>
            <w:vAlign w:val="bottom"/>
            <w:hideMark/>
          </w:tcPr>
          <w:p w14:paraId="00278F3D" w14:textId="77777777" w:rsidR="00000000" w:rsidRDefault="00097612">
            <w:pPr>
              <w:pStyle w:val="a3"/>
              <w:spacing w:before="0" w:beforeAutospacing="0" w:after="0" w:afterAutospacing="0"/>
              <w:jc w:val="center"/>
              <w:rPr>
                <w:sz w:val="20"/>
                <w:szCs w:val="20"/>
              </w:rPr>
            </w:pPr>
            <w:r>
              <w:rPr>
                <w:b/>
                <w:bCs/>
                <w:sz w:val="16"/>
                <w:szCs w:val="16"/>
              </w:rPr>
              <w:t>​</w:t>
            </w:r>
          </w:p>
        </w:tc>
        <w:tc>
          <w:tcPr>
            <w:tcW w:w="342" w:type="pct"/>
            <w:shd w:val="clear" w:color="auto" w:fill="auto"/>
            <w:tcMar>
              <w:top w:w="0" w:type="dxa"/>
              <w:left w:w="0" w:type="dxa"/>
              <w:bottom w:w="0" w:type="dxa"/>
              <w:right w:w="0" w:type="dxa"/>
            </w:tcMar>
            <w:vAlign w:val="bottom"/>
            <w:hideMark/>
          </w:tcPr>
          <w:p w14:paraId="08AECBEA"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shd w:val="clear" w:color="auto" w:fill="auto"/>
            <w:tcMar>
              <w:top w:w="0" w:type="dxa"/>
              <w:left w:w="0" w:type="dxa"/>
              <w:bottom w:w="0" w:type="dxa"/>
              <w:right w:w="0" w:type="dxa"/>
            </w:tcMar>
            <w:vAlign w:val="bottom"/>
            <w:hideMark/>
          </w:tcPr>
          <w:p w14:paraId="34D17EB1" w14:textId="77777777" w:rsidR="00000000" w:rsidRDefault="00097612">
            <w:pPr>
              <w:pStyle w:val="a3"/>
              <w:spacing w:before="0" w:beforeAutospacing="0" w:after="0" w:afterAutospacing="0"/>
              <w:rPr>
                <w:sz w:val="20"/>
                <w:szCs w:val="20"/>
              </w:rPr>
            </w:pPr>
            <w:r>
              <w:rPr>
                <w:b/>
                <w:bCs/>
                <w:sz w:val="16"/>
                <w:szCs w:val="16"/>
              </w:rPr>
              <w:t>​</w:t>
            </w:r>
          </w:p>
        </w:tc>
        <w:tc>
          <w:tcPr>
            <w:tcW w:w="443" w:type="pct"/>
            <w:gridSpan w:val="2"/>
            <w:shd w:val="clear" w:color="auto" w:fill="auto"/>
            <w:noWrap/>
            <w:tcMar>
              <w:top w:w="0" w:type="dxa"/>
              <w:left w:w="0" w:type="dxa"/>
              <w:bottom w:w="0" w:type="dxa"/>
              <w:right w:w="0" w:type="dxa"/>
            </w:tcMar>
            <w:vAlign w:val="bottom"/>
            <w:hideMark/>
          </w:tcPr>
          <w:p w14:paraId="63F6145F" w14:textId="77777777" w:rsidR="00000000" w:rsidRDefault="00097612">
            <w:pPr>
              <w:pStyle w:val="a3"/>
              <w:spacing w:before="0" w:beforeAutospacing="0" w:after="0" w:afterAutospacing="0"/>
              <w:jc w:val="center"/>
              <w:rPr>
                <w:sz w:val="16"/>
                <w:szCs w:val="16"/>
              </w:rPr>
            </w:pPr>
            <w:r>
              <w:rPr>
                <w:b/>
                <w:bCs/>
                <w:sz w:val="16"/>
                <w:szCs w:val="16"/>
              </w:rPr>
              <w:t>Additional</w:t>
            </w:r>
          </w:p>
        </w:tc>
        <w:tc>
          <w:tcPr>
            <w:tcW w:w="76" w:type="pct"/>
            <w:shd w:val="clear" w:color="auto" w:fill="auto"/>
            <w:tcMar>
              <w:top w:w="0" w:type="dxa"/>
              <w:left w:w="0" w:type="dxa"/>
              <w:bottom w:w="0" w:type="dxa"/>
              <w:right w:w="0" w:type="dxa"/>
            </w:tcMar>
            <w:vAlign w:val="bottom"/>
            <w:hideMark/>
          </w:tcPr>
          <w:p w14:paraId="7278676C" w14:textId="77777777" w:rsidR="00000000" w:rsidRDefault="00097612">
            <w:pPr>
              <w:pStyle w:val="a3"/>
              <w:spacing w:before="0" w:beforeAutospacing="0" w:after="0" w:afterAutospacing="0"/>
              <w:rPr>
                <w:sz w:val="20"/>
                <w:szCs w:val="20"/>
              </w:rPr>
            </w:pPr>
            <w:r>
              <w:rPr>
                <w:b/>
                <w:bCs/>
                <w:sz w:val="16"/>
                <w:szCs w:val="16"/>
              </w:rPr>
              <w:t>​</w:t>
            </w:r>
          </w:p>
        </w:tc>
        <w:tc>
          <w:tcPr>
            <w:tcW w:w="530" w:type="pct"/>
            <w:gridSpan w:val="2"/>
            <w:shd w:val="clear" w:color="auto" w:fill="auto"/>
            <w:noWrap/>
            <w:tcMar>
              <w:top w:w="0" w:type="dxa"/>
              <w:left w:w="0" w:type="dxa"/>
              <w:bottom w:w="0" w:type="dxa"/>
              <w:right w:w="0" w:type="dxa"/>
            </w:tcMar>
            <w:vAlign w:val="bottom"/>
            <w:hideMark/>
          </w:tcPr>
          <w:p w14:paraId="102499C4" w14:textId="77777777" w:rsidR="00000000" w:rsidRDefault="00097612">
            <w:pPr>
              <w:pStyle w:val="a3"/>
              <w:spacing w:before="0" w:beforeAutospacing="0" w:after="0" w:afterAutospacing="0"/>
              <w:jc w:val="center"/>
              <w:rPr>
                <w:sz w:val="16"/>
                <w:szCs w:val="16"/>
              </w:rPr>
            </w:pPr>
            <w:r>
              <w:rPr>
                <w:b/>
                <w:bCs/>
                <w:sz w:val="16"/>
                <w:szCs w:val="16"/>
              </w:rPr>
              <w:t>Other</w:t>
            </w:r>
          </w:p>
        </w:tc>
        <w:tc>
          <w:tcPr>
            <w:tcW w:w="76" w:type="pct"/>
            <w:shd w:val="clear" w:color="auto" w:fill="auto"/>
            <w:tcMar>
              <w:top w:w="0" w:type="dxa"/>
              <w:left w:w="0" w:type="dxa"/>
              <w:bottom w:w="0" w:type="dxa"/>
              <w:right w:w="0" w:type="dxa"/>
            </w:tcMar>
            <w:vAlign w:val="bottom"/>
            <w:hideMark/>
          </w:tcPr>
          <w:p w14:paraId="672BADAC" w14:textId="77777777" w:rsidR="00000000" w:rsidRDefault="00097612">
            <w:pPr>
              <w:pStyle w:val="a3"/>
              <w:spacing w:before="0" w:beforeAutospacing="0" w:after="0" w:afterAutospacing="0"/>
              <w:rPr>
                <w:sz w:val="20"/>
                <w:szCs w:val="20"/>
              </w:rPr>
            </w:pPr>
            <w:r>
              <w:rPr>
                <w:b/>
                <w:bCs/>
                <w:sz w:val="16"/>
                <w:szCs w:val="16"/>
              </w:rPr>
              <w:t>​</w:t>
            </w:r>
          </w:p>
        </w:tc>
        <w:tc>
          <w:tcPr>
            <w:tcW w:w="91" w:type="pct"/>
            <w:shd w:val="clear" w:color="auto" w:fill="auto"/>
            <w:tcMar>
              <w:top w:w="0" w:type="dxa"/>
              <w:left w:w="0" w:type="dxa"/>
              <w:bottom w:w="0" w:type="dxa"/>
              <w:right w:w="0" w:type="dxa"/>
            </w:tcMar>
            <w:vAlign w:val="bottom"/>
            <w:hideMark/>
          </w:tcPr>
          <w:p w14:paraId="11B2858A" w14:textId="77777777" w:rsidR="00000000" w:rsidRDefault="00097612">
            <w:pPr>
              <w:pStyle w:val="a3"/>
              <w:spacing w:before="0" w:beforeAutospacing="0" w:after="0" w:afterAutospacing="0"/>
              <w:jc w:val="center"/>
              <w:rPr>
                <w:sz w:val="20"/>
                <w:szCs w:val="20"/>
              </w:rPr>
            </w:pPr>
            <w:r>
              <w:rPr>
                <w:b/>
                <w:bCs/>
                <w:sz w:val="16"/>
                <w:szCs w:val="16"/>
              </w:rPr>
              <w:t>​</w:t>
            </w:r>
          </w:p>
        </w:tc>
        <w:tc>
          <w:tcPr>
            <w:tcW w:w="390" w:type="pct"/>
            <w:shd w:val="clear" w:color="auto" w:fill="auto"/>
            <w:tcMar>
              <w:top w:w="0" w:type="dxa"/>
              <w:left w:w="0" w:type="dxa"/>
              <w:bottom w:w="0" w:type="dxa"/>
              <w:right w:w="0" w:type="dxa"/>
            </w:tcMar>
            <w:vAlign w:val="bottom"/>
            <w:hideMark/>
          </w:tcPr>
          <w:p w14:paraId="08B9C1BF"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shd w:val="clear" w:color="auto" w:fill="auto"/>
            <w:tcMar>
              <w:top w:w="0" w:type="dxa"/>
              <w:left w:w="0" w:type="dxa"/>
              <w:bottom w:w="0" w:type="dxa"/>
              <w:right w:w="0" w:type="dxa"/>
            </w:tcMar>
            <w:vAlign w:val="bottom"/>
            <w:hideMark/>
          </w:tcPr>
          <w:p w14:paraId="594A8238" w14:textId="77777777" w:rsidR="00000000" w:rsidRDefault="00097612">
            <w:pPr>
              <w:pStyle w:val="a3"/>
              <w:spacing w:before="0" w:beforeAutospacing="0" w:after="0" w:afterAutospacing="0"/>
              <w:rPr>
                <w:sz w:val="20"/>
                <w:szCs w:val="20"/>
              </w:rPr>
            </w:pPr>
            <w:r>
              <w:rPr>
                <w:b/>
                <w:bCs/>
                <w:sz w:val="16"/>
                <w:szCs w:val="16"/>
              </w:rPr>
              <w:t>​</w:t>
            </w:r>
          </w:p>
        </w:tc>
        <w:tc>
          <w:tcPr>
            <w:tcW w:w="472" w:type="pct"/>
            <w:gridSpan w:val="2"/>
            <w:shd w:val="clear" w:color="auto" w:fill="auto"/>
            <w:noWrap/>
            <w:tcMar>
              <w:top w:w="0" w:type="dxa"/>
              <w:left w:w="0" w:type="dxa"/>
              <w:bottom w:w="0" w:type="dxa"/>
              <w:right w:w="0" w:type="dxa"/>
            </w:tcMar>
            <w:vAlign w:val="bottom"/>
            <w:hideMark/>
          </w:tcPr>
          <w:p w14:paraId="1A728346" w14:textId="77777777" w:rsidR="00000000" w:rsidRDefault="00097612">
            <w:pPr>
              <w:pStyle w:val="a3"/>
              <w:spacing w:before="0" w:beforeAutospacing="0" w:after="0" w:afterAutospacing="0"/>
              <w:jc w:val="center"/>
              <w:rPr>
                <w:sz w:val="16"/>
                <w:szCs w:val="16"/>
              </w:rPr>
            </w:pPr>
            <w:r>
              <w:rPr>
                <w:b/>
                <w:bCs/>
                <w:sz w:val="16"/>
                <w:szCs w:val="16"/>
              </w:rPr>
              <w:t>Total</w:t>
            </w:r>
          </w:p>
        </w:tc>
      </w:tr>
      <w:tr w:rsidR="00000000" w14:paraId="204E823D" w14:textId="77777777">
        <w:trPr>
          <w:divId w:val="1429960337"/>
        </w:trPr>
        <w:tc>
          <w:tcPr>
            <w:tcW w:w="1847" w:type="pct"/>
            <w:shd w:val="clear" w:color="auto" w:fill="auto"/>
            <w:tcMar>
              <w:top w:w="0" w:type="dxa"/>
              <w:left w:w="0" w:type="dxa"/>
              <w:bottom w:w="0" w:type="dxa"/>
              <w:right w:w="0" w:type="dxa"/>
            </w:tcMar>
            <w:vAlign w:val="bottom"/>
            <w:hideMark/>
          </w:tcPr>
          <w:p w14:paraId="7335D497"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shd w:val="clear" w:color="auto" w:fill="auto"/>
            <w:tcMar>
              <w:top w:w="0" w:type="dxa"/>
              <w:left w:w="0" w:type="dxa"/>
              <w:bottom w:w="0" w:type="dxa"/>
              <w:right w:w="0" w:type="dxa"/>
            </w:tcMar>
            <w:vAlign w:val="bottom"/>
            <w:hideMark/>
          </w:tcPr>
          <w:p w14:paraId="7329AA86" w14:textId="77777777" w:rsidR="00000000" w:rsidRDefault="00097612">
            <w:pPr>
              <w:pStyle w:val="a3"/>
              <w:spacing w:before="0" w:beforeAutospacing="0" w:after="0" w:afterAutospacing="0"/>
              <w:rPr>
                <w:sz w:val="20"/>
                <w:szCs w:val="20"/>
              </w:rPr>
            </w:pPr>
            <w:r>
              <w:rPr>
                <w:b/>
                <w:bCs/>
                <w:sz w:val="16"/>
                <w:szCs w:val="16"/>
              </w:rPr>
              <w:t>​</w:t>
            </w:r>
          </w:p>
        </w:tc>
        <w:tc>
          <w:tcPr>
            <w:tcW w:w="839" w:type="pct"/>
            <w:gridSpan w:val="4"/>
            <w:tcBorders>
              <w:bottom w:val="single" w:sz="6" w:space="0" w:color="000000"/>
            </w:tcBorders>
            <w:shd w:val="clear" w:color="auto" w:fill="auto"/>
            <w:noWrap/>
            <w:tcMar>
              <w:top w:w="0" w:type="dxa"/>
              <w:left w:w="0" w:type="dxa"/>
              <w:bottom w:w="0" w:type="dxa"/>
              <w:right w:w="0" w:type="dxa"/>
            </w:tcMar>
            <w:vAlign w:val="bottom"/>
            <w:hideMark/>
          </w:tcPr>
          <w:p w14:paraId="207FD8AF" w14:textId="77777777" w:rsidR="00000000" w:rsidRDefault="00097612">
            <w:pPr>
              <w:pStyle w:val="a3"/>
              <w:spacing w:before="0" w:beforeAutospacing="0" w:after="0" w:afterAutospacing="0"/>
              <w:jc w:val="center"/>
              <w:rPr>
                <w:sz w:val="16"/>
                <w:szCs w:val="16"/>
              </w:rPr>
            </w:pPr>
            <w:r>
              <w:rPr>
                <w:b/>
                <w:bCs/>
                <w:sz w:val="16"/>
                <w:szCs w:val="16"/>
              </w:rPr>
              <w:t>Ordinary Shares</w:t>
            </w:r>
          </w:p>
        </w:tc>
        <w:tc>
          <w:tcPr>
            <w:tcW w:w="76" w:type="pct"/>
            <w:shd w:val="clear" w:color="auto" w:fill="auto"/>
            <w:tcMar>
              <w:top w:w="0" w:type="dxa"/>
              <w:left w:w="0" w:type="dxa"/>
              <w:bottom w:w="0" w:type="dxa"/>
              <w:right w:w="0" w:type="dxa"/>
            </w:tcMar>
            <w:vAlign w:val="bottom"/>
            <w:hideMark/>
          </w:tcPr>
          <w:p w14:paraId="63A86ABE" w14:textId="77777777" w:rsidR="00000000" w:rsidRDefault="00097612">
            <w:pPr>
              <w:pStyle w:val="a3"/>
              <w:spacing w:before="0" w:beforeAutospacing="0" w:after="0" w:afterAutospacing="0"/>
              <w:rPr>
                <w:sz w:val="20"/>
                <w:szCs w:val="20"/>
              </w:rPr>
            </w:pPr>
            <w:r>
              <w:rPr>
                <w:b/>
                <w:bCs/>
                <w:sz w:val="16"/>
                <w:szCs w:val="16"/>
              </w:rPr>
              <w:t>​</w:t>
            </w:r>
          </w:p>
        </w:tc>
        <w:tc>
          <w:tcPr>
            <w:tcW w:w="443" w:type="pct"/>
            <w:gridSpan w:val="2"/>
            <w:shd w:val="clear" w:color="auto" w:fill="auto"/>
            <w:noWrap/>
            <w:tcMar>
              <w:top w:w="0" w:type="dxa"/>
              <w:left w:w="0" w:type="dxa"/>
              <w:bottom w:w="0" w:type="dxa"/>
              <w:right w:w="0" w:type="dxa"/>
            </w:tcMar>
            <w:vAlign w:val="bottom"/>
            <w:hideMark/>
          </w:tcPr>
          <w:p w14:paraId="4F13EB91" w14:textId="77777777" w:rsidR="00000000" w:rsidRDefault="00097612">
            <w:pPr>
              <w:pStyle w:val="a3"/>
              <w:spacing w:before="0" w:beforeAutospacing="0" w:after="0" w:afterAutospacing="0"/>
              <w:jc w:val="center"/>
              <w:rPr>
                <w:sz w:val="16"/>
                <w:szCs w:val="16"/>
              </w:rPr>
            </w:pPr>
            <w:r>
              <w:rPr>
                <w:b/>
                <w:bCs/>
                <w:sz w:val="16"/>
                <w:szCs w:val="16"/>
              </w:rPr>
              <w:t>Paid-In</w:t>
            </w:r>
          </w:p>
        </w:tc>
        <w:tc>
          <w:tcPr>
            <w:tcW w:w="76" w:type="pct"/>
            <w:shd w:val="clear" w:color="auto" w:fill="auto"/>
            <w:tcMar>
              <w:top w:w="0" w:type="dxa"/>
              <w:left w:w="0" w:type="dxa"/>
              <w:bottom w:w="0" w:type="dxa"/>
              <w:right w:w="0" w:type="dxa"/>
            </w:tcMar>
            <w:vAlign w:val="bottom"/>
            <w:hideMark/>
          </w:tcPr>
          <w:p w14:paraId="4A40ECC5" w14:textId="77777777" w:rsidR="00000000" w:rsidRDefault="00097612">
            <w:pPr>
              <w:pStyle w:val="a3"/>
              <w:spacing w:before="0" w:beforeAutospacing="0" w:after="0" w:afterAutospacing="0"/>
              <w:rPr>
                <w:sz w:val="20"/>
                <w:szCs w:val="20"/>
              </w:rPr>
            </w:pPr>
            <w:r>
              <w:rPr>
                <w:b/>
                <w:bCs/>
                <w:sz w:val="16"/>
                <w:szCs w:val="16"/>
              </w:rPr>
              <w:t>​</w:t>
            </w:r>
          </w:p>
        </w:tc>
        <w:tc>
          <w:tcPr>
            <w:tcW w:w="530" w:type="pct"/>
            <w:gridSpan w:val="2"/>
            <w:shd w:val="clear" w:color="auto" w:fill="auto"/>
            <w:noWrap/>
            <w:tcMar>
              <w:top w:w="0" w:type="dxa"/>
              <w:left w:w="0" w:type="dxa"/>
              <w:bottom w:w="0" w:type="dxa"/>
              <w:right w:w="0" w:type="dxa"/>
            </w:tcMar>
            <w:vAlign w:val="bottom"/>
            <w:hideMark/>
          </w:tcPr>
          <w:p w14:paraId="37C82C44" w14:textId="77777777" w:rsidR="00000000" w:rsidRDefault="00097612">
            <w:pPr>
              <w:pStyle w:val="a3"/>
              <w:spacing w:before="0" w:beforeAutospacing="0" w:after="0" w:afterAutospacing="0"/>
              <w:jc w:val="center"/>
              <w:rPr>
                <w:sz w:val="16"/>
                <w:szCs w:val="16"/>
              </w:rPr>
            </w:pPr>
            <w:r>
              <w:rPr>
                <w:b/>
                <w:bCs/>
                <w:sz w:val="16"/>
                <w:szCs w:val="16"/>
              </w:rPr>
              <w:t>Comprehensive</w:t>
            </w:r>
          </w:p>
        </w:tc>
        <w:tc>
          <w:tcPr>
            <w:tcW w:w="76" w:type="pct"/>
            <w:shd w:val="clear" w:color="auto" w:fill="auto"/>
            <w:tcMar>
              <w:top w:w="0" w:type="dxa"/>
              <w:left w:w="0" w:type="dxa"/>
              <w:bottom w:w="0" w:type="dxa"/>
              <w:right w:w="0" w:type="dxa"/>
            </w:tcMar>
            <w:vAlign w:val="bottom"/>
            <w:hideMark/>
          </w:tcPr>
          <w:p w14:paraId="1556F95C" w14:textId="77777777" w:rsidR="00000000" w:rsidRDefault="00097612">
            <w:pPr>
              <w:pStyle w:val="a3"/>
              <w:spacing w:before="0" w:beforeAutospacing="0" w:after="0" w:afterAutospacing="0"/>
              <w:rPr>
                <w:sz w:val="20"/>
                <w:szCs w:val="20"/>
              </w:rPr>
            </w:pPr>
            <w:r>
              <w:rPr>
                <w:b/>
                <w:bCs/>
                <w:sz w:val="16"/>
                <w:szCs w:val="16"/>
              </w:rPr>
              <w:t>​</w:t>
            </w:r>
          </w:p>
        </w:tc>
        <w:tc>
          <w:tcPr>
            <w:tcW w:w="482" w:type="pct"/>
            <w:gridSpan w:val="2"/>
            <w:shd w:val="clear" w:color="auto" w:fill="auto"/>
            <w:noWrap/>
            <w:tcMar>
              <w:top w:w="0" w:type="dxa"/>
              <w:left w:w="0" w:type="dxa"/>
              <w:bottom w:w="0" w:type="dxa"/>
              <w:right w:w="0" w:type="dxa"/>
            </w:tcMar>
            <w:vAlign w:val="bottom"/>
            <w:hideMark/>
          </w:tcPr>
          <w:p w14:paraId="44A8EAEE" w14:textId="77777777" w:rsidR="00000000" w:rsidRDefault="00097612">
            <w:pPr>
              <w:pStyle w:val="a3"/>
              <w:spacing w:before="0" w:beforeAutospacing="0" w:after="0" w:afterAutospacing="0"/>
              <w:jc w:val="center"/>
              <w:rPr>
                <w:sz w:val="16"/>
                <w:szCs w:val="16"/>
              </w:rPr>
            </w:pPr>
            <w:r>
              <w:rPr>
                <w:b/>
                <w:bCs/>
                <w:sz w:val="16"/>
                <w:szCs w:val="16"/>
              </w:rPr>
              <w:t>Accumulated</w:t>
            </w:r>
          </w:p>
        </w:tc>
        <w:tc>
          <w:tcPr>
            <w:tcW w:w="76" w:type="pct"/>
            <w:shd w:val="clear" w:color="auto" w:fill="auto"/>
            <w:tcMar>
              <w:top w:w="0" w:type="dxa"/>
              <w:left w:w="0" w:type="dxa"/>
              <w:bottom w:w="0" w:type="dxa"/>
              <w:right w:w="0" w:type="dxa"/>
            </w:tcMar>
            <w:vAlign w:val="bottom"/>
            <w:hideMark/>
          </w:tcPr>
          <w:p w14:paraId="1F498242" w14:textId="77777777" w:rsidR="00000000" w:rsidRDefault="00097612">
            <w:pPr>
              <w:pStyle w:val="a3"/>
              <w:spacing w:before="0" w:beforeAutospacing="0" w:after="0" w:afterAutospacing="0"/>
              <w:rPr>
                <w:sz w:val="20"/>
                <w:szCs w:val="20"/>
              </w:rPr>
            </w:pPr>
            <w:r>
              <w:rPr>
                <w:b/>
                <w:bCs/>
                <w:sz w:val="16"/>
                <w:szCs w:val="16"/>
              </w:rPr>
              <w:t>​</w:t>
            </w:r>
          </w:p>
        </w:tc>
        <w:tc>
          <w:tcPr>
            <w:tcW w:w="472" w:type="pct"/>
            <w:gridSpan w:val="2"/>
            <w:shd w:val="clear" w:color="auto" w:fill="auto"/>
            <w:noWrap/>
            <w:tcMar>
              <w:top w:w="0" w:type="dxa"/>
              <w:left w:w="0" w:type="dxa"/>
              <w:bottom w:w="0" w:type="dxa"/>
              <w:right w:w="0" w:type="dxa"/>
            </w:tcMar>
            <w:vAlign w:val="bottom"/>
            <w:hideMark/>
          </w:tcPr>
          <w:p w14:paraId="6216D0A0" w14:textId="77777777" w:rsidR="00000000" w:rsidRDefault="00097612">
            <w:pPr>
              <w:pStyle w:val="a3"/>
              <w:spacing w:before="0" w:beforeAutospacing="0" w:after="0" w:afterAutospacing="0"/>
              <w:jc w:val="center"/>
              <w:rPr>
                <w:sz w:val="16"/>
                <w:szCs w:val="16"/>
              </w:rPr>
            </w:pPr>
            <w:r>
              <w:rPr>
                <w:b/>
                <w:bCs/>
                <w:sz w:val="16"/>
                <w:szCs w:val="16"/>
              </w:rPr>
              <w:t>Shareholders'</w:t>
            </w:r>
          </w:p>
        </w:tc>
      </w:tr>
      <w:tr w:rsidR="00000000" w14:paraId="6A9B5561" w14:textId="77777777">
        <w:trPr>
          <w:divId w:val="1429960337"/>
        </w:trPr>
        <w:tc>
          <w:tcPr>
            <w:tcW w:w="1847" w:type="pct"/>
            <w:shd w:val="clear" w:color="auto" w:fill="auto"/>
            <w:tcMar>
              <w:top w:w="0" w:type="dxa"/>
              <w:left w:w="0" w:type="dxa"/>
              <w:bottom w:w="0" w:type="dxa"/>
              <w:right w:w="0" w:type="dxa"/>
            </w:tcMar>
            <w:vAlign w:val="bottom"/>
            <w:hideMark/>
          </w:tcPr>
          <w:p w14:paraId="7EE71827"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shd w:val="clear" w:color="auto" w:fill="auto"/>
            <w:noWrap/>
            <w:tcMar>
              <w:top w:w="0" w:type="dxa"/>
              <w:left w:w="0" w:type="dxa"/>
              <w:bottom w:w="0" w:type="dxa"/>
              <w:right w:w="0" w:type="dxa"/>
            </w:tcMar>
            <w:vAlign w:val="bottom"/>
            <w:hideMark/>
          </w:tcPr>
          <w:p w14:paraId="029680A4" w14:textId="77777777" w:rsidR="00000000" w:rsidRDefault="00097612">
            <w:pPr>
              <w:pStyle w:val="a3"/>
              <w:spacing w:before="0" w:beforeAutospacing="0" w:after="0" w:afterAutospacing="0"/>
              <w:rPr>
                <w:sz w:val="16"/>
                <w:szCs w:val="16"/>
              </w:rPr>
            </w:pPr>
            <w:r>
              <w:rPr>
                <w:sz w:val="16"/>
                <w:szCs w:val="16"/>
              </w:rPr>
              <w:t>   </w:t>
            </w:r>
          </w:p>
        </w:tc>
        <w:tc>
          <w:tcPr>
            <w:tcW w:w="342" w:type="pct"/>
            <w:tcBorders>
              <w:bottom w:val="single" w:sz="6" w:space="0" w:color="000000"/>
            </w:tcBorders>
            <w:shd w:val="clear" w:color="auto" w:fill="auto"/>
            <w:noWrap/>
            <w:tcMar>
              <w:top w:w="0" w:type="dxa"/>
              <w:left w:w="0" w:type="dxa"/>
              <w:bottom w:w="0" w:type="dxa"/>
              <w:right w:w="0" w:type="dxa"/>
            </w:tcMar>
            <w:vAlign w:val="bottom"/>
            <w:hideMark/>
          </w:tcPr>
          <w:p w14:paraId="62D1B96A" w14:textId="77777777" w:rsidR="00000000" w:rsidRDefault="00097612">
            <w:pPr>
              <w:pStyle w:val="a3"/>
              <w:spacing w:before="0" w:beforeAutospacing="0" w:after="0" w:afterAutospacing="0"/>
              <w:jc w:val="center"/>
              <w:rPr>
                <w:sz w:val="16"/>
                <w:szCs w:val="16"/>
              </w:rPr>
            </w:pPr>
            <w:r>
              <w:rPr>
                <w:b/>
                <w:bCs/>
                <w:sz w:val="16"/>
                <w:szCs w:val="16"/>
              </w:rPr>
              <w:t>Shares</w:t>
            </w:r>
          </w:p>
        </w:tc>
        <w:tc>
          <w:tcPr>
            <w:tcW w:w="76" w:type="pct"/>
            <w:shd w:val="clear" w:color="auto" w:fill="auto"/>
            <w:noWrap/>
            <w:tcMar>
              <w:top w:w="0" w:type="dxa"/>
              <w:left w:w="0" w:type="dxa"/>
              <w:bottom w:w="0" w:type="dxa"/>
              <w:right w:w="0" w:type="dxa"/>
            </w:tcMar>
            <w:vAlign w:val="bottom"/>
            <w:hideMark/>
          </w:tcPr>
          <w:p w14:paraId="22C30D4D" w14:textId="77777777" w:rsidR="00000000" w:rsidRDefault="00097612">
            <w:pPr>
              <w:pStyle w:val="a3"/>
              <w:spacing w:before="0" w:beforeAutospacing="0" w:after="0" w:afterAutospacing="0"/>
              <w:rPr>
                <w:sz w:val="16"/>
                <w:szCs w:val="16"/>
              </w:rPr>
            </w:pPr>
            <w:r>
              <w:rPr>
                <w:sz w:val="16"/>
                <w:szCs w:val="16"/>
              </w:rPr>
              <w:t>   </w:t>
            </w:r>
          </w:p>
        </w:tc>
        <w:tc>
          <w:tcPr>
            <w:tcW w:w="419" w:type="pct"/>
            <w:gridSpan w:val="2"/>
            <w:tcBorders>
              <w:bottom w:val="single" w:sz="6" w:space="0" w:color="000000"/>
            </w:tcBorders>
            <w:shd w:val="clear" w:color="auto" w:fill="auto"/>
            <w:noWrap/>
            <w:tcMar>
              <w:top w:w="0" w:type="dxa"/>
              <w:left w:w="0" w:type="dxa"/>
              <w:bottom w:w="0" w:type="dxa"/>
              <w:right w:w="0" w:type="dxa"/>
            </w:tcMar>
            <w:vAlign w:val="bottom"/>
            <w:hideMark/>
          </w:tcPr>
          <w:p w14:paraId="2FE1FBC5" w14:textId="77777777" w:rsidR="00000000" w:rsidRDefault="00097612">
            <w:pPr>
              <w:pStyle w:val="a3"/>
              <w:spacing w:before="0" w:beforeAutospacing="0" w:after="0" w:afterAutospacing="0"/>
              <w:jc w:val="center"/>
              <w:rPr>
                <w:sz w:val="16"/>
                <w:szCs w:val="16"/>
              </w:rPr>
            </w:pPr>
            <w:r>
              <w:rPr>
                <w:b/>
                <w:bCs/>
                <w:sz w:val="16"/>
                <w:szCs w:val="16"/>
              </w:rPr>
              <w:t>Amount</w:t>
            </w:r>
          </w:p>
        </w:tc>
        <w:tc>
          <w:tcPr>
            <w:tcW w:w="76" w:type="pct"/>
            <w:shd w:val="clear" w:color="auto" w:fill="auto"/>
            <w:noWrap/>
            <w:tcMar>
              <w:top w:w="0" w:type="dxa"/>
              <w:left w:w="0" w:type="dxa"/>
              <w:bottom w:w="0" w:type="dxa"/>
              <w:right w:w="0" w:type="dxa"/>
            </w:tcMar>
            <w:vAlign w:val="bottom"/>
            <w:hideMark/>
          </w:tcPr>
          <w:p w14:paraId="0B848245" w14:textId="77777777" w:rsidR="00000000" w:rsidRDefault="00097612">
            <w:pPr>
              <w:pStyle w:val="a3"/>
              <w:spacing w:before="0" w:beforeAutospacing="0" w:after="0" w:afterAutospacing="0"/>
              <w:rPr>
                <w:sz w:val="16"/>
                <w:szCs w:val="16"/>
              </w:rPr>
            </w:pPr>
            <w:r>
              <w:rPr>
                <w:sz w:val="16"/>
                <w:szCs w:val="16"/>
              </w:rPr>
              <w:t>   </w:t>
            </w:r>
          </w:p>
        </w:tc>
        <w:tc>
          <w:tcPr>
            <w:tcW w:w="443" w:type="pct"/>
            <w:gridSpan w:val="2"/>
            <w:tcBorders>
              <w:bottom w:val="single" w:sz="6" w:space="0" w:color="000000"/>
            </w:tcBorders>
            <w:shd w:val="clear" w:color="auto" w:fill="auto"/>
            <w:noWrap/>
            <w:tcMar>
              <w:top w:w="0" w:type="dxa"/>
              <w:left w:w="0" w:type="dxa"/>
              <w:bottom w:w="0" w:type="dxa"/>
              <w:right w:w="0" w:type="dxa"/>
            </w:tcMar>
            <w:vAlign w:val="bottom"/>
            <w:hideMark/>
          </w:tcPr>
          <w:p w14:paraId="75865267" w14:textId="77777777" w:rsidR="00000000" w:rsidRDefault="00097612">
            <w:pPr>
              <w:pStyle w:val="a3"/>
              <w:spacing w:before="0" w:beforeAutospacing="0" w:after="0" w:afterAutospacing="0"/>
              <w:jc w:val="center"/>
              <w:rPr>
                <w:sz w:val="16"/>
                <w:szCs w:val="16"/>
              </w:rPr>
            </w:pPr>
            <w:r>
              <w:rPr>
                <w:b/>
                <w:bCs/>
                <w:sz w:val="16"/>
                <w:szCs w:val="16"/>
              </w:rPr>
              <w:t>Capital</w:t>
            </w:r>
          </w:p>
        </w:tc>
        <w:tc>
          <w:tcPr>
            <w:tcW w:w="76" w:type="pct"/>
            <w:shd w:val="clear" w:color="auto" w:fill="auto"/>
            <w:noWrap/>
            <w:tcMar>
              <w:top w:w="0" w:type="dxa"/>
              <w:left w:w="0" w:type="dxa"/>
              <w:bottom w:w="0" w:type="dxa"/>
              <w:right w:w="0" w:type="dxa"/>
            </w:tcMar>
            <w:vAlign w:val="bottom"/>
            <w:hideMark/>
          </w:tcPr>
          <w:p w14:paraId="3D14223E" w14:textId="77777777" w:rsidR="00000000" w:rsidRDefault="00097612">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shd w:val="clear" w:color="auto" w:fill="auto"/>
            <w:noWrap/>
            <w:tcMar>
              <w:top w:w="0" w:type="dxa"/>
              <w:left w:w="0" w:type="dxa"/>
              <w:bottom w:w="0" w:type="dxa"/>
              <w:right w:w="0" w:type="dxa"/>
            </w:tcMar>
            <w:vAlign w:val="bottom"/>
            <w:hideMark/>
          </w:tcPr>
          <w:p w14:paraId="487282DC" w14:textId="77777777" w:rsidR="00000000" w:rsidRDefault="00097612">
            <w:pPr>
              <w:pStyle w:val="a3"/>
              <w:spacing w:before="0" w:beforeAutospacing="0" w:after="0" w:afterAutospacing="0"/>
              <w:jc w:val="center"/>
              <w:rPr>
                <w:sz w:val="16"/>
                <w:szCs w:val="16"/>
              </w:rPr>
            </w:pPr>
            <w:r>
              <w:rPr>
                <w:b/>
                <w:bCs/>
                <w:sz w:val="16"/>
                <w:szCs w:val="16"/>
              </w:rPr>
              <w:t>Income (Loss)</w:t>
            </w:r>
          </w:p>
        </w:tc>
        <w:tc>
          <w:tcPr>
            <w:tcW w:w="76" w:type="pct"/>
            <w:shd w:val="clear" w:color="auto" w:fill="auto"/>
            <w:noWrap/>
            <w:tcMar>
              <w:top w:w="0" w:type="dxa"/>
              <w:left w:w="0" w:type="dxa"/>
              <w:bottom w:w="0" w:type="dxa"/>
              <w:right w:w="0" w:type="dxa"/>
            </w:tcMar>
            <w:vAlign w:val="bottom"/>
            <w:hideMark/>
          </w:tcPr>
          <w:p w14:paraId="6C12FFB2" w14:textId="77777777" w:rsidR="00000000" w:rsidRDefault="00097612">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shd w:val="clear" w:color="auto" w:fill="auto"/>
            <w:noWrap/>
            <w:tcMar>
              <w:top w:w="0" w:type="dxa"/>
              <w:left w:w="0" w:type="dxa"/>
              <w:bottom w:w="0" w:type="dxa"/>
              <w:right w:w="0" w:type="dxa"/>
            </w:tcMar>
            <w:vAlign w:val="bottom"/>
            <w:hideMark/>
          </w:tcPr>
          <w:p w14:paraId="2FE83E56" w14:textId="77777777" w:rsidR="00000000" w:rsidRDefault="00097612">
            <w:pPr>
              <w:pStyle w:val="a3"/>
              <w:spacing w:before="0" w:beforeAutospacing="0" w:after="0" w:afterAutospacing="0"/>
              <w:jc w:val="center"/>
              <w:rPr>
                <w:sz w:val="16"/>
                <w:szCs w:val="16"/>
              </w:rPr>
            </w:pPr>
            <w:r>
              <w:rPr>
                <w:b/>
                <w:bCs/>
                <w:sz w:val="16"/>
                <w:szCs w:val="16"/>
              </w:rPr>
              <w:t>Deficit</w:t>
            </w:r>
          </w:p>
        </w:tc>
        <w:tc>
          <w:tcPr>
            <w:tcW w:w="76" w:type="pct"/>
            <w:shd w:val="clear" w:color="auto" w:fill="auto"/>
            <w:noWrap/>
            <w:tcMar>
              <w:top w:w="0" w:type="dxa"/>
              <w:left w:w="0" w:type="dxa"/>
              <w:bottom w:w="0" w:type="dxa"/>
              <w:right w:w="0" w:type="dxa"/>
            </w:tcMar>
            <w:vAlign w:val="bottom"/>
            <w:hideMark/>
          </w:tcPr>
          <w:p w14:paraId="7BAC27A7" w14:textId="77777777" w:rsidR="00000000" w:rsidRDefault="00097612">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shd w:val="clear" w:color="auto" w:fill="auto"/>
            <w:noWrap/>
            <w:tcMar>
              <w:top w:w="0" w:type="dxa"/>
              <w:left w:w="0" w:type="dxa"/>
              <w:bottom w:w="0" w:type="dxa"/>
              <w:right w:w="0" w:type="dxa"/>
            </w:tcMar>
            <w:vAlign w:val="bottom"/>
            <w:hideMark/>
          </w:tcPr>
          <w:p w14:paraId="167A3DA3" w14:textId="77777777" w:rsidR="00000000" w:rsidRDefault="00097612">
            <w:pPr>
              <w:pStyle w:val="a3"/>
              <w:spacing w:before="0" w:beforeAutospacing="0" w:after="0" w:afterAutospacing="0"/>
              <w:jc w:val="center"/>
              <w:rPr>
                <w:sz w:val="16"/>
                <w:szCs w:val="16"/>
              </w:rPr>
            </w:pPr>
            <w:r>
              <w:rPr>
                <w:b/>
                <w:bCs/>
                <w:sz w:val="16"/>
                <w:szCs w:val="16"/>
              </w:rPr>
              <w:t>Deficit</w:t>
            </w:r>
          </w:p>
        </w:tc>
      </w:tr>
      <w:tr w:rsidR="00000000" w14:paraId="43533AC5" w14:textId="77777777">
        <w:trPr>
          <w:divId w:val="1429960337"/>
        </w:trPr>
        <w:tc>
          <w:tcPr>
            <w:tcW w:w="1847" w:type="pct"/>
            <w:shd w:val="clear" w:color="auto" w:fill="CCEEFF"/>
            <w:tcMar>
              <w:top w:w="0" w:type="dxa"/>
              <w:left w:w="0" w:type="dxa"/>
              <w:bottom w:w="0" w:type="dxa"/>
              <w:right w:w="0" w:type="dxa"/>
            </w:tcMar>
            <w:vAlign w:val="bottom"/>
            <w:hideMark/>
          </w:tcPr>
          <w:p w14:paraId="642748CC" w14:textId="77777777" w:rsidR="00000000" w:rsidRDefault="00097612">
            <w:pPr>
              <w:pStyle w:val="a3"/>
              <w:spacing w:before="0" w:beforeAutospacing="0" w:after="0" w:afterAutospacing="0"/>
              <w:rPr>
                <w:sz w:val="16"/>
                <w:szCs w:val="16"/>
              </w:rPr>
            </w:pPr>
            <w:r>
              <w:rPr>
                <w:sz w:val="16"/>
                <w:szCs w:val="16"/>
              </w:rPr>
              <w:t>Balances at June 30, 2019</w:t>
            </w:r>
          </w:p>
        </w:tc>
        <w:tc>
          <w:tcPr>
            <w:tcW w:w="76" w:type="pct"/>
            <w:shd w:val="clear" w:color="auto" w:fill="CCEEFF"/>
            <w:noWrap/>
            <w:tcMar>
              <w:top w:w="0" w:type="dxa"/>
              <w:left w:w="0" w:type="dxa"/>
              <w:bottom w:w="0" w:type="dxa"/>
              <w:right w:w="0" w:type="dxa"/>
            </w:tcMar>
            <w:vAlign w:val="bottom"/>
            <w:hideMark/>
          </w:tcPr>
          <w:p w14:paraId="52209CCA"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noWrap/>
            <w:tcMar>
              <w:top w:w="0" w:type="dxa"/>
              <w:left w:w="0" w:type="dxa"/>
              <w:bottom w:w="0" w:type="dxa"/>
              <w:right w:w="0" w:type="dxa"/>
            </w:tcMar>
            <w:vAlign w:val="bottom"/>
            <w:hideMark/>
          </w:tcPr>
          <w:p w14:paraId="482BD3B0" w14:textId="77777777" w:rsidR="00000000" w:rsidRDefault="00097612">
            <w:pPr>
              <w:pStyle w:val="a3"/>
              <w:spacing w:before="0" w:beforeAutospacing="0" w:after="0" w:afterAutospacing="0"/>
              <w:ind w:right="60"/>
              <w:jc w:val="right"/>
              <w:rPr>
                <w:sz w:val="16"/>
                <w:szCs w:val="16"/>
              </w:rPr>
            </w:pPr>
            <w:r>
              <w:rPr>
                <w:sz w:val="16"/>
                <w:szCs w:val="16"/>
              </w:rPr>
              <w:t>56,637</w:t>
            </w:r>
          </w:p>
        </w:tc>
        <w:tc>
          <w:tcPr>
            <w:tcW w:w="76" w:type="pct"/>
            <w:shd w:val="clear" w:color="auto" w:fill="CCEEFF"/>
            <w:noWrap/>
            <w:tcMar>
              <w:top w:w="0" w:type="dxa"/>
              <w:left w:w="0" w:type="dxa"/>
              <w:bottom w:w="0" w:type="dxa"/>
              <w:right w:w="0" w:type="dxa"/>
            </w:tcMar>
            <w:vAlign w:val="bottom"/>
            <w:hideMark/>
          </w:tcPr>
          <w:p w14:paraId="5464ECC4"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3EDBEF46" w14:textId="77777777" w:rsidR="00000000" w:rsidRDefault="00097612">
            <w:pPr>
              <w:pStyle w:val="a3"/>
              <w:spacing w:before="0" w:beforeAutospacing="0" w:after="0" w:afterAutospacing="0"/>
              <w:jc w:val="center"/>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14:paraId="167722A1" w14:textId="77777777" w:rsidR="00000000" w:rsidRDefault="00097612">
            <w:pPr>
              <w:pStyle w:val="a3"/>
              <w:spacing w:before="0" w:beforeAutospacing="0" w:after="0" w:afterAutospacing="0"/>
              <w:ind w:right="60"/>
              <w:jc w:val="right"/>
              <w:rPr>
                <w:sz w:val="16"/>
                <w:szCs w:val="16"/>
              </w:rPr>
            </w:pPr>
            <w:r>
              <w:rPr>
                <w:sz w:val="16"/>
                <w:szCs w:val="16"/>
              </w:rPr>
              <w:t>1</w:t>
            </w:r>
          </w:p>
        </w:tc>
        <w:tc>
          <w:tcPr>
            <w:tcW w:w="76" w:type="pct"/>
            <w:shd w:val="clear" w:color="auto" w:fill="CCEEFF"/>
            <w:noWrap/>
            <w:tcMar>
              <w:top w:w="0" w:type="dxa"/>
              <w:left w:w="0" w:type="dxa"/>
              <w:bottom w:w="0" w:type="dxa"/>
              <w:right w:w="0" w:type="dxa"/>
            </w:tcMar>
            <w:vAlign w:val="bottom"/>
            <w:hideMark/>
          </w:tcPr>
          <w:p w14:paraId="737837ED"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66067D33" w14:textId="77777777" w:rsidR="00000000" w:rsidRDefault="00097612">
            <w:pPr>
              <w:pStyle w:val="a3"/>
              <w:spacing w:before="0" w:beforeAutospacing="0" w:after="0" w:afterAutospacing="0"/>
              <w:jc w:val="center"/>
              <w:rPr>
                <w:sz w:val="16"/>
                <w:szCs w:val="16"/>
              </w:rPr>
            </w:pPr>
            <w:r>
              <w:rPr>
                <w:sz w:val="16"/>
                <w:szCs w:val="16"/>
              </w:rPr>
              <w:t>$</w:t>
            </w:r>
          </w:p>
        </w:tc>
        <w:tc>
          <w:tcPr>
            <w:tcW w:w="367" w:type="pct"/>
            <w:shd w:val="clear" w:color="auto" w:fill="CCEEFF"/>
            <w:noWrap/>
            <w:tcMar>
              <w:top w:w="0" w:type="dxa"/>
              <w:left w:w="0" w:type="dxa"/>
              <w:bottom w:w="0" w:type="dxa"/>
              <w:right w:w="0" w:type="dxa"/>
            </w:tcMar>
            <w:vAlign w:val="bottom"/>
            <w:hideMark/>
          </w:tcPr>
          <w:p w14:paraId="21FE0258" w14:textId="77777777" w:rsidR="00000000" w:rsidRDefault="00097612">
            <w:pPr>
              <w:pStyle w:val="a3"/>
              <w:spacing w:before="0" w:beforeAutospacing="0" w:after="0" w:afterAutospacing="0"/>
              <w:ind w:right="60"/>
              <w:jc w:val="right"/>
              <w:rPr>
                <w:sz w:val="16"/>
                <w:szCs w:val="16"/>
              </w:rPr>
            </w:pPr>
            <w:r>
              <w:rPr>
                <w:sz w:val="16"/>
                <w:szCs w:val="16"/>
              </w:rPr>
              <w:t>987,209</w:t>
            </w:r>
          </w:p>
        </w:tc>
        <w:tc>
          <w:tcPr>
            <w:tcW w:w="76" w:type="pct"/>
            <w:shd w:val="clear" w:color="auto" w:fill="CCEEFF"/>
            <w:noWrap/>
            <w:tcMar>
              <w:top w:w="0" w:type="dxa"/>
              <w:left w:w="0" w:type="dxa"/>
              <w:bottom w:w="0" w:type="dxa"/>
              <w:right w:w="0" w:type="dxa"/>
            </w:tcMar>
            <w:vAlign w:val="bottom"/>
            <w:hideMark/>
          </w:tcPr>
          <w:p w14:paraId="28ACA444"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02268452" w14:textId="77777777" w:rsidR="00000000" w:rsidRDefault="00097612">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14:paraId="1AAEF96F" w14:textId="77777777" w:rsidR="00000000" w:rsidRDefault="00097612">
            <w:pPr>
              <w:pStyle w:val="a3"/>
              <w:spacing w:before="0" w:beforeAutospacing="0" w:after="0" w:afterAutospacing="0"/>
              <w:ind w:right="60"/>
              <w:jc w:val="right"/>
              <w:rPr>
                <w:sz w:val="16"/>
                <w:szCs w:val="16"/>
              </w:rPr>
            </w:pPr>
            <w:r>
              <w:rPr>
                <w:sz w:val="16"/>
                <w:szCs w:val="16"/>
              </w:rPr>
              <w:t>129</w:t>
            </w:r>
          </w:p>
        </w:tc>
        <w:tc>
          <w:tcPr>
            <w:tcW w:w="76" w:type="pct"/>
            <w:shd w:val="clear" w:color="auto" w:fill="CCEEFF"/>
            <w:noWrap/>
            <w:tcMar>
              <w:top w:w="0" w:type="dxa"/>
              <w:left w:w="0" w:type="dxa"/>
              <w:bottom w:w="0" w:type="dxa"/>
              <w:right w:w="0" w:type="dxa"/>
            </w:tcMar>
            <w:vAlign w:val="bottom"/>
            <w:hideMark/>
          </w:tcPr>
          <w:p w14:paraId="45A3E148"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3B065C5A" w14:textId="77777777" w:rsidR="00000000" w:rsidRDefault="00097612">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14:paraId="7E11B053" w14:textId="77777777" w:rsidR="00000000" w:rsidRDefault="00097612">
            <w:pPr>
              <w:pStyle w:val="a3"/>
              <w:spacing w:before="0" w:beforeAutospacing="0" w:after="0" w:afterAutospacing="0"/>
              <w:jc w:val="right"/>
              <w:rPr>
                <w:sz w:val="16"/>
                <w:szCs w:val="16"/>
              </w:rPr>
            </w:pPr>
            <w:r>
              <w:rPr>
                <w:sz w:val="16"/>
                <w:szCs w:val="16"/>
              </w:rPr>
              <w:t>(1,124,563)</w:t>
            </w:r>
          </w:p>
        </w:tc>
        <w:tc>
          <w:tcPr>
            <w:tcW w:w="76" w:type="pct"/>
            <w:shd w:val="clear" w:color="auto" w:fill="CCEEFF"/>
            <w:noWrap/>
            <w:tcMar>
              <w:top w:w="0" w:type="dxa"/>
              <w:left w:w="0" w:type="dxa"/>
              <w:bottom w:w="0" w:type="dxa"/>
              <w:right w:w="0" w:type="dxa"/>
            </w:tcMar>
            <w:vAlign w:val="bottom"/>
            <w:hideMark/>
          </w:tcPr>
          <w:p w14:paraId="07A652DF"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12C5EC16" w14:textId="77777777" w:rsidR="00000000" w:rsidRDefault="00097612">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14:paraId="4DFECEE0" w14:textId="77777777" w:rsidR="00000000" w:rsidRDefault="00097612">
            <w:pPr>
              <w:pStyle w:val="a3"/>
              <w:spacing w:before="0" w:beforeAutospacing="0" w:after="0" w:afterAutospacing="0"/>
              <w:jc w:val="right"/>
              <w:rPr>
                <w:sz w:val="16"/>
                <w:szCs w:val="16"/>
              </w:rPr>
            </w:pPr>
            <w:r>
              <w:rPr>
                <w:sz w:val="16"/>
                <w:szCs w:val="16"/>
              </w:rPr>
              <w:t>(137,224)</w:t>
            </w:r>
          </w:p>
        </w:tc>
      </w:tr>
      <w:tr w:rsidR="00000000" w14:paraId="386A0CC3" w14:textId="77777777">
        <w:trPr>
          <w:divId w:val="1429960337"/>
        </w:trPr>
        <w:tc>
          <w:tcPr>
            <w:tcW w:w="1847" w:type="pct"/>
            <w:tcMar>
              <w:top w:w="0" w:type="dxa"/>
              <w:left w:w="0" w:type="dxa"/>
              <w:bottom w:w="0" w:type="dxa"/>
              <w:right w:w="0" w:type="dxa"/>
            </w:tcMar>
            <w:vAlign w:val="bottom"/>
            <w:hideMark/>
          </w:tcPr>
          <w:p w14:paraId="6B0277C6" w14:textId="77777777" w:rsidR="00000000" w:rsidRDefault="00097612">
            <w:pPr>
              <w:pStyle w:val="a3"/>
              <w:spacing w:before="0" w:beforeAutospacing="0" w:after="0" w:afterAutospacing="0"/>
              <w:ind w:left="240"/>
              <w:rPr>
                <w:sz w:val="16"/>
                <w:szCs w:val="16"/>
              </w:rPr>
            </w:pPr>
            <w:r>
              <w:rPr>
                <w:sz w:val="16"/>
                <w:szCs w:val="16"/>
              </w:rPr>
              <w:t>Proceeds from ESPP purchases</w:t>
            </w:r>
          </w:p>
        </w:tc>
        <w:tc>
          <w:tcPr>
            <w:tcW w:w="76" w:type="pct"/>
            <w:noWrap/>
            <w:tcMar>
              <w:top w:w="0" w:type="dxa"/>
              <w:left w:w="0" w:type="dxa"/>
              <w:bottom w:w="0" w:type="dxa"/>
              <w:right w:w="0" w:type="dxa"/>
            </w:tcMar>
            <w:vAlign w:val="bottom"/>
            <w:hideMark/>
          </w:tcPr>
          <w:p w14:paraId="58B9C976"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6A72884F"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6E433BD"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BA1A8DC"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43D7D98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AC13FE6"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2BD404E"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Mar>
              <w:top w:w="0" w:type="dxa"/>
              <w:left w:w="0" w:type="dxa"/>
              <w:bottom w:w="0" w:type="dxa"/>
              <w:right w:w="0" w:type="dxa"/>
            </w:tcMar>
            <w:vAlign w:val="bottom"/>
            <w:hideMark/>
          </w:tcPr>
          <w:p w14:paraId="6158E3CC"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A2805DE"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5C75D9AF"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14:paraId="302CE5B8"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57580D6"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47DC6609"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14:paraId="6D434E5E"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A2269F4"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25478E95"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4535B4E8" w14:textId="77777777" w:rsidR="00000000" w:rsidRDefault="00097612">
            <w:pPr>
              <w:pStyle w:val="a3"/>
              <w:spacing w:before="0" w:beforeAutospacing="0" w:after="0" w:afterAutospacing="0"/>
              <w:ind w:right="60"/>
              <w:jc w:val="right"/>
              <w:rPr>
                <w:sz w:val="16"/>
                <w:szCs w:val="16"/>
              </w:rPr>
            </w:pPr>
            <w:r>
              <w:rPr>
                <w:sz w:val="16"/>
                <w:szCs w:val="16"/>
              </w:rPr>
              <w:t>—</w:t>
            </w:r>
          </w:p>
        </w:tc>
      </w:tr>
      <w:tr w:rsidR="00000000" w14:paraId="610589B7" w14:textId="77777777">
        <w:trPr>
          <w:divId w:val="1429960337"/>
        </w:trPr>
        <w:tc>
          <w:tcPr>
            <w:tcW w:w="1847" w:type="pct"/>
            <w:shd w:val="clear" w:color="auto" w:fill="CCEEFF"/>
            <w:tcMar>
              <w:top w:w="0" w:type="dxa"/>
              <w:left w:w="0" w:type="dxa"/>
              <w:bottom w:w="0" w:type="dxa"/>
              <w:right w:w="0" w:type="dxa"/>
            </w:tcMar>
            <w:vAlign w:val="bottom"/>
            <w:hideMark/>
          </w:tcPr>
          <w:p w14:paraId="57785E91" w14:textId="77777777" w:rsidR="00000000" w:rsidRDefault="00097612">
            <w:pPr>
              <w:pStyle w:val="a3"/>
              <w:spacing w:before="0" w:beforeAutospacing="0" w:after="0" w:afterAutospacing="0"/>
              <w:ind w:left="240"/>
              <w:rPr>
                <w:sz w:val="16"/>
                <w:szCs w:val="16"/>
              </w:rPr>
            </w:pPr>
            <w:r>
              <w:rPr>
                <w:sz w:val="16"/>
                <w:szCs w:val="16"/>
              </w:rPr>
              <w:t>Employee share-based compensation expense</w:t>
            </w:r>
          </w:p>
        </w:tc>
        <w:tc>
          <w:tcPr>
            <w:tcW w:w="76" w:type="pct"/>
            <w:shd w:val="clear" w:color="auto" w:fill="CCEEFF"/>
            <w:noWrap/>
            <w:tcMar>
              <w:top w:w="0" w:type="dxa"/>
              <w:left w:w="0" w:type="dxa"/>
              <w:bottom w:w="0" w:type="dxa"/>
              <w:right w:w="0" w:type="dxa"/>
            </w:tcMar>
            <w:vAlign w:val="bottom"/>
            <w:hideMark/>
          </w:tcPr>
          <w:p w14:paraId="3FD0D6B0"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49C8FB00"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3E51F967"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69D9CC6B"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6384033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5A7BD607"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5BCEB936"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24A43153" w14:textId="77777777" w:rsidR="00000000" w:rsidRDefault="00097612">
            <w:pPr>
              <w:pStyle w:val="a3"/>
              <w:spacing w:before="0" w:beforeAutospacing="0" w:after="0" w:afterAutospacing="0"/>
              <w:ind w:right="60"/>
              <w:jc w:val="right"/>
              <w:rPr>
                <w:sz w:val="16"/>
                <w:szCs w:val="16"/>
              </w:rPr>
            </w:pPr>
            <w:r>
              <w:rPr>
                <w:sz w:val="16"/>
                <w:szCs w:val="16"/>
              </w:rPr>
              <w:t>13,019</w:t>
            </w:r>
          </w:p>
        </w:tc>
        <w:tc>
          <w:tcPr>
            <w:tcW w:w="76" w:type="pct"/>
            <w:shd w:val="clear" w:color="auto" w:fill="CCEEFF"/>
            <w:noWrap/>
            <w:tcMar>
              <w:top w:w="0" w:type="dxa"/>
              <w:left w:w="0" w:type="dxa"/>
              <w:bottom w:w="0" w:type="dxa"/>
              <w:right w:w="0" w:type="dxa"/>
            </w:tcMar>
            <w:vAlign w:val="bottom"/>
            <w:hideMark/>
          </w:tcPr>
          <w:p w14:paraId="4A04F56C"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3B4819E2"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14:paraId="5815D14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580AC3B8"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300360C2"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0CA3B01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7EA661DA"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5004D4B1"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646064BD" w14:textId="77777777" w:rsidR="00000000" w:rsidRDefault="00097612">
            <w:pPr>
              <w:pStyle w:val="a3"/>
              <w:spacing w:before="0" w:beforeAutospacing="0" w:after="0" w:afterAutospacing="0"/>
              <w:ind w:right="60"/>
              <w:jc w:val="right"/>
              <w:rPr>
                <w:sz w:val="16"/>
                <w:szCs w:val="16"/>
              </w:rPr>
            </w:pPr>
            <w:r>
              <w:rPr>
                <w:sz w:val="16"/>
                <w:szCs w:val="16"/>
              </w:rPr>
              <w:t>13,019</w:t>
            </w:r>
          </w:p>
        </w:tc>
      </w:tr>
      <w:tr w:rsidR="00000000" w14:paraId="2CF0AAA7" w14:textId="77777777">
        <w:trPr>
          <w:divId w:val="1429960337"/>
        </w:trPr>
        <w:tc>
          <w:tcPr>
            <w:tcW w:w="1847" w:type="pct"/>
            <w:tcMar>
              <w:top w:w="0" w:type="dxa"/>
              <w:left w:w="0" w:type="dxa"/>
              <w:bottom w:w="0" w:type="dxa"/>
              <w:right w:w="0" w:type="dxa"/>
            </w:tcMar>
            <w:vAlign w:val="bottom"/>
            <w:hideMark/>
          </w:tcPr>
          <w:p w14:paraId="2C811044" w14:textId="77777777" w:rsidR="00000000" w:rsidRDefault="00097612">
            <w:pPr>
              <w:pStyle w:val="a3"/>
              <w:spacing w:before="0" w:beforeAutospacing="0" w:after="0" w:afterAutospacing="0"/>
              <w:ind w:left="240"/>
              <w:rPr>
                <w:sz w:val="16"/>
                <w:szCs w:val="16"/>
              </w:rPr>
            </w:pPr>
            <w:r>
              <w:rPr>
                <w:sz w:val="16"/>
                <w:szCs w:val="16"/>
              </w:rPr>
              <w:t>Issuance of restricted shares</w:t>
            </w:r>
          </w:p>
        </w:tc>
        <w:tc>
          <w:tcPr>
            <w:tcW w:w="76" w:type="pct"/>
            <w:noWrap/>
            <w:tcMar>
              <w:top w:w="0" w:type="dxa"/>
              <w:left w:w="0" w:type="dxa"/>
              <w:bottom w:w="0" w:type="dxa"/>
              <w:right w:w="0" w:type="dxa"/>
            </w:tcMar>
            <w:vAlign w:val="bottom"/>
            <w:hideMark/>
          </w:tcPr>
          <w:p w14:paraId="6E59D1EC"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06D7470B" w14:textId="77777777" w:rsidR="00000000" w:rsidRDefault="00097612">
            <w:pPr>
              <w:pStyle w:val="a3"/>
              <w:spacing w:before="0" w:beforeAutospacing="0" w:after="0" w:afterAutospacing="0"/>
              <w:ind w:right="60"/>
              <w:jc w:val="right"/>
              <w:rPr>
                <w:sz w:val="16"/>
                <w:szCs w:val="16"/>
              </w:rPr>
            </w:pPr>
            <w:r>
              <w:rPr>
                <w:sz w:val="16"/>
                <w:szCs w:val="16"/>
              </w:rPr>
              <w:t>209</w:t>
            </w:r>
          </w:p>
        </w:tc>
        <w:tc>
          <w:tcPr>
            <w:tcW w:w="76" w:type="pct"/>
            <w:noWrap/>
            <w:tcMar>
              <w:top w:w="0" w:type="dxa"/>
              <w:left w:w="0" w:type="dxa"/>
              <w:bottom w:w="0" w:type="dxa"/>
              <w:right w:w="0" w:type="dxa"/>
            </w:tcMar>
            <w:vAlign w:val="bottom"/>
            <w:hideMark/>
          </w:tcPr>
          <w:p w14:paraId="0BCD31AA"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9F6F0DE"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718351A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55DF9DA6"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EAFD56C"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Mar>
              <w:top w:w="0" w:type="dxa"/>
              <w:left w:w="0" w:type="dxa"/>
              <w:bottom w:w="0" w:type="dxa"/>
              <w:right w:w="0" w:type="dxa"/>
            </w:tcMar>
            <w:vAlign w:val="bottom"/>
            <w:hideMark/>
          </w:tcPr>
          <w:p w14:paraId="3A9B948F"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7D9F0365"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5852248A"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14:paraId="62509CDF"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99EEF94"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7159CF10"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14:paraId="1D6991E6"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760EEC68"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35905967"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7DC29590" w14:textId="77777777" w:rsidR="00000000" w:rsidRDefault="00097612">
            <w:pPr>
              <w:pStyle w:val="a3"/>
              <w:spacing w:before="0" w:beforeAutospacing="0" w:after="0" w:afterAutospacing="0"/>
              <w:ind w:right="60"/>
              <w:jc w:val="right"/>
              <w:rPr>
                <w:sz w:val="16"/>
                <w:szCs w:val="16"/>
              </w:rPr>
            </w:pPr>
            <w:r>
              <w:rPr>
                <w:sz w:val="16"/>
                <w:szCs w:val="16"/>
              </w:rPr>
              <w:t>—</w:t>
            </w:r>
          </w:p>
        </w:tc>
      </w:tr>
      <w:tr w:rsidR="00000000" w14:paraId="47B14EC3" w14:textId="77777777">
        <w:trPr>
          <w:divId w:val="1429960337"/>
        </w:trPr>
        <w:tc>
          <w:tcPr>
            <w:tcW w:w="1847" w:type="pct"/>
            <w:shd w:val="clear" w:color="auto" w:fill="CCEEFF"/>
            <w:tcMar>
              <w:top w:w="0" w:type="dxa"/>
              <w:left w:w="0" w:type="dxa"/>
              <w:bottom w:w="0" w:type="dxa"/>
              <w:right w:w="0" w:type="dxa"/>
            </w:tcMar>
            <w:vAlign w:val="bottom"/>
            <w:hideMark/>
          </w:tcPr>
          <w:p w14:paraId="27CF8D87" w14:textId="77777777" w:rsidR="00000000" w:rsidRDefault="00097612">
            <w:pPr>
              <w:pStyle w:val="a3"/>
              <w:spacing w:before="0" w:beforeAutospacing="0" w:after="0" w:afterAutospacing="0"/>
              <w:ind w:left="240"/>
              <w:rPr>
                <w:sz w:val="16"/>
                <w:szCs w:val="16"/>
              </w:rPr>
            </w:pPr>
            <w:r>
              <w:rPr>
                <w:sz w:val="16"/>
                <w:szCs w:val="16"/>
              </w:rPr>
              <w:t>Option exercises</w:t>
            </w:r>
          </w:p>
        </w:tc>
        <w:tc>
          <w:tcPr>
            <w:tcW w:w="76" w:type="pct"/>
            <w:shd w:val="clear" w:color="auto" w:fill="CCEEFF"/>
            <w:noWrap/>
            <w:tcMar>
              <w:top w:w="0" w:type="dxa"/>
              <w:left w:w="0" w:type="dxa"/>
              <w:bottom w:w="0" w:type="dxa"/>
              <w:right w:w="0" w:type="dxa"/>
            </w:tcMar>
            <w:vAlign w:val="bottom"/>
            <w:hideMark/>
          </w:tcPr>
          <w:p w14:paraId="60754B1C"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0ECF4D90" w14:textId="77777777" w:rsidR="00000000" w:rsidRDefault="00097612">
            <w:pPr>
              <w:pStyle w:val="a3"/>
              <w:spacing w:before="0" w:beforeAutospacing="0" w:after="0" w:afterAutospacing="0"/>
              <w:ind w:right="60"/>
              <w:jc w:val="right"/>
              <w:rPr>
                <w:sz w:val="16"/>
                <w:szCs w:val="16"/>
              </w:rPr>
            </w:pPr>
            <w:r>
              <w:rPr>
                <w:sz w:val="16"/>
                <w:szCs w:val="16"/>
              </w:rPr>
              <w:t>29</w:t>
            </w:r>
          </w:p>
        </w:tc>
        <w:tc>
          <w:tcPr>
            <w:tcW w:w="76" w:type="pct"/>
            <w:shd w:val="clear" w:color="auto" w:fill="CCEEFF"/>
            <w:noWrap/>
            <w:tcMar>
              <w:top w:w="0" w:type="dxa"/>
              <w:left w:w="0" w:type="dxa"/>
              <w:bottom w:w="0" w:type="dxa"/>
              <w:right w:w="0" w:type="dxa"/>
            </w:tcMar>
            <w:vAlign w:val="bottom"/>
            <w:hideMark/>
          </w:tcPr>
          <w:p w14:paraId="41DF3F5D"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2C8EB983"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7A6FB18D"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29FB5BB2"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2AF97DAD"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405730A9" w14:textId="77777777" w:rsidR="00000000" w:rsidRDefault="00097612">
            <w:pPr>
              <w:pStyle w:val="a3"/>
              <w:spacing w:before="0" w:beforeAutospacing="0" w:after="0" w:afterAutospacing="0"/>
              <w:ind w:right="60"/>
              <w:jc w:val="right"/>
              <w:rPr>
                <w:sz w:val="16"/>
                <w:szCs w:val="16"/>
              </w:rPr>
            </w:pPr>
            <w:r>
              <w:rPr>
                <w:sz w:val="16"/>
                <w:szCs w:val="16"/>
              </w:rPr>
              <w:t>428</w:t>
            </w:r>
          </w:p>
        </w:tc>
        <w:tc>
          <w:tcPr>
            <w:tcW w:w="76" w:type="pct"/>
            <w:shd w:val="clear" w:color="auto" w:fill="CCEEFF"/>
            <w:noWrap/>
            <w:tcMar>
              <w:top w:w="0" w:type="dxa"/>
              <w:left w:w="0" w:type="dxa"/>
              <w:bottom w:w="0" w:type="dxa"/>
              <w:right w:w="0" w:type="dxa"/>
            </w:tcMar>
            <w:vAlign w:val="bottom"/>
            <w:hideMark/>
          </w:tcPr>
          <w:p w14:paraId="6BF2A2ED"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56614EA4"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14:paraId="6E12BCD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5FE2BCEC"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187694A9"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1831D297"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4A68B15D"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2D6913B4"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3325AED7" w14:textId="77777777" w:rsidR="00000000" w:rsidRDefault="00097612">
            <w:pPr>
              <w:pStyle w:val="a3"/>
              <w:spacing w:before="0" w:beforeAutospacing="0" w:after="0" w:afterAutospacing="0"/>
              <w:ind w:right="60"/>
              <w:jc w:val="right"/>
              <w:rPr>
                <w:sz w:val="16"/>
                <w:szCs w:val="16"/>
              </w:rPr>
            </w:pPr>
            <w:r>
              <w:rPr>
                <w:sz w:val="16"/>
                <w:szCs w:val="16"/>
              </w:rPr>
              <w:t>428</w:t>
            </w:r>
          </w:p>
        </w:tc>
      </w:tr>
      <w:tr w:rsidR="00000000" w14:paraId="61E17A0B" w14:textId="77777777">
        <w:trPr>
          <w:divId w:val="1429960337"/>
        </w:trPr>
        <w:tc>
          <w:tcPr>
            <w:tcW w:w="1847" w:type="pct"/>
            <w:tcMar>
              <w:top w:w="0" w:type="dxa"/>
              <w:left w:w="0" w:type="dxa"/>
              <w:bottom w:w="0" w:type="dxa"/>
              <w:right w:w="0" w:type="dxa"/>
            </w:tcMar>
            <w:vAlign w:val="bottom"/>
            <w:hideMark/>
          </w:tcPr>
          <w:p w14:paraId="782774D0" w14:textId="77777777" w:rsidR="00000000" w:rsidRDefault="00097612">
            <w:pPr>
              <w:pStyle w:val="a3"/>
              <w:spacing w:before="0" w:beforeAutospacing="0" w:after="0" w:afterAutospacing="0"/>
              <w:ind w:left="240"/>
              <w:rPr>
                <w:sz w:val="16"/>
                <w:szCs w:val="16"/>
              </w:rPr>
            </w:pPr>
            <w:r>
              <w:rPr>
                <w:sz w:val="16"/>
                <w:szCs w:val="16"/>
              </w:rPr>
              <w:t>Repurchase of shares to satisfy tax withholding</w:t>
            </w:r>
          </w:p>
        </w:tc>
        <w:tc>
          <w:tcPr>
            <w:tcW w:w="76" w:type="pct"/>
            <w:noWrap/>
            <w:tcMar>
              <w:top w:w="0" w:type="dxa"/>
              <w:left w:w="0" w:type="dxa"/>
              <w:bottom w:w="0" w:type="dxa"/>
              <w:right w:w="0" w:type="dxa"/>
            </w:tcMar>
            <w:vAlign w:val="bottom"/>
            <w:hideMark/>
          </w:tcPr>
          <w:p w14:paraId="1CB957EF"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0D6F35C8" w14:textId="77777777" w:rsidR="00000000" w:rsidRDefault="00097612">
            <w:pPr>
              <w:pStyle w:val="a3"/>
              <w:spacing w:before="0" w:beforeAutospacing="0" w:after="0" w:afterAutospacing="0"/>
              <w:jc w:val="right"/>
              <w:rPr>
                <w:sz w:val="16"/>
                <w:szCs w:val="16"/>
              </w:rPr>
            </w:pPr>
            <w:r>
              <w:rPr>
                <w:sz w:val="16"/>
                <w:szCs w:val="16"/>
              </w:rPr>
              <w:t>(113)</w:t>
            </w:r>
          </w:p>
        </w:tc>
        <w:tc>
          <w:tcPr>
            <w:tcW w:w="76" w:type="pct"/>
            <w:noWrap/>
            <w:tcMar>
              <w:top w:w="0" w:type="dxa"/>
              <w:left w:w="0" w:type="dxa"/>
              <w:bottom w:w="0" w:type="dxa"/>
              <w:right w:w="0" w:type="dxa"/>
            </w:tcMar>
            <w:vAlign w:val="bottom"/>
            <w:hideMark/>
          </w:tcPr>
          <w:p w14:paraId="7E6EF7D8"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2271089"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2FB1FD03"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5A441A22"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1AB641F"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Mar>
              <w:top w:w="0" w:type="dxa"/>
              <w:left w:w="0" w:type="dxa"/>
              <w:bottom w:w="0" w:type="dxa"/>
              <w:right w:w="0" w:type="dxa"/>
            </w:tcMar>
            <w:vAlign w:val="bottom"/>
            <w:hideMark/>
          </w:tcPr>
          <w:p w14:paraId="272C9D9B" w14:textId="77777777" w:rsidR="00000000" w:rsidRDefault="00097612">
            <w:pPr>
              <w:pStyle w:val="a3"/>
              <w:spacing w:before="0" w:beforeAutospacing="0" w:after="0" w:afterAutospacing="0"/>
              <w:jc w:val="right"/>
              <w:rPr>
                <w:sz w:val="16"/>
                <w:szCs w:val="16"/>
              </w:rPr>
            </w:pPr>
            <w:r>
              <w:rPr>
                <w:sz w:val="16"/>
                <w:szCs w:val="16"/>
              </w:rPr>
              <w:t>(562)</w:t>
            </w:r>
          </w:p>
        </w:tc>
        <w:tc>
          <w:tcPr>
            <w:tcW w:w="76" w:type="pct"/>
            <w:noWrap/>
            <w:tcMar>
              <w:top w:w="0" w:type="dxa"/>
              <w:left w:w="0" w:type="dxa"/>
              <w:bottom w:w="0" w:type="dxa"/>
              <w:right w:w="0" w:type="dxa"/>
            </w:tcMar>
            <w:vAlign w:val="bottom"/>
            <w:hideMark/>
          </w:tcPr>
          <w:p w14:paraId="75A6FA75"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21E33F5C"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14:paraId="260272C8"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6FA2BA3"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0668E2E9"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14:paraId="00D5BE3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2EE2476"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24F9815C"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12E47822" w14:textId="77777777" w:rsidR="00000000" w:rsidRDefault="00097612">
            <w:pPr>
              <w:pStyle w:val="a3"/>
              <w:spacing w:before="0" w:beforeAutospacing="0" w:after="0" w:afterAutospacing="0"/>
              <w:jc w:val="right"/>
              <w:rPr>
                <w:sz w:val="16"/>
                <w:szCs w:val="16"/>
              </w:rPr>
            </w:pPr>
            <w:r>
              <w:rPr>
                <w:sz w:val="16"/>
                <w:szCs w:val="16"/>
              </w:rPr>
              <w:t>(562)</w:t>
            </w:r>
          </w:p>
        </w:tc>
      </w:tr>
      <w:tr w:rsidR="00000000" w14:paraId="2080580D" w14:textId="77777777">
        <w:trPr>
          <w:divId w:val="1429960337"/>
        </w:trPr>
        <w:tc>
          <w:tcPr>
            <w:tcW w:w="1847" w:type="pct"/>
            <w:shd w:val="clear" w:color="auto" w:fill="CCEEFF"/>
            <w:tcMar>
              <w:top w:w="0" w:type="dxa"/>
              <w:left w:w="0" w:type="dxa"/>
              <w:bottom w:w="0" w:type="dxa"/>
              <w:right w:w="0" w:type="dxa"/>
            </w:tcMar>
            <w:vAlign w:val="bottom"/>
            <w:hideMark/>
          </w:tcPr>
          <w:p w14:paraId="2213D758" w14:textId="77777777" w:rsidR="00000000" w:rsidRDefault="00097612">
            <w:pPr>
              <w:pStyle w:val="a3"/>
              <w:spacing w:before="0" w:beforeAutospacing="0" w:after="0" w:afterAutospacing="0"/>
              <w:ind w:left="240"/>
              <w:rPr>
                <w:sz w:val="16"/>
                <w:szCs w:val="16"/>
              </w:rPr>
            </w:pPr>
            <w:r>
              <w:rPr>
                <w:sz w:val="16"/>
                <w:szCs w:val="16"/>
              </w:rPr>
              <w:t>Net unrealized loss on marketable securities</w:t>
            </w:r>
          </w:p>
        </w:tc>
        <w:tc>
          <w:tcPr>
            <w:tcW w:w="76" w:type="pct"/>
            <w:shd w:val="clear" w:color="auto" w:fill="CCEEFF"/>
            <w:noWrap/>
            <w:tcMar>
              <w:top w:w="0" w:type="dxa"/>
              <w:left w:w="0" w:type="dxa"/>
              <w:bottom w:w="0" w:type="dxa"/>
              <w:right w:w="0" w:type="dxa"/>
            </w:tcMar>
            <w:vAlign w:val="bottom"/>
            <w:hideMark/>
          </w:tcPr>
          <w:p w14:paraId="6E3916F2"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1F3222CC"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616DC0B4"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4A869600"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28356B5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24630328"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057CCB42"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1F8E5F85"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33F3422A"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163E1EBA"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14:paraId="682D7466" w14:textId="77777777" w:rsidR="00000000" w:rsidRDefault="00097612">
            <w:pPr>
              <w:pStyle w:val="a3"/>
              <w:spacing w:before="0" w:beforeAutospacing="0" w:after="0" w:afterAutospacing="0"/>
              <w:jc w:val="right"/>
              <w:rPr>
                <w:sz w:val="16"/>
                <w:szCs w:val="16"/>
              </w:rPr>
            </w:pPr>
            <w:r>
              <w:rPr>
                <w:sz w:val="16"/>
                <w:szCs w:val="16"/>
              </w:rPr>
              <w:t>(35)</w:t>
            </w:r>
          </w:p>
        </w:tc>
        <w:tc>
          <w:tcPr>
            <w:tcW w:w="76" w:type="pct"/>
            <w:shd w:val="clear" w:color="auto" w:fill="CCEEFF"/>
            <w:noWrap/>
            <w:tcMar>
              <w:top w:w="0" w:type="dxa"/>
              <w:left w:w="0" w:type="dxa"/>
              <w:bottom w:w="0" w:type="dxa"/>
              <w:right w:w="0" w:type="dxa"/>
            </w:tcMar>
            <w:vAlign w:val="bottom"/>
            <w:hideMark/>
          </w:tcPr>
          <w:p w14:paraId="32D75B0D"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0ACCCE14"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6E0A8C43"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25B3CC9E"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7DBDA0FC"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6ED5F0B6" w14:textId="77777777" w:rsidR="00000000" w:rsidRDefault="00097612">
            <w:pPr>
              <w:pStyle w:val="a3"/>
              <w:spacing w:before="0" w:beforeAutospacing="0" w:after="0" w:afterAutospacing="0"/>
              <w:jc w:val="right"/>
              <w:rPr>
                <w:sz w:val="16"/>
                <w:szCs w:val="16"/>
              </w:rPr>
            </w:pPr>
            <w:r>
              <w:rPr>
                <w:sz w:val="16"/>
                <w:szCs w:val="16"/>
              </w:rPr>
              <w:t>(35)</w:t>
            </w:r>
          </w:p>
        </w:tc>
      </w:tr>
      <w:tr w:rsidR="00000000" w14:paraId="4C43A828" w14:textId="77777777">
        <w:trPr>
          <w:divId w:val="1429960337"/>
        </w:trPr>
        <w:tc>
          <w:tcPr>
            <w:tcW w:w="1847" w:type="pct"/>
            <w:tcMar>
              <w:top w:w="0" w:type="dxa"/>
              <w:left w:w="0" w:type="dxa"/>
              <w:bottom w:w="0" w:type="dxa"/>
              <w:right w:w="0" w:type="dxa"/>
            </w:tcMar>
            <w:vAlign w:val="bottom"/>
            <w:hideMark/>
          </w:tcPr>
          <w:p w14:paraId="76BEADC8" w14:textId="77777777" w:rsidR="00000000" w:rsidRDefault="00097612">
            <w:pPr>
              <w:pStyle w:val="a3"/>
              <w:spacing w:before="0" w:beforeAutospacing="0" w:after="0" w:afterAutospacing="0"/>
              <w:ind w:left="240"/>
              <w:rPr>
                <w:sz w:val="16"/>
                <w:szCs w:val="16"/>
              </w:rPr>
            </w:pPr>
            <w:r>
              <w:rPr>
                <w:sz w:val="16"/>
                <w:szCs w:val="16"/>
              </w:rPr>
              <w:t>Net loss</w:t>
            </w:r>
          </w:p>
        </w:tc>
        <w:tc>
          <w:tcPr>
            <w:tcW w:w="76" w:type="pct"/>
            <w:noWrap/>
            <w:tcMar>
              <w:top w:w="0" w:type="dxa"/>
              <w:left w:w="0" w:type="dxa"/>
              <w:bottom w:w="0" w:type="dxa"/>
              <w:right w:w="0" w:type="dxa"/>
            </w:tcMar>
            <w:vAlign w:val="bottom"/>
            <w:hideMark/>
          </w:tcPr>
          <w:p w14:paraId="0C1DC14E" w14:textId="77777777" w:rsidR="00000000" w:rsidRDefault="00097612">
            <w:pPr>
              <w:pStyle w:val="a3"/>
              <w:spacing w:before="0" w:beforeAutospacing="0" w:after="0" w:afterAutospacing="0"/>
              <w:rPr>
                <w:sz w:val="20"/>
                <w:szCs w:val="20"/>
              </w:rPr>
            </w:pPr>
            <w:r>
              <w:rPr>
                <w:sz w:val="16"/>
                <w:szCs w:val="16"/>
              </w:rPr>
              <w:t>​</w:t>
            </w:r>
          </w:p>
        </w:tc>
        <w:tc>
          <w:tcPr>
            <w:tcW w:w="342" w:type="pct"/>
            <w:tcBorders>
              <w:bottom w:val="single" w:sz="6" w:space="0" w:color="000000"/>
            </w:tcBorders>
            <w:tcMar>
              <w:top w:w="0" w:type="dxa"/>
              <w:left w:w="0" w:type="dxa"/>
              <w:bottom w:w="0" w:type="dxa"/>
              <w:right w:w="0" w:type="dxa"/>
            </w:tcMar>
            <w:vAlign w:val="bottom"/>
            <w:hideMark/>
          </w:tcPr>
          <w:p w14:paraId="6C8D735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098E1484"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14:paraId="2AB5CC05"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Borders>
              <w:bottom w:val="single" w:sz="6" w:space="0" w:color="000000"/>
            </w:tcBorders>
            <w:tcMar>
              <w:top w:w="0" w:type="dxa"/>
              <w:left w:w="0" w:type="dxa"/>
              <w:bottom w:w="0" w:type="dxa"/>
              <w:right w:w="0" w:type="dxa"/>
            </w:tcMar>
            <w:vAlign w:val="bottom"/>
            <w:hideMark/>
          </w:tcPr>
          <w:p w14:paraId="1B609AE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64238DDF"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14:paraId="43068AD0"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Borders>
              <w:bottom w:val="single" w:sz="6" w:space="0" w:color="000000"/>
            </w:tcBorders>
            <w:tcMar>
              <w:top w:w="0" w:type="dxa"/>
              <w:left w:w="0" w:type="dxa"/>
              <w:bottom w:w="0" w:type="dxa"/>
              <w:right w:w="0" w:type="dxa"/>
            </w:tcMar>
            <w:vAlign w:val="bottom"/>
            <w:hideMark/>
          </w:tcPr>
          <w:p w14:paraId="6D082F7E"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6E12DE1F" w14:textId="77777777" w:rsidR="00000000" w:rsidRDefault="00097612">
            <w:pPr>
              <w:pStyle w:val="a3"/>
              <w:spacing w:before="0" w:beforeAutospacing="0" w:after="0" w:afterAutospacing="0"/>
              <w:rPr>
                <w:sz w:val="20"/>
                <w:szCs w:val="20"/>
              </w:rPr>
            </w:pPr>
            <w:r>
              <w:rPr>
                <w:sz w:val="16"/>
                <w:szCs w:val="16"/>
              </w:rPr>
              <w:t>​</w:t>
            </w:r>
          </w:p>
        </w:tc>
        <w:tc>
          <w:tcPr>
            <w:tcW w:w="108" w:type="pct"/>
            <w:tcBorders>
              <w:bottom w:val="single" w:sz="6" w:space="0" w:color="000000"/>
            </w:tcBorders>
            <w:noWrap/>
            <w:tcMar>
              <w:top w:w="0" w:type="dxa"/>
              <w:left w:w="0" w:type="dxa"/>
              <w:bottom w:w="0" w:type="dxa"/>
              <w:right w:w="0" w:type="dxa"/>
            </w:tcMar>
            <w:vAlign w:val="bottom"/>
            <w:hideMark/>
          </w:tcPr>
          <w:p w14:paraId="64E03416"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tcMar>
              <w:top w:w="0" w:type="dxa"/>
              <w:left w:w="0" w:type="dxa"/>
              <w:bottom w:w="0" w:type="dxa"/>
              <w:right w:w="0" w:type="dxa"/>
            </w:tcMar>
            <w:vAlign w:val="bottom"/>
            <w:hideMark/>
          </w:tcPr>
          <w:p w14:paraId="083B0E55"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5CA17A4A" w14:textId="77777777" w:rsidR="00000000" w:rsidRDefault="00097612">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14:paraId="39DD578D"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14:paraId="7B74A0EC" w14:textId="77777777" w:rsidR="00000000" w:rsidRDefault="00097612">
            <w:pPr>
              <w:pStyle w:val="a3"/>
              <w:spacing w:before="0" w:beforeAutospacing="0" w:after="0" w:afterAutospacing="0"/>
              <w:jc w:val="right"/>
              <w:rPr>
                <w:sz w:val="16"/>
                <w:szCs w:val="16"/>
              </w:rPr>
            </w:pPr>
            <w:r>
              <w:rPr>
                <w:sz w:val="16"/>
                <w:szCs w:val="16"/>
              </w:rPr>
              <w:t>(58,431)</w:t>
            </w:r>
          </w:p>
        </w:tc>
        <w:tc>
          <w:tcPr>
            <w:tcW w:w="76" w:type="pct"/>
            <w:noWrap/>
            <w:tcMar>
              <w:top w:w="0" w:type="dxa"/>
              <w:left w:w="0" w:type="dxa"/>
              <w:bottom w:w="0" w:type="dxa"/>
              <w:right w:w="0" w:type="dxa"/>
            </w:tcMar>
            <w:vAlign w:val="bottom"/>
            <w:hideMark/>
          </w:tcPr>
          <w:p w14:paraId="444E82BB" w14:textId="77777777" w:rsidR="00000000" w:rsidRDefault="00097612">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14:paraId="12FA29A9"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14:paraId="221CF730" w14:textId="77777777" w:rsidR="00000000" w:rsidRDefault="00097612">
            <w:pPr>
              <w:pStyle w:val="a3"/>
              <w:spacing w:before="0" w:beforeAutospacing="0" w:after="0" w:afterAutospacing="0"/>
              <w:jc w:val="right"/>
              <w:rPr>
                <w:sz w:val="16"/>
                <w:szCs w:val="16"/>
              </w:rPr>
            </w:pPr>
            <w:r>
              <w:rPr>
                <w:sz w:val="16"/>
                <w:szCs w:val="16"/>
              </w:rPr>
              <w:t>(58,431)</w:t>
            </w:r>
          </w:p>
        </w:tc>
      </w:tr>
      <w:tr w:rsidR="00000000" w14:paraId="1AE0A985" w14:textId="77777777">
        <w:trPr>
          <w:divId w:val="1429960337"/>
        </w:trPr>
        <w:tc>
          <w:tcPr>
            <w:tcW w:w="1847" w:type="pct"/>
            <w:shd w:val="clear" w:color="auto" w:fill="CCEEFF"/>
            <w:tcMar>
              <w:top w:w="0" w:type="dxa"/>
              <w:left w:w="0" w:type="dxa"/>
              <w:bottom w:w="0" w:type="dxa"/>
              <w:right w:w="0" w:type="dxa"/>
            </w:tcMar>
            <w:vAlign w:val="bottom"/>
            <w:hideMark/>
          </w:tcPr>
          <w:p w14:paraId="5A96D774" w14:textId="77777777" w:rsidR="00000000" w:rsidRDefault="00097612">
            <w:pPr>
              <w:pStyle w:val="a3"/>
              <w:spacing w:before="0" w:beforeAutospacing="0" w:after="0" w:afterAutospacing="0"/>
              <w:rPr>
                <w:sz w:val="16"/>
                <w:szCs w:val="16"/>
              </w:rPr>
            </w:pPr>
            <w:r>
              <w:rPr>
                <w:sz w:val="16"/>
                <w:szCs w:val="16"/>
              </w:rPr>
              <w:t>Balances at September 30, 2019</w:t>
            </w:r>
          </w:p>
        </w:tc>
        <w:tc>
          <w:tcPr>
            <w:tcW w:w="76" w:type="pct"/>
            <w:shd w:val="clear" w:color="auto" w:fill="CCEEFF"/>
            <w:noWrap/>
            <w:tcMar>
              <w:top w:w="0" w:type="dxa"/>
              <w:left w:w="0" w:type="dxa"/>
              <w:bottom w:w="0" w:type="dxa"/>
              <w:right w:w="0" w:type="dxa"/>
            </w:tcMar>
            <w:vAlign w:val="bottom"/>
            <w:hideMark/>
          </w:tcPr>
          <w:p w14:paraId="67D45D92" w14:textId="77777777" w:rsidR="00000000" w:rsidRDefault="00097612">
            <w:pPr>
              <w:pStyle w:val="a3"/>
              <w:spacing w:before="0" w:beforeAutospacing="0" w:after="0" w:afterAutospacing="0"/>
              <w:rPr>
                <w:sz w:val="20"/>
                <w:szCs w:val="20"/>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14:paraId="5916A179" w14:textId="77777777" w:rsidR="00000000" w:rsidRDefault="00097612">
            <w:pPr>
              <w:pStyle w:val="a3"/>
              <w:spacing w:before="0" w:beforeAutospacing="0" w:after="0" w:afterAutospacing="0"/>
              <w:ind w:right="60"/>
              <w:jc w:val="right"/>
              <w:rPr>
                <w:sz w:val="16"/>
                <w:szCs w:val="16"/>
              </w:rPr>
            </w:pPr>
            <w:r>
              <w:rPr>
                <w:sz w:val="16"/>
                <w:szCs w:val="16"/>
              </w:rPr>
              <w:t>56,762</w:t>
            </w:r>
          </w:p>
        </w:tc>
        <w:tc>
          <w:tcPr>
            <w:tcW w:w="76" w:type="pct"/>
            <w:shd w:val="clear" w:color="auto" w:fill="CCEEFF"/>
            <w:noWrap/>
            <w:tcMar>
              <w:top w:w="0" w:type="dxa"/>
              <w:left w:w="0" w:type="dxa"/>
              <w:bottom w:w="0" w:type="dxa"/>
              <w:right w:w="0" w:type="dxa"/>
            </w:tcMar>
            <w:vAlign w:val="bottom"/>
            <w:hideMark/>
          </w:tcPr>
          <w:p w14:paraId="543D8D53"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58639858" w14:textId="77777777" w:rsidR="00000000" w:rsidRDefault="00097612">
            <w:pPr>
              <w:pStyle w:val="a3"/>
              <w:spacing w:before="0" w:beforeAutospacing="0" w:after="0" w:afterAutospacing="0"/>
              <w:jc w:val="center"/>
              <w:rPr>
                <w:sz w:val="16"/>
                <w:szCs w:val="16"/>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14:paraId="7FD85715" w14:textId="77777777" w:rsidR="00000000" w:rsidRDefault="00097612">
            <w:pPr>
              <w:pStyle w:val="a3"/>
              <w:spacing w:before="0" w:beforeAutospacing="0" w:after="0" w:afterAutospacing="0"/>
              <w:ind w:right="60"/>
              <w:jc w:val="right"/>
              <w:rPr>
                <w:sz w:val="16"/>
                <w:szCs w:val="16"/>
              </w:rPr>
            </w:pPr>
            <w:r>
              <w:rPr>
                <w:sz w:val="16"/>
                <w:szCs w:val="16"/>
              </w:rPr>
              <w:t>1</w:t>
            </w:r>
          </w:p>
        </w:tc>
        <w:tc>
          <w:tcPr>
            <w:tcW w:w="76" w:type="pct"/>
            <w:shd w:val="clear" w:color="auto" w:fill="CCEEFF"/>
            <w:noWrap/>
            <w:tcMar>
              <w:top w:w="0" w:type="dxa"/>
              <w:left w:w="0" w:type="dxa"/>
              <w:bottom w:w="0" w:type="dxa"/>
              <w:right w:w="0" w:type="dxa"/>
            </w:tcMar>
            <w:vAlign w:val="bottom"/>
            <w:hideMark/>
          </w:tcPr>
          <w:p w14:paraId="2991CF25"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59C48480" w14:textId="77777777" w:rsidR="00000000" w:rsidRDefault="00097612">
            <w:pPr>
              <w:pStyle w:val="a3"/>
              <w:spacing w:before="0" w:beforeAutospacing="0" w:after="0" w:afterAutospacing="0"/>
              <w:jc w:val="center"/>
              <w:rPr>
                <w:sz w:val="16"/>
                <w:szCs w:val="16"/>
              </w:rPr>
            </w:pPr>
            <w:r>
              <w:rPr>
                <w:sz w:val="16"/>
                <w:szCs w:val="16"/>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14:paraId="631BF5F8" w14:textId="77777777" w:rsidR="00000000" w:rsidRDefault="00097612">
            <w:pPr>
              <w:pStyle w:val="a3"/>
              <w:spacing w:before="0" w:beforeAutospacing="0" w:after="0" w:afterAutospacing="0"/>
              <w:ind w:right="60"/>
              <w:jc w:val="right"/>
              <w:rPr>
                <w:sz w:val="16"/>
                <w:szCs w:val="16"/>
              </w:rPr>
            </w:pPr>
            <w:r>
              <w:rPr>
                <w:sz w:val="16"/>
                <w:szCs w:val="16"/>
              </w:rPr>
              <w:t>1,000,094</w:t>
            </w:r>
          </w:p>
        </w:tc>
        <w:tc>
          <w:tcPr>
            <w:tcW w:w="76" w:type="pct"/>
            <w:shd w:val="clear" w:color="auto" w:fill="CCEEFF"/>
            <w:noWrap/>
            <w:tcMar>
              <w:top w:w="0" w:type="dxa"/>
              <w:left w:w="0" w:type="dxa"/>
              <w:bottom w:w="0" w:type="dxa"/>
              <w:right w:w="0" w:type="dxa"/>
            </w:tcMar>
            <w:vAlign w:val="bottom"/>
            <w:hideMark/>
          </w:tcPr>
          <w:p w14:paraId="42B81245" w14:textId="77777777" w:rsidR="00000000" w:rsidRDefault="00097612">
            <w:pPr>
              <w:pStyle w:val="a3"/>
              <w:spacing w:before="0" w:beforeAutospacing="0" w:after="0" w:afterAutospacing="0"/>
              <w:rPr>
                <w:sz w:val="20"/>
                <w:szCs w:val="20"/>
              </w:rPr>
            </w:pPr>
            <w:r>
              <w:rPr>
                <w:sz w:val="16"/>
                <w:szCs w:val="16"/>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14:paraId="2AA1BF7A" w14:textId="77777777" w:rsidR="00000000" w:rsidRDefault="00097612">
            <w:pPr>
              <w:pStyle w:val="a3"/>
              <w:spacing w:before="0" w:beforeAutospacing="0" w:after="0" w:afterAutospacing="0"/>
              <w:jc w:val="center"/>
              <w:rPr>
                <w:sz w:val="16"/>
                <w:szCs w:val="16"/>
              </w:rPr>
            </w:pPr>
            <w:r>
              <w:rPr>
                <w:sz w:val="16"/>
                <w:szCs w:val="16"/>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14:paraId="1A3B8011" w14:textId="77777777" w:rsidR="00000000" w:rsidRDefault="00097612">
            <w:pPr>
              <w:pStyle w:val="a3"/>
              <w:spacing w:before="0" w:beforeAutospacing="0" w:after="0" w:afterAutospacing="0"/>
              <w:ind w:right="60"/>
              <w:jc w:val="right"/>
              <w:rPr>
                <w:sz w:val="16"/>
                <w:szCs w:val="16"/>
              </w:rPr>
            </w:pPr>
            <w:r>
              <w:rPr>
                <w:sz w:val="16"/>
                <w:szCs w:val="16"/>
              </w:rPr>
              <w:t>94</w:t>
            </w:r>
          </w:p>
        </w:tc>
        <w:tc>
          <w:tcPr>
            <w:tcW w:w="76" w:type="pct"/>
            <w:shd w:val="clear" w:color="auto" w:fill="CCEEFF"/>
            <w:noWrap/>
            <w:tcMar>
              <w:top w:w="0" w:type="dxa"/>
              <w:left w:w="0" w:type="dxa"/>
              <w:bottom w:w="0" w:type="dxa"/>
              <w:right w:w="0" w:type="dxa"/>
            </w:tcMar>
            <w:vAlign w:val="bottom"/>
            <w:hideMark/>
          </w:tcPr>
          <w:p w14:paraId="77ACD05C" w14:textId="77777777" w:rsidR="00000000" w:rsidRDefault="00097612">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14:paraId="3BC23E80" w14:textId="77777777" w:rsidR="00000000" w:rsidRDefault="00097612">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14:paraId="25E48FB1" w14:textId="77777777" w:rsidR="00000000" w:rsidRDefault="00097612">
            <w:pPr>
              <w:pStyle w:val="a3"/>
              <w:spacing w:before="0" w:beforeAutospacing="0" w:after="0" w:afterAutospacing="0"/>
              <w:jc w:val="right"/>
              <w:rPr>
                <w:sz w:val="16"/>
                <w:szCs w:val="16"/>
              </w:rPr>
            </w:pPr>
            <w:r>
              <w:rPr>
                <w:sz w:val="16"/>
                <w:szCs w:val="16"/>
              </w:rPr>
              <w:t>(1,182,994)</w:t>
            </w:r>
          </w:p>
        </w:tc>
        <w:tc>
          <w:tcPr>
            <w:tcW w:w="76" w:type="pct"/>
            <w:shd w:val="clear" w:color="auto" w:fill="CCEEFF"/>
            <w:noWrap/>
            <w:tcMar>
              <w:top w:w="0" w:type="dxa"/>
              <w:left w:w="0" w:type="dxa"/>
              <w:bottom w:w="0" w:type="dxa"/>
              <w:right w:w="0" w:type="dxa"/>
            </w:tcMar>
            <w:vAlign w:val="bottom"/>
            <w:hideMark/>
          </w:tcPr>
          <w:p w14:paraId="4C692EF3" w14:textId="77777777" w:rsidR="00000000" w:rsidRDefault="00097612">
            <w:pPr>
              <w:pStyle w:val="a3"/>
              <w:spacing w:before="0" w:beforeAutospacing="0" w:after="0" w:afterAutospacing="0"/>
              <w:rPr>
                <w:sz w:val="20"/>
                <w:szCs w:val="20"/>
              </w:rPr>
            </w:pPr>
            <w:r>
              <w:rPr>
                <w:sz w:val="16"/>
                <w:szCs w:val="16"/>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14:paraId="7A3AFC36" w14:textId="77777777" w:rsidR="00000000" w:rsidRDefault="00097612">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14:paraId="43EA9EF3" w14:textId="77777777" w:rsidR="00000000" w:rsidRDefault="00097612">
            <w:pPr>
              <w:pStyle w:val="a3"/>
              <w:spacing w:before="0" w:beforeAutospacing="0" w:after="0" w:afterAutospacing="0"/>
              <w:jc w:val="right"/>
              <w:rPr>
                <w:sz w:val="16"/>
                <w:szCs w:val="16"/>
              </w:rPr>
            </w:pPr>
            <w:r>
              <w:rPr>
                <w:sz w:val="16"/>
                <w:szCs w:val="16"/>
              </w:rPr>
              <w:t>(182,805)</w:t>
            </w:r>
          </w:p>
        </w:tc>
      </w:tr>
      <w:tr w:rsidR="00000000" w14:paraId="170919A3" w14:textId="77777777">
        <w:trPr>
          <w:divId w:val="1429960337"/>
        </w:trPr>
        <w:tc>
          <w:tcPr>
            <w:tcW w:w="1847" w:type="pct"/>
            <w:tcMar>
              <w:top w:w="0" w:type="dxa"/>
              <w:left w:w="0" w:type="dxa"/>
              <w:bottom w:w="0" w:type="dxa"/>
              <w:right w:w="0" w:type="dxa"/>
            </w:tcMar>
            <w:vAlign w:val="bottom"/>
            <w:hideMark/>
          </w:tcPr>
          <w:p w14:paraId="37D4139B"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E00F54D" w14:textId="77777777" w:rsidR="00000000" w:rsidRDefault="00097612">
            <w:pPr>
              <w:pStyle w:val="a3"/>
              <w:spacing w:before="0" w:beforeAutospacing="0" w:after="0" w:afterAutospacing="0"/>
              <w:rPr>
                <w:sz w:val="20"/>
                <w:szCs w:val="20"/>
              </w:rPr>
            </w:pPr>
            <w:r>
              <w:rPr>
                <w:sz w:val="16"/>
                <w:szCs w:val="16"/>
              </w:rPr>
              <w:t>​</w:t>
            </w:r>
          </w:p>
        </w:tc>
        <w:tc>
          <w:tcPr>
            <w:tcW w:w="342" w:type="pct"/>
            <w:noWrap/>
            <w:tcMar>
              <w:top w:w="0" w:type="dxa"/>
              <w:left w:w="0" w:type="dxa"/>
              <w:bottom w:w="0" w:type="dxa"/>
              <w:right w:w="0" w:type="dxa"/>
            </w:tcMar>
            <w:vAlign w:val="bottom"/>
            <w:hideMark/>
          </w:tcPr>
          <w:p w14:paraId="65CF7C90"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63EA883C"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7796387" w14:textId="77777777" w:rsidR="00000000" w:rsidRDefault="00097612">
            <w:pPr>
              <w:pStyle w:val="a3"/>
              <w:spacing w:before="0" w:beforeAutospacing="0" w:after="0" w:afterAutospacing="0"/>
              <w:jc w:val="center"/>
              <w:rPr>
                <w:sz w:val="20"/>
                <w:szCs w:val="20"/>
              </w:rPr>
            </w:pPr>
            <w:r>
              <w:rPr>
                <w:sz w:val="16"/>
                <w:szCs w:val="16"/>
              </w:rPr>
              <w:t>​</w:t>
            </w:r>
          </w:p>
        </w:tc>
        <w:tc>
          <w:tcPr>
            <w:tcW w:w="342" w:type="pct"/>
            <w:noWrap/>
            <w:tcMar>
              <w:top w:w="0" w:type="dxa"/>
              <w:left w:w="0" w:type="dxa"/>
              <w:bottom w:w="0" w:type="dxa"/>
              <w:right w:w="0" w:type="dxa"/>
            </w:tcMar>
            <w:vAlign w:val="bottom"/>
            <w:hideMark/>
          </w:tcPr>
          <w:p w14:paraId="46EC03F1"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675FFC7B"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6865E2E8"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27BED186"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5E78C317"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59E13926" w14:textId="77777777" w:rsidR="00000000" w:rsidRDefault="00097612">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14:paraId="305A40F2"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117A4B19"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1B9FC6FD"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5BA1A7A2"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63A8D5E1"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5F220562"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373568FA" w14:textId="77777777" w:rsidR="00000000" w:rsidRDefault="00097612">
            <w:pPr>
              <w:pStyle w:val="a3"/>
              <w:spacing w:before="0" w:beforeAutospacing="0" w:after="0" w:afterAutospacing="0"/>
              <w:jc w:val="right"/>
              <w:rPr>
                <w:sz w:val="20"/>
                <w:szCs w:val="20"/>
              </w:rPr>
            </w:pPr>
            <w:r>
              <w:rPr>
                <w:sz w:val="16"/>
                <w:szCs w:val="16"/>
              </w:rPr>
              <w:t>​</w:t>
            </w:r>
          </w:p>
        </w:tc>
      </w:tr>
      <w:tr w:rsidR="00000000" w14:paraId="48E6E45F" w14:textId="77777777">
        <w:trPr>
          <w:divId w:val="1429960337"/>
        </w:trPr>
        <w:tc>
          <w:tcPr>
            <w:tcW w:w="1847" w:type="pct"/>
            <w:noWrap/>
            <w:tcMar>
              <w:top w:w="0" w:type="dxa"/>
              <w:left w:w="0" w:type="dxa"/>
              <w:bottom w:w="0" w:type="dxa"/>
              <w:right w:w="0" w:type="dxa"/>
            </w:tcMar>
            <w:vAlign w:val="bottom"/>
            <w:hideMark/>
          </w:tcPr>
          <w:p w14:paraId="53293B62"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6FD80F24" w14:textId="77777777" w:rsidR="00000000" w:rsidRDefault="00097612">
            <w:pPr>
              <w:pStyle w:val="a3"/>
              <w:spacing w:before="0" w:beforeAutospacing="0" w:after="0" w:afterAutospacing="0"/>
              <w:rPr>
                <w:sz w:val="20"/>
                <w:szCs w:val="20"/>
              </w:rPr>
            </w:pPr>
            <w:r>
              <w:rPr>
                <w:sz w:val="16"/>
                <w:szCs w:val="16"/>
              </w:rPr>
              <w:t>​</w:t>
            </w:r>
          </w:p>
        </w:tc>
        <w:tc>
          <w:tcPr>
            <w:tcW w:w="342" w:type="pct"/>
            <w:noWrap/>
            <w:tcMar>
              <w:top w:w="0" w:type="dxa"/>
              <w:left w:w="0" w:type="dxa"/>
              <w:bottom w:w="0" w:type="dxa"/>
              <w:right w:w="0" w:type="dxa"/>
            </w:tcMar>
            <w:vAlign w:val="bottom"/>
            <w:hideMark/>
          </w:tcPr>
          <w:p w14:paraId="4EC9D189"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F785F8B"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7F62B1E" w14:textId="77777777" w:rsidR="00000000" w:rsidRDefault="00097612">
            <w:pPr>
              <w:pStyle w:val="a3"/>
              <w:spacing w:before="0" w:beforeAutospacing="0" w:after="0" w:afterAutospacing="0"/>
              <w:jc w:val="center"/>
              <w:rPr>
                <w:sz w:val="20"/>
                <w:szCs w:val="20"/>
              </w:rPr>
            </w:pPr>
            <w:r>
              <w:rPr>
                <w:sz w:val="16"/>
                <w:szCs w:val="16"/>
              </w:rPr>
              <w:t>​</w:t>
            </w:r>
          </w:p>
        </w:tc>
        <w:tc>
          <w:tcPr>
            <w:tcW w:w="342" w:type="pct"/>
            <w:noWrap/>
            <w:tcMar>
              <w:top w:w="0" w:type="dxa"/>
              <w:left w:w="0" w:type="dxa"/>
              <w:bottom w:w="0" w:type="dxa"/>
              <w:right w:w="0" w:type="dxa"/>
            </w:tcMar>
            <w:vAlign w:val="bottom"/>
            <w:hideMark/>
          </w:tcPr>
          <w:p w14:paraId="79E0ECA5"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4E37279"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64AB6199"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1DCC1C07"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A5BEC2B"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73800D3A" w14:textId="77777777" w:rsidR="00000000" w:rsidRDefault="00097612">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14:paraId="12886196"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1514602E"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49BA9063"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15421157"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29FF53F"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6D904607"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52DB7A12" w14:textId="77777777" w:rsidR="00000000" w:rsidRDefault="00097612">
            <w:pPr>
              <w:pStyle w:val="a3"/>
              <w:spacing w:before="0" w:beforeAutospacing="0" w:after="0" w:afterAutospacing="0"/>
              <w:rPr>
                <w:sz w:val="20"/>
                <w:szCs w:val="20"/>
              </w:rPr>
            </w:pPr>
            <w:r>
              <w:rPr>
                <w:sz w:val="16"/>
                <w:szCs w:val="16"/>
              </w:rPr>
              <w:t>​</w:t>
            </w:r>
          </w:p>
        </w:tc>
      </w:tr>
      <w:tr w:rsidR="00000000" w14:paraId="3B032C3D" w14:textId="77777777">
        <w:trPr>
          <w:divId w:val="1429960337"/>
        </w:trPr>
        <w:tc>
          <w:tcPr>
            <w:tcW w:w="1847" w:type="pct"/>
            <w:noWrap/>
            <w:tcMar>
              <w:top w:w="0" w:type="dxa"/>
              <w:left w:w="0" w:type="dxa"/>
              <w:bottom w:w="0" w:type="dxa"/>
              <w:right w:w="0" w:type="dxa"/>
            </w:tcMar>
            <w:vAlign w:val="bottom"/>
            <w:hideMark/>
          </w:tcPr>
          <w:p w14:paraId="5CD3F690" w14:textId="77777777" w:rsidR="00000000" w:rsidRDefault="00097612">
            <w:pPr>
              <w:pStyle w:val="a3"/>
              <w:spacing w:before="0" w:beforeAutospacing="0" w:after="0" w:afterAutospacing="0"/>
              <w:rPr>
                <w:sz w:val="20"/>
                <w:szCs w:val="20"/>
              </w:rPr>
            </w:pPr>
            <w:r>
              <w:rPr>
                <w:b/>
                <w:bCs/>
                <w:color w:val="0563C1"/>
                <w:sz w:val="16"/>
                <w:szCs w:val="16"/>
                <w:u w:val="single"/>
              </w:rPr>
              <w:t>​</w:t>
            </w:r>
          </w:p>
        </w:tc>
        <w:tc>
          <w:tcPr>
            <w:tcW w:w="76" w:type="pct"/>
            <w:noWrap/>
            <w:tcMar>
              <w:top w:w="0" w:type="dxa"/>
              <w:left w:w="0" w:type="dxa"/>
              <w:bottom w:w="0" w:type="dxa"/>
              <w:right w:w="0" w:type="dxa"/>
            </w:tcMar>
            <w:vAlign w:val="bottom"/>
            <w:hideMark/>
          </w:tcPr>
          <w:p w14:paraId="4AA6DB49" w14:textId="77777777" w:rsidR="00000000" w:rsidRDefault="00097612">
            <w:pPr>
              <w:pStyle w:val="a3"/>
              <w:spacing w:before="0" w:beforeAutospacing="0" w:after="0" w:afterAutospacing="0"/>
              <w:rPr>
                <w:sz w:val="20"/>
                <w:szCs w:val="20"/>
              </w:rPr>
            </w:pPr>
            <w:r>
              <w:rPr>
                <w:sz w:val="16"/>
                <w:szCs w:val="16"/>
              </w:rPr>
              <w:t>​</w:t>
            </w:r>
          </w:p>
        </w:tc>
        <w:tc>
          <w:tcPr>
            <w:tcW w:w="342" w:type="pct"/>
            <w:noWrap/>
            <w:tcMar>
              <w:top w:w="0" w:type="dxa"/>
              <w:left w:w="0" w:type="dxa"/>
              <w:bottom w:w="0" w:type="dxa"/>
              <w:right w:w="0" w:type="dxa"/>
            </w:tcMar>
            <w:vAlign w:val="bottom"/>
            <w:hideMark/>
          </w:tcPr>
          <w:p w14:paraId="7E376BB6"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F2C3069"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D49F965" w14:textId="77777777" w:rsidR="00000000" w:rsidRDefault="00097612">
            <w:pPr>
              <w:pStyle w:val="a3"/>
              <w:spacing w:before="0" w:beforeAutospacing="0" w:after="0" w:afterAutospacing="0"/>
              <w:jc w:val="center"/>
              <w:rPr>
                <w:sz w:val="20"/>
                <w:szCs w:val="20"/>
              </w:rPr>
            </w:pPr>
            <w:r>
              <w:rPr>
                <w:sz w:val="16"/>
                <w:szCs w:val="16"/>
              </w:rPr>
              <w:t>​</w:t>
            </w:r>
          </w:p>
        </w:tc>
        <w:tc>
          <w:tcPr>
            <w:tcW w:w="342" w:type="pct"/>
            <w:noWrap/>
            <w:tcMar>
              <w:top w:w="0" w:type="dxa"/>
              <w:left w:w="0" w:type="dxa"/>
              <w:bottom w:w="0" w:type="dxa"/>
              <w:right w:w="0" w:type="dxa"/>
            </w:tcMar>
            <w:vAlign w:val="bottom"/>
            <w:hideMark/>
          </w:tcPr>
          <w:p w14:paraId="29F17BF2"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02CCE1A"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1EB9775"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061E3F72"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174A705" w14:textId="77777777" w:rsidR="00000000" w:rsidRDefault="00097612">
            <w:pPr>
              <w:pStyle w:val="a3"/>
              <w:spacing w:before="0" w:beforeAutospacing="0" w:after="0" w:afterAutospacing="0"/>
              <w:rPr>
                <w:sz w:val="20"/>
                <w:szCs w:val="20"/>
              </w:rPr>
            </w:pPr>
            <w:r>
              <w:rPr>
                <w:sz w:val="16"/>
                <w:szCs w:val="16"/>
              </w:rPr>
              <w:t>​</w:t>
            </w:r>
          </w:p>
        </w:tc>
        <w:tc>
          <w:tcPr>
            <w:tcW w:w="530" w:type="pct"/>
            <w:gridSpan w:val="2"/>
            <w:noWrap/>
            <w:tcMar>
              <w:top w:w="0" w:type="dxa"/>
              <w:left w:w="0" w:type="dxa"/>
              <w:bottom w:w="0" w:type="dxa"/>
              <w:right w:w="0" w:type="dxa"/>
            </w:tcMar>
            <w:vAlign w:val="bottom"/>
            <w:hideMark/>
          </w:tcPr>
          <w:p w14:paraId="033843E9" w14:textId="77777777" w:rsidR="00000000" w:rsidRDefault="00097612">
            <w:pPr>
              <w:pStyle w:val="a3"/>
              <w:spacing w:before="0" w:beforeAutospacing="0" w:after="0" w:afterAutospacing="0"/>
              <w:jc w:val="center"/>
              <w:rPr>
                <w:sz w:val="16"/>
                <w:szCs w:val="16"/>
              </w:rPr>
            </w:pPr>
            <w:r>
              <w:rPr>
                <w:b/>
                <w:bCs/>
                <w:sz w:val="16"/>
                <w:szCs w:val="16"/>
              </w:rPr>
              <w:t>Accumulated</w:t>
            </w:r>
          </w:p>
        </w:tc>
        <w:tc>
          <w:tcPr>
            <w:tcW w:w="76" w:type="pct"/>
            <w:tcMar>
              <w:top w:w="0" w:type="dxa"/>
              <w:left w:w="0" w:type="dxa"/>
              <w:bottom w:w="0" w:type="dxa"/>
              <w:right w:w="0" w:type="dxa"/>
            </w:tcMar>
            <w:vAlign w:val="bottom"/>
            <w:hideMark/>
          </w:tcPr>
          <w:p w14:paraId="2091F400" w14:textId="77777777" w:rsidR="00000000" w:rsidRDefault="00097612">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1A4A59E1"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3166C7DC"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F0E0276"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678143E7"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6516E95B" w14:textId="77777777" w:rsidR="00000000" w:rsidRDefault="00097612">
            <w:pPr>
              <w:pStyle w:val="a3"/>
              <w:spacing w:before="0" w:beforeAutospacing="0" w:after="0" w:afterAutospacing="0"/>
              <w:rPr>
                <w:sz w:val="20"/>
                <w:szCs w:val="20"/>
              </w:rPr>
            </w:pPr>
            <w:r>
              <w:rPr>
                <w:sz w:val="16"/>
                <w:szCs w:val="16"/>
              </w:rPr>
              <w:t>​</w:t>
            </w:r>
          </w:p>
        </w:tc>
      </w:tr>
      <w:tr w:rsidR="00000000" w14:paraId="07D2C51E" w14:textId="77777777">
        <w:trPr>
          <w:divId w:val="1429960337"/>
        </w:trPr>
        <w:tc>
          <w:tcPr>
            <w:tcW w:w="1847" w:type="pct"/>
            <w:tcMar>
              <w:top w:w="0" w:type="dxa"/>
              <w:left w:w="0" w:type="dxa"/>
              <w:bottom w:w="0" w:type="dxa"/>
              <w:right w:w="0" w:type="dxa"/>
            </w:tcMar>
            <w:vAlign w:val="bottom"/>
            <w:hideMark/>
          </w:tcPr>
          <w:p w14:paraId="03C4F462"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35E00D5F" w14:textId="77777777" w:rsidR="00000000" w:rsidRDefault="00097612">
            <w:pPr>
              <w:pStyle w:val="a3"/>
              <w:spacing w:before="0" w:beforeAutospacing="0" w:after="0" w:afterAutospacing="0"/>
              <w:rPr>
                <w:sz w:val="20"/>
                <w:szCs w:val="20"/>
              </w:rPr>
            </w:pPr>
            <w:r>
              <w:rPr>
                <w:b/>
                <w:bCs/>
                <w:sz w:val="16"/>
                <w:szCs w:val="16"/>
              </w:rPr>
              <w:t>​</w:t>
            </w:r>
          </w:p>
        </w:tc>
        <w:tc>
          <w:tcPr>
            <w:tcW w:w="342" w:type="pct"/>
            <w:tcMar>
              <w:top w:w="0" w:type="dxa"/>
              <w:left w:w="0" w:type="dxa"/>
              <w:bottom w:w="0" w:type="dxa"/>
              <w:right w:w="0" w:type="dxa"/>
            </w:tcMar>
            <w:vAlign w:val="bottom"/>
            <w:hideMark/>
          </w:tcPr>
          <w:p w14:paraId="6F6DD112"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62FA9E64"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439B5019" w14:textId="77777777" w:rsidR="00000000" w:rsidRDefault="00097612">
            <w:pPr>
              <w:pStyle w:val="a3"/>
              <w:spacing w:before="0" w:beforeAutospacing="0" w:after="0" w:afterAutospacing="0"/>
              <w:jc w:val="center"/>
              <w:rPr>
                <w:sz w:val="20"/>
                <w:szCs w:val="20"/>
              </w:rPr>
            </w:pPr>
            <w:r>
              <w:rPr>
                <w:b/>
                <w:bCs/>
                <w:sz w:val="16"/>
                <w:szCs w:val="16"/>
              </w:rPr>
              <w:t>​</w:t>
            </w:r>
          </w:p>
        </w:tc>
        <w:tc>
          <w:tcPr>
            <w:tcW w:w="342" w:type="pct"/>
            <w:tcMar>
              <w:top w:w="0" w:type="dxa"/>
              <w:left w:w="0" w:type="dxa"/>
              <w:bottom w:w="0" w:type="dxa"/>
              <w:right w:w="0" w:type="dxa"/>
            </w:tcMar>
            <w:vAlign w:val="bottom"/>
            <w:hideMark/>
          </w:tcPr>
          <w:p w14:paraId="385CACE5"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5661908D" w14:textId="77777777" w:rsidR="00000000" w:rsidRDefault="00097612">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14:paraId="77F3565F" w14:textId="77777777" w:rsidR="00000000" w:rsidRDefault="00097612">
            <w:pPr>
              <w:pStyle w:val="a3"/>
              <w:spacing w:before="0" w:beforeAutospacing="0" w:after="0" w:afterAutospacing="0"/>
              <w:jc w:val="center"/>
              <w:rPr>
                <w:sz w:val="16"/>
                <w:szCs w:val="16"/>
              </w:rPr>
            </w:pPr>
            <w:r>
              <w:rPr>
                <w:b/>
                <w:bCs/>
                <w:sz w:val="16"/>
                <w:szCs w:val="16"/>
              </w:rPr>
              <w:t>Additional</w:t>
            </w:r>
          </w:p>
        </w:tc>
        <w:tc>
          <w:tcPr>
            <w:tcW w:w="76" w:type="pct"/>
            <w:tcMar>
              <w:top w:w="0" w:type="dxa"/>
              <w:left w:w="0" w:type="dxa"/>
              <w:bottom w:w="0" w:type="dxa"/>
              <w:right w:w="0" w:type="dxa"/>
            </w:tcMar>
            <w:vAlign w:val="bottom"/>
            <w:hideMark/>
          </w:tcPr>
          <w:p w14:paraId="4D4582F5" w14:textId="77777777" w:rsidR="00000000" w:rsidRDefault="00097612">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14:paraId="7EBDC1FF" w14:textId="77777777" w:rsidR="00000000" w:rsidRDefault="00097612">
            <w:pPr>
              <w:pStyle w:val="a3"/>
              <w:spacing w:before="0" w:beforeAutospacing="0" w:after="0" w:afterAutospacing="0"/>
              <w:jc w:val="center"/>
              <w:rPr>
                <w:sz w:val="16"/>
                <w:szCs w:val="16"/>
              </w:rPr>
            </w:pPr>
            <w:r>
              <w:rPr>
                <w:b/>
                <w:bCs/>
                <w:sz w:val="16"/>
                <w:szCs w:val="16"/>
              </w:rPr>
              <w:t>Other</w:t>
            </w:r>
          </w:p>
        </w:tc>
        <w:tc>
          <w:tcPr>
            <w:tcW w:w="76" w:type="pct"/>
            <w:tcMar>
              <w:top w:w="0" w:type="dxa"/>
              <w:left w:w="0" w:type="dxa"/>
              <w:bottom w:w="0" w:type="dxa"/>
              <w:right w:w="0" w:type="dxa"/>
            </w:tcMar>
            <w:vAlign w:val="bottom"/>
            <w:hideMark/>
          </w:tcPr>
          <w:p w14:paraId="50C86166" w14:textId="77777777" w:rsidR="00000000" w:rsidRDefault="00097612">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14:paraId="324D795F" w14:textId="77777777" w:rsidR="00000000" w:rsidRDefault="00097612">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14:paraId="6135F9E4"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6EC08B7F" w14:textId="77777777" w:rsidR="00000000" w:rsidRDefault="00097612">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6BB48803" w14:textId="77777777" w:rsidR="00000000" w:rsidRDefault="00097612">
            <w:pPr>
              <w:pStyle w:val="a3"/>
              <w:spacing w:before="0" w:beforeAutospacing="0" w:after="0" w:afterAutospacing="0"/>
              <w:jc w:val="center"/>
              <w:rPr>
                <w:sz w:val="16"/>
                <w:szCs w:val="16"/>
              </w:rPr>
            </w:pPr>
            <w:r>
              <w:rPr>
                <w:b/>
                <w:bCs/>
                <w:sz w:val="16"/>
                <w:szCs w:val="16"/>
              </w:rPr>
              <w:t>Total</w:t>
            </w:r>
          </w:p>
        </w:tc>
      </w:tr>
      <w:tr w:rsidR="00000000" w14:paraId="4307B746" w14:textId="77777777">
        <w:trPr>
          <w:divId w:val="1429960337"/>
        </w:trPr>
        <w:tc>
          <w:tcPr>
            <w:tcW w:w="1847" w:type="pct"/>
            <w:tcMar>
              <w:top w:w="0" w:type="dxa"/>
              <w:left w:w="0" w:type="dxa"/>
              <w:bottom w:w="0" w:type="dxa"/>
              <w:right w:w="0" w:type="dxa"/>
            </w:tcMar>
            <w:vAlign w:val="bottom"/>
            <w:hideMark/>
          </w:tcPr>
          <w:p w14:paraId="3BE0C446"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38D689FF" w14:textId="77777777" w:rsidR="00000000" w:rsidRDefault="00097612">
            <w:pPr>
              <w:pStyle w:val="a3"/>
              <w:spacing w:before="0" w:beforeAutospacing="0" w:after="0" w:afterAutospacing="0"/>
              <w:rPr>
                <w:sz w:val="20"/>
                <w:szCs w:val="20"/>
              </w:rPr>
            </w:pPr>
            <w:r>
              <w:rPr>
                <w:b/>
                <w:bCs/>
                <w:sz w:val="16"/>
                <w:szCs w:val="16"/>
              </w:rPr>
              <w:t>​</w:t>
            </w:r>
          </w:p>
        </w:tc>
        <w:tc>
          <w:tcPr>
            <w:tcW w:w="839" w:type="pct"/>
            <w:gridSpan w:val="4"/>
            <w:tcBorders>
              <w:bottom w:val="single" w:sz="6" w:space="0" w:color="000000"/>
            </w:tcBorders>
            <w:noWrap/>
            <w:tcMar>
              <w:top w:w="0" w:type="dxa"/>
              <w:left w:w="0" w:type="dxa"/>
              <w:bottom w:w="0" w:type="dxa"/>
              <w:right w:w="0" w:type="dxa"/>
            </w:tcMar>
            <w:vAlign w:val="bottom"/>
            <w:hideMark/>
          </w:tcPr>
          <w:p w14:paraId="1978C9F1" w14:textId="77777777" w:rsidR="00000000" w:rsidRDefault="00097612">
            <w:pPr>
              <w:pStyle w:val="a3"/>
              <w:spacing w:before="0" w:beforeAutospacing="0" w:after="0" w:afterAutospacing="0"/>
              <w:jc w:val="center"/>
              <w:rPr>
                <w:sz w:val="16"/>
                <w:szCs w:val="16"/>
              </w:rPr>
            </w:pPr>
            <w:r>
              <w:rPr>
                <w:b/>
                <w:bCs/>
                <w:sz w:val="16"/>
                <w:szCs w:val="16"/>
              </w:rPr>
              <w:t>Ordinary Shares</w:t>
            </w:r>
          </w:p>
        </w:tc>
        <w:tc>
          <w:tcPr>
            <w:tcW w:w="76" w:type="pct"/>
            <w:tcMar>
              <w:top w:w="0" w:type="dxa"/>
              <w:left w:w="0" w:type="dxa"/>
              <w:bottom w:w="0" w:type="dxa"/>
              <w:right w:w="0" w:type="dxa"/>
            </w:tcMar>
            <w:vAlign w:val="bottom"/>
            <w:hideMark/>
          </w:tcPr>
          <w:p w14:paraId="49E7CEE8" w14:textId="77777777" w:rsidR="00000000" w:rsidRDefault="00097612">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14:paraId="5CF98880" w14:textId="77777777" w:rsidR="00000000" w:rsidRDefault="00097612">
            <w:pPr>
              <w:pStyle w:val="a3"/>
              <w:spacing w:before="0" w:beforeAutospacing="0" w:after="0" w:afterAutospacing="0"/>
              <w:jc w:val="center"/>
              <w:rPr>
                <w:sz w:val="16"/>
                <w:szCs w:val="16"/>
              </w:rPr>
            </w:pPr>
            <w:r>
              <w:rPr>
                <w:b/>
                <w:bCs/>
                <w:sz w:val="16"/>
                <w:szCs w:val="16"/>
              </w:rPr>
              <w:t>Paid-In</w:t>
            </w:r>
          </w:p>
        </w:tc>
        <w:tc>
          <w:tcPr>
            <w:tcW w:w="76" w:type="pct"/>
            <w:tcMar>
              <w:top w:w="0" w:type="dxa"/>
              <w:left w:w="0" w:type="dxa"/>
              <w:bottom w:w="0" w:type="dxa"/>
              <w:right w:w="0" w:type="dxa"/>
            </w:tcMar>
            <w:vAlign w:val="bottom"/>
            <w:hideMark/>
          </w:tcPr>
          <w:p w14:paraId="6BF677C1" w14:textId="77777777" w:rsidR="00000000" w:rsidRDefault="00097612">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14:paraId="695D1E79" w14:textId="77777777" w:rsidR="00000000" w:rsidRDefault="00097612">
            <w:pPr>
              <w:pStyle w:val="a3"/>
              <w:spacing w:before="0" w:beforeAutospacing="0" w:after="0" w:afterAutospacing="0"/>
              <w:jc w:val="center"/>
              <w:rPr>
                <w:sz w:val="16"/>
                <w:szCs w:val="16"/>
              </w:rPr>
            </w:pPr>
            <w:r>
              <w:rPr>
                <w:b/>
                <w:bCs/>
                <w:sz w:val="16"/>
                <w:szCs w:val="16"/>
              </w:rPr>
              <w:t>Comprehensive</w:t>
            </w:r>
          </w:p>
        </w:tc>
        <w:tc>
          <w:tcPr>
            <w:tcW w:w="76" w:type="pct"/>
            <w:tcMar>
              <w:top w:w="0" w:type="dxa"/>
              <w:left w:w="0" w:type="dxa"/>
              <w:bottom w:w="0" w:type="dxa"/>
              <w:right w:w="0" w:type="dxa"/>
            </w:tcMar>
            <w:vAlign w:val="bottom"/>
            <w:hideMark/>
          </w:tcPr>
          <w:p w14:paraId="3466EF6F" w14:textId="77777777" w:rsidR="00000000" w:rsidRDefault="00097612">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14:paraId="6BFC493E" w14:textId="77777777" w:rsidR="00000000" w:rsidRDefault="00097612">
            <w:pPr>
              <w:pStyle w:val="a3"/>
              <w:spacing w:before="0" w:beforeAutospacing="0" w:after="0" w:afterAutospacing="0"/>
              <w:jc w:val="center"/>
              <w:rPr>
                <w:sz w:val="16"/>
                <w:szCs w:val="16"/>
              </w:rPr>
            </w:pPr>
            <w:r>
              <w:rPr>
                <w:b/>
                <w:bCs/>
                <w:sz w:val="16"/>
                <w:szCs w:val="16"/>
              </w:rPr>
              <w:t>Accumulated</w:t>
            </w:r>
          </w:p>
        </w:tc>
        <w:tc>
          <w:tcPr>
            <w:tcW w:w="76" w:type="pct"/>
            <w:tcMar>
              <w:top w:w="0" w:type="dxa"/>
              <w:left w:w="0" w:type="dxa"/>
              <w:bottom w:w="0" w:type="dxa"/>
              <w:right w:w="0" w:type="dxa"/>
            </w:tcMar>
            <w:vAlign w:val="bottom"/>
            <w:hideMark/>
          </w:tcPr>
          <w:p w14:paraId="4892BA25" w14:textId="77777777" w:rsidR="00000000" w:rsidRDefault="00097612">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3FFC0990" w14:textId="77777777" w:rsidR="00000000" w:rsidRDefault="00097612">
            <w:pPr>
              <w:pStyle w:val="a3"/>
              <w:spacing w:before="0" w:beforeAutospacing="0" w:after="0" w:afterAutospacing="0"/>
              <w:jc w:val="center"/>
              <w:rPr>
                <w:sz w:val="16"/>
                <w:szCs w:val="16"/>
              </w:rPr>
            </w:pPr>
            <w:r>
              <w:rPr>
                <w:b/>
                <w:bCs/>
                <w:sz w:val="16"/>
                <w:szCs w:val="16"/>
              </w:rPr>
              <w:t>Shareholders'</w:t>
            </w:r>
          </w:p>
        </w:tc>
      </w:tr>
      <w:tr w:rsidR="00000000" w14:paraId="610F65CA" w14:textId="77777777">
        <w:trPr>
          <w:divId w:val="1429960337"/>
        </w:trPr>
        <w:tc>
          <w:tcPr>
            <w:tcW w:w="1847" w:type="pct"/>
            <w:tcMar>
              <w:top w:w="0" w:type="dxa"/>
              <w:left w:w="0" w:type="dxa"/>
              <w:bottom w:w="0" w:type="dxa"/>
              <w:right w:w="0" w:type="dxa"/>
            </w:tcMar>
            <w:vAlign w:val="bottom"/>
            <w:hideMark/>
          </w:tcPr>
          <w:p w14:paraId="1A0EC9BB"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14:paraId="445DC17B" w14:textId="77777777" w:rsidR="00000000" w:rsidRDefault="00097612">
            <w:pPr>
              <w:pStyle w:val="a3"/>
              <w:spacing w:before="0" w:beforeAutospacing="0" w:after="0" w:afterAutospacing="0"/>
              <w:rPr>
                <w:sz w:val="16"/>
                <w:szCs w:val="16"/>
              </w:rPr>
            </w:pPr>
            <w:r>
              <w:rPr>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14:paraId="5BD46E83" w14:textId="77777777" w:rsidR="00000000" w:rsidRDefault="00097612">
            <w:pPr>
              <w:pStyle w:val="a3"/>
              <w:spacing w:before="0" w:beforeAutospacing="0" w:after="0" w:afterAutospacing="0"/>
              <w:jc w:val="center"/>
              <w:rPr>
                <w:sz w:val="16"/>
                <w:szCs w:val="16"/>
              </w:rPr>
            </w:pPr>
            <w:r>
              <w:rPr>
                <w:b/>
                <w:bCs/>
                <w:sz w:val="16"/>
                <w:szCs w:val="16"/>
              </w:rPr>
              <w:t>Shares</w:t>
            </w:r>
          </w:p>
        </w:tc>
        <w:tc>
          <w:tcPr>
            <w:tcW w:w="76" w:type="pct"/>
            <w:noWrap/>
            <w:tcMar>
              <w:top w:w="0" w:type="dxa"/>
              <w:left w:w="0" w:type="dxa"/>
              <w:bottom w:w="0" w:type="dxa"/>
              <w:right w:w="0" w:type="dxa"/>
            </w:tcMar>
            <w:vAlign w:val="bottom"/>
            <w:hideMark/>
          </w:tcPr>
          <w:p w14:paraId="7FA087D4" w14:textId="77777777" w:rsidR="00000000" w:rsidRDefault="00097612">
            <w:pPr>
              <w:pStyle w:val="a3"/>
              <w:spacing w:before="0" w:beforeAutospacing="0" w:after="0" w:afterAutospacing="0"/>
              <w:rPr>
                <w:sz w:val="16"/>
                <w:szCs w:val="16"/>
              </w:rPr>
            </w:pPr>
            <w:r>
              <w:rPr>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14:paraId="4C87D3F7" w14:textId="77777777" w:rsidR="00000000" w:rsidRDefault="00097612">
            <w:pPr>
              <w:pStyle w:val="a3"/>
              <w:spacing w:before="0" w:beforeAutospacing="0" w:after="0" w:afterAutospacing="0"/>
              <w:jc w:val="center"/>
              <w:rPr>
                <w:sz w:val="16"/>
                <w:szCs w:val="16"/>
              </w:rPr>
            </w:pPr>
            <w:r>
              <w:rPr>
                <w:b/>
                <w:bCs/>
                <w:sz w:val="16"/>
                <w:szCs w:val="16"/>
              </w:rPr>
              <w:t>Amount</w:t>
            </w:r>
          </w:p>
        </w:tc>
        <w:tc>
          <w:tcPr>
            <w:tcW w:w="76" w:type="pct"/>
            <w:noWrap/>
            <w:tcMar>
              <w:top w:w="0" w:type="dxa"/>
              <w:left w:w="0" w:type="dxa"/>
              <w:bottom w:w="0" w:type="dxa"/>
              <w:right w:w="0" w:type="dxa"/>
            </w:tcMar>
            <w:vAlign w:val="bottom"/>
            <w:hideMark/>
          </w:tcPr>
          <w:p w14:paraId="11DB7FA1" w14:textId="77777777" w:rsidR="00000000" w:rsidRDefault="00097612">
            <w:pPr>
              <w:pStyle w:val="a3"/>
              <w:spacing w:before="0" w:beforeAutospacing="0" w:after="0" w:afterAutospacing="0"/>
              <w:rPr>
                <w:sz w:val="16"/>
                <w:szCs w:val="16"/>
              </w:rPr>
            </w:pPr>
            <w:r>
              <w:rPr>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14:paraId="2CBBEF3F" w14:textId="77777777" w:rsidR="00000000" w:rsidRDefault="00097612">
            <w:pPr>
              <w:pStyle w:val="a3"/>
              <w:spacing w:before="0" w:beforeAutospacing="0" w:after="0" w:afterAutospacing="0"/>
              <w:jc w:val="center"/>
              <w:rPr>
                <w:sz w:val="16"/>
                <w:szCs w:val="16"/>
              </w:rPr>
            </w:pPr>
            <w:r>
              <w:rPr>
                <w:b/>
                <w:bCs/>
                <w:sz w:val="16"/>
                <w:szCs w:val="16"/>
              </w:rPr>
              <w:t>Capital</w:t>
            </w:r>
          </w:p>
        </w:tc>
        <w:tc>
          <w:tcPr>
            <w:tcW w:w="76" w:type="pct"/>
            <w:noWrap/>
            <w:tcMar>
              <w:top w:w="0" w:type="dxa"/>
              <w:left w:w="0" w:type="dxa"/>
              <w:bottom w:w="0" w:type="dxa"/>
              <w:right w:w="0" w:type="dxa"/>
            </w:tcMar>
            <w:vAlign w:val="bottom"/>
            <w:hideMark/>
          </w:tcPr>
          <w:p w14:paraId="40D620B9" w14:textId="77777777" w:rsidR="00000000" w:rsidRDefault="00097612">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14:paraId="71B23511" w14:textId="77777777" w:rsidR="00000000" w:rsidRDefault="00097612">
            <w:pPr>
              <w:pStyle w:val="a3"/>
              <w:spacing w:before="0" w:beforeAutospacing="0" w:after="0" w:afterAutospacing="0"/>
              <w:jc w:val="center"/>
              <w:rPr>
                <w:sz w:val="16"/>
                <w:szCs w:val="16"/>
              </w:rPr>
            </w:pPr>
            <w:r>
              <w:rPr>
                <w:b/>
                <w:bCs/>
                <w:sz w:val="16"/>
                <w:szCs w:val="16"/>
              </w:rPr>
              <w:t>Income (Loss)</w:t>
            </w:r>
          </w:p>
        </w:tc>
        <w:tc>
          <w:tcPr>
            <w:tcW w:w="76" w:type="pct"/>
            <w:noWrap/>
            <w:tcMar>
              <w:top w:w="0" w:type="dxa"/>
              <w:left w:w="0" w:type="dxa"/>
              <w:bottom w:w="0" w:type="dxa"/>
              <w:right w:w="0" w:type="dxa"/>
            </w:tcMar>
            <w:vAlign w:val="bottom"/>
            <w:hideMark/>
          </w:tcPr>
          <w:p w14:paraId="5CAAC18A" w14:textId="77777777" w:rsidR="00000000" w:rsidRDefault="00097612">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14:paraId="1DCFA86C" w14:textId="77777777" w:rsidR="00000000" w:rsidRDefault="00097612">
            <w:pPr>
              <w:pStyle w:val="a3"/>
              <w:spacing w:before="0" w:beforeAutospacing="0" w:after="0" w:afterAutospacing="0"/>
              <w:jc w:val="center"/>
              <w:rPr>
                <w:sz w:val="16"/>
                <w:szCs w:val="16"/>
              </w:rPr>
            </w:pPr>
            <w:r>
              <w:rPr>
                <w:b/>
                <w:bCs/>
                <w:sz w:val="16"/>
                <w:szCs w:val="16"/>
              </w:rPr>
              <w:t>Deficit</w:t>
            </w:r>
          </w:p>
        </w:tc>
        <w:tc>
          <w:tcPr>
            <w:tcW w:w="76" w:type="pct"/>
            <w:noWrap/>
            <w:tcMar>
              <w:top w:w="0" w:type="dxa"/>
              <w:left w:w="0" w:type="dxa"/>
              <w:bottom w:w="0" w:type="dxa"/>
              <w:right w:w="0" w:type="dxa"/>
            </w:tcMar>
            <w:vAlign w:val="bottom"/>
            <w:hideMark/>
          </w:tcPr>
          <w:p w14:paraId="427CF02E" w14:textId="77777777" w:rsidR="00000000" w:rsidRDefault="00097612">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14:paraId="4E16F059" w14:textId="77777777" w:rsidR="00000000" w:rsidRDefault="00097612">
            <w:pPr>
              <w:pStyle w:val="a3"/>
              <w:spacing w:before="0" w:beforeAutospacing="0" w:after="0" w:afterAutospacing="0"/>
              <w:jc w:val="center"/>
              <w:rPr>
                <w:sz w:val="16"/>
                <w:szCs w:val="16"/>
              </w:rPr>
            </w:pPr>
            <w:r>
              <w:rPr>
                <w:b/>
                <w:bCs/>
                <w:sz w:val="16"/>
                <w:szCs w:val="16"/>
              </w:rPr>
              <w:t>Deficit</w:t>
            </w:r>
          </w:p>
        </w:tc>
      </w:tr>
      <w:tr w:rsidR="00000000" w14:paraId="64AF2C54" w14:textId="77777777">
        <w:trPr>
          <w:divId w:val="1429960337"/>
        </w:trPr>
        <w:tc>
          <w:tcPr>
            <w:tcW w:w="1847" w:type="pct"/>
            <w:shd w:val="clear" w:color="auto" w:fill="CCEEFF"/>
            <w:tcMar>
              <w:top w:w="0" w:type="dxa"/>
              <w:left w:w="0" w:type="dxa"/>
              <w:bottom w:w="0" w:type="dxa"/>
              <w:right w:w="0" w:type="dxa"/>
            </w:tcMar>
            <w:vAlign w:val="bottom"/>
            <w:hideMark/>
          </w:tcPr>
          <w:p w14:paraId="26C0DFF5" w14:textId="77777777" w:rsidR="00000000" w:rsidRDefault="00097612">
            <w:pPr>
              <w:pStyle w:val="a3"/>
              <w:spacing w:before="0" w:beforeAutospacing="0" w:after="0" w:afterAutospacing="0"/>
              <w:rPr>
                <w:sz w:val="16"/>
                <w:szCs w:val="16"/>
              </w:rPr>
            </w:pPr>
            <w:r>
              <w:rPr>
                <w:sz w:val="16"/>
                <w:szCs w:val="16"/>
              </w:rPr>
              <w:t>Balances at December 31, 2018</w:t>
            </w:r>
          </w:p>
        </w:tc>
        <w:tc>
          <w:tcPr>
            <w:tcW w:w="76" w:type="pct"/>
            <w:shd w:val="clear" w:color="auto" w:fill="CCEEFF"/>
            <w:noWrap/>
            <w:tcMar>
              <w:top w:w="0" w:type="dxa"/>
              <w:left w:w="0" w:type="dxa"/>
              <w:bottom w:w="0" w:type="dxa"/>
              <w:right w:w="0" w:type="dxa"/>
            </w:tcMar>
            <w:vAlign w:val="bottom"/>
            <w:hideMark/>
          </w:tcPr>
          <w:p w14:paraId="505C9138"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noWrap/>
            <w:tcMar>
              <w:top w:w="0" w:type="dxa"/>
              <w:left w:w="0" w:type="dxa"/>
              <w:bottom w:w="0" w:type="dxa"/>
              <w:right w:w="0" w:type="dxa"/>
            </w:tcMar>
            <w:vAlign w:val="bottom"/>
            <w:hideMark/>
          </w:tcPr>
          <w:p w14:paraId="0A3BFBAC" w14:textId="77777777" w:rsidR="00000000" w:rsidRDefault="00097612">
            <w:pPr>
              <w:pStyle w:val="a3"/>
              <w:spacing w:before="0" w:beforeAutospacing="0" w:after="0" w:afterAutospacing="0"/>
              <w:ind w:right="60"/>
              <w:jc w:val="right"/>
              <w:rPr>
                <w:sz w:val="16"/>
                <w:szCs w:val="16"/>
              </w:rPr>
            </w:pPr>
            <w:r>
              <w:rPr>
                <w:sz w:val="16"/>
                <w:szCs w:val="16"/>
              </w:rPr>
              <w:t>55,681</w:t>
            </w:r>
          </w:p>
        </w:tc>
        <w:tc>
          <w:tcPr>
            <w:tcW w:w="76" w:type="pct"/>
            <w:shd w:val="clear" w:color="auto" w:fill="CCEEFF"/>
            <w:noWrap/>
            <w:tcMar>
              <w:top w:w="0" w:type="dxa"/>
              <w:left w:w="0" w:type="dxa"/>
              <w:bottom w:w="0" w:type="dxa"/>
              <w:right w:w="0" w:type="dxa"/>
            </w:tcMar>
            <w:vAlign w:val="bottom"/>
            <w:hideMark/>
          </w:tcPr>
          <w:p w14:paraId="3A329F4C"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4315E7B9" w14:textId="77777777" w:rsidR="00000000" w:rsidRDefault="00097612">
            <w:pPr>
              <w:pStyle w:val="a3"/>
              <w:spacing w:before="0" w:beforeAutospacing="0" w:after="0" w:afterAutospacing="0"/>
              <w:jc w:val="center"/>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14:paraId="3A677821" w14:textId="77777777" w:rsidR="00000000" w:rsidRDefault="00097612">
            <w:pPr>
              <w:pStyle w:val="a3"/>
              <w:spacing w:before="0" w:beforeAutospacing="0" w:after="0" w:afterAutospacing="0"/>
              <w:ind w:right="60"/>
              <w:jc w:val="right"/>
              <w:rPr>
                <w:sz w:val="16"/>
                <w:szCs w:val="16"/>
              </w:rPr>
            </w:pPr>
            <w:r>
              <w:rPr>
                <w:sz w:val="16"/>
                <w:szCs w:val="16"/>
              </w:rPr>
              <w:t>1</w:t>
            </w:r>
          </w:p>
        </w:tc>
        <w:tc>
          <w:tcPr>
            <w:tcW w:w="76" w:type="pct"/>
            <w:shd w:val="clear" w:color="auto" w:fill="CCEEFF"/>
            <w:noWrap/>
            <w:tcMar>
              <w:top w:w="0" w:type="dxa"/>
              <w:left w:w="0" w:type="dxa"/>
              <w:bottom w:w="0" w:type="dxa"/>
              <w:right w:w="0" w:type="dxa"/>
            </w:tcMar>
            <w:vAlign w:val="bottom"/>
            <w:hideMark/>
          </w:tcPr>
          <w:p w14:paraId="2E784E40"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585EB2EF" w14:textId="77777777" w:rsidR="00000000" w:rsidRDefault="00097612">
            <w:pPr>
              <w:pStyle w:val="a3"/>
              <w:spacing w:before="0" w:beforeAutospacing="0" w:after="0" w:afterAutospacing="0"/>
              <w:jc w:val="center"/>
              <w:rPr>
                <w:sz w:val="16"/>
                <w:szCs w:val="16"/>
              </w:rPr>
            </w:pPr>
            <w:r>
              <w:rPr>
                <w:sz w:val="16"/>
                <w:szCs w:val="16"/>
              </w:rPr>
              <w:t>$</w:t>
            </w:r>
          </w:p>
        </w:tc>
        <w:tc>
          <w:tcPr>
            <w:tcW w:w="367" w:type="pct"/>
            <w:shd w:val="clear" w:color="auto" w:fill="CCEEFF"/>
            <w:noWrap/>
            <w:tcMar>
              <w:top w:w="0" w:type="dxa"/>
              <w:left w:w="0" w:type="dxa"/>
              <w:bottom w:w="0" w:type="dxa"/>
              <w:right w:w="0" w:type="dxa"/>
            </w:tcMar>
            <w:vAlign w:val="bottom"/>
            <w:hideMark/>
          </w:tcPr>
          <w:p w14:paraId="440351D1" w14:textId="77777777" w:rsidR="00000000" w:rsidRDefault="00097612">
            <w:pPr>
              <w:pStyle w:val="a3"/>
              <w:spacing w:before="0" w:beforeAutospacing="0" w:after="0" w:afterAutospacing="0"/>
              <w:ind w:right="60"/>
              <w:jc w:val="right"/>
              <w:rPr>
                <w:sz w:val="16"/>
                <w:szCs w:val="16"/>
              </w:rPr>
            </w:pPr>
            <w:r>
              <w:rPr>
                <w:sz w:val="16"/>
                <w:szCs w:val="16"/>
              </w:rPr>
              <w:t>960,721</w:t>
            </w:r>
          </w:p>
        </w:tc>
        <w:tc>
          <w:tcPr>
            <w:tcW w:w="76" w:type="pct"/>
            <w:shd w:val="clear" w:color="auto" w:fill="CCEEFF"/>
            <w:noWrap/>
            <w:tcMar>
              <w:top w:w="0" w:type="dxa"/>
              <w:left w:w="0" w:type="dxa"/>
              <w:bottom w:w="0" w:type="dxa"/>
              <w:right w:w="0" w:type="dxa"/>
            </w:tcMar>
            <w:vAlign w:val="bottom"/>
            <w:hideMark/>
          </w:tcPr>
          <w:p w14:paraId="4E669458"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5055D081" w14:textId="77777777" w:rsidR="00000000" w:rsidRDefault="00097612">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14:paraId="072CCB38" w14:textId="77777777" w:rsidR="00000000" w:rsidRDefault="00097612">
            <w:pPr>
              <w:pStyle w:val="a3"/>
              <w:spacing w:before="0" w:beforeAutospacing="0" w:after="0" w:afterAutospacing="0"/>
              <w:jc w:val="right"/>
              <w:rPr>
                <w:sz w:val="16"/>
                <w:szCs w:val="16"/>
              </w:rPr>
            </w:pPr>
            <w:r>
              <w:rPr>
                <w:sz w:val="16"/>
                <w:szCs w:val="16"/>
              </w:rPr>
              <w:t>(166)</w:t>
            </w:r>
          </w:p>
        </w:tc>
        <w:tc>
          <w:tcPr>
            <w:tcW w:w="76" w:type="pct"/>
            <w:shd w:val="clear" w:color="auto" w:fill="CCEEFF"/>
            <w:noWrap/>
            <w:tcMar>
              <w:top w:w="0" w:type="dxa"/>
              <w:left w:w="0" w:type="dxa"/>
              <w:bottom w:w="0" w:type="dxa"/>
              <w:right w:w="0" w:type="dxa"/>
            </w:tcMar>
            <w:vAlign w:val="bottom"/>
            <w:hideMark/>
          </w:tcPr>
          <w:p w14:paraId="5C7CDB77"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3CFC3FF1" w14:textId="77777777" w:rsidR="00000000" w:rsidRDefault="00097612">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14:paraId="342DE6FB" w14:textId="77777777" w:rsidR="00000000" w:rsidRDefault="00097612">
            <w:pPr>
              <w:pStyle w:val="a3"/>
              <w:spacing w:before="0" w:beforeAutospacing="0" w:after="0" w:afterAutospacing="0"/>
              <w:jc w:val="right"/>
              <w:rPr>
                <w:sz w:val="16"/>
                <w:szCs w:val="16"/>
              </w:rPr>
            </w:pPr>
            <w:r>
              <w:rPr>
                <w:sz w:val="16"/>
                <w:szCs w:val="16"/>
              </w:rPr>
              <w:t>(</w:t>
            </w:r>
            <w:r>
              <w:rPr>
                <w:sz w:val="16"/>
                <w:szCs w:val="16"/>
              </w:rPr>
              <w:t>1,012,145)</w:t>
            </w:r>
          </w:p>
        </w:tc>
        <w:tc>
          <w:tcPr>
            <w:tcW w:w="76" w:type="pct"/>
            <w:shd w:val="clear" w:color="auto" w:fill="CCEEFF"/>
            <w:noWrap/>
            <w:tcMar>
              <w:top w:w="0" w:type="dxa"/>
              <w:left w:w="0" w:type="dxa"/>
              <w:bottom w:w="0" w:type="dxa"/>
              <w:right w:w="0" w:type="dxa"/>
            </w:tcMar>
            <w:vAlign w:val="bottom"/>
            <w:hideMark/>
          </w:tcPr>
          <w:p w14:paraId="6002EA46"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6AE25705" w14:textId="77777777" w:rsidR="00000000" w:rsidRDefault="00097612">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14:paraId="0831419F" w14:textId="77777777" w:rsidR="00000000" w:rsidRDefault="00097612">
            <w:pPr>
              <w:pStyle w:val="a3"/>
              <w:spacing w:before="0" w:beforeAutospacing="0" w:after="0" w:afterAutospacing="0"/>
              <w:jc w:val="right"/>
              <w:rPr>
                <w:sz w:val="16"/>
                <w:szCs w:val="16"/>
              </w:rPr>
            </w:pPr>
            <w:r>
              <w:rPr>
                <w:sz w:val="16"/>
                <w:szCs w:val="16"/>
              </w:rPr>
              <w:t>(51,589)</w:t>
            </w:r>
          </w:p>
        </w:tc>
      </w:tr>
      <w:tr w:rsidR="00000000" w14:paraId="5714DD32" w14:textId="77777777">
        <w:trPr>
          <w:divId w:val="1429960337"/>
        </w:trPr>
        <w:tc>
          <w:tcPr>
            <w:tcW w:w="1847" w:type="pct"/>
            <w:tcMar>
              <w:top w:w="0" w:type="dxa"/>
              <w:left w:w="0" w:type="dxa"/>
              <w:bottom w:w="0" w:type="dxa"/>
              <w:right w:w="0" w:type="dxa"/>
            </w:tcMar>
            <w:vAlign w:val="bottom"/>
            <w:hideMark/>
          </w:tcPr>
          <w:p w14:paraId="2F447BDE" w14:textId="77777777" w:rsidR="00000000" w:rsidRDefault="00097612">
            <w:pPr>
              <w:pStyle w:val="a3"/>
              <w:spacing w:before="0" w:beforeAutospacing="0" w:after="0" w:afterAutospacing="0"/>
              <w:ind w:left="240"/>
              <w:rPr>
                <w:sz w:val="16"/>
                <w:szCs w:val="16"/>
              </w:rPr>
            </w:pPr>
            <w:r>
              <w:rPr>
                <w:sz w:val="16"/>
                <w:szCs w:val="16"/>
              </w:rPr>
              <w:t>Proceeds from ESPP purchases</w:t>
            </w:r>
          </w:p>
        </w:tc>
        <w:tc>
          <w:tcPr>
            <w:tcW w:w="76" w:type="pct"/>
            <w:noWrap/>
            <w:tcMar>
              <w:top w:w="0" w:type="dxa"/>
              <w:left w:w="0" w:type="dxa"/>
              <w:bottom w:w="0" w:type="dxa"/>
              <w:right w:w="0" w:type="dxa"/>
            </w:tcMar>
            <w:vAlign w:val="bottom"/>
            <w:hideMark/>
          </w:tcPr>
          <w:p w14:paraId="7150B5F5"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40616EB1" w14:textId="77777777" w:rsidR="00000000" w:rsidRDefault="00097612">
            <w:pPr>
              <w:pStyle w:val="a3"/>
              <w:spacing w:before="0" w:beforeAutospacing="0" w:after="0" w:afterAutospacing="0"/>
              <w:ind w:right="60"/>
              <w:jc w:val="right"/>
              <w:rPr>
                <w:sz w:val="16"/>
                <w:szCs w:val="16"/>
              </w:rPr>
            </w:pPr>
            <w:r>
              <w:rPr>
                <w:sz w:val="16"/>
                <w:szCs w:val="16"/>
              </w:rPr>
              <w:t>145</w:t>
            </w:r>
          </w:p>
        </w:tc>
        <w:tc>
          <w:tcPr>
            <w:tcW w:w="76" w:type="pct"/>
            <w:noWrap/>
            <w:tcMar>
              <w:top w:w="0" w:type="dxa"/>
              <w:left w:w="0" w:type="dxa"/>
              <w:bottom w:w="0" w:type="dxa"/>
              <w:right w:w="0" w:type="dxa"/>
            </w:tcMar>
            <w:vAlign w:val="bottom"/>
            <w:hideMark/>
          </w:tcPr>
          <w:p w14:paraId="74E04B59"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BB7875F"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2AD1330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369FACD9"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6B6CCBC"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Mar>
              <w:top w:w="0" w:type="dxa"/>
              <w:left w:w="0" w:type="dxa"/>
              <w:bottom w:w="0" w:type="dxa"/>
              <w:right w:w="0" w:type="dxa"/>
            </w:tcMar>
            <w:vAlign w:val="bottom"/>
            <w:hideMark/>
          </w:tcPr>
          <w:p w14:paraId="4DD92236" w14:textId="77777777" w:rsidR="00000000" w:rsidRDefault="00097612">
            <w:pPr>
              <w:pStyle w:val="a3"/>
              <w:spacing w:before="0" w:beforeAutospacing="0" w:after="0" w:afterAutospacing="0"/>
              <w:ind w:right="60"/>
              <w:jc w:val="right"/>
              <w:rPr>
                <w:sz w:val="16"/>
                <w:szCs w:val="16"/>
              </w:rPr>
            </w:pPr>
            <w:r>
              <w:rPr>
                <w:sz w:val="16"/>
                <w:szCs w:val="16"/>
              </w:rPr>
              <w:t>2,605</w:t>
            </w:r>
          </w:p>
        </w:tc>
        <w:tc>
          <w:tcPr>
            <w:tcW w:w="76" w:type="pct"/>
            <w:noWrap/>
            <w:tcMar>
              <w:top w:w="0" w:type="dxa"/>
              <w:left w:w="0" w:type="dxa"/>
              <w:bottom w:w="0" w:type="dxa"/>
              <w:right w:w="0" w:type="dxa"/>
            </w:tcMar>
            <w:vAlign w:val="bottom"/>
            <w:hideMark/>
          </w:tcPr>
          <w:p w14:paraId="1E024A42"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58E79B3E"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14:paraId="483B8E7C"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FD619A4"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43A28650"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14:paraId="4D078DD1"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35D87433"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4BEEAA3C"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1E05943E" w14:textId="77777777" w:rsidR="00000000" w:rsidRDefault="00097612">
            <w:pPr>
              <w:pStyle w:val="a3"/>
              <w:spacing w:before="0" w:beforeAutospacing="0" w:after="0" w:afterAutospacing="0"/>
              <w:ind w:right="60"/>
              <w:jc w:val="right"/>
              <w:rPr>
                <w:sz w:val="16"/>
                <w:szCs w:val="16"/>
              </w:rPr>
            </w:pPr>
            <w:r>
              <w:rPr>
                <w:sz w:val="16"/>
                <w:szCs w:val="16"/>
              </w:rPr>
              <w:t>2,605</w:t>
            </w:r>
          </w:p>
        </w:tc>
      </w:tr>
      <w:tr w:rsidR="00000000" w14:paraId="4B367E0D" w14:textId="77777777">
        <w:trPr>
          <w:divId w:val="1429960337"/>
        </w:trPr>
        <w:tc>
          <w:tcPr>
            <w:tcW w:w="1847" w:type="pct"/>
            <w:shd w:val="clear" w:color="auto" w:fill="CCEEFF"/>
            <w:tcMar>
              <w:top w:w="0" w:type="dxa"/>
              <w:left w:w="0" w:type="dxa"/>
              <w:bottom w:w="0" w:type="dxa"/>
              <w:right w:w="0" w:type="dxa"/>
            </w:tcMar>
            <w:vAlign w:val="bottom"/>
            <w:hideMark/>
          </w:tcPr>
          <w:p w14:paraId="5676BCBA" w14:textId="77777777" w:rsidR="00000000" w:rsidRDefault="00097612">
            <w:pPr>
              <w:pStyle w:val="a3"/>
              <w:spacing w:before="0" w:beforeAutospacing="0" w:after="0" w:afterAutospacing="0"/>
              <w:ind w:left="240"/>
              <w:rPr>
                <w:sz w:val="16"/>
                <w:szCs w:val="16"/>
              </w:rPr>
            </w:pPr>
            <w:r>
              <w:rPr>
                <w:sz w:val="16"/>
                <w:szCs w:val="16"/>
              </w:rPr>
              <w:t>Employee share-based compensation expense</w:t>
            </w:r>
          </w:p>
        </w:tc>
        <w:tc>
          <w:tcPr>
            <w:tcW w:w="76" w:type="pct"/>
            <w:shd w:val="clear" w:color="auto" w:fill="CCEEFF"/>
            <w:noWrap/>
            <w:tcMar>
              <w:top w:w="0" w:type="dxa"/>
              <w:left w:w="0" w:type="dxa"/>
              <w:bottom w:w="0" w:type="dxa"/>
              <w:right w:w="0" w:type="dxa"/>
            </w:tcMar>
            <w:vAlign w:val="bottom"/>
            <w:hideMark/>
          </w:tcPr>
          <w:p w14:paraId="24330530"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545ABF3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386613A5"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3F0C6E0B"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5AE67250"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55BC4A7E"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33829F0A"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351BFF40" w14:textId="77777777" w:rsidR="00000000" w:rsidRDefault="00097612">
            <w:pPr>
              <w:pStyle w:val="a3"/>
              <w:spacing w:before="0" w:beforeAutospacing="0" w:after="0" w:afterAutospacing="0"/>
              <w:ind w:right="60"/>
              <w:jc w:val="right"/>
              <w:rPr>
                <w:sz w:val="16"/>
                <w:szCs w:val="16"/>
              </w:rPr>
            </w:pPr>
            <w:r>
              <w:rPr>
                <w:sz w:val="16"/>
                <w:szCs w:val="16"/>
              </w:rPr>
              <w:t>36,538</w:t>
            </w:r>
          </w:p>
        </w:tc>
        <w:tc>
          <w:tcPr>
            <w:tcW w:w="76" w:type="pct"/>
            <w:shd w:val="clear" w:color="auto" w:fill="CCEEFF"/>
            <w:noWrap/>
            <w:tcMar>
              <w:top w:w="0" w:type="dxa"/>
              <w:left w:w="0" w:type="dxa"/>
              <w:bottom w:w="0" w:type="dxa"/>
              <w:right w:w="0" w:type="dxa"/>
            </w:tcMar>
            <w:vAlign w:val="bottom"/>
            <w:hideMark/>
          </w:tcPr>
          <w:p w14:paraId="0E1C1212"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65EDEB84"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14:paraId="737122E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56542293"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74BF3F96"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67F743B1"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13ECD437"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7F95FF91"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387A69B8" w14:textId="77777777" w:rsidR="00000000" w:rsidRDefault="00097612">
            <w:pPr>
              <w:pStyle w:val="a3"/>
              <w:spacing w:before="0" w:beforeAutospacing="0" w:after="0" w:afterAutospacing="0"/>
              <w:ind w:right="60"/>
              <w:jc w:val="right"/>
              <w:rPr>
                <w:sz w:val="16"/>
                <w:szCs w:val="16"/>
              </w:rPr>
            </w:pPr>
            <w:r>
              <w:rPr>
                <w:sz w:val="16"/>
                <w:szCs w:val="16"/>
              </w:rPr>
              <w:t>36,538</w:t>
            </w:r>
          </w:p>
        </w:tc>
      </w:tr>
      <w:tr w:rsidR="00000000" w14:paraId="6EEB5163" w14:textId="77777777">
        <w:trPr>
          <w:divId w:val="1429960337"/>
        </w:trPr>
        <w:tc>
          <w:tcPr>
            <w:tcW w:w="1847" w:type="pct"/>
            <w:tcMar>
              <w:top w:w="0" w:type="dxa"/>
              <w:left w:w="0" w:type="dxa"/>
              <w:bottom w:w="0" w:type="dxa"/>
              <w:right w:w="0" w:type="dxa"/>
            </w:tcMar>
            <w:vAlign w:val="bottom"/>
            <w:hideMark/>
          </w:tcPr>
          <w:p w14:paraId="048E9A22" w14:textId="77777777" w:rsidR="00000000" w:rsidRDefault="00097612">
            <w:pPr>
              <w:pStyle w:val="a3"/>
              <w:spacing w:before="0" w:beforeAutospacing="0" w:after="0" w:afterAutospacing="0"/>
              <w:ind w:left="240"/>
              <w:rPr>
                <w:sz w:val="16"/>
                <w:szCs w:val="16"/>
              </w:rPr>
            </w:pPr>
            <w:r>
              <w:rPr>
                <w:sz w:val="16"/>
                <w:szCs w:val="16"/>
              </w:rPr>
              <w:t>Issuance of restricted shares</w:t>
            </w:r>
          </w:p>
        </w:tc>
        <w:tc>
          <w:tcPr>
            <w:tcW w:w="76" w:type="pct"/>
            <w:noWrap/>
            <w:tcMar>
              <w:top w:w="0" w:type="dxa"/>
              <w:left w:w="0" w:type="dxa"/>
              <w:bottom w:w="0" w:type="dxa"/>
              <w:right w:w="0" w:type="dxa"/>
            </w:tcMar>
            <w:vAlign w:val="bottom"/>
            <w:hideMark/>
          </w:tcPr>
          <w:p w14:paraId="6DBBC2EC"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5731B6E4" w14:textId="77777777" w:rsidR="00000000" w:rsidRDefault="00097612">
            <w:pPr>
              <w:pStyle w:val="a3"/>
              <w:spacing w:before="0" w:beforeAutospacing="0" w:after="0" w:afterAutospacing="0"/>
              <w:ind w:right="60"/>
              <w:jc w:val="right"/>
              <w:rPr>
                <w:sz w:val="16"/>
                <w:szCs w:val="16"/>
              </w:rPr>
            </w:pPr>
            <w:r>
              <w:rPr>
                <w:sz w:val="16"/>
                <w:szCs w:val="16"/>
              </w:rPr>
              <w:t>898</w:t>
            </w:r>
          </w:p>
        </w:tc>
        <w:tc>
          <w:tcPr>
            <w:tcW w:w="76" w:type="pct"/>
            <w:noWrap/>
            <w:tcMar>
              <w:top w:w="0" w:type="dxa"/>
              <w:left w:w="0" w:type="dxa"/>
              <w:bottom w:w="0" w:type="dxa"/>
              <w:right w:w="0" w:type="dxa"/>
            </w:tcMar>
            <w:vAlign w:val="bottom"/>
            <w:hideMark/>
          </w:tcPr>
          <w:p w14:paraId="29423D0B"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6D2C9E45"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63C09DA6"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6F6CC863"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B506B10"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Mar>
              <w:top w:w="0" w:type="dxa"/>
              <w:left w:w="0" w:type="dxa"/>
              <w:bottom w:w="0" w:type="dxa"/>
              <w:right w:w="0" w:type="dxa"/>
            </w:tcMar>
            <w:vAlign w:val="bottom"/>
            <w:hideMark/>
          </w:tcPr>
          <w:p w14:paraId="17280A46"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761EE183"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19BE66BD"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14:paraId="387815C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71E8918A"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02244CF4"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14:paraId="45A8DCD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7A2C3642"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0D2A8E3F"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349FBB90" w14:textId="77777777" w:rsidR="00000000" w:rsidRDefault="00097612">
            <w:pPr>
              <w:pStyle w:val="a3"/>
              <w:spacing w:before="0" w:beforeAutospacing="0" w:after="0" w:afterAutospacing="0"/>
              <w:ind w:right="60"/>
              <w:jc w:val="right"/>
              <w:rPr>
                <w:sz w:val="16"/>
                <w:szCs w:val="16"/>
              </w:rPr>
            </w:pPr>
            <w:r>
              <w:rPr>
                <w:sz w:val="16"/>
                <w:szCs w:val="16"/>
              </w:rPr>
              <w:t>—</w:t>
            </w:r>
          </w:p>
        </w:tc>
      </w:tr>
      <w:tr w:rsidR="00000000" w14:paraId="383A931E" w14:textId="77777777">
        <w:trPr>
          <w:divId w:val="1429960337"/>
        </w:trPr>
        <w:tc>
          <w:tcPr>
            <w:tcW w:w="1847" w:type="pct"/>
            <w:shd w:val="clear" w:color="auto" w:fill="CCEEFF"/>
            <w:tcMar>
              <w:top w:w="0" w:type="dxa"/>
              <w:left w:w="0" w:type="dxa"/>
              <w:bottom w:w="0" w:type="dxa"/>
              <w:right w:w="0" w:type="dxa"/>
            </w:tcMar>
            <w:vAlign w:val="bottom"/>
            <w:hideMark/>
          </w:tcPr>
          <w:p w14:paraId="549E2725" w14:textId="77777777" w:rsidR="00000000" w:rsidRDefault="00097612">
            <w:pPr>
              <w:pStyle w:val="a3"/>
              <w:spacing w:before="0" w:beforeAutospacing="0" w:after="0" w:afterAutospacing="0"/>
              <w:ind w:left="240"/>
              <w:rPr>
                <w:sz w:val="16"/>
                <w:szCs w:val="16"/>
              </w:rPr>
            </w:pPr>
            <w:r>
              <w:rPr>
                <w:sz w:val="16"/>
                <w:szCs w:val="16"/>
              </w:rPr>
              <w:t>Option exercises</w:t>
            </w:r>
          </w:p>
        </w:tc>
        <w:tc>
          <w:tcPr>
            <w:tcW w:w="76" w:type="pct"/>
            <w:shd w:val="clear" w:color="auto" w:fill="CCEEFF"/>
            <w:noWrap/>
            <w:tcMar>
              <w:top w:w="0" w:type="dxa"/>
              <w:left w:w="0" w:type="dxa"/>
              <w:bottom w:w="0" w:type="dxa"/>
              <w:right w:w="0" w:type="dxa"/>
            </w:tcMar>
            <w:vAlign w:val="bottom"/>
            <w:hideMark/>
          </w:tcPr>
          <w:p w14:paraId="52508ABC"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76E73565" w14:textId="77777777" w:rsidR="00000000" w:rsidRDefault="00097612">
            <w:pPr>
              <w:pStyle w:val="a3"/>
              <w:spacing w:before="0" w:beforeAutospacing="0" w:after="0" w:afterAutospacing="0"/>
              <w:ind w:right="60"/>
              <w:jc w:val="right"/>
              <w:rPr>
                <w:sz w:val="16"/>
                <w:szCs w:val="16"/>
              </w:rPr>
            </w:pPr>
            <w:r>
              <w:rPr>
                <w:sz w:val="16"/>
                <w:szCs w:val="16"/>
              </w:rPr>
              <w:t>151</w:t>
            </w:r>
          </w:p>
        </w:tc>
        <w:tc>
          <w:tcPr>
            <w:tcW w:w="76" w:type="pct"/>
            <w:shd w:val="clear" w:color="auto" w:fill="CCEEFF"/>
            <w:noWrap/>
            <w:tcMar>
              <w:top w:w="0" w:type="dxa"/>
              <w:left w:w="0" w:type="dxa"/>
              <w:bottom w:w="0" w:type="dxa"/>
              <w:right w:w="0" w:type="dxa"/>
            </w:tcMar>
            <w:vAlign w:val="bottom"/>
            <w:hideMark/>
          </w:tcPr>
          <w:p w14:paraId="1EF86180"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39C11E14"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40ABB00B"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158D7A7A"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6FA0640C"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772B165E" w14:textId="77777777" w:rsidR="00000000" w:rsidRDefault="00097612">
            <w:pPr>
              <w:pStyle w:val="a3"/>
              <w:spacing w:before="0" w:beforeAutospacing="0" w:after="0" w:afterAutospacing="0"/>
              <w:ind w:right="60"/>
              <w:jc w:val="right"/>
              <w:rPr>
                <w:sz w:val="16"/>
                <w:szCs w:val="16"/>
              </w:rPr>
            </w:pPr>
            <w:r>
              <w:rPr>
                <w:sz w:val="16"/>
                <w:szCs w:val="16"/>
              </w:rPr>
              <w:t>2,973</w:t>
            </w:r>
          </w:p>
        </w:tc>
        <w:tc>
          <w:tcPr>
            <w:tcW w:w="76" w:type="pct"/>
            <w:shd w:val="clear" w:color="auto" w:fill="CCEEFF"/>
            <w:noWrap/>
            <w:tcMar>
              <w:top w:w="0" w:type="dxa"/>
              <w:left w:w="0" w:type="dxa"/>
              <w:bottom w:w="0" w:type="dxa"/>
              <w:right w:w="0" w:type="dxa"/>
            </w:tcMar>
            <w:vAlign w:val="bottom"/>
            <w:hideMark/>
          </w:tcPr>
          <w:p w14:paraId="4B0617A6"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43C60CC0"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14:paraId="1FE40C9A"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0AC4242D"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21AC769D"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704F3B93"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2AAD6EBD"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5A7E17B5"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32606CCC" w14:textId="77777777" w:rsidR="00000000" w:rsidRDefault="00097612">
            <w:pPr>
              <w:pStyle w:val="a3"/>
              <w:spacing w:before="0" w:beforeAutospacing="0" w:after="0" w:afterAutospacing="0"/>
              <w:ind w:right="60"/>
              <w:jc w:val="right"/>
              <w:rPr>
                <w:sz w:val="16"/>
                <w:szCs w:val="16"/>
              </w:rPr>
            </w:pPr>
            <w:r>
              <w:rPr>
                <w:sz w:val="16"/>
                <w:szCs w:val="16"/>
              </w:rPr>
              <w:t>2,973</w:t>
            </w:r>
          </w:p>
        </w:tc>
      </w:tr>
      <w:tr w:rsidR="00000000" w14:paraId="6266A9FD" w14:textId="77777777">
        <w:trPr>
          <w:divId w:val="1429960337"/>
        </w:trPr>
        <w:tc>
          <w:tcPr>
            <w:tcW w:w="1847" w:type="pct"/>
            <w:tcMar>
              <w:top w:w="0" w:type="dxa"/>
              <w:left w:w="0" w:type="dxa"/>
              <w:bottom w:w="0" w:type="dxa"/>
              <w:right w:w="0" w:type="dxa"/>
            </w:tcMar>
            <w:vAlign w:val="bottom"/>
            <w:hideMark/>
          </w:tcPr>
          <w:p w14:paraId="3A2ACAE7" w14:textId="77777777" w:rsidR="00000000" w:rsidRDefault="00097612">
            <w:pPr>
              <w:pStyle w:val="a3"/>
              <w:spacing w:before="0" w:beforeAutospacing="0" w:after="0" w:afterAutospacing="0"/>
              <w:ind w:left="240"/>
              <w:rPr>
                <w:sz w:val="16"/>
                <w:szCs w:val="16"/>
              </w:rPr>
            </w:pPr>
            <w:r>
              <w:rPr>
                <w:sz w:val="16"/>
                <w:szCs w:val="16"/>
              </w:rPr>
              <w:t>Repurchase of shares to satisfy tax withholding</w:t>
            </w:r>
          </w:p>
        </w:tc>
        <w:tc>
          <w:tcPr>
            <w:tcW w:w="76" w:type="pct"/>
            <w:noWrap/>
            <w:tcMar>
              <w:top w:w="0" w:type="dxa"/>
              <w:left w:w="0" w:type="dxa"/>
              <w:bottom w:w="0" w:type="dxa"/>
              <w:right w:w="0" w:type="dxa"/>
            </w:tcMar>
            <w:vAlign w:val="bottom"/>
            <w:hideMark/>
          </w:tcPr>
          <w:p w14:paraId="16B6D411"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7EF242F9" w14:textId="77777777" w:rsidR="00000000" w:rsidRDefault="00097612">
            <w:pPr>
              <w:pStyle w:val="a3"/>
              <w:spacing w:before="0" w:beforeAutospacing="0" w:after="0" w:afterAutospacing="0"/>
              <w:jc w:val="right"/>
              <w:rPr>
                <w:sz w:val="16"/>
                <w:szCs w:val="16"/>
              </w:rPr>
            </w:pPr>
            <w:r>
              <w:rPr>
                <w:sz w:val="16"/>
                <w:szCs w:val="16"/>
              </w:rPr>
              <w:t>(113)</w:t>
            </w:r>
          </w:p>
        </w:tc>
        <w:tc>
          <w:tcPr>
            <w:tcW w:w="76" w:type="pct"/>
            <w:noWrap/>
            <w:tcMar>
              <w:top w:w="0" w:type="dxa"/>
              <w:left w:w="0" w:type="dxa"/>
              <w:bottom w:w="0" w:type="dxa"/>
              <w:right w:w="0" w:type="dxa"/>
            </w:tcMar>
            <w:vAlign w:val="bottom"/>
            <w:hideMark/>
          </w:tcPr>
          <w:p w14:paraId="2F005081"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A1D3D0E"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0EBC13E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6054929B"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78930A8"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Mar>
              <w:top w:w="0" w:type="dxa"/>
              <w:left w:w="0" w:type="dxa"/>
              <w:bottom w:w="0" w:type="dxa"/>
              <w:right w:w="0" w:type="dxa"/>
            </w:tcMar>
            <w:vAlign w:val="bottom"/>
            <w:hideMark/>
          </w:tcPr>
          <w:p w14:paraId="551C6988" w14:textId="77777777" w:rsidR="00000000" w:rsidRDefault="00097612">
            <w:pPr>
              <w:pStyle w:val="a3"/>
              <w:spacing w:before="0" w:beforeAutospacing="0" w:after="0" w:afterAutospacing="0"/>
              <w:jc w:val="right"/>
              <w:rPr>
                <w:sz w:val="16"/>
                <w:szCs w:val="16"/>
              </w:rPr>
            </w:pPr>
            <w:r>
              <w:rPr>
                <w:sz w:val="16"/>
                <w:szCs w:val="16"/>
              </w:rPr>
              <w:t>(2,743)</w:t>
            </w:r>
          </w:p>
        </w:tc>
        <w:tc>
          <w:tcPr>
            <w:tcW w:w="76" w:type="pct"/>
            <w:noWrap/>
            <w:tcMar>
              <w:top w:w="0" w:type="dxa"/>
              <w:left w:w="0" w:type="dxa"/>
              <w:bottom w:w="0" w:type="dxa"/>
              <w:right w:w="0" w:type="dxa"/>
            </w:tcMar>
            <w:vAlign w:val="bottom"/>
            <w:hideMark/>
          </w:tcPr>
          <w:p w14:paraId="3E0971B4"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0B5BE46E"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14:paraId="5F5701DD"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7EF5414"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2379401C"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14:paraId="7D9D3887"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138E8264"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5D2CE6CE"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1E9F5AAF" w14:textId="77777777" w:rsidR="00000000" w:rsidRDefault="00097612">
            <w:pPr>
              <w:pStyle w:val="a3"/>
              <w:spacing w:before="0" w:beforeAutospacing="0" w:after="0" w:afterAutospacing="0"/>
              <w:jc w:val="right"/>
              <w:rPr>
                <w:sz w:val="16"/>
                <w:szCs w:val="16"/>
              </w:rPr>
            </w:pPr>
            <w:r>
              <w:rPr>
                <w:sz w:val="16"/>
                <w:szCs w:val="16"/>
              </w:rPr>
              <w:t>(2,743)</w:t>
            </w:r>
          </w:p>
        </w:tc>
      </w:tr>
      <w:tr w:rsidR="00000000" w14:paraId="76591906" w14:textId="77777777">
        <w:trPr>
          <w:divId w:val="1429960337"/>
        </w:trPr>
        <w:tc>
          <w:tcPr>
            <w:tcW w:w="1847" w:type="pct"/>
            <w:shd w:val="clear" w:color="auto" w:fill="CCEEFF"/>
            <w:tcMar>
              <w:top w:w="0" w:type="dxa"/>
              <w:left w:w="0" w:type="dxa"/>
              <w:bottom w:w="0" w:type="dxa"/>
              <w:right w:w="0" w:type="dxa"/>
            </w:tcMar>
            <w:vAlign w:val="bottom"/>
            <w:hideMark/>
          </w:tcPr>
          <w:p w14:paraId="17943484" w14:textId="77777777" w:rsidR="00000000" w:rsidRDefault="00097612">
            <w:pPr>
              <w:pStyle w:val="a3"/>
              <w:spacing w:before="0" w:beforeAutospacing="0" w:after="0" w:afterAutospacing="0"/>
              <w:ind w:left="240"/>
              <w:rPr>
                <w:sz w:val="16"/>
                <w:szCs w:val="16"/>
              </w:rPr>
            </w:pPr>
            <w:r>
              <w:rPr>
                <w:sz w:val="16"/>
                <w:szCs w:val="16"/>
              </w:rPr>
              <w:t>Net unrealized gain on marketable securities</w:t>
            </w:r>
          </w:p>
        </w:tc>
        <w:tc>
          <w:tcPr>
            <w:tcW w:w="76" w:type="pct"/>
            <w:shd w:val="clear" w:color="auto" w:fill="CCEEFF"/>
            <w:noWrap/>
            <w:tcMar>
              <w:top w:w="0" w:type="dxa"/>
              <w:left w:w="0" w:type="dxa"/>
              <w:bottom w:w="0" w:type="dxa"/>
              <w:right w:w="0" w:type="dxa"/>
            </w:tcMar>
            <w:vAlign w:val="bottom"/>
            <w:hideMark/>
          </w:tcPr>
          <w:p w14:paraId="2BAF6B1F"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03AD3C76"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27F53730"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0552E862"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58A9B711"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01E0DB40"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2A47D216"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20535370"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37B4B812"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2B064FD9"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14:paraId="2C321259" w14:textId="77777777" w:rsidR="00000000" w:rsidRDefault="00097612">
            <w:pPr>
              <w:pStyle w:val="a3"/>
              <w:spacing w:before="0" w:beforeAutospacing="0" w:after="0" w:afterAutospacing="0"/>
              <w:ind w:right="60"/>
              <w:jc w:val="right"/>
              <w:rPr>
                <w:sz w:val="16"/>
                <w:szCs w:val="16"/>
              </w:rPr>
            </w:pPr>
            <w:r>
              <w:rPr>
                <w:sz w:val="16"/>
                <w:szCs w:val="16"/>
              </w:rPr>
              <w:t>260</w:t>
            </w:r>
          </w:p>
        </w:tc>
        <w:tc>
          <w:tcPr>
            <w:tcW w:w="76" w:type="pct"/>
            <w:shd w:val="clear" w:color="auto" w:fill="CCEEFF"/>
            <w:noWrap/>
            <w:tcMar>
              <w:top w:w="0" w:type="dxa"/>
              <w:left w:w="0" w:type="dxa"/>
              <w:bottom w:w="0" w:type="dxa"/>
              <w:right w:w="0" w:type="dxa"/>
            </w:tcMar>
            <w:vAlign w:val="bottom"/>
            <w:hideMark/>
          </w:tcPr>
          <w:p w14:paraId="17F6A3FF"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6BFE21EF"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0F68C5CA"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41788284"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4733DB44"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2B6FAD53" w14:textId="77777777" w:rsidR="00000000" w:rsidRDefault="00097612">
            <w:pPr>
              <w:pStyle w:val="a3"/>
              <w:spacing w:before="0" w:beforeAutospacing="0" w:after="0" w:afterAutospacing="0"/>
              <w:ind w:right="60"/>
              <w:jc w:val="right"/>
              <w:rPr>
                <w:sz w:val="16"/>
                <w:szCs w:val="16"/>
              </w:rPr>
            </w:pPr>
            <w:r>
              <w:rPr>
                <w:sz w:val="16"/>
                <w:szCs w:val="16"/>
              </w:rPr>
              <w:t>260</w:t>
            </w:r>
          </w:p>
        </w:tc>
      </w:tr>
      <w:tr w:rsidR="00000000" w14:paraId="236A8DA7" w14:textId="77777777">
        <w:trPr>
          <w:divId w:val="1429960337"/>
        </w:trPr>
        <w:tc>
          <w:tcPr>
            <w:tcW w:w="1847" w:type="pct"/>
            <w:tcMar>
              <w:top w:w="0" w:type="dxa"/>
              <w:left w:w="0" w:type="dxa"/>
              <w:bottom w:w="0" w:type="dxa"/>
              <w:right w:w="0" w:type="dxa"/>
            </w:tcMar>
            <w:vAlign w:val="bottom"/>
            <w:hideMark/>
          </w:tcPr>
          <w:p w14:paraId="5321ED25" w14:textId="77777777" w:rsidR="00000000" w:rsidRDefault="00097612">
            <w:pPr>
              <w:pStyle w:val="a3"/>
              <w:spacing w:before="0" w:beforeAutospacing="0" w:after="0" w:afterAutospacing="0"/>
              <w:ind w:left="240"/>
              <w:rPr>
                <w:sz w:val="16"/>
                <w:szCs w:val="16"/>
              </w:rPr>
            </w:pPr>
            <w:r>
              <w:rPr>
                <w:sz w:val="16"/>
                <w:szCs w:val="16"/>
              </w:rPr>
              <w:t>Net loss</w:t>
            </w:r>
          </w:p>
        </w:tc>
        <w:tc>
          <w:tcPr>
            <w:tcW w:w="76" w:type="pct"/>
            <w:noWrap/>
            <w:tcMar>
              <w:top w:w="0" w:type="dxa"/>
              <w:left w:w="0" w:type="dxa"/>
              <w:bottom w:w="0" w:type="dxa"/>
              <w:right w:w="0" w:type="dxa"/>
            </w:tcMar>
            <w:vAlign w:val="bottom"/>
            <w:hideMark/>
          </w:tcPr>
          <w:p w14:paraId="579388EB" w14:textId="77777777" w:rsidR="00000000" w:rsidRDefault="00097612">
            <w:pPr>
              <w:pStyle w:val="a3"/>
              <w:spacing w:before="0" w:beforeAutospacing="0" w:after="0" w:afterAutospacing="0"/>
              <w:rPr>
                <w:sz w:val="20"/>
                <w:szCs w:val="20"/>
              </w:rPr>
            </w:pPr>
            <w:r>
              <w:rPr>
                <w:sz w:val="16"/>
                <w:szCs w:val="16"/>
              </w:rPr>
              <w:t>​</w:t>
            </w:r>
          </w:p>
        </w:tc>
        <w:tc>
          <w:tcPr>
            <w:tcW w:w="342" w:type="pct"/>
            <w:tcBorders>
              <w:bottom w:val="single" w:sz="6" w:space="0" w:color="000000"/>
            </w:tcBorders>
            <w:tcMar>
              <w:top w:w="0" w:type="dxa"/>
              <w:left w:w="0" w:type="dxa"/>
              <w:bottom w:w="0" w:type="dxa"/>
              <w:right w:w="0" w:type="dxa"/>
            </w:tcMar>
            <w:vAlign w:val="bottom"/>
            <w:hideMark/>
          </w:tcPr>
          <w:p w14:paraId="51F88F77"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7A497E1"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14:paraId="10636FCD"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Borders>
              <w:bottom w:val="single" w:sz="6" w:space="0" w:color="000000"/>
            </w:tcBorders>
            <w:tcMar>
              <w:top w:w="0" w:type="dxa"/>
              <w:left w:w="0" w:type="dxa"/>
              <w:bottom w:w="0" w:type="dxa"/>
              <w:right w:w="0" w:type="dxa"/>
            </w:tcMar>
            <w:vAlign w:val="bottom"/>
            <w:hideMark/>
          </w:tcPr>
          <w:p w14:paraId="51C4D5E0"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074DDA61"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14:paraId="50BF7336"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Borders>
              <w:bottom w:val="single" w:sz="6" w:space="0" w:color="000000"/>
            </w:tcBorders>
            <w:tcMar>
              <w:top w:w="0" w:type="dxa"/>
              <w:left w:w="0" w:type="dxa"/>
              <w:bottom w:w="0" w:type="dxa"/>
              <w:right w:w="0" w:type="dxa"/>
            </w:tcMar>
            <w:vAlign w:val="bottom"/>
            <w:hideMark/>
          </w:tcPr>
          <w:p w14:paraId="5BB3AC6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16E96700" w14:textId="77777777" w:rsidR="00000000" w:rsidRDefault="00097612">
            <w:pPr>
              <w:pStyle w:val="a3"/>
              <w:spacing w:before="0" w:beforeAutospacing="0" w:after="0" w:afterAutospacing="0"/>
              <w:rPr>
                <w:sz w:val="20"/>
                <w:szCs w:val="20"/>
              </w:rPr>
            </w:pPr>
            <w:r>
              <w:rPr>
                <w:sz w:val="16"/>
                <w:szCs w:val="16"/>
              </w:rPr>
              <w:t>​</w:t>
            </w:r>
          </w:p>
        </w:tc>
        <w:tc>
          <w:tcPr>
            <w:tcW w:w="108" w:type="pct"/>
            <w:tcBorders>
              <w:bottom w:val="single" w:sz="6" w:space="0" w:color="000000"/>
            </w:tcBorders>
            <w:noWrap/>
            <w:tcMar>
              <w:top w:w="0" w:type="dxa"/>
              <w:left w:w="0" w:type="dxa"/>
              <w:bottom w:w="0" w:type="dxa"/>
              <w:right w:w="0" w:type="dxa"/>
            </w:tcMar>
            <w:vAlign w:val="bottom"/>
            <w:hideMark/>
          </w:tcPr>
          <w:p w14:paraId="13212958"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tcMar>
              <w:top w:w="0" w:type="dxa"/>
              <w:left w:w="0" w:type="dxa"/>
              <w:bottom w:w="0" w:type="dxa"/>
              <w:right w:w="0" w:type="dxa"/>
            </w:tcMar>
            <w:vAlign w:val="bottom"/>
            <w:hideMark/>
          </w:tcPr>
          <w:p w14:paraId="7A3BCD3D"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633D86CF" w14:textId="77777777" w:rsidR="00000000" w:rsidRDefault="00097612">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14:paraId="4A699189"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14:paraId="4F01028B" w14:textId="77777777" w:rsidR="00000000" w:rsidRDefault="00097612">
            <w:pPr>
              <w:pStyle w:val="a3"/>
              <w:spacing w:before="0" w:beforeAutospacing="0" w:after="0" w:afterAutospacing="0"/>
              <w:jc w:val="right"/>
              <w:rPr>
                <w:sz w:val="16"/>
                <w:szCs w:val="16"/>
              </w:rPr>
            </w:pPr>
            <w:r>
              <w:rPr>
                <w:sz w:val="16"/>
                <w:szCs w:val="16"/>
              </w:rPr>
              <w:t>(170,849)</w:t>
            </w:r>
          </w:p>
        </w:tc>
        <w:tc>
          <w:tcPr>
            <w:tcW w:w="76" w:type="pct"/>
            <w:noWrap/>
            <w:tcMar>
              <w:top w:w="0" w:type="dxa"/>
              <w:left w:w="0" w:type="dxa"/>
              <w:bottom w:w="0" w:type="dxa"/>
              <w:right w:w="0" w:type="dxa"/>
            </w:tcMar>
            <w:vAlign w:val="bottom"/>
            <w:hideMark/>
          </w:tcPr>
          <w:p w14:paraId="74CB7D2A" w14:textId="77777777" w:rsidR="00000000" w:rsidRDefault="00097612">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14:paraId="3D8D98F6"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14:paraId="7C31F400" w14:textId="77777777" w:rsidR="00000000" w:rsidRDefault="00097612">
            <w:pPr>
              <w:pStyle w:val="a3"/>
              <w:spacing w:before="0" w:beforeAutospacing="0" w:after="0" w:afterAutospacing="0"/>
              <w:jc w:val="right"/>
              <w:rPr>
                <w:sz w:val="16"/>
                <w:szCs w:val="16"/>
              </w:rPr>
            </w:pPr>
            <w:r>
              <w:rPr>
                <w:sz w:val="16"/>
                <w:szCs w:val="16"/>
              </w:rPr>
              <w:t>(170,849)</w:t>
            </w:r>
          </w:p>
        </w:tc>
      </w:tr>
      <w:tr w:rsidR="00000000" w14:paraId="7CA8F93F" w14:textId="77777777">
        <w:trPr>
          <w:divId w:val="1429960337"/>
        </w:trPr>
        <w:tc>
          <w:tcPr>
            <w:tcW w:w="1847" w:type="pct"/>
            <w:shd w:val="clear" w:color="auto" w:fill="CCEEFF"/>
            <w:tcMar>
              <w:top w:w="0" w:type="dxa"/>
              <w:left w:w="0" w:type="dxa"/>
              <w:bottom w:w="0" w:type="dxa"/>
              <w:right w:w="0" w:type="dxa"/>
            </w:tcMar>
            <w:vAlign w:val="bottom"/>
            <w:hideMark/>
          </w:tcPr>
          <w:p w14:paraId="49C8F7A4" w14:textId="77777777" w:rsidR="00000000" w:rsidRDefault="00097612">
            <w:pPr>
              <w:pStyle w:val="a3"/>
              <w:spacing w:before="0" w:beforeAutospacing="0" w:after="0" w:afterAutospacing="0"/>
              <w:rPr>
                <w:sz w:val="16"/>
                <w:szCs w:val="16"/>
              </w:rPr>
            </w:pPr>
            <w:r>
              <w:rPr>
                <w:sz w:val="16"/>
                <w:szCs w:val="16"/>
              </w:rPr>
              <w:t>Balances at September 30, 2019</w:t>
            </w:r>
          </w:p>
        </w:tc>
        <w:tc>
          <w:tcPr>
            <w:tcW w:w="76" w:type="pct"/>
            <w:shd w:val="clear" w:color="auto" w:fill="CCEEFF"/>
            <w:noWrap/>
            <w:tcMar>
              <w:top w:w="0" w:type="dxa"/>
              <w:left w:w="0" w:type="dxa"/>
              <w:bottom w:w="0" w:type="dxa"/>
              <w:right w:w="0" w:type="dxa"/>
            </w:tcMar>
            <w:vAlign w:val="bottom"/>
            <w:hideMark/>
          </w:tcPr>
          <w:p w14:paraId="3DD11C5B" w14:textId="77777777" w:rsidR="00000000" w:rsidRDefault="00097612">
            <w:pPr>
              <w:pStyle w:val="a3"/>
              <w:spacing w:before="0" w:beforeAutospacing="0" w:after="0" w:afterAutospacing="0"/>
              <w:rPr>
                <w:sz w:val="20"/>
                <w:szCs w:val="20"/>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14:paraId="1A39975E" w14:textId="77777777" w:rsidR="00000000" w:rsidRDefault="00097612">
            <w:pPr>
              <w:pStyle w:val="a3"/>
              <w:spacing w:before="0" w:beforeAutospacing="0" w:after="0" w:afterAutospacing="0"/>
              <w:ind w:right="60"/>
              <w:jc w:val="right"/>
              <w:rPr>
                <w:sz w:val="16"/>
                <w:szCs w:val="16"/>
              </w:rPr>
            </w:pPr>
            <w:r>
              <w:rPr>
                <w:sz w:val="16"/>
                <w:szCs w:val="16"/>
              </w:rPr>
              <w:t>56,762</w:t>
            </w:r>
          </w:p>
        </w:tc>
        <w:tc>
          <w:tcPr>
            <w:tcW w:w="76" w:type="pct"/>
            <w:shd w:val="clear" w:color="auto" w:fill="CCEEFF"/>
            <w:noWrap/>
            <w:tcMar>
              <w:top w:w="0" w:type="dxa"/>
              <w:left w:w="0" w:type="dxa"/>
              <w:bottom w:w="0" w:type="dxa"/>
              <w:right w:w="0" w:type="dxa"/>
            </w:tcMar>
            <w:vAlign w:val="bottom"/>
            <w:hideMark/>
          </w:tcPr>
          <w:p w14:paraId="2E70AF7D"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34092D0C" w14:textId="77777777" w:rsidR="00000000" w:rsidRDefault="00097612">
            <w:pPr>
              <w:pStyle w:val="a3"/>
              <w:spacing w:before="0" w:beforeAutospacing="0" w:after="0" w:afterAutospacing="0"/>
              <w:jc w:val="center"/>
              <w:rPr>
                <w:sz w:val="16"/>
                <w:szCs w:val="16"/>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14:paraId="5F11E8A5" w14:textId="77777777" w:rsidR="00000000" w:rsidRDefault="00097612">
            <w:pPr>
              <w:pStyle w:val="a3"/>
              <w:spacing w:before="0" w:beforeAutospacing="0" w:after="0" w:afterAutospacing="0"/>
              <w:ind w:right="60"/>
              <w:jc w:val="right"/>
              <w:rPr>
                <w:sz w:val="16"/>
                <w:szCs w:val="16"/>
              </w:rPr>
            </w:pPr>
            <w:r>
              <w:rPr>
                <w:sz w:val="16"/>
                <w:szCs w:val="16"/>
              </w:rPr>
              <w:t>1</w:t>
            </w:r>
          </w:p>
        </w:tc>
        <w:tc>
          <w:tcPr>
            <w:tcW w:w="76" w:type="pct"/>
            <w:shd w:val="clear" w:color="auto" w:fill="CCEEFF"/>
            <w:noWrap/>
            <w:tcMar>
              <w:top w:w="0" w:type="dxa"/>
              <w:left w:w="0" w:type="dxa"/>
              <w:bottom w:w="0" w:type="dxa"/>
              <w:right w:w="0" w:type="dxa"/>
            </w:tcMar>
            <w:vAlign w:val="bottom"/>
            <w:hideMark/>
          </w:tcPr>
          <w:p w14:paraId="4D16E020"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01A111D5" w14:textId="77777777" w:rsidR="00000000" w:rsidRDefault="00097612">
            <w:pPr>
              <w:pStyle w:val="a3"/>
              <w:spacing w:before="0" w:beforeAutospacing="0" w:after="0" w:afterAutospacing="0"/>
              <w:jc w:val="center"/>
              <w:rPr>
                <w:sz w:val="16"/>
                <w:szCs w:val="16"/>
              </w:rPr>
            </w:pPr>
            <w:r>
              <w:rPr>
                <w:sz w:val="16"/>
                <w:szCs w:val="16"/>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14:paraId="1B35C291" w14:textId="77777777" w:rsidR="00000000" w:rsidRDefault="00097612">
            <w:pPr>
              <w:pStyle w:val="a3"/>
              <w:spacing w:before="0" w:beforeAutospacing="0" w:after="0" w:afterAutospacing="0"/>
              <w:ind w:right="60"/>
              <w:jc w:val="right"/>
              <w:rPr>
                <w:sz w:val="16"/>
                <w:szCs w:val="16"/>
              </w:rPr>
            </w:pPr>
            <w:r>
              <w:rPr>
                <w:sz w:val="16"/>
                <w:szCs w:val="16"/>
              </w:rPr>
              <w:t>1,000,094</w:t>
            </w:r>
          </w:p>
        </w:tc>
        <w:tc>
          <w:tcPr>
            <w:tcW w:w="76" w:type="pct"/>
            <w:shd w:val="clear" w:color="auto" w:fill="CCEEFF"/>
            <w:noWrap/>
            <w:tcMar>
              <w:top w:w="0" w:type="dxa"/>
              <w:left w:w="0" w:type="dxa"/>
              <w:bottom w:w="0" w:type="dxa"/>
              <w:right w:w="0" w:type="dxa"/>
            </w:tcMar>
            <w:vAlign w:val="bottom"/>
            <w:hideMark/>
          </w:tcPr>
          <w:p w14:paraId="7875F244" w14:textId="77777777" w:rsidR="00000000" w:rsidRDefault="00097612">
            <w:pPr>
              <w:pStyle w:val="a3"/>
              <w:spacing w:before="0" w:beforeAutospacing="0" w:after="0" w:afterAutospacing="0"/>
              <w:rPr>
                <w:sz w:val="20"/>
                <w:szCs w:val="20"/>
              </w:rPr>
            </w:pPr>
            <w:r>
              <w:rPr>
                <w:sz w:val="16"/>
                <w:szCs w:val="16"/>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14:paraId="5FDC0BE1" w14:textId="77777777" w:rsidR="00000000" w:rsidRDefault="00097612">
            <w:pPr>
              <w:pStyle w:val="a3"/>
              <w:spacing w:before="0" w:beforeAutospacing="0" w:after="0" w:afterAutospacing="0"/>
              <w:jc w:val="center"/>
              <w:rPr>
                <w:sz w:val="16"/>
                <w:szCs w:val="16"/>
              </w:rPr>
            </w:pPr>
            <w:r>
              <w:rPr>
                <w:sz w:val="16"/>
                <w:szCs w:val="16"/>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14:paraId="17C0B200" w14:textId="77777777" w:rsidR="00000000" w:rsidRDefault="00097612">
            <w:pPr>
              <w:pStyle w:val="a3"/>
              <w:spacing w:before="0" w:beforeAutospacing="0" w:after="0" w:afterAutospacing="0"/>
              <w:ind w:right="60"/>
              <w:jc w:val="right"/>
              <w:rPr>
                <w:sz w:val="16"/>
                <w:szCs w:val="16"/>
              </w:rPr>
            </w:pPr>
            <w:r>
              <w:rPr>
                <w:sz w:val="16"/>
                <w:szCs w:val="16"/>
              </w:rPr>
              <w:t>94</w:t>
            </w:r>
          </w:p>
        </w:tc>
        <w:tc>
          <w:tcPr>
            <w:tcW w:w="76" w:type="pct"/>
            <w:shd w:val="clear" w:color="auto" w:fill="CCEEFF"/>
            <w:noWrap/>
            <w:tcMar>
              <w:top w:w="0" w:type="dxa"/>
              <w:left w:w="0" w:type="dxa"/>
              <w:bottom w:w="0" w:type="dxa"/>
              <w:right w:w="0" w:type="dxa"/>
            </w:tcMar>
            <w:vAlign w:val="bottom"/>
            <w:hideMark/>
          </w:tcPr>
          <w:p w14:paraId="567955C2" w14:textId="77777777" w:rsidR="00000000" w:rsidRDefault="00097612">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14:paraId="07DBD051" w14:textId="77777777" w:rsidR="00000000" w:rsidRDefault="00097612">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14:paraId="16D368ED" w14:textId="77777777" w:rsidR="00000000" w:rsidRDefault="00097612">
            <w:pPr>
              <w:pStyle w:val="a3"/>
              <w:spacing w:before="0" w:beforeAutospacing="0" w:after="0" w:afterAutospacing="0"/>
              <w:jc w:val="right"/>
              <w:rPr>
                <w:sz w:val="16"/>
                <w:szCs w:val="16"/>
              </w:rPr>
            </w:pPr>
            <w:r>
              <w:rPr>
                <w:sz w:val="16"/>
                <w:szCs w:val="16"/>
              </w:rPr>
              <w:t>(1,182,994)</w:t>
            </w:r>
          </w:p>
        </w:tc>
        <w:tc>
          <w:tcPr>
            <w:tcW w:w="76" w:type="pct"/>
            <w:shd w:val="clear" w:color="auto" w:fill="CCEEFF"/>
            <w:noWrap/>
            <w:tcMar>
              <w:top w:w="0" w:type="dxa"/>
              <w:left w:w="0" w:type="dxa"/>
              <w:bottom w:w="0" w:type="dxa"/>
              <w:right w:w="0" w:type="dxa"/>
            </w:tcMar>
            <w:vAlign w:val="bottom"/>
            <w:hideMark/>
          </w:tcPr>
          <w:p w14:paraId="476D1A19" w14:textId="77777777" w:rsidR="00000000" w:rsidRDefault="00097612">
            <w:pPr>
              <w:pStyle w:val="a3"/>
              <w:spacing w:before="0" w:beforeAutospacing="0" w:after="0" w:afterAutospacing="0"/>
              <w:rPr>
                <w:sz w:val="20"/>
                <w:szCs w:val="20"/>
              </w:rPr>
            </w:pPr>
            <w:r>
              <w:rPr>
                <w:sz w:val="16"/>
                <w:szCs w:val="16"/>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14:paraId="3F8F0E4B" w14:textId="77777777" w:rsidR="00000000" w:rsidRDefault="00097612">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14:paraId="6E242B96" w14:textId="77777777" w:rsidR="00000000" w:rsidRDefault="00097612">
            <w:pPr>
              <w:pStyle w:val="a3"/>
              <w:spacing w:before="0" w:beforeAutospacing="0" w:after="0" w:afterAutospacing="0"/>
              <w:jc w:val="right"/>
              <w:rPr>
                <w:sz w:val="16"/>
                <w:szCs w:val="16"/>
              </w:rPr>
            </w:pPr>
            <w:r>
              <w:rPr>
                <w:sz w:val="16"/>
                <w:szCs w:val="16"/>
              </w:rPr>
              <w:t>(182,805)</w:t>
            </w:r>
          </w:p>
        </w:tc>
      </w:tr>
      <w:tr w:rsidR="00000000" w14:paraId="3B823F99" w14:textId="77777777">
        <w:trPr>
          <w:divId w:val="1429960337"/>
        </w:trPr>
        <w:tc>
          <w:tcPr>
            <w:tcW w:w="1847" w:type="pct"/>
            <w:tcMar>
              <w:top w:w="0" w:type="dxa"/>
              <w:left w:w="0" w:type="dxa"/>
              <w:bottom w:w="0" w:type="dxa"/>
              <w:right w:w="0" w:type="dxa"/>
            </w:tcMar>
            <w:vAlign w:val="bottom"/>
            <w:hideMark/>
          </w:tcPr>
          <w:p w14:paraId="796EEB7B"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F4CC8CB" w14:textId="77777777" w:rsidR="00000000" w:rsidRDefault="00097612">
            <w:pPr>
              <w:pStyle w:val="a3"/>
              <w:spacing w:before="0" w:beforeAutospacing="0" w:after="0" w:afterAutospacing="0"/>
              <w:rPr>
                <w:sz w:val="20"/>
                <w:szCs w:val="20"/>
              </w:rPr>
            </w:pPr>
            <w:r>
              <w:rPr>
                <w:sz w:val="16"/>
                <w:szCs w:val="16"/>
              </w:rPr>
              <w:t>​</w:t>
            </w:r>
          </w:p>
        </w:tc>
        <w:tc>
          <w:tcPr>
            <w:tcW w:w="342" w:type="pct"/>
            <w:noWrap/>
            <w:tcMar>
              <w:top w:w="0" w:type="dxa"/>
              <w:left w:w="0" w:type="dxa"/>
              <w:bottom w:w="0" w:type="dxa"/>
              <w:right w:w="0" w:type="dxa"/>
            </w:tcMar>
            <w:vAlign w:val="bottom"/>
            <w:hideMark/>
          </w:tcPr>
          <w:p w14:paraId="2FBFD802"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6DCE8A68"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7A0B523" w14:textId="77777777" w:rsidR="00000000" w:rsidRDefault="00097612">
            <w:pPr>
              <w:pStyle w:val="a3"/>
              <w:spacing w:before="0" w:beforeAutospacing="0" w:after="0" w:afterAutospacing="0"/>
              <w:jc w:val="center"/>
              <w:rPr>
                <w:sz w:val="20"/>
                <w:szCs w:val="20"/>
              </w:rPr>
            </w:pPr>
            <w:r>
              <w:rPr>
                <w:sz w:val="16"/>
                <w:szCs w:val="16"/>
              </w:rPr>
              <w:t>​</w:t>
            </w:r>
          </w:p>
        </w:tc>
        <w:tc>
          <w:tcPr>
            <w:tcW w:w="342" w:type="pct"/>
            <w:noWrap/>
            <w:tcMar>
              <w:top w:w="0" w:type="dxa"/>
              <w:left w:w="0" w:type="dxa"/>
              <w:bottom w:w="0" w:type="dxa"/>
              <w:right w:w="0" w:type="dxa"/>
            </w:tcMar>
            <w:vAlign w:val="bottom"/>
            <w:hideMark/>
          </w:tcPr>
          <w:p w14:paraId="5B51D535"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6D6D35C2"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11B435B6"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497D3FB0"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65012218"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7785E6C8" w14:textId="77777777" w:rsidR="00000000" w:rsidRDefault="00097612">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14:paraId="66F36E5B"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23DD81E3"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03CC995E"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5B244B97"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1A74D2A6"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0EC1E846"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3FF88139" w14:textId="77777777" w:rsidR="00000000" w:rsidRDefault="00097612">
            <w:pPr>
              <w:pStyle w:val="a3"/>
              <w:spacing w:before="0" w:beforeAutospacing="0" w:after="0" w:afterAutospacing="0"/>
              <w:jc w:val="right"/>
              <w:rPr>
                <w:sz w:val="20"/>
                <w:szCs w:val="20"/>
              </w:rPr>
            </w:pPr>
            <w:r>
              <w:rPr>
                <w:sz w:val="16"/>
                <w:szCs w:val="16"/>
              </w:rPr>
              <w:t>​</w:t>
            </w:r>
          </w:p>
        </w:tc>
      </w:tr>
      <w:tr w:rsidR="00000000" w14:paraId="2E6709B7" w14:textId="77777777">
        <w:trPr>
          <w:divId w:val="1429960337"/>
        </w:trPr>
        <w:tc>
          <w:tcPr>
            <w:tcW w:w="1847" w:type="pct"/>
            <w:noWrap/>
            <w:tcMar>
              <w:top w:w="0" w:type="dxa"/>
              <w:left w:w="0" w:type="dxa"/>
              <w:bottom w:w="0" w:type="dxa"/>
              <w:right w:w="0" w:type="dxa"/>
            </w:tcMar>
            <w:vAlign w:val="bottom"/>
            <w:hideMark/>
          </w:tcPr>
          <w:p w14:paraId="0ECEACE6"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9CB9EA4" w14:textId="77777777" w:rsidR="00000000" w:rsidRDefault="00097612">
            <w:pPr>
              <w:pStyle w:val="a3"/>
              <w:spacing w:before="0" w:beforeAutospacing="0" w:after="0" w:afterAutospacing="0"/>
              <w:rPr>
                <w:sz w:val="20"/>
                <w:szCs w:val="20"/>
              </w:rPr>
            </w:pPr>
            <w:r>
              <w:rPr>
                <w:sz w:val="16"/>
                <w:szCs w:val="16"/>
              </w:rPr>
              <w:t>​</w:t>
            </w:r>
          </w:p>
        </w:tc>
        <w:tc>
          <w:tcPr>
            <w:tcW w:w="342" w:type="pct"/>
            <w:noWrap/>
            <w:tcMar>
              <w:top w:w="0" w:type="dxa"/>
              <w:left w:w="0" w:type="dxa"/>
              <w:bottom w:w="0" w:type="dxa"/>
              <w:right w:w="0" w:type="dxa"/>
            </w:tcMar>
            <w:vAlign w:val="bottom"/>
            <w:hideMark/>
          </w:tcPr>
          <w:p w14:paraId="0391BE11"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9354668"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BDAA80C" w14:textId="77777777" w:rsidR="00000000" w:rsidRDefault="00097612">
            <w:pPr>
              <w:pStyle w:val="a3"/>
              <w:spacing w:before="0" w:beforeAutospacing="0" w:after="0" w:afterAutospacing="0"/>
              <w:jc w:val="center"/>
              <w:rPr>
                <w:sz w:val="20"/>
                <w:szCs w:val="20"/>
              </w:rPr>
            </w:pPr>
            <w:r>
              <w:rPr>
                <w:sz w:val="16"/>
                <w:szCs w:val="16"/>
              </w:rPr>
              <w:t>​</w:t>
            </w:r>
          </w:p>
        </w:tc>
        <w:tc>
          <w:tcPr>
            <w:tcW w:w="342" w:type="pct"/>
            <w:noWrap/>
            <w:tcMar>
              <w:top w:w="0" w:type="dxa"/>
              <w:left w:w="0" w:type="dxa"/>
              <w:bottom w:w="0" w:type="dxa"/>
              <w:right w:w="0" w:type="dxa"/>
            </w:tcMar>
            <w:vAlign w:val="bottom"/>
            <w:hideMark/>
          </w:tcPr>
          <w:p w14:paraId="6E6DAAE6"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04231E5"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680C6E2"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155A716C"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9BDE941"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15AA2BEF" w14:textId="77777777" w:rsidR="00000000" w:rsidRDefault="00097612">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14:paraId="3C642C5E"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6A06E2FE"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253F2A1A"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033EFCA5"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26EE736"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13A8CEF9"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4E18F475" w14:textId="77777777" w:rsidR="00000000" w:rsidRDefault="00097612">
            <w:pPr>
              <w:pStyle w:val="a3"/>
              <w:spacing w:before="0" w:beforeAutospacing="0" w:after="0" w:afterAutospacing="0"/>
              <w:rPr>
                <w:sz w:val="20"/>
                <w:szCs w:val="20"/>
              </w:rPr>
            </w:pPr>
            <w:r>
              <w:rPr>
                <w:sz w:val="16"/>
                <w:szCs w:val="16"/>
              </w:rPr>
              <w:t>​</w:t>
            </w:r>
          </w:p>
        </w:tc>
      </w:tr>
      <w:tr w:rsidR="00000000" w14:paraId="3290E727" w14:textId="77777777">
        <w:trPr>
          <w:divId w:val="1429960337"/>
        </w:trPr>
        <w:tc>
          <w:tcPr>
            <w:tcW w:w="1847" w:type="pct"/>
            <w:noWrap/>
            <w:tcMar>
              <w:top w:w="0" w:type="dxa"/>
              <w:left w:w="0" w:type="dxa"/>
              <w:bottom w:w="0" w:type="dxa"/>
              <w:right w:w="0" w:type="dxa"/>
            </w:tcMar>
            <w:vAlign w:val="bottom"/>
            <w:hideMark/>
          </w:tcPr>
          <w:p w14:paraId="41EC89D2" w14:textId="77777777" w:rsidR="00000000" w:rsidRDefault="00097612">
            <w:pPr>
              <w:pStyle w:val="a3"/>
              <w:spacing w:before="0" w:beforeAutospacing="0" w:after="0" w:afterAutospacing="0"/>
              <w:rPr>
                <w:sz w:val="20"/>
                <w:szCs w:val="20"/>
              </w:rPr>
            </w:pPr>
            <w:r>
              <w:rPr>
                <w:b/>
                <w:bCs/>
                <w:color w:val="0563C1"/>
                <w:sz w:val="16"/>
                <w:szCs w:val="16"/>
                <w:u w:val="single"/>
              </w:rPr>
              <w:t>​</w:t>
            </w:r>
          </w:p>
        </w:tc>
        <w:tc>
          <w:tcPr>
            <w:tcW w:w="76" w:type="pct"/>
            <w:noWrap/>
            <w:tcMar>
              <w:top w:w="0" w:type="dxa"/>
              <w:left w:w="0" w:type="dxa"/>
              <w:bottom w:w="0" w:type="dxa"/>
              <w:right w:w="0" w:type="dxa"/>
            </w:tcMar>
            <w:vAlign w:val="bottom"/>
            <w:hideMark/>
          </w:tcPr>
          <w:p w14:paraId="2A701D0D" w14:textId="77777777" w:rsidR="00000000" w:rsidRDefault="00097612">
            <w:pPr>
              <w:pStyle w:val="a3"/>
              <w:spacing w:before="0" w:beforeAutospacing="0" w:after="0" w:afterAutospacing="0"/>
              <w:rPr>
                <w:sz w:val="20"/>
                <w:szCs w:val="20"/>
              </w:rPr>
            </w:pPr>
            <w:r>
              <w:rPr>
                <w:sz w:val="16"/>
                <w:szCs w:val="16"/>
              </w:rPr>
              <w:t>​</w:t>
            </w:r>
          </w:p>
        </w:tc>
        <w:tc>
          <w:tcPr>
            <w:tcW w:w="342" w:type="pct"/>
            <w:noWrap/>
            <w:tcMar>
              <w:top w:w="0" w:type="dxa"/>
              <w:left w:w="0" w:type="dxa"/>
              <w:bottom w:w="0" w:type="dxa"/>
              <w:right w:w="0" w:type="dxa"/>
            </w:tcMar>
            <w:vAlign w:val="bottom"/>
            <w:hideMark/>
          </w:tcPr>
          <w:p w14:paraId="2A173472"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743C025"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D2F3743" w14:textId="77777777" w:rsidR="00000000" w:rsidRDefault="00097612">
            <w:pPr>
              <w:pStyle w:val="a3"/>
              <w:spacing w:before="0" w:beforeAutospacing="0" w:after="0" w:afterAutospacing="0"/>
              <w:jc w:val="center"/>
              <w:rPr>
                <w:sz w:val="20"/>
                <w:szCs w:val="20"/>
              </w:rPr>
            </w:pPr>
            <w:r>
              <w:rPr>
                <w:sz w:val="16"/>
                <w:szCs w:val="16"/>
              </w:rPr>
              <w:t>​</w:t>
            </w:r>
          </w:p>
        </w:tc>
        <w:tc>
          <w:tcPr>
            <w:tcW w:w="342" w:type="pct"/>
            <w:noWrap/>
            <w:tcMar>
              <w:top w:w="0" w:type="dxa"/>
              <w:left w:w="0" w:type="dxa"/>
              <w:bottom w:w="0" w:type="dxa"/>
              <w:right w:w="0" w:type="dxa"/>
            </w:tcMar>
            <w:vAlign w:val="bottom"/>
            <w:hideMark/>
          </w:tcPr>
          <w:p w14:paraId="7767EDC9"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691A4029"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F1C66BF"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6F9E7EE8"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E777C19" w14:textId="77777777" w:rsidR="00000000" w:rsidRDefault="00097612">
            <w:pPr>
              <w:pStyle w:val="a3"/>
              <w:spacing w:before="0" w:beforeAutospacing="0" w:after="0" w:afterAutospacing="0"/>
              <w:rPr>
                <w:sz w:val="20"/>
                <w:szCs w:val="20"/>
              </w:rPr>
            </w:pPr>
            <w:r>
              <w:rPr>
                <w:sz w:val="16"/>
                <w:szCs w:val="16"/>
              </w:rPr>
              <w:t>​</w:t>
            </w:r>
          </w:p>
        </w:tc>
        <w:tc>
          <w:tcPr>
            <w:tcW w:w="530" w:type="pct"/>
            <w:gridSpan w:val="2"/>
            <w:noWrap/>
            <w:tcMar>
              <w:top w:w="0" w:type="dxa"/>
              <w:left w:w="0" w:type="dxa"/>
              <w:bottom w:w="0" w:type="dxa"/>
              <w:right w:w="0" w:type="dxa"/>
            </w:tcMar>
            <w:vAlign w:val="bottom"/>
            <w:hideMark/>
          </w:tcPr>
          <w:p w14:paraId="38E0A1A0" w14:textId="77777777" w:rsidR="00000000" w:rsidRDefault="00097612">
            <w:pPr>
              <w:pStyle w:val="a3"/>
              <w:spacing w:before="0" w:beforeAutospacing="0" w:after="0" w:afterAutospacing="0"/>
              <w:jc w:val="center"/>
              <w:rPr>
                <w:sz w:val="16"/>
                <w:szCs w:val="16"/>
              </w:rPr>
            </w:pPr>
            <w:r>
              <w:rPr>
                <w:b/>
                <w:bCs/>
                <w:sz w:val="16"/>
                <w:szCs w:val="16"/>
              </w:rPr>
              <w:t>Accumulated</w:t>
            </w:r>
          </w:p>
        </w:tc>
        <w:tc>
          <w:tcPr>
            <w:tcW w:w="76" w:type="pct"/>
            <w:tcMar>
              <w:top w:w="0" w:type="dxa"/>
              <w:left w:w="0" w:type="dxa"/>
              <w:bottom w:w="0" w:type="dxa"/>
              <w:right w:w="0" w:type="dxa"/>
            </w:tcMar>
            <w:vAlign w:val="bottom"/>
            <w:hideMark/>
          </w:tcPr>
          <w:p w14:paraId="1CA54919" w14:textId="77777777" w:rsidR="00000000" w:rsidRDefault="00097612">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0BF212FC"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60CF0B49"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1F0E323"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1146739C"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56CDDC7F" w14:textId="77777777" w:rsidR="00000000" w:rsidRDefault="00097612">
            <w:pPr>
              <w:pStyle w:val="a3"/>
              <w:spacing w:before="0" w:beforeAutospacing="0" w:after="0" w:afterAutospacing="0"/>
              <w:rPr>
                <w:sz w:val="20"/>
                <w:szCs w:val="20"/>
              </w:rPr>
            </w:pPr>
            <w:r>
              <w:rPr>
                <w:sz w:val="16"/>
                <w:szCs w:val="16"/>
              </w:rPr>
              <w:t>​</w:t>
            </w:r>
          </w:p>
        </w:tc>
      </w:tr>
      <w:tr w:rsidR="00000000" w14:paraId="4F32183E" w14:textId="77777777">
        <w:trPr>
          <w:divId w:val="1429960337"/>
        </w:trPr>
        <w:tc>
          <w:tcPr>
            <w:tcW w:w="1847" w:type="pct"/>
            <w:tcMar>
              <w:top w:w="0" w:type="dxa"/>
              <w:left w:w="0" w:type="dxa"/>
              <w:bottom w:w="0" w:type="dxa"/>
              <w:right w:w="0" w:type="dxa"/>
            </w:tcMar>
            <w:vAlign w:val="bottom"/>
            <w:hideMark/>
          </w:tcPr>
          <w:p w14:paraId="7C009609"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3D88D36D" w14:textId="77777777" w:rsidR="00000000" w:rsidRDefault="00097612">
            <w:pPr>
              <w:pStyle w:val="a3"/>
              <w:spacing w:before="0" w:beforeAutospacing="0" w:after="0" w:afterAutospacing="0"/>
              <w:rPr>
                <w:sz w:val="20"/>
                <w:szCs w:val="20"/>
              </w:rPr>
            </w:pPr>
            <w:r>
              <w:rPr>
                <w:b/>
                <w:bCs/>
                <w:sz w:val="16"/>
                <w:szCs w:val="16"/>
              </w:rPr>
              <w:t>​</w:t>
            </w:r>
          </w:p>
        </w:tc>
        <w:tc>
          <w:tcPr>
            <w:tcW w:w="342" w:type="pct"/>
            <w:tcMar>
              <w:top w:w="0" w:type="dxa"/>
              <w:left w:w="0" w:type="dxa"/>
              <w:bottom w:w="0" w:type="dxa"/>
              <w:right w:w="0" w:type="dxa"/>
            </w:tcMar>
            <w:vAlign w:val="bottom"/>
            <w:hideMark/>
          </w:tcPr>
          <w:p w14:paraId="4523D5B0"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0AC999A8"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731877E7" w14:textId="77777777" w:rsidR="00000000" w:rsidRDefault="00097612">
            <w:pPr>
              <w:pStyle w:val="a3"/>
              <w:spacing w:before="0" w:beforeAutospacing="0" w:after="0" w:afterAutospacing="0"/>
              <w:jc w:val="center"/>
              <w:rPr>
                <w:sz w:val="20"/>
                <w:szCs w:val="20"/>
              </w:rPr>
            </w:pPr>
            <w:r>
              <w:rPr>
                <w:b/>
                <w:bCs/>
                <w:sz w:val="16"/>
                <w:szCs w:val="16"/>
              </w:rPr>
              <w:t>​</w:t>
            </w:r>
          </w:p>
        </w:tc>
        <w:tc>
          <w:tcPr>
            <w:tcW w:w="342" w:type="pct"/>
            <w:tcMar>
              <w:top w:w="0" w:type="dxa"/>
              <w:left w:w="0" w:type="dxa"/>
              <w:bottom w:w="0" w:type="dxa"/>
              <w:right w:w="0" w:type="dxa"/>
            </w:tcMar>
            <w:vAlign w:val="bottom"/>
            <w:hideMark/>
          </w:tcPr>
          <w:p w14:paraId="0CBCC9C3"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41950698" w14:textId="77777777" w:rsidR="00000000" w:rsidRDefault="00097612">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14:paraId="0D2ADD5F" w14:textId="77777777" w:rsidR="00000000" w:rsidRDefault="00097612">
            <w:pPr>
              <w:pStyle w:val="a3"/>
              <w:spacing w:before="0" w:beforeAutospacing="0" w:after="0" w:afterAutospacing="0"/>
              <w:jc w:val="center"/>
              <w:rPr>
                <w:sz w:val="16"/>
                <w:szCs w:val="16"/>
              </w:rPr>
            </w:pPr>
            <w:r>
              <w:rPr>
                <w:b/>
                <w:bCs/>
                <w:sz w:val="16"/>
                <w:szCs w:val="16"/>
              </w:rPr>
              <w:t>Additional</w:t>
            </w:r>
          </w:p>
        </w:tc>
        <w:tc>
          <w:tcPr>
            <w:tcW w:w="76" w:type="pct"/>
            <w:tcMar>
              <w:top w:w="0" w:type="dxa"/>
              <w:left w:w="0" w:type="dxa"/>
              <w:bottom w:w="0" w:type="dxa"/>
              <w:right w:w="0" w:type="dxa"/>
            </w:tcMar>
            <w:vAlign w:val="bottom"/>
            <w:hideMark/>
          </w:tcPr>
          <w:p w14:paraId="407B4B6C" w14:textId="77777777" w:rsidR="00000000" w:rsidRDefault="00097612">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14:paraId="550933C4" w14:textId="77777777" w:rsidR="00000000" w:rsidRDefault="00097612">
            <w:pPr>
              <w:pStyle w:val="a3"/>
              <w:spacing w:before="0" w:beforeAutospacing="0" w:after="0" w:afterAutospacing="0"/>
              <w:jc w:val="center"/>
              <w:rPr>
                <w:sz w:val="16"/>
                <w:szCs w:val="16"/>
              </w:rPr>
            </w:pPr>
            <w:r>
              <w:rPr>
                <w:b/>
                <w:bCs/>
                <w:sz w:val="16"/>
                <w:szCs w:val="16"/>
              </w:rPr>
              <w:t>Other</w:t>
            </w:r>
          </w:p>
        </w:tc>
        <w:tc>
          <w:tcPr>
            <w:tcW w:w="76" w:type="pct"/>
            <w:tcMar>
              <w:top w:w="0" w:type="dxa"/>
              <w:left w:w="0" w:type="dxa"/>
              <w:bottom w:w="0" w:type="dxa"/>
              <w:right w:w="0" w:type="dxa"/>
            </w:tcMar>
            <w:vAlign w:val="bottom"/>
            <w:hideMark/>
          </w:tcPr>
          <w:p w14:paraId="5D13D59F" w14:textId="77777777" w:rsidR="00000000" w:rsidRDefault="00097612">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14:paraId="5CF7126C" w14:textId="77777777" w:rsidR="00000000" w:rsidRDefault="00097612">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14:paraId="0D8A9506"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1883CE37" w14:textId="77777777" w:rsidR="00000000" w:rsidRDefault="00097612">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138ACEF4" w14:textId="77777777" w:rsidR="00000000" w:rsidRDefault="00097612">
            <w:pPr>
              <w:pStyle w:val="a3"/>
              <w:spacing w:before="0" w:beforeAutospacing="0" w:after="0" w:afterAutospacing="0"/>
              <w:jc w:val="center"/>
              <w:rPr>
                <w:sz w:val="16"/>
                <w:szCs w:val="16"/>
              </w:rPr>
            </w:pPr>
            <w:r>
              <w:rPr>
                <w:b/>
                <w:bCs/>
                <w:sz w:val="16"/>
                <w:szCs w:val="16"/>
              </w:rPr>
              <w:t>Total</w:t>
            </w:r>
          </w:p>
        </w:tc>
      </w:tr>
      <w:tr w:rsidR="00000000" w14:paraId="0B36E9CC" w14:textId="77777777">
        <w:trPr>
          <w:divId w:val="1429960337"/>
        </w:trPr>
        <w:tc>
          <w:tcPr>
            <w:tcW w:w="1847" w:type="pct"/>
            <w:tcMar>
              <w:top w:w="0" w:type="dxa"/>
              <w:left w:w="0" w:type="dxa"/>
              <w:bottom w:w="0" w:type="dxa"/>
              <w:right w:w="0" w:type="dxa"/>
            </w:tcMar>
            <w:vAlign w:val="bottom"/>
            <w:hideMark/>
          </w:tcPr>
          <w:p w14:paraId="4FD8E5CE"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4EF4DD29" w14:textId="77777777" w:rsidR="00000000" w:rsidRDefault="00097612">
            <w:pPr>
              <w:pStyle w:val="a3"/>
              <w:spacing w:before="0" w:beforeAutospacing="0" w:after="0" w:afterAutospacing="0"/>
              <w:rPr>
                <w:sz w:val="20"/>
                <w:szCs w:val="20"/>
              </w:rPr>
            </w:pPr>
            <w:r>
              <w:rPr>
                <w:b/>
                <w:bCs/>
                <w:sz w:val="16"/>
                <w:szCs w:val="16"/>
              </w:rPr>
              <w:t>​</w:t>
            </w:r>
          </w:p>
        </w:tc>
        <w:tc>
          <w:tcPr>
            <w:tcW w:w="839" w:type="pct"/>
            <w:gridSpan w:val="4"/>
            <w:tcBorders>
              <w:bottom w:val="single" w:sz="6" w:space="0" w:color="000000"/>
            </w:tcBorders>
            <w:noWrap/>
            <w:tcMar>
              <w:top w:w="0" w:type="dxa"/>
              <w:left w:w="0" w:type="dxa"/>
              <w:bottom w:w="0" w:type="dxa"/>
              <w:right w:w="0" w:type="dxa"/>
            </w:tcMar>
            <w:vAlign w:val="bottom"/>
            <w:hideMark/>
          </w:tcPr>
          <w:p w14:paraId="22D5591E" w14:textId="77777777" w:rsidR="00000000" w:rsidRDefault="00097612">
            <w:pPr>
              <w:pStyle w:val="a3"/>
              <w:spacing w:before="0" w:beforeAutospacing="0" w:after="0" w:afterAutospacing="0"/>
              <w:jc w:val="center"/>
              <w:rPr>
                <w:sz w:val="16"/>
                <w:szCs w:val="16"/>
              </w:rPr>
            </w:pPr>
            <w:r>
              <w:rPr>
                <w:b/>
                <w:bCs/>
                <w:sz w:val="16"/>
                <w:szCs w:val="16"/>
              </w:rPr>
              <w:t>Ordinary Shares</w:t>
            </w:r>
          </w:p>
        </w:tc>
        <w:tc>
          <w:tcPr>
            <w:tcW w:w="76" w:type="pct"/>
            <w:tcMar>
              <w:top w:w="0" w:type="dxa"/>
              <w:left w:w="0" w:type="dxa"/>
              <w:bottom w:w="0" w:type="dxa"/>
              <w:right w:w="0" w:type="dxa"/>
            </w:tcMar>
            <w:vAlign w:val="bottom"/>
            <w:hideMark/>
          </w:tcPr>
          <w:p w14:paraId="6DC8AAF6" w14:textId="77777777" w:rsidR="00000000" w:rsidRDefault="00097612">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14:paraId="4653A21E" w14:textId="77777777" w:rsidR="00000000" w:rsidRDefault="00097612">
            <w:pPr>
              <w:pStyle w:val="a3"/>
              <w:spacing w:before="0" w:beforeAutospacing="0" w:after="0" w:afterAutospacing="0"/>
              <w:jc w:val="center"/>
              <w:rPr>
                <w:sz w:val="16"/>
                <w:szCs w:val="16"/>
              </w:rPr>
            </w:pPr>
            <w:r>
              <w:rPr>
                <w:b/>
                <w:bCs/>
                <w:sz w:val="16"/>
                <w:szCs w:val="16"/>
              </w:rPr>
              <w:t>Paid-In</w:t>
            </w:r>
          </w:p>
        </w:tc>
        <w:tc>
          <w:tcPr>
            <w:tcW w:w="76" w:type="pct"/>
            <w:tcMar>
              <w:top w:w="0" w:type="dxa"/>
              <w:left w:w="0" w:type="dxa"/>
              <w:bottom w:w="0" w:type="dxa"/>
              <w:right w:w="0" w:type="dxa"/>
            </w:tcMar>
            <w:vAlign w:val="bottom"/>
            <w:hideMark/>
          </w:tcPr>
          <w:p w14:paraId="117F3164" w14:textId="77777777" w:rsidR="00000000" w:rsidRDefault="00097612">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14:paraId="579690A9" w14:textId="77777777" w:rsidR="00000000" w:rsidRDefault="00097612">
            <w:pPr>
              <w:pStyle w:val="a3"/>
              <w:spacing w:before="0" w:beforeAutospacing="0" w:after="0" w:afterAutospacing="0"/>
              <w:jc w:val="center"/>
              <w:rPr>
                <w:sz w:val="16"/>
                <w:szCs w:val="16"/>
              </w:rPr>
            </w:pPr>
            <w:r>
              <w:rPr>
                <w:b/>
                <w:bCs/>
                <w:sz w:val="16"/>
                <w:szCs w:val="16"/>
              </w:rPr>
              <w:t>Comprehensive</w:t>
            </w:r>
          </w:p>
        </w:tc>
        <w:tc>
          <w:tcPr>
            <w:tcW w:w="76" w:type="pct"/>
            <w:tcMar>
              <w:top w:w="0" w:type="dxa"/>
              <w:left w:w="0" w:type="dxa"/>
              <w:bottom w:w="0" w:type="dxa"/>
              <w:right w:w="0" w:type="dxa"/>
            </w:tcMar>
            <w:vAlign w:val="bottom"/>
            <w:hideMark/>
          </w:tcPr>
          <w:p w14:paraId="46387A3D" w14:textId="77777777" w:rsidR="00000000" w:rsidRDefault="00097612">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14:paraId="7FB63DA3" w14:textId="77777777" w:rsidR="00000000" w:rsidRDefault="00097612">
            <w:pPr>
              <w:pStyle w:val="a3"/>
              <w:spacing w:before="0" w:beforeAutospacing="0" w:after="0" w:afterAutospacing="0"/>
              <w:jc w:val="center"/>
              <w:rPr>
                <w:sz w:val="16"/>
                <w:szCs w:val="16"/>
              </w:rPr>
            </w:pPr>
            <w:r>
              <w:rPr>
                <w:b/>
                <w:bCs/>
                <w:sz w:val="16"/>
                <w:szCs w:val="16"/>
              </w:rPr>
              <w:t>Accumulated</w:t>
            </w:r>
          </w:p>
        </w:tc>
        <w:tc>
          <w:tcPr>
            <w:tcW w:w="76" w:type="pct"/>
            <w:tcMar>
              <w:top w:w="0" w:type="dxa"/>
              <w:left w:w="0" w:type="dxa"/>
              <w:bottom w:w="0" w:type="dxa"/>
              <w:right w:w="0" w:type="dxa"/>
            </w:tcMar>
            <w:vAlign w:val="bottom"/>
            <w:hideMark/>
          </w:tcPr>
          <w:p w14:paraId="0D67A15C" w14:textId="77777777" w:rsidR="00000000" w:rsidRDefault="00097612">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5BA605BC" w14:textId="77777777" w:rsidR="00000000" w:rsidRDefault="00097612">
            <w:pPr>
              <w:pStyle w:val="a3"/>
              <w:spacing w:before="0" w:beforeAutospacing="0" w:after="0" w:afterAutospacing="0"/>
              <w:jc w:val="center"/>
              <w:rPr>
                <w:sz w:val="16"/>
                <w:szCs w:val="16"/>
              </w:rPr>
            </w:pPr>
            <w:r>
              <w:rPr>
                <w:b/>
                <w:bCs/>
                <w:sz w:val="16"/>
                <w:szCs w:val="16"/>
              </w:rPr>
              <w:t>Shareholders'</w:t>
            </w:r>
          </w:p>
        </w:tc>
      </w:tr>
      <w:tr w:rsidR="00000000" w14:paraId="02F36082" w14:textId="77777777">
        <w:trPr>
          <w:divId w:val="1429960337"/>
        </w:trPr>
        <w:tc>
          <w:tcPr>
            <w:tcW w:w="1847" w:type="pct"/>
            <w:tcMar>
              <w:top w:w="0" w:type="dxa"/>
              <w:left w:w="0" w:type="dxa"/>
              <w:bottom w:w="0" w:type="dxa"/>
              <w:right w:w="0" w:type="dxa"/>
            </w:tcMar>
            <w:vAlign w:val="bottom"/>
            <w:hideMark/>
          </w:tcPr>
          <w:p w14:paraId="54B3EB2F"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14:paraId="15524D22" w14:textId="77777777" w:rsidR="00000000" w:rsidRDefault="00097612">
            <w:pPr>
              <w:pStyle w:val="a3"/>
              <w:spacing w:before="0" w:beforeAutospacing="0" w:after="0" w:afterAutospacing="0"/>
              <w:rPr>
                <w:sz w:val="16"/>
                <w:szCs w:val="16"/>
              </w:rPr>
            </w:pPr>
            <w:r>
              <w:rPr>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14:paraId="1165C9C7" w14:textId="77777777" w:rsidR="00000000" w:rsidRDefault="00097612">
            <w:pPr>
              <w:pStyle w:val="a3"/>
              <w:spacing w:before="0" w:beforeAutospacing="0" w:after="0" w:afterAutospacing="0"/>
              <w:jc w:val="center"/>
              <w:rPr>
                <w:sz w:val="16"/>
                <w:szCs w:val="16"/>
              </w:rPr>
            </w:pPr>
            <w:r>
              <w:rPr>
                <w:b/>
                <w:bCs/>
                <w:sz w:val="16"/>
                <w:szCs w:val="16"/>
              </w:rPr>
              <w:t>Shares</w:t>
            </w:r>
          </w:p>
        </w:tc>
        <w:tc>
          <w:tcPr>
            <w:tcW w:w="76" w:type="pct"/>
            <w:noWrap/>
            <w:tcMar>
              <w:top w:w="0" w:type="dxa"/>
              <w:left w:w="0" w:type="dxa"/>
              <w:bottom w:w="0" w:type="dxa"/>
              <w:right w:w="0" w:type="dxa"/>
            </w:tcMar>
            <w:vAlign w:val="bottom"/>
            <w:hideMark/>
          </w:tcPr>
          <w:p w14:paraId="08FA8228" w14:textId="77777777" w:rsidR="00000000" w:rsidRDefault="00097612">
            <w:pPr>
              <w:pStyle w:val="a3"/>
              <w:spacing w:before="0" w:beforeAutospacing="0" w:after="0" w:afterAutospacing="0"/>
              <w:rPr>
                <w:sz w:val="16"/>
                <w:szCs w:val="16"/>
              </w:rPr>
            </w:pPr>
            <w:r>
              <w:rPr>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14:paraId="0D5FE81D" w14:textId="77777777" w:rsidR="00000000" w:rsidRDefault="00097612">
            <w:pPr>
              <w:pStyle w:val="a3"/>
              <w:spacing w:before="0" w:beforeAutospacing="0" w:after="0" w:afterAutospacing="0"/>
              <w:jc w:val="center"/>
              <w:rPr>
                <w:sz w:val="16"/>
                <w:szCs w:val="16"/>
              </w:rPr>
            </w:pPr>
            <w:r>
              <w:rPr>
                <w:b/>
                <w:bCs/>
                <w:sz w:val="16"/>
                <w:szCs w:val="16"/>
              </w:rPr>
              <w:t>Amount</w:t>
            </w:r>
          </w:p>
        </w:tc>
        <w:tc>
          <w:tcPr>
            <w:tcW w:w="76" w:type="pct"/>
            <w:noWrap/>
            <w:tcMar>
              <w:top w:w="0" w:type="dxa"/>
              <w:left w:w="0" w:type="dxa"/>
              <w:bottom w:w="0" w:type="dxa"/>
              <w:right w:w="0" w:type="dxa"/>
            </w:tcMar>
            <w:vAlign w:val="bottom"/>
            <w:hideMark/>
          </w:tcPr>
          <w:p w14:paraId="33586120" w14:textId="77777777" w:rsidR="00000000" w:rsidRDefault="00097612">
            <w:pPr>
              <w:pStyle w:val="a3"/>
              <w:spacing w:before="0" w:beforeAutospacing="0" w:after="0" w:afterAutospacing="0"/>
              <w:rPr>
                <w:sz w:val="16"/>
                <w:szCs w:val="16"/>
              </w:rPr>
            </w:pPr>
            <w:r>
              <w:rPr>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14:paraId="6092D221" w14:textId="77777777" w:rsidR="00000000" w:rsidRDefault="00097612">
            <w:pPr>
              <w:pStyle w:val="a3"/>
              <w:spacing w:before="0" w:beforeAutospacing="0" w:after="0" w:afterAutospacing="0"/>
              <w:jc w:val="center"/>
              <w:rPr>
                <w:sz w:val="16"/>
                <w:szCs w:val="16"/>
              </w:rPr>
            </w:pPr>
            <w:r>
              <w:rPr>
                <w:b/>
                <w:bCs/>
                <w:sz w:val="16"/>
                <w:szCs w:val="16"/>
              </w:rPr>
              <w:t>Capital</w:t>
            </w:r>
          </w:p>
        </w:tc>
        <w:tc>
          <w:tcPr>
            <w:tcW w:w="76" w:type="pct"/>
            <w:noWrap/>
            <w:tcMar>
              <w:top w:w="0" w:type="dxa"/>
              <w:left w:w="0" w:type="dxa"/>
              <w:bottom w:w="0" w:type="dxa"/>
              <w:right w:w="0" w:type="dxa"/>
            </w:tcMar>
            <w:vAlign w:val="bottom"/>
            <w:hideMark/>
          </w:tcPr>
          <w:p w14:paraId="7B941D18" w14:textId="77777777" w:rsidR="00000000" w:rsidRDefault="00097612">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14:paraId="7C2D0B24" w14:textId="77777777" w:rsidR="00000000" w:rsidRDefault="00097612">
            <w:pPr>
              <w:pStyle w:val="a3"/>
              <w:spacing w:before="0" w:beforeAutospacing="0" w:after="0" w:afterAutospacing="0"/>
              <w:jc w:val="center"/>
              <w:rPr>
                <w:sz w:val="16"/>
                <w:szCs w:val="16"/>
              </w:rPr>
            </w:pPr>
            <w:r>
              <w:rPr>
                <w:b/>
                <w:bCs/>
                <w:sz w:val="16"/>
                <w:szCs w:val="16"/>
              </w:rPr>
              <w:t>Income (Loss)</w:t>
            </w:r>
          </w:p>
        </w:tc>
        <w:tc>
          <w:tcPr>
            <w:tcW w:w="76" w:type="pct"/>
            <w:noWrap/>
            <w:tcMar>
              <w:top w:w="0" w:type="dxa"/>
              <w:left w:w="0" w:type="dxa"/>
              <w:bottom w:w="0" w:type="dxa"/>
              <w:right w:w="0" w:type="dxa"/>
            </w:tcMar>
            <w:vAlign w:val="bottom"/>
            <w:hideMark/>
          </w:tcPr>
          <w:p w14:paraId="671153CB" w14:textId="77777777" w:rsidR="00000000" w:rsidRDefault="00097612">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14:paraId="1EC88C5B" w14:textId="77777777" w:rsidR="00000000" w:rsidRDefault="00097612">
            <w:pPr>
              <w:pStyle w:val="a3"/>
              <w:spacing w:before="0" w:beforeAutospacing="0" w:after="0" w:afterAutospacing="0"/>
              <w:jc w:val="center"/>
              <w:rPr>
                <w:sz w:val="16"/>
                <w:szCs w:val="16"/>
              </w:rPr>
            </w:pPr>
            <w:r>
              <w:rPr>
                <w:b/>
                <w:bCs/>
                <w:sz w:val="16"/>
                <w:szCs w:val="16"/>
              </w:rPr>
              <w:t>Deficit</w:t>
            </w:r>
          </w:p>
        </w:tc>
        <w:tc>
          <w:tcPr>
            <w:tcW w:w="76" w:type="pct"/>
            <w:noWrap/>
            <w:tcMar>
              <w:top w:w="0" w:type="dxa"/>
              <w:left w:w="0" w:type="dxa"/>
              <w:bottom w:w="0" w:type="dxa"/>
              <w:right w:w="0" w:type="dxa"/>
            </w:tcMar>
            <w:vAlign w:val="bottom"/>
            <w:hideMark/>
          </w:tcPr>
          <w:p w14:paraId="0EBD5155" w14:textId="77777777" w:rsidR="00000000" w:rsidRDefault="00097612">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14:paraId="0FE5EE4B" w14:textId="77777777" w:rsidR="00000000" w:rsidRDefault="00097612">
            <w:pPr>
              <w:pStyle w:val="a3"/>
              <w:spacing w:before="0" w:beforeAutospacing="0" w:after="0" w:afterAutospacing="0"/>
              <w:jc w:val="center"/>
              <w:rPr>
                <w:sz w:val="16"/>
                <w:szCs w:val="16"/>
              </w:rPr>
            </w:pPr>
            <w:r>
              <w:rPr>
                <w:b/>
                <w:bCs/>
                <w:sz w:val="16"/>
                <w:szCs w:val="16"/>
              </w:rPr>
              <w:t>Deficit</w:t>
            </w:r>
          </w:p>
        </w:tc>
      </w:tr>
      <w:tr w:rsidR="00000000" w14:paraId="68135DC9" w14:textId="77777777">
        <w:trPr>
          <w:divId w:val="1429960337"/>
        </w:trPr>
        <w:tc>
          <w:tcPr>
            <w:tcW w:w="1847" w:type="pct"/>
            <w:shd w:val="clear" w:color="auto" w:fill="CCEEFF"/>
            <w:tcMar>
              <w:top w:w="0" w:type="dxa"/>
              <w:left w:w="0" w:type="dxa"/>
              <w:bottom w:w="0" w:type="dxa"/>
              <w:right w:w="0" w:type="dxa"/>
            </w:tcMar>
            <w:vAlign w:val="bottom"/>
            <w:hideMark/>
          </w:tcPr>
          <w:p w14:paraId="4DCA039D" w14:textId="77777777" w:rsidR="00000000" w:rsidRDefault="00097612">
            <w:pPr>
              <w:pStyle w:val="a3"/>
              <w:spacing w:before="0" w:beforeAutospacing="0" w:after="0" w:afterAutospacing="0"/>
              <w:rPr>
                <w:sz w:val="16"/>
                <w:szCs w:val="16"/>
              </w:rPr>
            </w:pPr>
            <w:r>
              <w:rPr>
                <w:sz w:val="16"/>
                <w:szCs w:val="16"/>
              </w:rPr>
              <w:t>Balances at June 30, 2018</w:t>
            </w:r>
          </w:p>
        </w:tc>
        <w:tc>
          <w:tcPr>
            <w:tcW w:w="76" w:type="pct"/>
            <w:shd w:val="clear" w:color="auto" w:fill="CCEEFF"/>
            <w:noWrap/>
            <w:tcMar>
              <w:top w:w="0" w:type="dxa"/>
              <w:left w:w="0" w:type="dxa"/>
              <w:bottom w:w="0" w:type="dxa"/>
              <w:right w:w="0" w:type="dxa"/>
            </w:tcMar>
            <w:vAlign w:val="bottom"/>
            <w:hideMark/>
          </w:tcPr>
          <w:p w14:paraId="59F97434"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noWrap/>
            <w:tcMar>
              <w:top w:w="0" w:type="dxa"/>
              <w:left w:w="0" w:type="dxa"/>
              <w:bottom w:w="0" w:type="dxa"/>
              <w:right w:w="0" w:type="dxa"/>
            </w:tcMar>
            <w:vAlign w:val="bottom"/>
            <w:hideMark/>
          </w:tcPr>
          <w:p w14:paraId="51EBDB63" w14:textId="77777777" w:rsidR="00000000" w:rsidRDefault="00097612">
            <w:pPr>
              <w:pStyle w:val="a3"/>
              <w:spacing w:before="0" w:beforeAutospacing="0" w:after="0" w:afterAutospacing="0"/>
              <w:ind w:right="60"/>
              <w:jc w:val="right"/>
              <w:rPr>
                <w:sz w:val="16"/>
                <w:szCs w:val="16"/>
              </w:rPr>
            </w:pPr>
            <w:r>
              <w:rPr>
                <w:sz w:val="16"/>
                <w:szCs w:val="16"/>
              </w:rPr>
              <w:t>55,104</w:t>
            </w:r>
          </w:p>
        </w:tc>
        <w:tc>
          <w:tcPr>
            <w:tcW w:w="76" w:type="pct"/>
            <w:shd w:val="clear" w:color="auto" w:fill="CCEEFF"/>
            <w:noWrap/>
            <w:tcMar>
              <w:top w:w="0" w:type="dxa"/>
              <w:left w:w="0" w:type="dxa"/>
              <w:bottom w:w="0" w:type="dxa"/>
              <w:right w:w="0" w:type="dxa"/>
            </w:tcMar>
            <w:vAlign w:val="bottom"/>
            <w:hideMark/>
          </w:tcPr>
          <w:p w14:paraId="604C3F67"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68293579" w14:textId="77777777" w:rsidR="00000000" w:rsidRDefault="00097612">
            <w:pPr>
              <w:pStyle w:val="a3"/>
              <w:spacing w:before="0" w:beforeAutospacing="0" w:after="0" w:afterAutospacing="0"/>
              <w:jc w:val="center"/>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14:paraId="0FF541BF" w14:textId="77777777" w:rsidR="00000000" w:rsidRDefault="00097612">
            <w:pPr>
              <w:pStyle w:val="a3"/>
              <w:spacing w:before="0" w:beforeAutospacing="0" w:after="0" w:afterAutospacing="0"/>
              <w:ind w:right="60"/>
              <w:jc w:val="right"/>
              <w:rPr>
                <w:sz w:val="16"/>
                <w:szCs w:val="16"/>
              </w:rPr>
            </w:pPr>
            <w:r>
              <w:rPr>
                <w:sz w:val="16"/>
                <w:szCs w:val="16"/>
              </w:rPr>
              <w:t>1</w:t>
            </w:r>
          </w:p>
        </w:tc>
        <w:tc>
          <w:tcPr>
            <w:tcW w:w="76" w:type="pct"/>
            <w:shd w:val="clear" w:color="auto" w:fill="CCEEFF"/>
            <w:noWrap/>
            <w:tcMar>
              <w:top w:w="0" w:type="dxa"/>
              <w:left w:w="0" w:type="dxa"/>
              <w:bottom w:w="0" w:type="dxa"/>
              <w:right w:w="0" w:type="dxa"/>
            </w:tcMar>
            <w:vAlign w:val="bottom"/>
            <w:hideMark/>
          </w:tcPr>
          <w:p w14:paraId="4EE7E73F"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319F31D5" w14:textId="77777777" w:rsidR="00000000" w:rsidRDefault="00097612">
            <w:pPr>
              <w:pStyle w:val="a3"/>
              <w:spacing w:before="0" w:beforeAutospacing="0" w:after="0" w:afterAutospacing="0"/>
              <w:jc w:val="center"/>
              <w:rPr>
                <w:sz w:val="16"/>
                <w:szCs w:val="16"/>
              </w:rPr>
            </w:pPr>
            <w:r>
              <w:rPr>
                <w:sz w:val="16"/>
                <w:szCs w:val="16"/>
              </w:rPr>
              <w:t>$</w:t>
            </w:r>
          </w:p>
        </w:tc>
        <w:tc>
          <w:tcPr>
            <w:tcW w:w="367" w:type="pct"/>
            <w:shd w:val="clear" w:color="auto" w:fill="CCEEFF"/>
            <w:noWrap/>
            <w:tcMar>
              <w:top w:w="0" w:type="dxa"/>
              <w:left w:w="0" w:type="dxa"/>
              <w:bottom w:w="0" w:type="dxa"/>
              <w:right w:w="0" w:type="dxa"/>
            </w:tcMar>
            <w:vAlign w:val="bottom"/>
            <w:hideMark/>
          </w:tcPr>
          <w:p w14:paraId="434778F8" w14:textId="77777777" w:rsidR="00000000" w:rsidRDefault="00097612">
            <w:pPr>
              <w:pStyle w:val="a3"/>
              <w:spacing w:before="0" w:beforeAutospacing="0" w:after="0" w:afterAutospacing="0"/>
              <w:ind w:right="60"/>
              <w:jc w:val="right"/>
              <w:rPr>
                <w:sz w:val="16"/>
                <w:szCs w:val="16"/>
              </w:rPr>
            </w:pPr>
            <w:r>
              <w:rPr>
                <w:sz w:val="16"/>
                <w:szCs w:val="16"/>
              </w:rPr>
              <w:t>937,437</w:t>
            </w:r>
          </w:p>
        </w:tc>
        <w:tc>
          <w:tcPr>
            <w:tcW w:w="76" w:type="pct"/>
            <w:shd w:val="clear" w:color="auto" w:fill="CCEEFF"/>
            <w:noWrap/>
            <w:tcMar>
              <w:top w:w="0" w:type="dxa"/>
              <w:left w:w="0" w:type="dxa"/>
              <w:bottom w:w="0" w:type="dxa"/>
              <w:right w:w="0" w:type="dxa"/>
            </w:tcMar>
            <w:vAlign w:val="bottom"/>
            <w:hideMark/>
          </w:tcPr>
          <w:p w14:paraId="27F88B9A"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05104DB1" w14:textId="77777777" w:rsidR="00000000" w:rsidRDefault="00097612">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14:paraId="5D81425C" w14:textId="77777777" w:rsidR="00000000" w:rsidRDefault="00097612">
            <w:pPr>
              <w:pStyle w:val="a3"/>
              <w:spacing w:before="0" w:beforeAutospacing="0" w:after="0" w:afterAutospacing="0"/>
              <w:jc w:val="right"/>
              <w:rPr>
                <w:sz w:val="16"/>
                <w:szCs w:val="16"/>
              </w:rPr>
            </w:pPr>
            <w:r>
              <w:rPr>
                <w:sz w:val="16"/>
                <w:szCs w:val="16"/>
              </w:rPr>
              <w:t>(525)</w:t>
            </w:r>
          </w:p>
        </w:tc>
        <w:tc>
          <w:tcPr>
            <w:tcW w:w="76" w:type="pct"/>
            <w:shd w:val="clear" w:color="auto" w:fill="CCEEFF"/>
            <w:noWrap/>
            <w:tcMar>
              <w:top w:w="0" w:type="dxa"/>
              <w:left w:w="0" w:type="dxa"/>
              <w:bottom w:w="0" w:type="dxa"/>
              <w:right w:w="0" w:type="dxa"/>
            </w:tcMar>
            <w:vAlign w:val="bottom"/>
            <w:hideMark/>
          </w:tcPr>
          <w:p w14:paraId="42DBB311"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01715F62" w14:textId="77777777" w:rsidR="00000000" w:rsidRDefault="00097612">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14:paraId="7564DBA9" w14:textId="77777777" w:rsidR="00000000" w:rsidRDefault="00097612">
            <w:pPr>
              <w:pStyle w:val="a3"/>
              <w:spacing w:before="0" w:beforeAutospacing="0" w:after="0" w:afterAutospacing="0"/>
              <w:jc w:val="right"/>
              <w:rPr>
                <w:sz w:val="16"/>
                <w:szCs w:val="16"/>
              </w:rPr>
            </w:pPr>
            <w:r>
              <w:rPr>
                <w:sz w:val="16"/>
                <w:szCs w:val="16"/>
              </w:rPr>
              <w:t>(902,526)</w:t>
            </w:r>
          </w:p>
        </w:tc>
        <w:tc>
          <w:tcPr>
            <w:tcW w:w="76" w:type="pct"/>
            <w:shd w:val="clear" w:color="auto" w:fill="CCEEFF"/>
            <w:noWrap/>
            <w:tcMar>
              <w:top w:w="0" w:type="dxa"/>
              <w:left w:w="0" w:type="dxa"/>
              <w:bottom w:w="0" w:type="dxa"/>
              <w:right w:w="0" w:type="dxa"/>
            </w:tcMar>
            <w:vAlign w:val="bottom"/>
            <w:hideMark/>
          </w:tcPr>
          <w:p w14:paraId="394BD0EA"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2C9A8364" w14:textId="77777777" w:rsidR="00000000" w:rsidRDefault="00097612">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14:paraId="3EAF59C3" w14:textId="77777777" w:rsidR="00000000" w:rsidRDefault="00097612">
            <w:pPr>
              <w:pStyle w:val="a3"/>
              <w:spacing w:before="0" w:beforeAutospacing="0" w:after="0" w:afterAutospacing="0"/>
              <w:ind w:right="60"/>
              <w:jc w:val="right"/>
              <w:rPr>
                <w:sz w:val="16"/>
                <w:szCs w:val="16"/>
              </w:rPr>
            </w:pPr>
            <w:r>
              <w:rPr>
                <w:sz w:val="16"/>
                <w:szCs w:val="16"/>
              </w:rPr>
              <w:t>34,387</w:t>
            </w:r>
          </w:p>
        </w:tc>
      </w:tr>
      <w:tr w:rsidR="00000000" w14:paraId="08DD598F" w14:textId="77777777">
        <w:trPr>
          <w:divId w:val="1429960337"/>
        </w:trPr>
        <w:tc>
          <w:tcPr>
            <w:tcW w:w="1847" w:type="pct"/>
            <w:tcMar>
              <w:top w:w="0" w:type="dxa"/>
              <w:left w:w="0" w:type="dxa"/>
              <w:bottom w:w="0" w:type="dxa"/>
              <w:right w:w="0" w:type="dxa"/>
            </w:tcMar>
            <w:vAlign w:val="bottom"/>
            <w:hideMark/>
          </w:tcPr>
          <w:p w14:paraId="4A01E0F4" w14:textId="77777777" w:rsidR="00000000" w:rsidRDefault="00097612">
            <w:pPr>
              <w:pStyle w:val="a3"/>
              <w:spacing w:before="0" w:beforeAutospacing="0" w:after="0" w:afterAutospacing="0"/>
              <w:ind w:left="240"/>
              <w:rPr>
                <w:sz w:val="16"/>
                <w:szCs w:val="16"/>
              </w:rPr>
            </w:pPr>
            <w:r>
              <w:rPr>
                <w:sz w:val="16"/>
                <w:szCs w:val="16"/>
              </w:rPr>
              <w:lastRenderedPageBreak/>
              <w:t>Proceeds from ESPP purchases</w:t>
            </w:r>
          </w:p>
        </w:tc>
        <w:tc>
          <w:tcPr>
            <w:tcW w:w="76" w:type="pct"/>
            <w:noWrap/>
            <w:tcMar>
              <w:top w:w="0" w:type="dxa"/>
              <w:left w:w="0" w:type="dxa"/>
              <w:bottom w:w="0" w:type="dxa"/>
              <w:right w:w="0" w:type="dxa"/>
            </w:tcMar>
            <w:vAlign w:val="bottom"/>
            <w:hideMark/>
          </w:tcPr>
          <w:p w14:paraId="451FD0EC"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709ED73B"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18B3E90C"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9003984"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28AB53B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FB7A0B8"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29D9BBE"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Mar>
              <w:top w:w="0" w:type="dxa"/>
              <w:left w:w="0" w:type="dxa"/>
              <w:bottom w:w="0" w:type="dxa"/>
              <w:right w:w="0" w:type="dxa"/>
            </w:tcMar>
            <w:vAlign w:val="bottom"/>
            <w:hideMark/>
          </w:tcPr>
          <w:p w14:paraId="036CAD41"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7B3F594C"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4851ABC6"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14:paraId="0037ABD1"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72C71F14"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5C003E46"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14:paraId="1061DCF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1566F242"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2968917D"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2BA23523" w14:textId="77777777" w:rsidR="00000000" w:rsidRDefault="00097612">
            <w:pPr>
              <w:pStyle w:val="a3"/>
              <w:spacing w:before="0" w:beforeAutospacing="0" w:after="0" w:afterAutospacing="0"/>
              <w:ind w:right="60"/>
              <w:jc w:val="right"/>
              <w:rPr>
                <w:sz w:val="16"/>
                <w:szCs w:val="16"/>
              </w:rPr>
            </w:pPr>
            <w:r>
              <w:rPr>
                <w:sz w:val="16"/>
                <w:szCs w:val="16"/>
              </w:rPr>
              <w:t>—</w:t>
            </w:r>
          </w:p>
        </w:tc>
      </w:tr>
      <w:tr w:rsidR="00000000" w14:paraId="2330C4EA" w14:textId="77777777">
        <w:trPr>
          <w:divId w:val="1429960337"/>
        </w:trPr>
        <w:tc>
          <w:tcPr>
            <w:tcW w:w="1847" w:type="pct"/>
            <w:shd w:val="clear" w:color="auto" w:fill="CCEEFF"/>
            <w:tcMar>
              <w:top w:w="0" w:type="dxa"/>
              <w:left w:w="0" w:type="dxa"/>
              <w:bottom w:w="0" w:type="dxa"/>
              <w:right w:w="0" w:type="dxa"/>
            </w:tcMar>
            <w:vAlign w:val="bottom"/>
            <w:hideMark/>
          </w:tcPr>
          <w:p w14:paraId="2EC16E42" w14:textId="77777777" w:rsidR="00000000" w:rsidRDefault="00097612">
            <w:pPr>
              <w:pStyle w:val="a3"/>
              <w:spacing w:before="0" w:beforeAutospacing="0" w:after="0" w:afterAutospacing="0"/>
              <w:ind w:left="240"/>
              <w:rPr>
                <w:sz w:val="16"/>
                <w:szCs w:val="16"/>
              </w:rPr>
            </w:pPr>
            <w:r>
              <w:rPr>
                <w:sz w:val="16"/>
                <w:szCs w:val="16"/>
              </w:rPr>
              <w:t>Employee share-based compensation expense</w:t>
            </w:r>
          </w:p>
        </w:tc>
        <w:tc>
          <w:tcPr>
            <w:tcW w:w="76" w:type="pct"/>
            <w:shd w:val="clear" w:color="auto" w:fill="CCEEFF"/>
            <w:noWrap/>
            <w:tcMar>
              <w:top w:w="0" w:type="dxa"/>
              <w:left w:w="0" w:type="dxa"/>
              <w:bottom w:w="0" w:type="dxa"/>
              <w:right w:w="0" w:type="dxa"/>
            </w:tcMar>
            <w:vAlign w:val="bottom"/>
            <w:hideMark/>
          </w:tcPr>
          <w:p w14:paraId="4DAFB35E"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6880EB5F"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34D28DA1"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0C902578"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10FA271E"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67BB580D"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192DE6BB"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10F95F04" w14:textId="77777777" w:rsidR="00000000" w:rsidRDefault="00097612">
            <w:pPr>
              <w:pStyle w:val="a3"/>
              <w:spacing w:before="0" w:beforeAutospacing="0" w:after="0" w:afterAutospacing="0"/>
              <w:ind w:right="60"/>
              <w:jc w:val="right"/>
              <w:rPr>
                <w:sz w:val="16"/>
                <w:szCs w:val="16"/>
              </w:rPr>
            </w:pPr>
            <w:r>
              <w:rPr>
                <w:sz w:val="16"/>
                <w:szCs w:val="16"/>
              </w:rPr>
              <w:t>11,730</w:t>
            </w:r>
          </w:p>
        </w:tc>
        <w:tc>
          <w:tcPr>
            <w:tcW w:w="76" w:type="pct"/>
            <w:shd w:val="clear" w:color="auto" w:fill="CCEEFF"/>
            <w:noWrap/>
            <w:tcMar>
              <w:top w:w="0" w:type="dxa"/>
              <w:left w:w="0" w:type="dxa"/>
              <w:bottom w:w="0" w:type="dxa"/>
              <w:right w:w="0" w:type="dxa"/>
            </w:tcMar>
            <w:vAlign w:val="bottom"/>
            <w:hideMark/>
          </w:tcPr>
          <w:p w14:paraId="49BED014"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38416EE0"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14:paraId="41475886"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691BDBA7"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6CC680BD"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1645C228"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0D3636CD"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73E107C6"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1AF424B4" w14:textId="77777777" w:rsidR="00000000" w:rsidRDefault="00097612">
            <w:pPr>
              <w:pStyle w:val="a3"/>
              <w:spacing w:before="0" w:beforeAutospacing="0" w:after="0" w:afterAutospacing="0"/>
              <w:ind w:right="60"/>
              <w:jc w:val="right"/>
              <w:rPr>
                <w:sz w:val="16"/>
                <w:szCs w:val="16"/>
              </w:rPr>
            </w:pPr>
            <w:r>
              <w:rPr>
                <w:sz w:val="16"/>
                <w:szCs w:val="16"/>
              </w:rPr>
              <w:t>11,730</w:t>
            </w:r>
          </w:p>
        </w:tc>
      </w:tr>
      <w:tr w:rsidR="00000000" w14:paraId="10A7C624" w14:textId="77777777">
        <w:trPr>
          <w:divId w:val="1429960337"/>
        </w:trPr>
        <w:tc>
          <w:tcPr>
            <w:tcW w:w="1847" w:type="pct"/>
            <w:tcMar>
              <w:top w:w="0" w:type="dxa"/>
              <w:left w:w="0" w:type="dxa"/>
              <w:bottom w:w="0" w:type="dxa"/>
              <w:right w:w="0" w:type="dxa"/>
            </w:tcMar>
            <w:vAlign w:val="bottom"/>
            <w:hideMark/>
          </w:tcPr>
          <w:p w14:paraId="20FF0F57" w14:textId="77777777" w:rsidR="00000000" w:rsidRDefault="00097612">
            <w:pPr>
              <w:pStyle w:val="a3"/>
              <w:spacing w:before="0" w:beforeAutospacing="0" w:after="0" w:afterAutospacing="0"/>
              <w:ind w:left="240"/>
              <w:rPr>
                <w:sz w:val="16"/>
                <w:szCs w:val="16"/>
              </w:rPr>
            </w:pPr>
            <w:r>
              <w:rPr>
                <w:sz w:val="16"/>
                <w:szCs w:val="16"/>
              </w:rPr>
              <w:t>Issuance of restricted shares</w:t>
            </w:r>
          </w:p>
        </w:tc>
        <w:tc>
          <w:tcPr>
            <w:tcW w:w="76" w:type="pct"/>
            <w:noWrap/>
            <w:tcMar>
              <w:top w:w="0" w:type="dxa"/>
              <w:left w:w="0" w:type="dxa"/>
              <w:bottom w:w="0" w:type="dxa"/>
              <w:right w:w="0" w:type="dxa"/>
            </w:tcMar>
            <w:vAlign w:val="bottom"/>
            <w:hideMark/>
          </w:tcPr>
          <w:p w14:paraId="73FC3745"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2DE15AE3" w14:textId="77777777" w:rsidR="00000000" w:rsidRDefault="00097612">
            <w:pPr>
              <w:pStyle w:val="a3"/>
              <w:spacing w:before="0" w:beforeAutospacing="0" w:after="0" w:afterAutospacing="0"/>
              <w:ind w:right="60"/>
              <w:jc w:val="right"/>
              <w:rPr>
                <w:sz w:val="16"/>
                <w:szCs w:val="16"/>
              </w:rPr>
            </w:pPr>
            <w:r>
              <w:rPr>
                <w:sz w:val="16"/>
                <w:szCs w:val="16"/>
              </w:rPr>
              <w:t>242</w:t>
            </w:r>
          </w:p>
        </w:tc>
        <w:tc>
          <w:tcPr>
            <w:tcW w:w="76" w:type="pct"/>
            <w:noWrap/>
            <w:tcMar>
              <w:top w:w="0" w:type="dxa"/>
              <w:left w:w="0" w:type="dxa"/>
              <w:bottom w:w="0" w:type="dxa"/>
              <w:right w:w="0" w:type="dxa"/>
            </w:tcMar>
            <w:vAlign w:val="bottom"/>
            <w:hideMark/>
          </w:tcPr>
          <w:p w14:paraId="39688404"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99D6737"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268D9A0D"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15B9BF2"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27A67BB"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Mar>
              <w:top w:w="0" w:type="dxa"/>
              <w:left w:w="0" w:type="dxa"/>
              <w:bottom w:w="0" w:type="dxa"/>
              <w:right w:w="0" w:type="dxa"/>
            </w:tcMar>
            <w:vAlign w:val="bottom"/>
            <w:hideMark/>
          </w:tcPr>
          <w:p w14:paraId="3CEA6273"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06CFB6BD"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69A225C8"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14:paraId="0C90618C"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19FADCF4"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47FB2CBF"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14:paraId="09F06665"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6694DD59"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77FC830F"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2D3CCD96" w14:textId="77777777" w:rsidR="00000000" w:rsidRDefault="00097612">
            <w:pPr>
              <w:pStyle w:val="a3"/>
              <w:spacing w:before="0" w:beforeAutospacing="0" w:after="0" w:afterAutospacing="0"/>
              <w:ind w:right="60"/>
              <w:jc w:val="right"/>
              <w:rPr>
                <w:sz w:val="16"/>
                <w:szCs w:val="16"/>
              </w:rPr>
            </w:pPr>
            <w:r>
              <w:rPr>
                <w:sz w:val="16"/>
                <w:szCs w:val="16"/>
              </w:rPr>
              <w:t>—</w:t>
            </w:r>
          </w:p>
        </w:tc>
      </w:tr>
      <w:tr w:rsidR="00000000" w14:paraId="6C5C4694" w14:textId="77777777">
        <w:trPr>
          <w:divId w:val="1429960337"/>
        </w:trPr>
        <w:tc>
          <w:tcPr>
            <w:tcW w:w="1847" w:type="pct"/>
            <w:shd w:val="clear" w:color="auto" w:fill="CCEEFF"/>
            <w:tcMar>
              <w:top w:w="0" w:type="dxa"/>
              <w:left w:w="0" w:type="dxa"/>
              <w:bottom w:w="0" w:type="dxa"/>
              <w:right w:w="0" w:type="dxa"/>
            </w:tcMar>
            <w:vAlign w:val="bottom"/>
            <w:hideMark/>
          </w:tcPr>
          <w:p w14:paraId="0F6913F8" w14:textId="77777777" w:rsidR="00000000" w:rsidRDefault="00097612">
            <w:pPr>
              <w:pStyle w:val="a3"/>
              <w:spacing w:before="0" w:beforeAutospacing="0" w:after="0" w:afterAutospacing="0"/>
              <w:ind w:left="240"/>
              <w:rPr>
                <w:sz w:val="16"/>
                <w:szCs w:val="16"/>
              </w:rPr>
            </w:pPr>
            <w:r>
              <w:rPr>
                <w:sz w:val="16"/>
                <w:szCs w:val="16"/>
              </w:rPr>
              <w:t>Option exercises</w:t>
            </w:r>
          </w:p>
        </w:tc>
        <w:tc>
          <w:tcPr>
            <w:tcW w:w="76" w:type="pct"/>
            <w:shd w:val="clear" w:color="auto" w:fill="CCEEFF"/>
            <w:noWrap/>
            <w:tcMar>
              <w:top w:w="0" w:type="dxa"/>
              <w:left w:w="0" w:type="dxa"/>
              <w:bottom w:w="0" w:type="dxa"/>
              <w:right w:w="0" w:type="dxa"/>
            </w:tcMar>
            <w:vAlign w:val="bottom"/>
            <w:hideMark/>
          </w:tcPr>
          <w:p w14:paraId="4D2FD01C"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3E4F92CC" w14:textId="77777777" w:rsidR="00000000" w:rsidRDefault="00097612">
            <w:pPr>
              <w:pStyle w:val="a3"/>
              <w:spacing w:before="0" w:beforeAutospacing="0" w:after="0" w:afterAutospacing="0"/>
              <w:ind w:right="60"/>
              <w:jc w:val="right"/>
              <w:rPr>
                <w:sz w:val="16"/>
                <w:szCs w:val="16"/>
              </w:rPr>
            </w:pPr>
            <w:r>
              <w:rPr>
                <w:sz w:val="16"/>
                <w:szCs w:val="16"/>
              </w:rPr>
              <w:t>64</w:t>
            </w:r>
          </w:p>
        </w:tc>
        <w:tc>
          <w:tcPr>
            <w:tcW w:w="76" w:type="pct"/>
            <w:shd w:val="clear" w:color="auto" w:fill="CCEEFF"/>
            <w:noWrap/>
            <w:tcMar>
              <w:top w:w="0" w:type="dxa"/>
              <w:left w:w="0" w:type="dxa"/>
              <w:bottom w:w="0" w:type="dxa"/>
              <w:right w:w="0" w:type="dxa"/>
            </w:tcMar>
            <w:vAlign w:val="bottom"/>
            <w:hideMark/>
          </w:tcPr>
          <w:p w14:paraId="0DBF60AC"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01EC61AF"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646C16B7"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21B067C4"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0789894C"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4264D9D6" w14:textId="77777777" w:rsidR="00000000" w:rsidRDefault="00097612">
            <w:pPr>
              <w:pStyle w:val="a3"/>
              <w:spacing w:before="0" w:beforeAutospacing="0" w:after="0" w:afterAutospacing="0"/>
              <w:ind w:right="60"/>
              <w:jc w:val="right"/>
              <w:rPr>
                <w:sz w:val="16"/>
                <w:szCs w:val="16"/>
              </w:rPr>
            </w:pPr>
            <w:r>
              <w:rPr>
                <w:sz w:val="16"/>
                <w:szCs w:val="16"/>
              </w:rPr>
              <w:t>1,225</w:t>
            </w:r>
          </w:p>
        </w:tc>
        <w:tc>
          <w:tcPr>
            <w:tcW w:w="76" w:type="pct"/>
            <w:shd w:val="clear" w:color="auto" w:fill="CCEEFF"/>
            <w:noWrap/>
            <w:tcMar>
              <w:top w:w="0" w:type="dxa"/>
              <w:left w:w="0" w:type="dxa"/>
              <w:bottom w:w="0" w:type="dxa"/>
              <w:right w:w="0" w:type="dxa"/>
            </w:tcMar>
            <w:vAlign w:val="bottom"/>
            <w:hideMark/>
          </w:tcPr>
          <w:p w14:paraId="3205CD8C"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23AB2F6E"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14:paraId="794751F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401F9997"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17540642"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0D80C1A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1F912B69"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1F3B2088"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3A5BBC86" w14:textId="77777777" w:rsidR="00000000" w:rsidRDefault="00097612">
            <w:pPr>
              <w:pStyle w:val="a3"/>
              <w:spacing w:before="0" w:beforeAutospacing="0" w:after="0" w:afterAutospacing="0"/>
              <w:ind w:right="60"/>
              <w:jc w:val="right"/>
              <w:rPr>
                <w:sz w:val="16"/>
                <w:szCs w:val="16"/>
              </w:rPr>
            </w:pPr>
            <w:r>
              <w:rPr>
                <w:sz w:val="16"/>
                <w:szCs w:val="16"/>
              </w:rPr>
              <w:t>1,225</w:t>
            </w:r>
          </w:p>
        </w:tc>
      </w:tr>
      <w:tr w:rsidR="00000000" w14:paraId="6A9CF927" w14:textId="77777777">
        <w:trPr>
          <w:divId w:val="1429960337"/>
        </w:trPr>
        <w:tc>
          <w:tcPr>
            <w:tcW w:w="1847" w:type="pct"/>
            <w:tcMar>
              <w:top w:w="0" w:type="dxa"/>
              <w:left w:w="0" w:type="dxa"/>
              <w:bottom w:w="0" w:type="dxa"/>
              <w:right w:w="0" w:type="dxa"/>
            </w:tcMar>
            <w:vAlign w:val="bottom"/>
            <w:hideMark/>
          </w:tcPr>
          <w:p w14:paraId="2B0C9D2B" w14:textId="77777777" w:rsidR="00000000" w:rsidRDefault="00097612">
            <w:pPr>
              <w:pStyle w:val="a3"/>
              <w:spacing w:before="0" w:beforeAutospacing="0" w:after="0" w:afterAutospacing="0"/>
              <w:ind w:left="240"/>
              <w:rPr>
                <w:sz w:val="16"/>
                <w:szCs w:val="16"/>
              </w:rPr>
            </w:pPr>
            <w:r>
              <w:rPr>
                <w:sz w:val="16"/>
                <w:szCs w:val="16"/>
              </w:rPr>
              <w:t>Repurchase of shares to satisfy tax withholding</w:t>
            </w:r>
          </w:p>
        </w:tc>
        <w:tc>
          <w:tcPr>
            <w:tcW w:w="76" w:type="pct"/>
            <w:noWrap/>
            <w:tcMar>
              <w:top w:w="0" w:type="dxa"/>
              <w:left w:w="0" w:type="dxa"/>
              <w:bottom w:w="0" w:type="dxa"/>
              <w:right w:w="0" w:type="dxa"/>
            </w:tcMar>
            <w:vAlign w:val="bottom"/>
            <w:hideMark/>
          </w:tcPr>
          <w:p w14:paraId="1DF648C6"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0C5298B8"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57B97494"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0BA3247"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02277F7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05208D8"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62A1B2D"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Mar>
              <w:top w:w="0" w:type="dxa"/>
              <w:left w:w="0" w:type="dxa"/>
              <w:bottom w:w="0" w:type="dxa"/>
              <w:right w:w="0" w:type="dxa"/>
            </w:tcMar>
            <w:vAlign w:val="bottom"/>
            <w:hideMark/>
          </w:tcPr>
          <w:p w14:paraId="38614A44" w14:textId="77777777" w:rsidR="00000000" w:rsidRDefault="00097612">
            <w:pPr>
              <w:pStyle w:val="a3"/>
              <w:spacing w:before="0" w:beforeAutospacing="0" w:after="0" w:afterAutospacing="0"/>
              <w:jc w:val="right"/>
              <w:rPr>
                <w:sz w:val="16"/>
                <w:szCs w:val="16"/>
              </w:rPr>
            </w:pPr>
            <w:r>
              <w:rPr>
                <w:sz w:val="16"/>
                <w:szCs w:val="16"/>
              </w:rPr>
              <w:t>(1,548)</w:t>
            </w:r>
          </w:p>
        </w:tc>
        <w:tc>
          <w:tcPr>
            <w:tcW w:w="76" w:type="pct"/>
            <w:noWrap/>
            <w:tcMar>
              <w:top w:w="0" w:type="dxa"/>
              <w:left w:w="0" w:type="dxa"/>
              <w:bottom w:w="0" w:type="dxa"/>
              <w:right w:w="0" w:type="dxa"/>
            </w:tcMar>
            <w:vAlign w:val="bottom"/>
            <w:hideMark/>
          </w:tcPr>
          <w:p w14:paraId="076AE008"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2A2157C4"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14:paraId="5C30D145"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57D92074"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3FBEDA8E"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14:paraId="17D36051"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322B807"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05FAABA7"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14:paraId="7C97E79A" w14:textId="77777777" w:rsidR="00000000" w:rsidRDefault="00097612">
            <w:pPr>
              <w:pStyle w:val="a3"/>
              <w:spacing w:before="0" w:beforeAutospacing="0" w:after="0" w:afterAutospacing="0"/>
              <w:jc w:val="right"/>
              <w:rPr>
                <w:sz w:val="16"/>
                <w:szCs w:val="16"/>
              </w:rPr>
            </w:pPr>
            <w:r>
              <w:rPr>
                <w:sz w:val="16"/>
                <w:szCs w:val="16"/>
              </w:rPr>
              <w:t>(1,548)</w:t>
            </w:r>
          </w:p>
        </w:tc>
      </w:tr>
      <w:tr w:rsidR="00000000" w14:paraId="699F8E46" w14:textId="77777777">
        <w:trPr>
          <w:divId w:val="1429960337"/>
        </w:trPr>
        <w:tc>
          <w:tcPr>
            <w:tcW w:w="1847" w:type="pct"/>
            <w:shd w:val="clear" w:color="auto" w:fill="CCEEFF"/>
            <w:tcMar>
              <w:top w:w="0" w:type="dxa"/>
              <w:left w:w="0" w:type="dxa"/>
              <w:bottom w:w="0" w:type="dxa"/>
              <w:right w:w="0" w:type="dxa"/>
            </w:tcMar>
            <w:vAlign w:val="bottom"/>
            <w:hideMark/>
          </w:tcPr>
          <w:p w14:paraId="230F30E6" w14:textId="77777777" w:rsidR="00000000" w:rsidRDefault="00097612">
            <w:pPr>
              <w:pStyle w:val="a3"/>
              <w:spacing w:before="0" w:beforeAutospacing="0" w:after="0" w:afterAutospacing="0"/>
              <w:ind w:left="240"/>
              <w:rPr>
                <w:sz w:val="16"/>
                <w:szCs w:val="16"/>
              </w:rPr>
            </w:pPr>
            <w:r>
              <w:rPr>
                <w:sz w:val="16"/>
                <w:szCs w:val="16"/>
              </w:rPr>
              <w:t>Net unrealized gain on marketable securities</w:t>
            </w:r>
          </w:p>
        </w:tc>
        <w:tc>
          <w:tcPr>
            <w:tcW w:w="76" w:type="pct"/>
            <w:shd w:val="clear" w:color="auto" w:fill="CCEEFF"/>
            <w:noWrap/>
            <w:tcMar>
              <w:top w:w="0" w:type="dxa"/>
              <w:left w:w="0" w:type="dxa"/>
              <w:bottom w:w="0" w:type="dxa"/>
              <w:right w:w="0" w:type="dxa"/>
            </w:tcMar>
            <w:vAlign w:val="bottom"/>
            <w:hideMark/>
          </w:tcPr>
          <w:p w14:paraId="18D3B855"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0D53410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4DF1E967"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5494020A"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4D1F098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3ABC8BD4"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6E4D286B"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211479FF"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2998FF7C"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6D8DF556"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14:paraId="7A09D468" w14:textId="77777777" w:rsidR="00000000" w:rsidRDefault="00097612">
            <w:pPr>
              <w:pStyle w:val="a3"/>
              <w:spacing w:before="0" w:beforeAutospacing="0" w:after="0" w:afterAutospacing="0"/>
              <w:ind w:right="60"/>
              <w:jc w:val="right"/>
              <w:rPr>
                <w:sz w:val="16"/>
                <w:szCs w:val="16"/>
              </w:rPr>
            </w:pPr>
            <w:r>
              <w:rPr>
                <w:sz w:val="16"/>
                <w:szCs w:val="16"/>
              </w:rPr>
              <w:t>194</w:t>
            </w:r>
          </w:p>
        </w:tc>
        <w:tc>
          <w:tcPr>
            <w:tcW w:w="76" w:type="pct"/>
            <w:shd w:val="clear" w:color="auto" w:fill="CCEEFF"/>
            <w:noWrap/>
            <w:tcMar>
              <w:top w:w="0" w:type="dxa"/>
              <w:left w:w="0" w:type="dxa"/>
              <w:bottom w:w="0" w:type="dxa"/>
              <w:right w:w="0" w:type="dxa"/>
            </w:tcMar>
            <w:vAlign w:val="bottom"/>
            <w:hideMark/>
          </w:tcPr>
          <w:p w14:paraId="662696D6"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71756FB9"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414C0032"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1BB05EE6"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58356423"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134F709A" w14:textId="77777777" w:rsidR="00000000" w:rsidRDefault="00097612">
            <w:pPr>
              <w:pStyle w:val="a3"/>
              <w:spacing w:before="0" w:beforeAutospacing="0" w:after="0" w:afterAutospacing="0"/>
              <w:ind w:right="60"/>
              <w:jc w:val="right"/>
              <w:rPr>
                <w:sz w:val="16"/>
                <w:szCs w:val="16"/>
              </w:rPr>
            </w:pPr>
            <w:r>
              <w:rPr>
                <w:sz w:val="16"/>
                <w:szCs w:val="16"/>
              </w:rPr>
              <w:t>194</w:t>
            </w:r>
          </w:p>
        </w:tc>
      </w:tr>
      <w:tr w:rsidR="00000000" w14:paraId="66348A8F" w14:textId="77777777">
        <w:trPr>
          <w:divId w:val="1429960337"/>
        </w:trPr>
        <w:tc>
          <w:tcPr>
            <w:tcW w:w="1847" w:type="pct"/>
            <w:tcMar>
              <w:top w:w="0" w:type="dxa"/>
              <w:left w:w="0" w:type="dxa"/>
              <w:bottom w:w="0" w:type="dxa"/>
              <w:right w:w="0" w:type="dxa"/>
            </w:tcMar>
            <w:vAlign w:val="bottom"/>
            <w:hideMark/>
          </w:tcPr>
          <w:p w14:paraId="2921F477" w14:textId="77777777" w:rsidR="00000000" w:rsidRDefault="00097612">
            <w:pPr>
              <w:pStyle w:val="a3"/>
              <w:spacing w:before="0" w:beforeAutospacing="0" w:after="0" w:afterAutospacing="0"/>
              <w:ind w:left="240"/>
              <w:rPr>
                <w:sz w:val="16"/>
                <w:szCs w:val="16"/>
              </w:rPr>
            </w:pPr>
            <w:r>
              <w:rPr>
                <w:sz w:val="16"/>
                <w:szCs w:val="16"/>
              </w:rPr>
              <w:t>Net loss</w:t>
            </w:r>
          </w:p>
        </w:tc>
        <w:tc>
          <w:tcPr>
            <w:tcW w:w="76" w:type="pct"/>
            <w:noWrap/>
            <w:tcMar>
              <w:top w:w="0" w:type="dxa"/>
              <w:left w:w="0" w:type="dxa"/>
              <w:bottom w:w="0" w:type="dxa"/>
              <w:right w:w="0" w:type="dxa"/>
            </w:tcMar>
            <w:vAlign w:val="bottom"/>
            <w:hideMark/>
          </w:tcPr>
          <w:p w14:paraId="16AC3553" w14:textId="77777777" w:rsidR="00000000" w:rsidRDefault="00097612">
            <w:pPr>
              <w:pStyle w:val="a3"/>
              <w:spacing w:before="0" w:beforeAutospacing="0" w:after="0" w:afterAutospacing="0"/>
              <w:rPr>
                <w:sz w:val="20"/>
                <w:szCs w:val="20"/>
              </w:rPr>
            </w:pPr>
            <w:r>
              <w:rPr>
                <w:sz w:val="16"/>
                <w:szCs w:val="16"/>
              </w:rPr>
              <w:t>​</w:t>
            </w:r>
          </w:p>
        </w:tc>
        <w:tc>
          <w:tcPr>
            <w:tcW w:w="342" w:type="pct"/>
            <w:tcBorders>
              <w:bottom w:val="single" w:sz="6" w:space="0" w:color="000000"/>
            </w:tcBorders>
            <w:tcMar>
              <w:top w:w="0" w:type="dxa"/>
              <w:left w:w="0" w:type="dxa"/>
              <w:bottom w:w="0" w:type="dxa"/>
              <w:right w:w="0" w:type="dxa"/>
            </w:tcMar>
            <w:vAlign w:val="bottom"/>
            <w:hideMark/>
          </w:tcPr>
          <w:p w14:paraId="67867E8D"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DB1D96A"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14:paraId="1AEE8A75"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Borders>
              <w:bottom w:val="single" w:sz="6" w:space="0" w:color="000000"/>
            </w:tcBorders>
            <w:tcMar>
              <w:top w:w="0" w:type="dxa"/>
              <w:left w:w="0" w:type="dxa"/>
              <w:bottom w:w="0" w:type="dxa"/>
              <w:right w:w="0" w:type="dxa"/>
            </w:tcMar>
            <w:vAlign w:val="bottom"/>
            <w:hideMark/>
          </w:tcPr>
          <w:p w14:paraId="4C4260E7"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98C52D0"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14:paraId="0751C7B0"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Borders>
              <w:bottom w:val="single" w:sz="6" w:space="0" w:color="000000"/>
            </w:tcBorders>
            <w:tcMar>
              <w:top w:w="0" w:type="dxa"/>
              <w:left w:w="0" w:type="dxa"/>
              <w:bottom w:w="0" w:type="dxa"/>
              <w:right w:w="0" w:type="dxa"/>
            </w:tcMar>
            <w:vAlign w:val="bottom"/>
            <w:hideMark/>
          </w:tcPr>
          <w:p w14:paraId="6766616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5DB3D501" w14:textId="77777777" w:rsidR="00000000" w:rsidRDefault="00097612">
            <w:pPr>
              <w:pStyle w:val="a3"/>
              <w:spacing w:before="0" w:beforeAutospacing="0" w:after="0" w:afterAutospacing="0"/>
              <w:rPr>
                <w:sz w:val="20"/>
                <w:szCs w:val="20"/>
              </w:rPr>
            </w:pPr>
            <w:r>
              <w:rPr>
                <w:sz w:val="16"/>
                <w:szCs w:val="16"/>
              </w:rPr>
              <w:t>​</w:t>
            </w:r>
          </w:p>
        </w:tc>
        <w:tc>
          <w:tcPr>
            <w:tcW w:w="108" w:type="pct"/>
            <w:tcBorders>
              <w:bottom w:val="single" w:sz="6" w:space="0" w:color="000000"/>
            </w:tcBorders>
            <w:noWrap/>
            <w:tcMar>
              <w:top w:w="0" w:type="dxa"/>
              <w:left w:w="0" w:type="dxa"/>
              <w:bottom w:w="0" w:type="dxa"/>
              <w:right w:w="0" w:type="dxa"/>
            </w:tcMar>
            <w:vAlign w:val="bottom"/>
            <w:hideMark/>
          </w:tcPr>
          <w:p w14:paraId="56FF7BBA"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tcMar>
              <w:top w:w="0" w:type="dxa"/>
              <w:left w:w="0" w:type="dxa"/>
              <w:bottom w:w="0" w:type="dxa"/>
              <w:right w:w="0" w:type="dxa"/>
            </w:tcMar>
            <w:vAlign w:val="bottom"/>
            <w:hideMark/>
          </w:tcPr>
          <w:p w14:paraId="223A6BC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3645AFFF" w14:textId="77777777" w:rsidR="00000000" w:rsidRDefault="00097612">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14:paraId="2A7DA966"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14:paraId="31D866C7" w14:textId="77777777" w:rsidR="00000000" w:rsidRDefault="00097612">
            <w:pPr>
              <w:pStyle w:val="a3"/>
              <w:spacing w:before="0" w:beforeAutospacing="0" w:after="0" w:afterAutospacing="0"/>
              <w:jc w:val="right"/>
              <w:rPr>
                <w:sz w:val="16"/>
                <w:szCs w:val="16"/>
              </w:rPr>
            </w:pPr>
            <w:r>
              <w:rPr>
                <w:sz w:val="16"/>
                <w:szCs w:val="16"/>
              </w:rPr>
              <w:t>(59,433)</w:t>
            </w:r>
          </w:p>
        </w:tc>
        <w:tc>
          <w:tcPr>
            <w:tcW w:w="76" w:type="pct"/>
            <w:noWrap/>
            <w:tcMar>
              <w:top w:w="0" w:type="dxa"/>
              <w:left w:w="0" w:type="dxa"/>
              <w:bottom w:w="0" w:type="dxa"/>
              <w:right w:w="0" w:type="dxa"/>
            </w:tcMar>
            <w:vAlign w:val="bottom"/>
            <w:hideMark/>
          </w:tcPr>
          <w:p w14:paraId="55EBA706" w14:textId="77777777" w:rsidR="00000000" w:rsidRDefault="00097612">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14:paraId="4C737D00"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14:paraId="058F5174" w14:textId="77777777" w:rsidR="00000000" w:rsidRDefault="00097612">
            <w:pPr>
              <w:pStyle w:val="a3"/>
              <w:spacing w:before="0" w:beforeAutospacing="0" w:after="0" w:afterAutospacing="0"/>
              <w:jc w:val="right"/>
              <w:rPr>
                <w:sz w:val="16"/>
                <w:szCs w:val="16"/>
              </w:rPr>
            </w:pPr>
            <w:r>
              <w:rPr>
                <w:sz w:val="16"/>
                <w:szCs w:val="16"/>
              </w:rPr>
              <w:t>(59,433)</w:t>
            </w:r>
          </w:p>
        </w:tc>
      </w:tr>
      <w:tr w:rsidR="00000000" w14:paraId="0504A0C5" w14:textId="77777777">
        <w:trPr>
          <w:divId w:val="1429960337"/>
        </w:trPr>
        <w:tc>
          <w:tcPr>
            <w:tcW w:w="1847" w:type="pct"/>
            <w:shd w:val="clear" w:color="auto" w:fill="CCEEFF"/>
            <w:tcMar>
              <w:top w:w="0" w:type="dxa"/>
              <w:left w:w="0" w:type="dxa"/>
              <w:bottom w:w="0" w:type="dxa"/>
              <w:right w:w="0" w:type="dxa"/>
            </w:tcMar>
            <w:vAlign w:val="bottom"/>
            <w:hideMark/>
          </w:tcPr>
          <w:p w14:paraId="08B46B5E" w14:textId="77777777" w:rsidR="00000000" w:rsidRDefault="00097612">
            <w:pPr>
              <w:pStyle w:val="a3"/>
              <w:spacing w:before="0" w:beforeAutospacing="0" w:after="0" w:afterAutospacing="0"/>
              <w:rPr>
                <w:sz w:val="16"/>
                <w:szCs w:val="16"/>
              </w:rPr>
            </w:pPr>
            <w:r>
              <w:rPr>
                <w:sz w:val="16"/>
                <w:szCs w:val="16"/>
              </w:rPr>
              <w:t>Balances at September 30, 2018</w:t>
            </w:r>
          </w:p>
        </w:tc>
        <w:tc>
          <w:tcPr>
            <w:tcW w:w="76" w:type="pct"/>
            <w:shd w:val="clear" w:color="auto" w:fill="CCEEFF"/>
            <w:noWrap/>
            <w:tcMar>
              <w:top w:w="0" w:type="dxa"/>
              <w:left w:w="0" w:type="dxa"/>
              <w:bottom w:w="0" w:type="dxa"/>
              <w:right w:w="0" w:type="dxa"/>
            </w:tcMar>
            <w:vAlign w:val="bottom"/>
            <w:hideMark/>
          </w:tcPr>
          <w:p w14:paraId="0C879958" w14:textId="77777777" w:rsidR="00000000" w:rsidRDefault="00097612">
            <w:pPr>
              <w:pStyle w:val="a3"/>
              <w:spacing w:before="0" w:beforeAutospacing="0" w:after="0" w:afterAutospacing="0"/>
              <w:rPr>
                <w:sz w:val="20"/>
                <w:szCs w:val="20"/>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14:paraId="49126E2E" w14:textId="77777777" w:rsidR="00000000" w:rsidRDefault="00097612">
            <w:pPr>
              <w:pStyle w:val="a3"/>
              <w:spacing w:before="0" w:beforeAutospacing="0" w:after="0" w:afterAutospacing="0"/>
              <w:ind w:right="60"/>
              <w:jc w:val="right"/>
              <w:rPr>
                <w:sz w:val="16"/>
                <w:szCs w:val="16"/>
              </w:rPr>
            </w:pPr>
            <w:r>
              <w:rPr>
                <w:sz w:val="16"/>
                <w:szCs w:val="16"/>
              </w:rPr>
              <w:t>55,410</w:t>
            </w:r>
          </w:p>
        </w:tc>
        <w:tc>
          <w:tcPr>
            <w:tcW w:w="76" w:type="pct"/>
            <w:shd w:val="clear" w:color="auto" w:fill="CCEEFF"/>
            <w:noWrap/>
            <w:tcMar>
              <w:top w:w="0" w:type="dxa"/>
              <w:left w:w="0" w:type="dxa"/>
              <w:bottom w:w="0" w:type="dxa"/>
              <w:right w:w="0" w:type="dxa"/>
            </w:tcMar>
            <w:vAlign w:val="bottom"/>
            <w:hideMark/>
          </w:tcPr>
          <w:p w14:paraId="6319B0CD"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6BA09D5C" w14:textId="77777777" w:rsidR="00000000" w:rsidRDefault="00097612">
            <w:pPr>
              <w:pStyle w:val="a3"/>
              <w:spacing w:before="0" w:beforeAutospacing="0" w:after="0" w:afterAutospacing="0"/>
              <w:jc w:val="center"/>
              <w:rPr>
                <w:sz w:val="16"/>
                <w:szCs w:val="16"/>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14:paraId="0BC1BA0D" w14:textId="77777777" w:rsidR="00000000" w:rsidRDefault="00097612">
            <w:pPr>
              <w:pStyle w:val="a3"/>
              <w:spacing w:before="0" w:beforeAutospacing="0" w:after="0" w:afterAutospacing="0"/>
              <w:ind w:right="60"/>
              <w:jc w:val="right"/>
              <w:rPr>
                <w:sz w:val="16"/>
                <w:szCs w:val="16"/>
              </w:rPr>
            </w:pPr>
            <w:r>
              <w:rPr>
                <w:sz w:val="16"/>
                <w:szCs w:val="16"/>
              </w:rPr>
              <w:t>1</w:t>
            </w:r>
          </w:p>
        </w:tc>
        <w:tc>
          <w:tcPr>
            <w:tcW w:w="76" w:type="pct"/>
            <w:shd w:val="clear" w:color="auto" w:fill="CCEEFF"/>
            <w:noWrap/>
            <w:tcMar>
              <w:top w:w="0" w:type="dxa"/>
              <w:left w:w="0" w:type="dxa"/>
              <w:bottom w:w="0" w:type="dxa"/>
              <w:right w:w="0" w:type="dxa"/>
            </w:tcMar>
            <w:vAlign w:val="bottom"/>
            <w:hideMark/>
          </w:tcPr>
          <w:p w14:paraId="220B404B"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24AE403C" w14:textId="77777777" w:rsidR="00000000" w:rsidRDefault="00097612">
            <w:pPr>
              <w:pStyle w:val="a3"/>
              <w:spacing w:before="0" w:beforeAutospacing="0" w:after="0" w:afterAutospacing="0"/>
              <w:jc w:val="center"/>
              <w:rPr>
                <w:sz w:val="16"/>
                <w:szCs w:val="16"/>
              </w:rPr>
            </w:pPr>
            <w:r>
              <w:rPr>
                <w:sz w:val="16"/>
                <w:szCs w:val="16"/>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14:paraId="4BE3001C" w14:textId="77777777" w:rsidR="00000000" w:rsidRDefault="00097612">
            <w:pPr>
              <w:pStyle w:val="a3"/>
              <w:spacing w:before="0" w:beforeAutospacing="0" w:after="0" w:afterAutospacing="0"/>
              <w:ind w:right="60"/>
              <w:jc w:val="right"/>
              <w:rPr>
                <w:sz w:val="16"/>
                <w:szCs w:val="16"/>
              </w:rPr>
            </w:pPr>
            <w:r>
              <w:rPr>
                <w:sz w:val="16"/>
                <w:szCs w:val="16"/>
              </w:rPr>
              <w:t>948,844</w:t>
            </w:r>
          </w:p>
        </w:tc>
        <w:tc>
          <w:tcPr>
            <w:tcW w:w="76" w:type="pct"/>
            <w:shd w:val="clear" w:color="auto" w:fill="CCEEFF"/>
            <w:noWrap/>
            <w:tcMar>
              <w:top w:w="0" w:type="dxa"/>
              <w:left w:w="0" w:type="dxa"/>
              <w:bottom w:w="0" w:type="dxa"/>
              <w:right w:w="0" w:type="dxa"/>
            </w:tcMar>
            <w:vAlign w:val="bottom"/>
            <w:hideMark/>
          </w:tcPr>
          <w:p w14:paraId="5E88027E" w14:textId="77777777" w:rsidR="00000000" w:rsidRDefault="00097612">
            <w:pPr>
              <w:pStyle w:val="a3"/>
              <w:spacing w:before="0" w:beforeAutospacing="0" w:after="0" w:afterAutospacing="0"/>
              <w:rPr>
                <w:sz w:val="20"/>
                <w:szCs w:val="20"/>
              </w:rPr>
            </w:pPr>
            <w:r>
              <w:rPr>
                <w:sz w:val="16"/>
                <w:szCs w:val="16"/>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14:paraId="22D49130" w14:textId="77777777" w:rsidR="00000000" w:rsidRDefault="00097612">
            <w:pPr>
              <w:pStyle w:val="a3"/>
              <w:spacing w:before="0" w:beforeAutospacing="0" w:after="0" w:afterAutospacing="0"/>
              <w:jc w:val="center"/>
              <w:rPr>
                <w:sz w:val="16"/>
                <w:szCs w:val="16"/>
              </w:rPr>
            </w:pPr>
            <w:r>
              <w:rPr>
                <w:sz w:val="16"/>
                <w:szCs w:val="16"/>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14:paraId="4FD2AA1D" w14:textId="77777777" w:rsidR="00000000" w:rsidRDefault="00097612">
            <w:pPr>
              <w:pStyle w:val="a3"/>
              <w:spacing w:before="0" w:beforeAutospacing="0" w:after="0" w:afterAutospacing="0"/>
              <w:jc w:val="right"/>
              <w:rPr>
                <w:sz w:val="16"/>
                <w:szCs w:val="16"/>
              </w:rPr>
            </w:pPr>
            <w:r>
              <w:rPr>
                <w:sz w:val="16"/>
                <w:szCs w:val="16"/>
              </w:rPr>
              <w:t>(331)</w:t>
            </w:r>
          </w:p>
        </w:tc>
        <w:tc>
          <w:tcPr>
            <w:tcW w:w="76" w:type="pct"/>
            <w:shd w:val="clear" w:color="auto" w:fill="CCEEFF"/>
            <w:noWrap/>
            <w:tcMar>
              <w:top w:w="0" w:type="dxa"/>
              <w:left w:w="0" w:type="dxa"/>
              <w:bottom w:w="0" w:type="dxa"/>
              <w:right w:w="0" w:type="dxa"/>
            </w:tcMar>
            <w:vAlign w:val="bottom"/>
            <w:hideMark/>
          </w:tcPr>
          <w:p w14:paraId="5FD505E8" w14:textId="77777777" w:rsidR="00000000" w:rsidRDefault="00097612">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14:paraId="0A507A4A" w14:textId="77777777" w:rsidR="00000000" w:rsidRDefault="00097612">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14:paraId="4C7016AA" w14:textId="77777777" w:rsidR="00000000" w:rsidRDefault="00097612">
            <w:pPr>
              <w:pStyle w:val="a3"/>
              <w:spacing w:before="0" w:beforeAutospacing="0" w:after="0" w:afterAutospacing="0"/>
              <w:jc w:val="right"/>
              <w:rPr>
                <w:sz w:val="16"/>
                <w:szCs w:val="16"/>
              </w:rPr>
            </w:pPr>
            <w:r>
              <w:rPr>
                <w:sz w:val="16"/>
                <w:szCs w:val="16"/>
              </w:rPr>
              <w:t>(961,959)</w:t>
            </w:r>
          </w:p>
        </w:tc>
        <w:tc>
          <w:tcPr>
            <w:tcW w:w="76" w:type="pct"/>
            <w:shd w:val="clear" w:color="auto" w:fill="CCEEFF"/>
            <w:noWrap/>
            <w:tcMar>
              <w:top w:w="0" w:type="dxa"/>
              <w:left w:w="0" w:type="dxa"/>
              <w:bottom w:w="0" w:type="dxa"/>
              <w:right w:w="0" w:type="dxa"/>
            </w:tcMar>
            <w:vAlign w:val="bottom"/>
            <w:hideMark/>
          </w:tcPr>
          <w:p w14:paraId="032250ED" w14:textId="77777777" w:rsidR="00000000" w:rsidRDefault="00097612">
            <w:pPr>
              <w:pStyle w:val="a3"/>
              <w:spacing w:before="0" w:beforeAutospacing="0" w:after="0" w:afterAutospacing="0"/>
              <w:rPr>
                <w:sz w:val="20"/>
                <w:szCs w:val="20"/>
              </w:rPr>
            </w:pPr>
            <w:r>
              <w:rPr>
                <w:sz w:val="16"/>
                <w:szCs w:val="16"/>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14:paraId="56874D6B" w14:textId="77777777" w:rsidR="00000000" w:rsidRDefault="00097612">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14:paraId="1FB1D9FE" w14:textId="77777777" w:rsidR="00000000" w:rsidRDefault="00097612">
            <w:pPr>
              <w:pStyle w:val="a3"/>
              <w:spacing w:before="0" w:beforeAutospacing="0" w:after="0" w:afterAutospacing="0"/>
              <w:jc w:val="right"/>
              <w:rPr>
                <w:sz w:val="16"/>
                <w:szCs w:val="16"/>
              </w:rPr>
            </w:pPr>
            <w:r>
              <w:rPr>
                <w:sz w:val="16"/>
                <w:szCs w:val="16"/>
              </w:rPr>
              <w:t>(13,445)</w:t>
            </w:r>
          </w:p>
        </w:tc>
      </w:tr>
      <w:tr w:rsidR="00000000" w14:paraId="10B40B93" w14:textId="77777777">
        <w:trPr>
          <w:divId w:val="1429960337"/>
        </w:trPr>
        <w:tc>
          <w:tcPr>
            <w:tcW w:w="1847" w:type="pct"/>
            <w:tcMar>
              <w:top w:w="0" w:type="dxa"/>
              <w:left w:w="0" w:type="dxa"/>
              <w:bottom w:w="0" w:type="dxa"/>
              <w:right w:w="0" w:type="dxa"/>
            </w:tcMar>
            <w:vAlign w:val="bottom"/>
            <w:hideMark/>
          </w:tcPr>
          <w:p w14:paraId="1D986196"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9E47DEC" w14:textId="77777777" w:rsidR="00000000" w:rsidRDefault="00097612">
            <w:pPr>
              <w:pStyle w:val="a3"/>
              <w:spacing w:before="0" w:beforeAutospacing="0" w:after="0" w:afterAutospacing="0"/>
              <w:rPr>
                <w:sz w:val="20"/>
                <w:szCs w:val="20"/>
              </w:rPr>
            </w:pPr>
            <w:r>
              <w:rPr>
                <w:sz w:val="16"/>
                <w:szCs w:val="16"/>
              </w:rPr>
              <w:t>​</w:t>
            </w:r>
          </w:p>
        </w:tc>
        <w:tc>
          <w:tcPr>
            <w:tcW w:w="342" w:type="pct"/>
            <w:noWrap/>
            <w:tcMar>
              <w:top w:w="0" w:type="dxa"/>
              <w:left w:w="0" w:type="dxa"/>
              <w:bottom w:w="0" w:type="dxa"/>
              <w:right w:w="0" w:type="dxa"/>
            </w:tcMar>
            <w:vAlign w:val="bottom"/>
            <w:hideMark/>
          </w:tcPr>
          <w:p w14:paraId="4DBFBD0C"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4FC44801"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80B359E" w14:textId="77777777" w:rsidR="00000000" w:rsidRDefault="00097612">
            <w:pPr>
              <w:pStyle w:val="a3"/>
              <w:spacing w:before="0" w:beforeAutospacing="0" w:after="0" w:afterAutospacing="0"/>
              <w:jc w:val="center"/>
              <w:rPr>
                <w:sz w:val="20"/>
                <w:szCs w:val="20"/>
              </w:rPr>
            </w:pPr>
            <w:r>
              <w:rPr>
                <w:sz w:val="16"/>
                <w:szCs w:val="16"/>
              </w:rPr>
              <w:t>​</w:t>
            </w:r>
          </w:p>
        </w:tc>
        <w:tc>
          <w:tcPr>
            <w:tcW w:w="342" w:type="pct"/>
            <w:noWrap/>
            <w:tcMar>
              <w:top w:w="0" w:type="dxa"/>
              <w:left w:w="0" w:type="dxa"/>
              <w:bottom w:w="0" w:type="dxa"/>
              <w:right w:w="0" w:type="dxa"/>
            </w:tcMar>
            <w:vAlign w:val="bottom"/>
            <w:hideMark/>
          </w:tcPr>
          <w:p w14:paraId="2114AD6A"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314D8C22"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705B8EA"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0193A435"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180F2567"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181A90FA" w14:textId="77777777" w:rsidR="00000000" w:rsidRDefault="00097612">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14:paraId="4E387A68"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67BCD716"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52944D58"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1E680775" w14:textId="77777777" w:rsidR="00000000" w:rsidRDefault="00097612">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17F2C8DB"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5810399F"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017F6E38" w14:textId="77777777" w:rsidR="00000000" w:rsidRDefault="00097612">
            <w:pPr>
              <w:pStyle w:val="a3"/>
              <w:spacing w:before="0" w:beforeAutospacing="0" w:after="0" w:afterAutospacing="0"/>
              <w:jc w:val="right"/>
              <w:rPr>
                <w:sz w:val="20"/>
                <w:szCs w:val="20"/>
              </w:rPr>
            </w:pPr>
            <w:r>
              <w:rPr>
                <w:sz w:val="16"/>
                <w:szCs w:val="16"/>
              </w:rPr>
              <w:t>​</w:t>
            </w:r>
          </w:p>
        </w:tc>
      </w:tr>
      <w:tr w:rsidR="00000000" w14:paraId="1EF5D50F" w14:textId="77777777">
        <w:trPr>
          <w:divId w:val="1429960337"/>
        </w:trPr>
        <w:tc>
          <w:tcPr>
            <w:tcW w:w="1847" w:type="pct"/>
            <w:noWrap/>
            <w:tcMar>
              <w:top w:w="0" w:type="dxa"/>
              <w:left w:w="0" w:type="dxa"/>
              <w:bottom w:w="0" w:type="dxa"/>
              <w:right w:w="0" w:type="dxa"/>
            </w:tcMar>
            <w:vAlign w:val="bottom"/>
            <w:hideMark/>
          </w:tcPr>
          <w:p w14:paraId="662CC6D7"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ED51389" w14:textId="77777777" w:rsidR="00000000" w:rsidRDefault="00097612">
            <w:pPr>
              <w:pStyle w:val="a3"/>
              <w:spacing w:before="0" w:beforeAutospacing="0" w:after="0" w:afterAutospacing="0"/>
              <w:rPr>
                <w:sz w:val="20"/>
                <w:szCs w:val="20"/>
              </w:rPr>
            </w:pPr>
            <w:r>
              <w:rPr>
                <w:sz w:val="16"/>
                <w:szCs w:val="16"/>
              </w:rPr>
              <w:t>​</w:t>
            </w:r>
          </w:p>
        </w:tc>
        <w:tc>
          <w:tcPr>
            <w:tcW w:w="342" w:type="pct"/>
            <w:noWrap/>
            <w:tcMar>
              <w:top w:w="0" w:type="dxa"/>
              <w:left w:w="0" w:type="dxa"/>
              <w:bottom w:w="0" w:type="dxa"/>
              <w:right w:w="0" w:type="dxa"/>
            </w:tcMar>
            <w:vAlign w:val="bottom"/>
            <w:hideMark/>
          </w:tcPr>
          <w:p w14:paraId="2F5B66CE"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6083C639"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A586D4C" w14:textId="77777777" w:rsidR="00000000" w:rsidRDefault="00097612">
            <w:pPr>
              <w:pStyle w:val="a3"/>
              <w:spacing w:before="0" w:beforeAutospacing="0" w:after="0" w:afterAutospacing="0"/>
              <w:jc w:val="center"/>
              <w:rPr>
                <w:sz w:val="20"/>
                <w:szCs w:val="20"/>
              </w:rPr>
            </w:pPr>
            <w:r>
              <w:rPr>
                <w:sz w:val="16"/>
                <w:szCs w:val="16"/>
              </w:rPr>
              <w:t>​</w:t>
            </w:r>
          </w:p>
        </w:tc>
        <w:tc>
          <w:tcPr>
            <w:tcW w:w="342" w:type="pct"/>
            <w:noWrap/>
            <w:tcMar>
              <w:top w:w="0" w:type="dxa"/>
              <w:left w:w="0" w:type="dxa"/>
              <w:bottom w:w="0" w:type="dxa"/>
              <w:right w:w="0" w:type="dxa"/>
            </w:tcMar>
            <w:vAlign w:val="bottom"/>
            <w:hideMark/>
          </w:tcPr>
          <w:p w14:paraId="6D65C85C"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4C463C2"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D3410E0"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41781D8B"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81231DE"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2D0FD95B" w14:textId="77777777" w:rsidR="00000000" w:rsidRDefault="00097612">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14:paraId="54124B61"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CE2A17A"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7D59ABF8"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74274373"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1538472"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1C0CD206"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32E1E408" w14:textId="77777777" w:rsidR="00000000" w:rsidRDefault="00097612">
            <w:pPr>
              <w:pStyle w:val="a3"/>
              <w:spacing w:before="0" w:beforeAutospacing="0" w:after="0" w:afterAutospacing="0"/>
              <w:rPr>
                <w:sz w:val="20"/>
                <w:szCs w:val="20"/>
              </w:rPr>
            </w:pPr>
            <w:r>
              <w:rPr>
                <w:sz w:val="16"/>
                <w:szCs w:val="16"/>
              </w:rPr>
              <w:t>​</w:t>
            </w:r>
          </w:p>
        </w:tc>
      </w:tr>
      <w:tr w:rsidR="00000000" w14:paraId="079C2F96" w14:textId="77777777">
        <w:trPr>
          <w:divId w:val="1429960337"/>
        </w:trPr>
        <w:tc>
          <w:tcPr>
            <w:tcW w:w="1847" w:type="pct"/>
            <w:noWrap/>
            <w:tcMar>
              <w:top w:w="0" w:type="dxa"/>
              <w:left w:w="0" w:type="dxa"/>
              <w:bottom w:w="0" w:type="dxa"/>
              <w:right w:w="0" w:type="dxa"/>
            </w:tcMar>
            <w:vAlign w:val="bottom"/>
            <w:hideMark/>
          </w:tcPr>
          <w:p w14:paraId="57FB653B" w14:textId="77777777" w:rsidR="00000000" w:rsidRDefault="00097612">
            <w:pPr>
              <w:pStyle w:val="a3"/>
              <w:spacing w:before="0" w:beforeAutospacing="0" w:after="0" w:afterAutospacing="0"/>
              <w:rPr>
                <w:sz w:val="20"/>
                <w:szCs w:val="20"/>
              </w:rPr>
            </w:pPr>
            <w:r>
              <w:rPr>
                <w:b/>
                <w:bCs/>
                <w:color w:val="0563C1"/>
                <w:sz w:val="16"/>
                <w:szCs w:val="16"/>
                <w:u w:val="single"/>
              </w:rPr>
              <w:t>​</w:t>
            </w:r>
          </w:p>
        </w:tc>
        <w:tc>
          <w:tcPr>
            <w:tcW w:w="76" w:type="pct"/>
            <w:noWrap/>
            <w:tcMar>
              <w:top w:w="0" w:type="dxa"/>
              <w:left w:w="0" w:type="dxa"/>
              <w:bottom w:w="0" w:type="dxa"/>
              <w:right w:w="0" w:type="dxa"/>
            </w:tcMar>
            <w:vAlign w:val="bottom"/>
            <w:hideMark/>
          </w:tcPr>
          <w:p w14:paraId="62677EE5" w14:textId="77777777" w:rsidR="00000000" w:rsidRDefault="00097612">
            <w:pPr>
              <w:pStyle w:val="a3"/>
              <w:spacing w:before="0" w:beforeAutospacing="0" w:after="0" w:afterAutospacing="0"/>
              <w:rPr>
                <w:sz w:val="20"/>
                <w:szCs w:val="20"/>
              </w:rPr>
            </w:pPr>
            <w:r>
              <w:rPr>
                <w:sz w:val="16"/>
                <w:szCs w:val="16"/>
              </w:rPr>
              <w:t>​</w:t>
            </w:r>
          </w:p>
        </w:tc>
        <w:tc>
          <w:tcPr>
            <w:tcW w:w="342" w:type="pct"/>
            <w:noWrap/>
            <w:tcMar>
              <w:top w:w="0" w:type="dxa"/>
              <w:left w:w="0" w:type="dxa"/>
              <w:bottom w:w="0" w:type="dxa"/>
              <w:right w:w="0" w:type="dxa"/>
            </w:tcMar>
            <w:vAlign w:val="bottom"/>
            <w:hideMark/>
          </w:tcPr>
          <w:p w14:paraId="377BF7B3"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9DA6612"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A8A846D" w14:textId="77777777" w:rsidR="00000000" w:rsidRDefault="00097612">
            <w:pPr>
              <w:pStyle w:val="a3"/>
              <w:spacing w:before="0" w:beforeAutospacing="0" w:after="0" w:afterAutospacing="0"/>
              <w:jc w:val="center"/>
              <w:rPr>
                <w:sz w:val="20"/>
                <w:szCs w:val="20"/>
              </w:rPr>
            </w:pPr>
            <w:r>
              <w:rPr>
                <w:sz w:val="16"/>
                <w:szCs w:val="16"/>
              </w:rPr>
              <w:t>​</w:t>
            </w:r>
          </w:p>
        </w:tc>
        <w:tc>
          <w:tcPr>
            <w:tcW w:w="342" w:type="pct"/>
            <w:noWrap/>
            <w:tcMar>
              <w:top w:w="0" w:type="dxa"/>
              <w:left w:w="0" w:type="dxa"/>
              <w:bottom w:w="0" w:type="dxa"/>
              <w:right w:w="0" w:type="dxa"/>
            </w:tcMar>
            <w:vAlign w:val="bottom"/>
            <w:hideMark/>
          </w:tcPr>
          <w:p w14:paraId="6F0712CD"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D692E11"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7193C16"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2E22DFDA"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AF26918" w14:textId="77777777" w:rsidR="00000000" w:rsidRDefault="00097612">
            <w:pPr>
              <w:pStyle w:val="a3"/>
              <w:spacing w:before="0" w:beforeAutospacing="0" w:after="0" w:afterAutospacing="0"/>
              <w:rPr>
                <w:sz w:val="20"/>
                <w:szCs w:val="20"/>
              </w:rPr>
            </w:pPr>
            <w:r>
              <w:rPr>
                <w:sz w:val="16"/>
                <w:szCs w:val="16"/>
              </w:rPr>
              <w:t>​</w:t>
            </w:r>
          </w:p>
        </w:tc>
        <w:tc>
          <w:tcPr>
            <w:tcW w:w="530" w:type="pct"/>
            <w:gridSpan w:val="2"/>
            <w:noWrap/>
            <w:tcMar>
              <w:top w:w="0" w:type="dxa"/>
              <w:left w:w="0" w:type="dxa"/>
              <w:bottom w:w="0" w:type="dxa"/>
              <w:right w:w="0" w:type="dxa"/>
            </w:tcMar>
            <w:vAlign w:val="bottom"/>
            <w:hideMark/>
          </w:tcPr>
          <w:p w14:paraId="10B6685B" w14:textId="77777777" w:rsidR="00000000" w:rsidRDefault="00097612">
            <w:pPr>
              <w:pStyle w:val="a3"/>
              <w:spacing w:before="0" w:beforeAutospacing="0" w:after="0" w:afterAutospacing="0"/>
              <w:jc w:val="center"/>
              <w:rPr>
                <w:sz w:val="16"/>
                <w:szCs w:val="16"/>
              </w:rPr>
            </w:pPr>
            <w:r>
              <w:rPr>
                <w:b/>
                <w:bCs/>
                <w:sz w:val="16"/>
                <w:szCs w:val="16"/>
              </w:rPr>
              <w:t>Accumulated</w:t>
            </w:r>
          </w:p>
        </w:tc>
        <w:tc>
          <w:tcPr>
            <w:tcW w:w="76" w:type="pct"/>
            <w:tcMar>
              <w:top w:w="0" w:type="dxa"/>
              <w:left w:w="0" w:type="dxa"/>
              <w:bottom w:w="0" w:type="dxa"/>
              <w:right w:w="0" w:type="dxa"/>
            </w:tcMar>
            <w:vAlign w:val="bottom"/>
            <w:hideMark/>
          </w:tcPr>
          <w:p w14:paraId="40CE2C19" w14:textId="77777777" w:rsidR="00000000" w:rsidRDefault="00097612">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407E8809"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513589A6"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DEE90FB"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143CA156"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750623E6" w14:textId="77777777" w:rsidR="00000000" w:rsidRDefault="00097612">
            <w:pPr>
              <w:pStyle w:val="a3"/>
              <w:spacing w:before="0" w:beforeAutospacing="0" w:after="0" w:afterAutospacing="0"/>
              <w:rPr>
                <w:sz w:val="20"/>
                <w:szCs w:val="20"/>
              </w:rPr>
            </w:pPr>
            <w:r>
              <w:rPr>
                <w:sz w:val="16"/>
                <w:szCs w:val="16"/>
              </w:rPr>
              <w:t>​</w:t>
            </w:r>
          </w:p>
        </w:tc>
      </w:tr>
      <w:tr w:rsidR="00000000" w14:paraId="39B1C29E" w14:textId="77777777">
        <w:trPr>
          <w:divId w:val="1429960337"/>
        </w:trPr>
        <w:tc>
          <w:tcPr>
            <w:tcW w:w="1847" w:type="pct"/>
            <w:tcMar>
              <w:top w:w="0" w:type="dxa"/>
              <w:left w:w="0" w:type="dxa"/>
              <w:bottom w:w="0" w:type="dxa"/>
              <w:right w:w="0" w:type="dxa"/>
            </w:tcMar>
            <w:vAlign w:val="bottom"/>
            <w:hideMark/>
          </w:tcPr>
          <w:p w14:paraId="0DDA38E1"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07C4C9BD" w14:textId="77777777" w:rsidR="00000000" w:rsidRDefault="00097612">
            <w:pPr>
              <w:pStyle w:val="a3"/>
              <w:spacing w:before="0" w:beforeAutospacing="0" w:after="0" w:afterAutospacing="0"/>
              <w:rPr>
                <w:sz w:val="20"/>
                <w:szCs w:val="20"/>
              </w:rPr>
            </w:pPr>
            <w:r>
              <w:rPr>
                <w:b/>
                <w:bCs/>
                <w:sz w:val="16"/>
                <w:szCs w:val="16"/>
              </w:rPr>
              <w:t>​</w:t>
            </w:r>
          </w:p>
        </w:tc>
        <w:tc>
          <w:tcPr>
            <w:tcW w:w="342" w:type="pct"/>
            <w:tcMar>
              <w:top w:w="0" w:type="dxa"/>
              <w:left w:w="0" w:type="dxa"/>
              <w:bottom w:w="0" w:type="dxa"/>
              <w:right w:w="0" w:type="dxa"/>
            </w:tcMar>
            <w:vAlign w:val="bottom"/>
            <w:hideMark/>
          </w:tcPr>
          <w:p w14:paraId="237BFB67"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66686A8B"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4ECC4551" w14:textId="77777777" w:rsidR="00000000" w:rsidRDefault="00097612">
            <w:pPr>
              <w:pStyle w:val="a3"/>
              <w:spacing w:before="0" w:beforeAutospacing="0" w:after="0" w:afterAutospacing="0"/>
              <w:jc w:val="center"/>
              <w:rPr>
                <w:sz w:val="20"/>
                <w:szCs w:val="20"/>
              </w:rPr>
            </w:pPr>
            <w:r>
              <w:rPr>
                <w:b/>
                <w:bCs/>
                <w:sz w:val="16"/>
                <w:szCs w:val="16"/>
              </w:rPr>
              <w:t>​</w:t>
            </w:r>
          </w:p>
        </w:tc>
        <w:tc>
          <w:tcPr>
            <w:tcW w:w="342" w:type="pct"/>
            <w:tcMar>
              <w:top w:w="0" w:type="dxa"/>
              <w:left w:w="0" w:type="dxa"/>
              <w:bottom w:w="0" w:type="dxa"/>
              <w:right w:w="0" w:type="dxa"/>
            </w:tcMar>
            <w:vAlign w:val="bottom"/>
            <w:hideMark/>
          </w:tcPr>
          <w:p w14:paraId="0D8C00B5"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4F03CFC8" w14:textId="77777777" w:rsidR="00000000" w:rsidRDefault="00097612">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14:paraId="6047160E" w14:textId="77777777" w:rsidR="00000000" w:rsidRDefault="00097612">
            <w:pPr>
              <w:pStyle w:val="a3"/>
              <w:spacing w:before="0" w:beforeAutospacing="0" w:after="0" w:afterAutospacing="0"/>
              <w:jc w:val="center"/>
              <w:rPr>
                <w:sz w:val="16"/>
                <w:szCs w:val="16"/>
              </w:rPr>
            </w:pPr>
            <w:r>
              <w:rPr>
                <w:b/>
                <w:bCs/>
                <w:sz w:val="16"/>
                <w:szCs w:val="16"/>
              </w:rPr>
              <w:t>Additional</w:t>
            </w:r>
          </w:p>
        </w:tc>
        <w:tc>
          <w:tcPr>
            <w:tcW w:w="76" w:type="pct"/>
            <w:tcMar>
              <w:top w:w="0" w:type="dxa"/>
              <w:left w:w="0" w:type="dxa"/>
              <w:bottom w:w="0" w:type="dxa"/>
              <w:right w:w="0" w:type="dxa"/>
            </w:tcMar>
            <w:vAlign w:val="bottom"/>
            <w:hideMark/>
          </w:tcPr>
          <w:p w14:paraId="2225EE3B" w14:textId="77777777" w:rsidR="00000000" w:rsidRDefault="00097612">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14:paraId="24310A6D" w14:textId="77777777" w:rsidR="00000000" w:rsidRDefault="00097612">
            <w:pPr>
              <w:pStyle w:val="a3"/>
              <w:spacing w:before="0" w:beforeAutospacing="0" w:after="0" w:afterAutospacing="0"/>
              <w:jc w:val="center"/>
              <w:rPr>
                <w:sz w:val="16"/>
                <w:szCs w:val="16"/>
              </w:rPr>
            </w:pPr>
            <w:r>
              <w:rPr>
                <w:b/>
                <w:bCs/>
                <w:sz w:val="16"/>
                <w:szCs w:val="16"/>
              </w:rPr>
              <w:t>Other</w:t>
            </w:r>
          </w:p>
        </w:tc>
        <w:tc>
          <w:tcPr>
            <w:tcW w:w="76" w:type="pct"/>
            <w:tcMar>
              <w:top w:w="0" w:type="dxa"/>
              <w:left w:w="0" w:type="dxa"/>
              <w:bottom w:w="0" w:type="dxa"/>
              <w:right w:w="0" w:type="dxa"/>
            </w:tcMar>
            <w:vAlign w:val="bottom"/>
            <w:hideMark/>
          </w:tcPr>
          <w:p w14:paraId="0869CBE5" w14:textId="77777777" w:rsidR="00000000" w:rsidRDefault="00097612">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14:paraId="5DBFD0EE" w14:textId="77777777" w:rsidR="00000000" w:rsidRDefault="00097612">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14:paraId="22BF11E8"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171EA3C9" w14:textId="77777777" w:rsidR="00000000" w:rsidRDefault="00097612">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0D7E19D5" w14:textId="77777777" w:rsidR="00000000" w:rsidRDefault="00097612">
            <w:pPr>
              <w:pStyle w:val="a3"/>
              <w:spacing w:before="0" w:beforeAutospacing="0" w:after="0" w:afterAutospacing="0"/>
              <w:jc w:val="center"/>
              <w:rPr>
                <w:sz w:val="16"/>
                <w:szCs w:val="16"/>
              </w:rPr>
            </w:pPr>
            <w:r>
              <w:rPr>
                <w:b/>
                <w:bCs/>
                <w:sz w:val="16"/>
                <w:szCs w:val="16"/>
              </w:rPr>
              <w:t>Total</w:t>
            </w:r>
          </w:p>
        </w:tc>
      </w:tr>
      <w:tr w:rsidR="00000000" w14:paraId="64BDE79D" w14:textId="77777777">
        <w:trPr>
          <w:divId w:val="1429960337"/>
        </w:trPr>
        <w:tc>
          <w:tcPr>
            <w:tcW w:w="1847" w:type="pct"/>
            <w:tcMar>
              <w:top w:w="0" w:type="dxa"/>
              <w:left w:w="0" w:type="dxa"/>
              <w:bottom w:w="0" w:type="dxa"/>
              <w:right w:w="0" w:type="dxa"/>
            </w:tcMar>
            <w:vAlign w:val="bottom"/>
            <w:hideMark/>
          </w:tcPr>
          <w:p w14:paraId="7383F0C0"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27B7EF49" w14:textId="77777777" w:rsidR="00000000" w:rsidRDefault="00097612">
            <w:pPr>
              <w:pStyle w:val="a3"/>
              <w:spacing w:before="0" w:beforeAutospacing="0" w:after="0" w:afterAutospacing="0"/>
              <w:rPr>
                <w:sz w:val="20"/>
                <w:szCs w:val="20"/>
              </w:rPr>
            </w:pPr>
            <w:r>
              <w:rPr>
                <w:b/>
                <w:bCs/>
                <w:sz w:val="16"/>
                <w:szCs w:val="16"/>
              </w:rPr>
              <w:t>​</w:t>
            </w:r>
          </w:p>
        </w:tc>
        <w:tc>
          <w:tcPr>
            <w:tcW w:w="839" w:type="pct"/>
            <w:gridSpan w:val="4"/>
            <w:tcBorders>
              <w:bottom w:val="single" w:sz="6" w:space="0" w:color="000000"/>
            </w:tcBorders>
            <w:noWrap/>
            <w:tcMar>
              <w:top w:w="0" w:type="dxa"/>
              <w:left w:w="0" w:type="dxa"/>
              <w:bottom w:w="0" w:type="dxa"/>
              <w:right w:w="0" w:type="dxa"/>
            </w:tcMar>
            <w:vAlign w:val="bottom"/>
            <w:hideMark/>
          </w:tcPr>
          <w:p w14:paraId="56638EF9" w14:textId="77777777" w:rsidR="00000000" w:rsidRDefault="00097612">
            <w:pPr>
              <w:pStyle w:val="a3"/>
              <w:spacing w:before="0" w:beforeAutospacing="0" w:after="0" w:afterAutospacing="0"/>
              <w:jc w:val="center"/>
              <w:rPr>
                <w:sz w:val="16"/>
                <w:szCs w:val="16"/>
              </w:rPr>
            </w:pPr>
            <w:r>
              <w:rPr>
                <w:b/>
                <w:bCs/>
                <w:sz w:val="16"/>
                <w:szCs w:val="16"/>
              </w:rPr>
              <w:t>Ordinary Shares</w:t>
            </w:r>
          </w:p>
        </w:tc>
        <w:tc>
          <w:tcPr>
            <w:tcW w:w="76" w:type="pct"/>
            <w:tcMar>
              <w:top w:w="0" w:type="dxa"/>
              <w:left w:w="0" w:type="dxa"/>
              <w:bottom w:w="0" w:type="dxa"/>
              <w:right w:w="0" w:type="dxa"/>
            </w:tcMar>
            <w:vAlign w:val="bottom"/>
            <w:hideMark/>
          </w:tcPr>
          <w:p w14:paraId="4470BCED" w14:textId="77777777" w:rsidR="00000000" w:rsidRDefault="00097612">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14:paraId="340C9B1A" w14:textId="77777777" w:rsidR="00000000" w:rsidRDefault="00097612">
            <w:pPr>
              <w:pStyle w:val="a3"/>
              <w:spacing w:before="0" w:beforeAutospacing="0" w:after="0" w:afterAutospacing="0"/>
              <w:jc w:val="center"/>
              <w:rPr>
                <w:sz w:val="16"/>
                <w:szCs w:val="16"/>
              </w:rPr>
            </w:pPr>
            <w:r>
              <w:rPr>
                <w:b/>
                <w:bCs/>
                <w:sz w:val="16"/>
                <w:szCs w:val="16"/>
              </w:rPr>
              <w:t>Paid-In</w:t>
            </w:r>
          </w:p>
        </w:tc>
        <w:tc>
          <w:tcPr>
            <w:tcW w:w="76" w:type="pct"/>
            <w:tcMar>
              <w:top w:w="0" w:type="dxa"/>
              <w:left w:w="0" w:type="dxa"/>
              <w:bottom w:w="0" w:type="dxa"/>
              <w:right w:w="0" w:type="dxa"/>
            </w:tcMar>
            <w:vAlign w:val="bottom"/>
            <w:hideMark/>
          </w:tcPr>
          <w:p w14:paraId="62A70777" w14:textId="77777777" w:rsidR="00000000" w:rsidRDefault="00097612">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14:paraId="3CD643F6" w14:textId="77777777" w:rsidR="00000000" w:rsidRDefault="00097612">
            <w:pPr>
              <w:pStyle w:val="a3"/>
              <w:spacing w:before="0" w:beforeAutospacing="0" w:after="0" w:afterAutospacing="0"/>
              <w:jc w:val="center"/>
              <w:rPr>
                <w:sz w:val="16"/>
                <w:szCs w:val="16"/>
              </w:rPr>
            </w:pPr>
            <w:r>
              <w:rPr>
                <w:b/>
                <w:bCs/>
                <w:sz w:val="16"/>
                <w:szCs w:val="16"/>
              </w:rPr>
              <w:t>Comprehensive</w:t>
            </w:r>
          </w:p>
        </w:tc>
        <w:tc>
          <w:tcPr>
            <w:tcW w:w="76" w:type="pct"/>
            <w:tcMar>
              <w:top w:w="0" w:type="dxa"/>
              <w:left w:w="0" w:type="dxa"/>
              <w:bottom w:w="0" w:type="dxa"/>
              <w:right w:w="0" w:type="dxa"/>
            </w:tcMar>
            <w:vAlign w:val="bottom"/>
            <w:hideMark/>
          </w:tcPr>
          <w:p w14:paraId="02FA0525" w14:textId="77777777" w:rsidR="00000000" w:rsidRDefault="00097612">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14:paraId="4CA40893" w14:textId="77777777" w:rsidR="00000000" w:rsidRDefault="00097612">
            <w:pPr>
              <w:pStyle w:val="a3"/>
              <w:spacing w:before="0" w:beforeAutospacing="0" w:after="0" w:afterAutospacing="0"/>
              <w:jc w:val="center"/>
              <w:rPr>
                <w:sz w:val="16"/>
                <w:szCs w:val="16"/>
              </w:rPr>
            </w:pPr>
            <w:r>
              <w:rPr>
                <w:b/>
                <w:bCs/>
                <w:sz w:val="16"/>
                <w:szCs w:val="16"/>
              </w:rPr>
              <w:t>Accumulated</w:t>
            </w:r>
          </w:p>
        </w:tc>
        <w:tc>
          <w:tcPr>
            <w:tcW w:w="76" w:type="pct"/>
            <w:tcMar>
              <w:top w:w="0" w:type="dxa"/>
              <w:left w:w="0" w:type="dxa"/>
              <w:bottom w:w="0" w:type="dxa"/>
              <w:right w:w="0" w:type="dxa"/>
            </w:tcMar>
            <w:vAlign w:val="bottom"/>
            <w:hideMark/>
          </w:tcPr>
          <w:p w14:paraId="4BE9C8B8" w14:textId="77777777" w:rsidR="00000000" w:rsidRDefault="00097612">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62C6191A" w14:textId="77777777" w:rsidR="00000000" w:rsidRDefault="00097612">
            <w:pPr>
              <w:pStyle w:val="a3"/>
              <w:spacing w:before="0" w:beforeAutospacing="0" w:after="0" w:afterAutospacing="0"/>
              <w:jc w:val="center"/>
              <w:rPr>
                <w:sz w:val="16"/>
                <w:szCs w:val="16"/>
              </w:rPr>
            </w:pPr>
            <w:r>
              <w:rPr>
                <w:b/>
                <w:bCs/>
                <w:sz w:val="16"/>
                <w:szCs w:val="16"/>
              </w:rPr>
              <w:t>Shareholders'</w:t>
            </w:r>
          </w:p>
        </w:tc>
      </w:tr>
      <w:tr w:rsidR="00000000" w14:paraId="6B4A916F" w14:textId="77777777">
        <w:trPr>
          <w:divId w:val="1429960337"/>
        </w:trPr>
        <w:tc>
          <w:tcPr>
            <w:tcW w:w="1847" w:type="pct"/>
            <w:tcMar>
              <w:top w:w="0" w:type="dxa"/>
              <w:left w:w="0" w:type="dxa"/>
              <w:bottom w:w="0" w:type="dxa"/>
              <w:right w:w="0" w:type="dxa"/>
            </w:tcMar>
            <w:vAlign w:val="bottom"/>
            <w:hideMark/>
          </w:tcPr>
          <w:p w14:paraId="646B64D3" w14:textId="77777777" w:rsidR="00000000" w:rsidRDefault="00097612">
            <w:pPr>
              <w:pStyle w:val="a3"/>
              <w:spacing w:before="0" w:beforeAutospacing="0" w:after="0"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14:paraId="0707D6FC" w14:textId="77777777" w:rsidR="00000000" w:rsidRDefault="00097612">
            <w:pPr>
              <w:pStyle w:val="a3"/>
              <w:spacing w:before="0" w:beforeAutospacing="0" w:after="0" w:afterAutospacing="0"/>
              <w:rPr>
                <w:sz w:val="16"/>
                <w:szCs w:val="16"/>
              </w:rPr>
            </w:pPr>
            <w:r>
              <w:rPr>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14:paraId="52CF3D57" w14:textId="77777777" w:rsidR="00000000" w:rsidRDefault="00097612">
            <w:pPr>
              <w:pStyle w:val="a3"/>
              <w:spacing w:before="0" w:beforeAutospacing="0" w:after="0" w:afterAutospacing="0"/>
              <w:jc w:val="center"/>
              <w:rPr>
                <w:sz w:val="16"/>
                <w:szCs w:val="16"/>
              </w:rPr>
            </w:pPr>
            <w:r>
              <w:rPr>
                <w:b/>
                <w:bCs/>
                <w:sz w:val="16"/>
                <w:szCs w:val="16"/>
              </w:rPr>
              <w:t>Shares</w:t>
            </w:r>
          </w:p>
        </w:tc>
        <w:tc>
          <w:tcPr>
            <w:tcW w:w="76" w:type="pct"/>
            <w:noWrap/>
            <w:tcMar>
              <w:top w:w="0" w:type="dxa"/>
              <w:left w:w="0" w:type="dxa"/>
              <w:bottom w:w="0" w:type="dxa"/>
              <w:right w:w="0" w:type="dxa"/>
            </w:tcMar>
            <w:vAlign w:val="bottom"/>
            <w:hideMark/>
          </w:tcPr>
          <w:p w14:paraId="73710A7E" w14:textId="77777777" w:rsidR="00000000" w:rsidRDefault="00097612">
            <w:pPr>
              <w:pStyle w:val="a3"/>
              <w:spacing w:before="0" w:beforeAutospacing="0" w:after="0" w:afterAutospacing="0"/>
              <w:rPr>
                <w:sz w:val="16"/>
                <w:szCs w:val="16"/>
              </w:rPr>
            </w:pPr>
            <w:r>
              <w:rPr>
                <w:sz w:val="16"/>
                <w:szCs w:val="16"/>
              </w:rPr>
              <w:t>   </w:t>
            </w:r>
          </w:p>
        </w:tc>
        <w:tc>
          <w:tcPr>
            <w:tcW w:w="419" w:type="pct"/>
            <w:gridSpan w:val="2"/>
            <w:tcBorders>
              <w:bottom w:val="single" w:sz="6" w:space="0" w:color="000000"/>
            </w:tcBorders>
            <w:noWrap/>
            <w:tcMar>
              <w:top w:w="0" w:type="dxa"/>
              <w:left w:w="0" w:type="dxa"/>
              <w:bottom w:w="0" w:type="dxa"/>
              <w:right w:w="0" w:type="dxa"/>
            </w:tcMar>
            <w:vAlign w:val="bottom"/>
            <w:hideMark/>
          </w:tcPr>
          <w:p w14:paraId="52AC8673" w14:textId="77777777" w:rsidR="00000000" w:rsidRDefault="00097612">
            <w:pPr>
              <w:pStyle w:val="a3"/>
              <w:spacing w:before="0" w:beforeAutospacing="0" w:after="0" w:afterAutospacing="0"/>
              <w:jc w:val="center"/>
              <w:rPr>
                <w:sz w:val="16"/>
                <w:szCs w:val="16"/>
              </w:rPr>
            </w:pPr>
            <w:r>
              <w:rPr>
                <w:b/>
                <w:bCs/>
                <w:sz w:val="16"/>
                <w:szCs w:val="16"/>
              </w:rPr>
              <w:t>Amount</w:t>
            </w:r>
          </w:p>
        </w:tc>
        <w:tc>
          <w:tcPr>
            <w:tcW w:w="76" w:type="pct"/>
            <w:noWrap/>
            <w:tcMar>
              <w:top w:w="0" w:type="dxa"/>
              <w:left w:w="0" w:type="dxa"/>
              <w:bottom w:w="0" w:type="dxa"/>
              <w:right w:w="0" w:type="dxa"/>
            </w:tcMar>
            <w:vAlign w:val="bottom"/>
            <w:hideMark/>
          </w:tcPr>
          <w:p w14:paraId="3FAEBB3A" w14:textId="77777777" w:rsidR="00000000" w:rsidRDefault="00097612">
            <w:pPr>
              <w:pStyle w:val="a3"/>
              <w:spacing w:before="0" w:beforeAutospacing="0" w:after="0" w:afterAutospacing="0"/>
              <w:rPr>
                <w:sz w:val="16"/>
                <w:szCs w:val="16"/>
              </w:rPr>
            </w:pPr>
            <w:r>
              <w:rPr>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14:paraId="2D51648E" w14:textId="77777777" w:rsidR="00000000" w:rsidRDefault="00097612">
            <w:pPr>
              <w:pStyle w:val="a3"/>
              <w:spacing w:before="0" w:beforeAutospacing="0" w:after="0" w:afterAutospacing="0"/>
              <w:jc w:val="center"/>
              <w:rPr>
                <w:sz w:val="16"/>
                <w:szCs w:val="16"/>
              </w:rPr>
            </w:pPr>
            <w:r>
              <w:rPr>
                <w:b/>
                <w:bCs/>
                <w:sz w:val="16"/>
                <w:szCs w:val="16"/>
              </w:rPr>
              <w:t>Capital</w:t>
            </w:r>
          </w:p>
        </w:tc>
        <w:tc>
          <w:tcPr>
            <w:tcW w:w="76" w:type="pct"/>
            <w:noWrap/>
            <w:tcMar>
              <w:top w:w="0" w:type="dxa"/>
              <w:left w:w="0" w:type="dxa"/>
              <w:bottom w:w="0" w:type="dxa"/>
              <w:right w:w="0" w:type="dxa"/>
            </w:tcMar>
            <w:vAlign w:val="bottom"/>
            <w:hideMark/>
          </w:tcPr>
          <w:p w14:paraId="268B762D" w14:textId="77777777" w:rsidR="00000000" w:rsidRDefault="00097612">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14:paraId="4F4166FA" w14:textId="77777777" w:rsidR="00000000" w:rsidRDefault="00097612">
            <w:pPr>
              <w:pStyle w:val="a3"/>
              <w:spacing w:before="0" w:beforeAutospacing="0" w:after="0" w:afterAutospacing="0"/>
              <w:jc w:val="center"/>
              <w:rPr>
                <w:sz w:val="16"/>
                <w:szCs w:val="16"/>
              </w:rPr>
            </w:pPr>
            <w:r>
              <w:rPr>
                <w:b/>
                <w:bCs/>
                <w:sz w:val="16"/>
                <w:szCs w:val="16"/>
              </w:rPr>
              <w:t>Income (Loss)</w:t>
            </w:r>
          </w:p>
        </w:tc>
        <w:tc>
          <w:tcPr>
            <w:tcW w:w="76" w:type="pct"/>
            <w:noWrap/>
            <w:tcMar>
              <w:top w:w="0" w:type="dxa"/>
              <w:left w:w="0" w:type="dxa"/>
              <w:bottom w:w="0" w:type="dxa"/>
              <w:right w:w="0" w:type="dxa"/>
            </w:tcMar>
            <w:vAlign w:val="bottom"/>
            <w:hideMark/>
          </w:tcPr>
          <w:p w14:paraId="1B185B5D" w14:textId="77777777" w:rsidR="00000000" w:rsidRDefault="00097612">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14:paraId="1075D0C3" w14:textId="77777777" w:rsidR="00000000" w:rsidRDefault="00097612">
            <w:pPr>
              <w:pStyle w:val="a3"/>
              <w:spacing w:before="0" w:beforeAutospacing="0" w:after="0" w:afterAutospacing="0"/>
              <w:jc w:val="center"/>
              <w:rPr>
                <w:sz w:val="16"/>
                <w:szCs w:val="16"/>
              </w:rPr>
            </w:pPr>
            <w:r>
              <w:rPr>
                <w:b/>
                <w:bCs/>
                <w:sz w:val="16"/>
                <w:szCs w:val="16"/>
              </w:rPr>
              <w:t>Deficit</w:t>
            </w:r>
          </w:p>
        </w:tc>
        <w:tc>
          <w:tcPr>
            <w:tcW w:w="76" w:type="pct"/>
            <w:noWrap/>
            <w:tcMar>
              <w:top w:w="0" w:type="dxa"/>
              <w:left w:w="0" w:type="dxa"/>
              <w:bottom w:w="0" w:type="dxa"/>
              <w:right w:w="0" w:type="dxa"/>
            </w:tcMar>
            <w:vAlign w:val="bottom"/>
            <w:hideMark/>
          </w:tcPr>
          <w:p w14:paraId="12D67161" w14:textId="77777777" w:rsidR="00000000" w:rsidRDefault="00097612">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14:paraId="47C853FB" w14:textId="77777777" w:rsidR="00000000" w:rsidRDefault="00097612">
            <w:pPr>
              <w:pStyle w:val="a3"/>
              <w:spacing w:before="0" w:beforeAutospacing="0" w:after="0" w:afterAutospacing="0"/>
              <w:jc w:val="center"/>
              <w:rPr>
                <w:sz w:val="16"/>
                <w:szCs w:val="16"/>
              </w:rPr>
            </w:pPr>
            <w:r>
              <w:rPr>
                <w:b/>
                <w:bCs/>
                <w:sz w:val="16"/>
                <w:szCs w:val="16"/>
              </w:rPr>
              <w:t>Deficit</w:t>
            </w:r>
          </w:p>
        </w:tc>
      </w:tr>
      <w:tr w:rsidR="00000000" w14:paraId="2D2760DD" w14:textId="77777777">
        <w:trPr>
          <w:divId w:val="1429960337"/>
        </w:trPr>
        <w:tc>
          <w:tcPr>
            <w:tcW w:w="1847" w:type="pct"/>
            <w:shd w:val="clear" w:color="auto" w:fill="CCEEFF"/>
            <w:tcMar>
              <w:top w:w="0" w:type="dxa"/>
              <w:left w:w="0" w:type="dxa"/>
              <w:bottom w:w="0" w:type="dxa"/>
              <w:right w:w="0" w:type="dxa"/>
            </w:tcMar>
            <w:vAlign w:val="bottom"/>
            <w:hideMark/>
          </w:tcPr>
          <w:p w14:paraId="26BA3395" w14:textId="77777777" w:rsidR="00000000" w:rsidRDefault="00097612">
            <w:pPr>
              <w:pStyle w:val="a3"/>
              <w:spacing w:before="0" w:beforeAutospacing="0" w:after="0" w:afterAutospacing="0"/>
              <w:rPr>
                <w:sz w:val="16"/>
                <w:szCs w:val="16"/>
              </w:rPr>
            </w:pPr>
            <w:r>
              <w:rPr>
                <w:sz w:val="16"/>
                <w:szCs w:val="16"/>
              </w:rPr>
              <w:t>Balances at December 31, 2017</w:t>
            </w:r>
          </w:p>
        </w:tc>
        <w:tc>
          <w:tcPr>
            <w:tcW w:w="76" w:type="pct"/>
            <w:shd w:val="clear" w:color="auto" w:fill="CCEEFF"/>
            <w:noWrap/>
            <w:tcMar>
              <w:top w:w="0" w:type="dxa"/>
              <w:left w:w="0" w:type="dxa"/>
              <w:bottom w:w="0" w:type="dxa"/>
              <w:right w:w="0" w:type="dxa"/>
            </w:tcMar>
            <w:vAlign w:val="bottom"/>
            <w:hideMark/>
          </w:tcPr>
          <w:p w14:paraId="5059901A"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noWrap/>
            <w:tcMar>
              <w:top w:w="0" w:type="dxa"/>
              <w:left w:w="0" w:type="dxa"/>
              <w:bottom w:w="0" w:type="dxa"/>
              <w:right w:w="0" w:type="dxa"/>
            </w:tcMar>
            <w:vAlign w:val="bottom"/>
            <w:hideMark/>
          </w:tcPr>
          <w:p w14:paraId="16FA1F66" w14:textId="77777777" w:rsidR="00000000" w:rsidRDefault="00097612">
            <w:pPr>
              <w:pStyle w:val="a3"/>
              <w:spacing w:before="0" w:beforeAutospacing="0" w:after="0" w:afterAutospacing="0"/>
              <w:ind w:right="60"/>
              <w:jc w:val="right"/>
              <w:rPr>
                <w:sz w:val="16"/>
                <w:szCs w:val="16"/>
              </w:rPr>
            </w:pPr>
            <w:r>
              <w:rPr>
                <w:sz w:val="16"/>
                <w:szCs w:val="16"/>
              </w:rPr>
              <w:t>54,381</w:t>
            </w:r>
          </w:p>
        </w:tc>
        <w:tc>
          <w:tcPr>
            <w:tcW w:w="76" w:type="pct"/>
            <w:shd w:val="clear" w:color="auto" w:fill="CCEEFF"/>
            <w:noWrap/>
            <w:tcMar>
              <w:top w:w="0" w:type="dxa"/>
              <w:left w:w="0" w:type="dxa"/>
              <w:bottom w:w="0" w:type="dxa"/>
              <w:right w:w="0" w:type="dxa"/>
            </w:tcMar>
            <w:vAlign w:val="bottom"/>
            <w:hideMark/>
          </w:tcPr>
          <w:p w14:paraId="14933964"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6F0D60AE" w14:textId="77777777" w:rsidR="00000000" w:rsidRDefault="00097612">
            <w:pPr>
              <w:pStyle w:val="a3"/>
              <w:spacing w:before="0" w:beforeAutospacing="0" w:after="0" w:afterAutospacing="0"/>
              <w:jc w:val="center"/>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14:paraId="6F42EB9E" w14:textId="77777777" w:rsidR="00000000" w:rsidRDefault="00097612">
            <w:pPr>
              <w:pStyle w:val="a3"/>
              <w:spacing w:before="0" w:beforeAutospacing="0" w:after="0" w:afterAutospacing="0"/>
              <w:ind w:right="60"/>
              <w:jc w:val="right"/>
              <w:rPr>
                <w:sz w:val="16"/>
                <w:szCs w:val="16"/>
              </w:rPr>
            </w:pPr>
            <w:r>
              <w:rPr>
                <w:sz w:val="16"/>
                <w:szCs w:val="16"/>
              </w:rPr>
              <w:t>1</w:t>
            </w:r>
          </w:p>
        </w:tc>
        <w:tc>
          <w:tcPr>
            <w:tcW w:w="76" w:type="pct"/>
            <w:shd w:val="clear" w:color="auto" w:fill="CCEEFF"/>
            <w:noWrap/>
            <w:tcMar>
              <w:top w:w="0" w:type="dxa"/>
              <w:left w:w="0" w:type="dxa"/>
              <w:bottom w:w="0" w:type="dxa"/>
              <w:right w:w="0" w:type="dxa"/>
            </w:tcMar>
            <w:vAlign w:val="bottom"/>
            <w:hideMark/>
          </w:tcPr>
          <w:p w14:paraId="755608B4"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0098C86C" w14:textId="77777777" w:rsidR="00000000" w:rsidRDefault="00097612">
            <w:pPr>
              <w:pStyle w:val="a3"/>
              <w:spacing w:before="0" w:beforeAutospacing="0" w:after="0" w:afterAutospacing="0"/>
              <w:jc w:val="center"/>
              <w:rPr>
                <w:sz w:val="16"/>
                <w:szCs w:val="16"/>
              </w:rPr>
            </w:pPr>
            <w:r>
              <w:rPr>
                <w:sz w:val="16"/>
                <w:szCs w:val="16"/>
              </w:rPr>
              <w:t>$</w:t>
            </w:r>
          </w:p>
        </w:tc>
        <w:tc>
          <w:tcPr>
            <w:tcW w:w="367" w:type="pct"/>
            <w:shd w:val="clear" w:color="auto" w:fill="CCEEFF"/>
            <w:noWrap/>
            <w:tcMar>
              <w:top w:w="0" w:type="dxa"/>
              <w:left w:w="0" w:type="dxa"/>
              <w:bottom w:w="0" w:type="dxa"/>
              <w:right w:w="0" w:type="dxa"/>
            </w:tcMar>
            <w:vAlign w:val="bottom"/>
            <w:hideMark/>
          </w:tcPr>
          <w:p w14:paraId="004D816C" w14:textId="77777777" w:rsidR="00000000" w:rsidRDefault="00097612">
            <w:pPr>
              <w:pStyle w:val="a3"/>
              <w:spacing w:before="0" w:beforeAutospacing="0" w:after="0" w:afterAutospacing="0"/>
              <w:ind w:right="60"/>
              <w:jc w:val="right"/>
              <w:rPr>
                <w:sz w:val="16"/>
                <w:szCs w:val="16"/>
              </w:rPr>
            </w:pPr>
            <w:r>
              <w:rPr>
                <w:sz w:val="16"/>
                <w:szCs w:val="16"/>
              </w:rPr>
              <w:t>913,650</w:t>
            </w:r>
          </w:p>
        </w:tc>
        <w:tc>
          <w:tcPr>
            <w:tcW w:w="76" w:type="pct"/>
            <w:shd w:val="clear" w:color="auto" w:fill="CCEEFF"/>
            <w:noWrap/>
            <w:tcMar>
              <w:top w:w="0" w:type="dxa"/>
              <w:left w:w="0" w:type="dxa"/>
              <w:bottom w:w="0" w:type="dxa"/>
              <w:right w:w="0" w:type="dxa"/>
            </w:tcMar>
            <w:vAlign w:val="bottom"/>
            <w:hideMark/>
          </w:tcPr>
          <w:p w14:paraId="386AC9D4"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73CD94D4" w14:textId="77777777" w:rsidR="00000000" w:rsidRDefault="00097612">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14:paraId="30D3700B" w14:textId="77777777" w:rsidR="00000000" w:rsidRDefault="00097612">
            <w:pPr>
              <w:pStyle w:val="a3"/>
              <w:spacing w:before="0" w:beforeAutospacing="0" w:after="0" w:afterAutospacing="0"/>
              <w:jc w:val="right"/>
              <w:rPr>
                <w:sz w:val="16"/>
                <w:szCs w:val="16"/>
              </w:rPr>
            </w:pPr>
            <w:r>
              <w:rPr>
                <w:sz w:val="16"/>
                <w:szCs w:val="16"/>
              </w:rPr>
              <w:t>(733)</w:t>
            </w:r>
          </w:p>
        </w:tc>
        <w:tc>
          <w:tcPr>
            <w:tcW w:w="76" w:type="pct"/>
            <w:shd w:val="clear" w:color="auto" w:fill="CCEEFF"/>
            <w:noWrap/>
            <w:tcMar>
              <w:top w:w="0" w:type="dxa"/>
              <w:left w:w="0" w:type="dxa"/>
              <w:bottom w:w="0" w:type="dxa"/>
              <w:right w:w="0" w:type="dxa"/>
            </w:tcMar>
            <w:vAlign w:val="bottom"/>
            <w:hideMark/>
          </w:tcPr>
          <w:p w14:paraId="3A7E268B"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14998674" w14:textId="77777777" w:rsidR="00000000" w:rsidRDefault="00097612">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14:paraId="60C7CF74" w14:textId="77777777" w:rsidR="00000000" w:rsidRDefault="00097612">
            <w:pPr>
              <w:pStyle w:val="a3"/>
              <w:spacing w:before="0" w:beforeAutospacing="0" w:after="0" w:afterAutospacing="0"/>
              <w:jc w:val="right"/>
              <w:rPr>
                <w:sz w:val="16"/>
                <w:szCs w:val="16"/>
              </w:rPr>
            </w:pPr>
            <w:r>
              <w:rPr>
                <w:sz w:val="16"/>
                <w:szCs w:val="16"/>
              </w:rPr>
              <w:t>(797,740)</w:t>
            </w:r>
          </w:p>
        </w:tc>
        <w:tc>
          <w:tcPr>
            <w:tcW w:w="76" w:type="pct"/>
            <w:shd w:val="clear" w:color="auto" w:fill="CCEEFF"/>
            <w:noWrap/>
            <w:tcMar>
              <w:top w:w="0" w:type="dxa"/>
              <w:left w:w="0" w:type="dxa"/>
              <w:bottom w:w="0" w:type="dxa"/>
              <w:right w:w="0" w:type="dxa"/>
            </w:tcMar>
            <w:vAlign w:val="bottom"/>
            <w:hideMark/>
          </w:tcPr>
          <w:p w14:paraId="6C6E81A2"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667024A7" w14:textId="77777777" w:rsidR="00000000" w:rsidRDefault="00097612">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14:paraId="773AFDCC" w14:textId="77777777" w:rsidR="00000000" w:rsidRDefault="00097612">
            <w:pPr>
              <w:pStyle w:val="a3"/>
              <w:spacing w:before="0" w:beforeAutospacing="0" w:after="0" w:afterAutospacing="0"/>
              <w:ind w:right="60"/>
              <w:jc w:val="right"/>
              <w:rPr>
                <w:sz w:val="16"/>
                <w:szCs w:val="16"/>
              </w:rPr>
            </w:pPr>
            <w:r>
              <w:rPr>
                <w:sz w:val="16"/>
                <w:szCs w:val="16"/>
              </w:rPr>
              <w:t>115,178</w:t>
            </w:r>
          </w:p>
        </w:tc>
      </w:tr>
      <w:tr w:rsidR="00000000" w14:paraId="3555F9B0" w14:textId="77777777">
        <w:trPr>
          <w:divId w:val="1429960337"/>
        </w:trPr>
        <w:tc>
          <w:tcPr>
            <w:tcW w:w="1847" w:type="pct"/>
            <w:tcMar>
              <w:top w:w="0" w:type="dxa"/>
              <w:left w:w="0" w:type="dxa"/>
              <w:bottom w:w="0" w:type="dxa"/>
              <w:right w:w="0" w:type="dxa"/>
            </w:tcMar>
            <w:vAlign w:val="bottom"/>
            <w:hideMark/>
          </w:tcPr>
          <w:p w14:paraId="5ABBCB89" w14:textId="77777777" w:rsidR="00000000" w:rsidRDefault="00097612">
            <w:pPr>
              <w:pStyle w:val="a3"/>
              <w:spacing w:before="0" w:beforeAutospacing="0" w:after="0" w:afterAutospacing="0"/>
              <w:ind w:left="240"/>
              <w:rPr>
                <w:sz w:val="16"/>
                <w:szCs w:val="16"/>
              </w:rPr>
            </w:pPr>
            <w:r>
              <w:rPr>
                <w:sz w:val="16"/>
                <w:szCs w:val="16"/>
              </w:rPr>
              <w:t>Proceeds from ESPP purchases</w:t>
            </w:r>
          </w:p>
        </w:tc>
        <w:tc>
          <w:tcPr>
            <w:tcW w:w="76" w:type="pct"/>
            <w:noWrap/>
            <w:tcMar>
              <w:top w:w="0" w:type="dxa"/>
              <w:left w:w="0" w:type="dxa"/>
              <w:bottom w:w="0" w:type="dxa"/>
              <w:right w:w="0" w:type="dxa"/>
            </w:tcMar>
            <w:vAlign w:val="bottom"/>
            <w:hideMark/>
          </w:tcPr>
          <w:p w14:paraId="717C2B05"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438B605E" w14:textId="77777777" w:rsidR="00000000" w:rsidRDefault="00097612">
            <w:pPr>
              <w:pStyle w:val="a3"/>
              <w:spacing w:before="0" w:beforeAutospacing="0" w:after="0" w:afterAutospacing="0"/>
              <w:ind w:right="60"/>
              <w:jc w:val="right"/>
              <w:rPr>
                <w:sz w:val="16"/>
                <w:szCs w:val="16"/>
              </w:rPr>
            </w:pPr>
            <w:r>
              <w:rPr>
                <w:sz w:val="16"/>
                <w:szCs w:val="16"/>
              </w:rPr>
              <w:t>135</w:t>
            </w:r>
          </w:p>
        </w:tc>
        <w:tc>
          <w:tcPr>
            <w:tcW w:w="76" w:type="pct"/>
            <w:noWrap/>
            <w:tcMar>
              <w:top w:w="0" w:type="dxa"/>
              <w:left w:w="0" w:type="dxa"/>
              <w:bottom w:w="0" w:type="dxa"/>
              <w:right w:w="0" w:type="dxa"/>
            </w:tcMar>
            <w:vAlign w:val="bottom"/>
            <w:hideMark/>
          </w:tcPr>
          <w:p w14:paraId="54FCD23C"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21A2AB5"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40E50C3D"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E1359A1"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7623B53"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4E8A9DB8" w14:textId="77777777" w:rsidR="00000000" w:rsidRDefault="00097612">
            <w:pPr>
              <w:pStyle w:val="a3"/>
              <w:spacing w:before="0" w:beforeAutospacing="0" w:after="0" w:afterAutospacing="0"/>
              <w:ind w:right="60"/>
              <w:jc w:val="right"/>
              <w:rPr>
                <w:sz w:val="16"/>
                <w:szCs w:val="16"/>
              </w:rPr>
            </w:pPr>
            <w:r>
              <w:rPr>
                <w:sz w:val="16"/>
                <w:szCs w:val="16"/>
              </w:rPr>
              <w:t>2,742</w:t>
            </w:r>
          </w:p>
        </w:tc>
        <w:tc>
          <w:tcPr>
            <w:tcW w:w="76" w:type="pct"/>
            <w:noWrap/>
            <w:tcMar>
              <w:top w:w="0" w:type="dxa"/>
              <w:left w:w="0" w:type="dxa"/>
              <w:bottom w:w="0" w:type="dxa"/>
              <w:right w:w="0" w:type="dxa"/>
            </w:tcMar>
            <w:vAlign w:val="bottom"/>
            <w:hideMark/>
          </w:tcPr>
          <w:p w14:paraId="36D16905"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1AB6C21B" w14:textId="77777777" w:rsidR="00000000" w:rsidRDefault="00097612">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14:paraId="70413EC0"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12114DC1"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3CE09E49"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102520B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7B64461F"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50E2FDF5"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2F359305" w14:textId="77777777" w:rsidR="00000000" w:rsidRDefault="00097612">
            <w:pPr>
              <w:pStyle w:val="a3"/>
              <w:spacing w:before="0" w:beforeAutospacing="0" w:after="0" w:afterAutospacing="0"/>
              <w:ind w:right="60"/>
              <w:jc w:val="right"/>
              <w:rPr>
                <w:sz w:val="16"/>
                <w:szCs w:val="16"/>
              </w:rPr>
            </w:pPr>
            <w:r>
              <w:rPr>
                <w:sz w:val="16"/>
                <w:szCs w:val="16"/>
              </w:rPr>
              <w:t>2,742</w:t>
            </w:r>
          </w:p>
        </w:tc>
      </w:tr>
      <w:tr w:rsidR="00000000" w14:paraId="2F3DFB67" w14:textId="77777777">
        <w:trPr>
          <w:divId w:val="1429960337"/>
        </w:trPr>
        <w:tc>
          <w:tcPr>
            <w:tcW w:w="1847" w:type="pct"/>
            <w:shd w:val="clear" w:color="auto" w:fill="CCEEFF"/>
            <w:tcMar>
              <w:top w:w="0" w:type="dxa"/>
              <w:left w:w="0" w:type="dxa"/>
              <w:bottom w:w="0" w:type="dxa"/>
              <w:right w:w="0" w:type="dxa"/>
            </w:tcMar>
            <w:vAlign w:val="bottom"/>
            <w:hideMark/>
          </w:tcPr>
          <w:p w14:paraId="3E58AABB" w14:textId="77777777" w:rsidR="00000000" w:rsidRDefault="00097612">
            <w:pPr>
              <w:pStyle w:val="a3"/>
              <w:spacing w:before="0" w:beforeAutospacing="0" w:after="0" w:afterAutospacing="0"/>
              <w:ind w:left="240"/>
              <w:rPr>
                <w:sz w:val="16"/>
                <w:szCs w:val="16"/>
              </w:rPr>
            </w:pPr>
            <w:r>
              <w:rPr>
                <w:sz w:val="16"/>
                <w:szCs w:val="16"/>
              </w:rPr>
              <w:t>Employee share-based compensation expense</w:t>
            </w:r>
          </w:p>
        </w:tc>
        <w:tc>
          <w:tcPr>
            <w:tcW w:w="76" w:type="pct"/>
            <w:shd w:val="clear" w:color="auto" w:fill="CCEEFF"/>
            <w:noWrap/>
            <w:tcMar>
              <w:top w:w="0" w:type="dxa"/>
              <w:left w:w="0" w:type="dxa"/>
              <w:bottom w:w="0" w:type="dxa"/>
              <w:right w:w="0" w:type="dxa"/>
            </w:tcMar>
            <w:vAlign w:val="bottom"/>
            <w:hideMark/>
          </w:tcPr>
          <w:p w14:paraId="6A9AA0F2"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491D5C06"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0660328B"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337FA23D"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427FCA4A"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3B804157"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425772E2"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noWrap/>
            <w:tcMar>
              <w:top w:w="0" w:type="dxa"/>
              <w:left w:w="0" w:type="dxa"/>
              <w:bottom w:w="0" w:type="dxa"/>
              <w:right w:w="0" w:type="dxa"/>
            </w:tcMar>
            <w:vAlign w:val="bottom"/>
            <w:hideMark/>
          </w:tcPr>
          <w:p w14:paraId="2FDF1E7F" w14:textId="77777777" w:rsidR="00000000" w:rsidRDefault="00097612">
            <w:pPr>
              <w:pStyle w:val="a3"/>
              <w:spacing w:before="0" w:beforeAutospacing="0" w:after="0" w:afterAutospacing="0"/>
              <w:ind w:right="60"/>
              <w:jc w:val="right"/>
              <w:rPr>
                <w:sz w:val="16"/>
                <w:szCs w:val="16"/>
              </w:rPr>
            </w:pPr>
            <w:r>
              <w:rPr>
                <w:sz w:val="16"/>
                <w:szCs w:val="16"/>
              </w:rPr>
              <w:t>39,599</w:t>
            </w:r>
          </w:p>
        </w:tc>
        <w:tc>
          <w:tcPr>
            <w:tcW w:w="76" w:type="pct"/>
            <w:shd w:val="clear" w:color="auto" w:fill="CCEEFF"/>
            <w:noWrap/>
            <w:tcMar>
              <w:top w:w="0" w:type="dxa"/>
              <w:left w:w="0" w:type="dxa"/>
              <w:bottom w:w="0" w:type="dxa"/>
              <w:right w:w="0" w:type="dxa"/>
            </w:tcMar>
            <w:vAlign w:val="bottom"/>
            <w:hideMark/>
          </w:tcPr>
          <w:p w14:paraId="1DA1B22D"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5F3D1920"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noWrap/>
            <w:tcMar>
              <w:top w:w="0" w:type="dxa"/>
              <w:left w:w="0" w:type="dxa"/>
              <w:bottom w:w="0" w:type="dxa"/>
              <w:right w:w="0" w:type="dxa"/>
            </w:tcMar>
            <w:vAlign w:val="bottom"/>
            <w:hideMark/>
          </w:tcPr>
          <w:p w14:paraId="45F9C3FB"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19E0487B"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4C49576C"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14:paraId="34ABA1AD"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376642B7"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691A2A4A"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14:paraId="2BD5417C" w14:textId="77777777" w:rsidR="00000000" w:rsidRDefault="00097612">
            <w:pPr>
              <w:pStyle w:val="a3"/>
              <w:spacing w:before="0" w:beforeAutospacing="0" w:after="0" w:afterAutospacing="0"/>
              <w:ind w:right="60"/>
              <w:jc w:val="right"/>
              <w:rPr>
                <w:sz w:val="16"/>
                <w:szCs w:val="16"/>
              </w:rPr>
            </w:pPr>
            <w:r>
              <w:rPr>
                <w:sz w:val="16"/>
                <w:szCs w:val="16"/>
              </w:rPr>
              <w:t>39,599</w:t>
            </w:r>
          </w:p>
        </w:tc>
      </w:tr>
      <w:tr w:rsidR="00000000" w14:paraId="55B3BE89" w14:textId="77777777">
        <w:trPr>
          <w:divId w:val="1429960337"/>
        </w:trPr>
        <w:tc>
          <w:tcPr>
            <w:tcW w:w="1847" w:type="pct"/>
            <w:tcMar>
              <w:top w:w="0" w:type="dxa"/>
              <w:left w:w="0" w:type="dxa"/>
              <w:bottom w:w="0" w:type="dxa"/>
              <w:right w:w="0" w:type="dxa"/>
            </w:tcMar>
            <w:vAlign w:val="bottom"/>
            <w:hideMark/>
          </w:tcPr>
          <w:p w14:paraId="77E27196" w14:textId="77777777" w:rsidR="00000000" w:rsidRDefault="00097612">
            <w:pPr>
              <w:pStyle w:val="a3"/>
              <w:spacing w:before="0" w:beforeAutospacing="0" w:after="0" w:afterAutospacing="0"/>
              <w:ind w:left="240"/>
              <w:rPr>
                <w:sz w:val="16"/>
                <w:szCs w:val="16"/>
              </w:rPr>
            </w:pPr>
            <w:r>
              <w:rPr>
                <w:sz w:val="16"/>
                <w:szCs w:val="16"/>
              </w:rPr>
              <w:t>Issuance of restricted shares</w:t>
            </w:r>
          </w:p>
        </w:tc>
        <w:tc>
          <w:tcPr>
            <w:tcW w:w="76" w:type="pct"/>
            <w:noWrap/>
            <w:tcMar>
              <w:top w:w="0" w:type="dxa"/>
              <w:left w:w="0" w:type="dxa"/>
              <w:bottom w:w="0" w:type="dxa"/>
              <w:right w:w="0" w:type="dxa"/>
            </w:tcMar>
            <w:vAlign w:val="bottom"/>
            <w:hideMark/>
          </w:tcPr>
          <w:p w14:paraId="452C7929"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5630E280" w14:textId="77777777" w:rsidR="00000000" w:rsidRDefault="00097612">
            <w:pPr>
              <w:pStyle w:val="a3"/>
              <w:spacing w:before="0" w:beforeAutospacing="0" w:after="0" w:afterAutospacing="0"/>
              <w:ind w:right="60"/>
              <w:jc w:val="right"/>
              <w:rPr>
                <w:sz w:val="16"/>
                <w:szCs w:val="16"/>
              </w:rPr>
            </w:pPr>
            <w:r>
              <w:rPr>
                <w:sz w:val="16"/>
                <w:szCs w:val="16"/>
              </w:rPr>
              <w:t>971</w:t>
            </w:r>
          </w:p>
        </w:tc>
        <w:tc>
          <w:tcPr>
            <w:tcW w:w="76" w:type="pct"/>
            <w:noWrap/>
            <w:tcMar>
              <w:top w:w="0" w:type="dxa"/>
              <w:left w:w="0" w:type="dxa"/>
              <w:bottom w:w="0" w:type="dxa"/>
              <w:right w:w="0" w:type="dxa"/>
            </w:tcMar>
            <w:vAlign w:val="bottom"/>
            <w:hideMark/>
          </w:tcPr>
          <w:p w14:paraId="2C6E22B7"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183694A2"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00F0CFA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315A7050"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5938D92"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38AAFD95"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12CF0FC7"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2C9D062F" w14:textId="77777777" w:rsidR="00000000" w:rsidRDefault="00097612">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14:paraId="1F02F817"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FF45AFA"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6C5313BE"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4A29419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BC5B7CA"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5B287EDF"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3B981D95" w14:textId="77777777" w:rsidR="00000000" w:rsidRDefault="00097612">
            <w:pPr>
              <w:pStyle w:val="a3"/>
              <w:spacing w:before="0" w:beforeAutospacing="0" w:after="0" w:afterAutospacing="0"/>
              <w:ind w:right="60"/>
              <w:jc w:val="right"/>
              <w:rPr>
                <w:sz w:val="16"/>
                <w:szCs w:val="16"/>
              </w:rPr>
            </w:pPr>
            <w:r>
              <w:rPr>
                <w:sz w:val="16"/>
                <w:szCs w:val="16"/>
              </w:rPr>
              <w:t>—</w:t>
            </w:r>
          </w:p>
        </w:tc>
      </w:tr>
      <w:tr w:rsidR="00000000" w14:paraId="2B8E8971" w14:textId="77777777">
        <w:trPr>
          <w:divId w:val="1429960337"/>
        </w:trPr>
        <w:tc>
          <w:tcPr>
            <w:tcW w:w="1847" w:type="pct"/>
            <w:shd w:val="clear" w:color="auto" w:fill="CCEEFF"/>
            <w:tcMar>
              <w:top w:w="0" w:type="dxa"/>
              <w:left w:w="0" w:type="dxa"/>
              <w:bottom w:w="0" w:type="dxa"/>
              <w:right w:w="0" w:type="dxa"/>
            </w:tcMar>
            <w:vAlign w:val="bottom"/>
            <w:hideMark/>
          </w:tcPr>
          <w:p w14:paraId="6BA16CB4" w14:textId="77777777" w:rsidR="00000000" w:rsidRDefault="00097612">
            <w:pPr>
              <w:pStyle w:val="a3"/>
              <w:spacing w:before="0" w:beforeAutospacing="0" w:after="0" w:afterAutospacing="0"/>
              <w:ind w:left="240"/>
              <w:rPr>
                <w:sz w:val="16"/>
                <w:szCs w:val="16"/>
              </w:rPr>
            </w:pPr>
            <w:r>
              <w:rPr>
                <w:sz w:val="16"/>
                <w:szCs w:val="16"/>
              </w:rPr>
              <w:t>Option exercises</w:t>
            </w:r>
          </w:p>
        </w:tc>
        <w:tc>
          <w:tcPr>
            <w:tcW w:w="76" w:type="pct"/>
            <w:shd w:val="clear" w:color="auto" w:fill="CCEEFF"/>
            <w:noWrap/>
            <w:tcMar>
              <w:top w:w="0" w:type="dxa"/>
              <w:left w:w="0" w:type="dxa"/>
              <w:bottom w:w="0" w:type="dxa"/>
              <w:right w:w="0" w:type="dxa"/>
            </w:tcMar>
            <w:vAlign w:val="bottom"/>
            <w:hideMark/>
          </w:tcPr>
          <w:p w14:paraId="2AD4148D"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25253313" w14:textId="77777777" w:rsidR="00000000" w:rsidRDefault="00097612">
            <w:pPr>
              <w:pStyle w:val="a3"/>
              <w:spacing w:before="0" w:beforeAutospacing="0" w:after="0" w:afterAutospacing="0"/>
              <w:ind w:right="60"/>
              <w:jc w:val="right"/>
              <w:rPr>
                <w:sz w:val="16"/>
                <w:szCs w:val="16"/>
              </w:rPr>
            </w:pPr>
            <w:r>
              <w:rPr>
                <w:sz w:val="16"/>
                <w:szCs w:val="16"/>
              </w:rPr>
              <w:t>69</w:t>
            </w:r>
          </w:p>
        </w:tc>
        <w:tc>
          <w:tcPr>
            <w:tcW w:w="76" w:type="pct"/>
            <w:shd w:val="clear" w:color="auto" w:fill="CCEEFF"/>
            <w:noWrap/>
            <w:tcMar>
              <w:top w:w="0" w:type="dxa"/>
              <w:left w:w="0" w:type="dxa"/>
              <w:bottom w:w="0" w:type="dxa"/>
              <w:right w:w="0" w:type="dxa"/>
            </w:tcMar>
            <w:vAlign w:val="bottom"/>
            <w:hideMark/>
          </w:tcPr>
          <w:p w14:paraId="1F252F2E"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708FB1ED"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53A9D678"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35959FB9"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481D45C9"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noWrap/>
            <w:tcMar>
              <w:top w:w="0" w:type="dxa"/>
              <w:left w:w="0" w:type="dxa"/>
              <w:bottom w:w="0" w:type="dxa"/>
              <w:right w:w="0" w:type="dxa"/>
            </w:tcMar>
            <w:vAlign w:val="bottom"/>
            <w:hideMark/>
          </w:tcPr>
          <w:p w14:paraId="260B1819" w14:textId="77777777" w:rsidR="00000000" w:rsidRDefault="00097612">
            <w:pPr>
              <w:pStyle w:val="a3"/>
              <w:spacing w:before="0" w:beforeAutospacing="0" w:after="0" w:afterAutospacing="0"/>
              <w:ind w:right="60"/>
              <w:jc w:val="right"/>
              <w:rPr>
                <w:sz w:val="16"/>
                <w:szCs w:val="16"/>
              </w:rPr>
            </w:pPr>
            <w:r>
              <w:rPr>
                <w:sz w:val="16"/>
                <w:szCs w:val="16"/>
              </w:rPr>
              <w:t>1,306</w:t>
            </w:r>
          </w:p>
        </w:tc>
        <w:tc>
          <w:tcPr>
            <w:tcW w:w="76" w:type="pct"/>
            <w:shd w:val="clear" w:color="auto" w:fill="CCEEFF"/>
            <w:noWrap/>
            <w:tcMar>
              <w:top w:w="0" w:type="dxa"/>
              <w:left w:w="0" w:type="dxa"/>
              <w:bottom w:w="0" w:type="dxa"/>
              <w:right w:w="0" w:type="dxa"/>
            </w:tcMar>
            <w:vAlign w:val="bottom"/>
            <w:hideMark/>
          </w:tcPr>
          <w:p w14:paraId="12A83606"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5A2D4DD5"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noWrap/>
            <w:tcMar>
              <w:top w:w="0" w:type="dxa"/>
              <w:left w:w="0" w:type="dxa"/>
              <w:bottom w:w="0" w:type="dxa"/>
              <w:right w:w="0" w:type="dxa"/>
            </w:tcMar>
            <w:vAlign w:val="bottom"/>
            <w:hideMark/>
          </w:tcPr>
          <w:p w14:paraId="170FD36D"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552EB76A"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7C3F4DE6"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14:paraId="239C5C1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408537EB"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51BF053E"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14:paraId="2838F151" w14:textId="77777777" w:rsidR="00000000" w:rsidRDefault="00097612">
            <w:pPr>
              <w:pStyle w:val="a3"/>
              <w:spacing w:before="0" w:beforeAutospacing="0" w:after="0" w:afterAutospacing="0"/>
              <w:ind w:right="60"/>
              <w:jc w:val="right"/>
              <w:rPr>
                <w:sz w:val="16"/>
                <w:szCs w:val="16"/>
              </w:rPr>
            </w:pPr>
            <w:r>
              <w:rPr>
                <w:sz w:val="16"/>
                <w:szCs w:val="16"/>
              </w:rPr>
              <w:t>1,306</w:t>
            </w:r>
          </w:p>
        </w:tc>
      </w:tr>
      <w:tr w:rsidR="00000000" w14:paraId="5BC6D9DA" w14:textId="77777777">
        <w:trPr>
          <w:divId w:val="1429960337"/>
        </w:trPr>
        <w:tc>
          <w:tcPr>
            <w:tcW w:w="1847" w:type="pct"/>
            <w:tcMar>
              <w:top w:w="0" w:type="dxa"/>
              <w:left w:w="0" w:type="dxa"/>
              <w:bottom w:w="0" w:type="dxa"/>
              <w:right w:w="0" w:type="dxa"/>
            </w:tcMar>
            <w:vAlign w:val="bottom"/>
            <w:hideMark/>
          </w:tcPr>
          <w:p w14:paraId="163B85CD" w14:textId="77777777" w:rsidR="00000000" w:rsidRDefault="00097612">
            <w:pPr>
              <w:pStyle w:val="a3"/>
              <w:spacing w:before="0" w:beforeAutospacing="0" w:after="0" w:afterAutospacing="0"/>
              <w:ind w:left="240"/>
              <w:rPr>
                <w:sz w:val="16"/>
                <w:szCs w:val="16"/>
              </w:rPr>
            </w:pPr>
            <w:r>
              <w:rPr>
                <w:sz w:val="16"/>
                <w:szCs w:val="16"/>
              </w:rPr>
              <w:t>Cumulative effect upon the adoption of ASC 606</w:t>
            </w:r>
          </w:p>
        </w:tc>
        <w:tc>
          <w:tcPr>
            <w:tcW w:w="76" w:type="pct"/>
            <w:noWrap/>
            <w:tcMar>
              <w:top w:w="0" w:type="dxa"/>
              <w:left w:w="0" w:type="dxa"/>
              <w:bottom w:w="0" w:type="dxa"/>
              <w:right w:w="0" w:type="dxa"/>
            </w:tcMar>
            <w:vAlign w:val="bottom"/>
            <w:hideMark/>
          </w:tcPr>
          <w:p w14:paraId="0488C379"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0DBF9CB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0AEB4B28"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FAF05FC"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7885872F"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35A012FB"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904F93B"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2EDA224E"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0162C3F6"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45045BA1" w14:textId="77777777" w:rsidR="00000000" w:rsidRDefault="00097612">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14:paraId="533C103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2472CC1"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3F8CBDFB"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1561262B" w14:textId="77777777" w:rsidR="00000000" w:rsidRDefault="00097612">
            <w:pPr>
              <w:pStyle w:val="a3"/>
              <w:spacing w:before="0" w:beforeAutospacing="0" w:after="0" w:afterAutospacing="0"/>
              <w:ind w:right="60"/>
              <w:jc w:val="right"/>
              <w:rPr>
                <w:sz w:val="16"/>
                <w:szCs w:val="16"/>
              </w:rPr>
            </w:pPr>
            <w:r>
              <w:rPr>
                <w:sz w:val="16"/>
                <w:szCs w:val="16"/>
              </w:rPr>
              <w:t>1,119</w:t>
            </w:r>
          </w:p>
        </w:tc>
        <w:tc>
          <w:tcPr>
            <w:tcW w:w="76" w:type="pct"/>
            <w:noWrap/>
            <w:tcMar>
              <w:top w:w="0" w:type="dxa"/>
              <w:left w:w="0" w:type="dxa"/>
              <w:bottom w:w="0" w:type="dxa"/>
              <w:right w:w="0" w:type="dxa"/>
            </w:tcMar>
            <w:vAlign w:val="bottom"/>
            <w:hideMark/>
          </w:tcPr>
          <w:p w14:paraId="4B020D3F"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28C30A9F"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5D7B3C58" w14:textId="77777777" w:rsidR="00000000" w:rsidRDefault="00097612">
            <w:pPr>
              <w:pStyle w:val="a3"/>
              <w:spacing w:before="0" w:beforeAutospacing="0" w:after="0" w:afterAutospacing="0"/>
              <w:ind w:right="60"/>
              <w:jc w:val="right"/>
              <w:rPr>
                <w:sz w:val="16"/>
                <w:szCs w:val="16"/>
              </w:rPr>
            </w:pPr>
            <w:r>
              <w:rPr>
                <w:sz w:val="16"/>
                <w:szCs w:val="16"/>
              </w:rPr>
              <w:t>1,119</w:t>
            </w:r>
          </w:p>
        </w:tc>
      </w:tr>
      <w:tr w:rsidR="00000000" w14:paraId="11646D02" w14:textId="77777777">
        <w:trPr>
          <w:divId w:val="1429960337"/>
        </w:trPr>
        <w:tc>
          <w:tcPr>
            <w:tcW w:w="1847" w:type="pct"/>
            <w:shd w:val="clear" w:color="auto" w:fill="CCEEFF"/>
            <w:tcMar>
              <w:top w:w="0" w:type="dxa"/>
              <w:left w:w="0" w:type="dxa"/>
              <w:bottom w:w="0" w:type="dxa"/>
              <w:right w:w="0" w:type="dxa"/>
            </w:tcMar>
            <w:vAlign w:val="bottom"/>
            <w:hideMark/>
          </w:tcPr>
          <w:p w14:paraId="76A070E2" w14:textId="77777777" w:rsidR="00000000" w:rsidRDefault="00097612">
            <w:pPr>
              <w:pStyle w:val="a3"/>
              <w:spacing w:before="0" w:beforeAutospacing="0" w:after="0" w:afterAutospacing="0"/>
              <w:ind w:left="240"/>
              <w:rPr>
                <w:sz w:val="16"/>
                <w:szCs w:val="16"/>
              </w:rPr>
            </w:pPr>
            <w:r>
              <w:rPr>
                <w:sz w:val="16"/>
                <w:szCs w:val="16"/>
              </w:rPr>
              <w:t>Repurchase of shares to satisfy tax withholding</w:t>
            </w:r>
          </w:p>
        </w:tc>
        <w:tc>
          <w:tcPr>
            <w:tcW w:w="76" w:type="pct"/>
            <w:shd w:val="clear" w:color="auto" w:fill="CCEEFF"/>
            <w:noWrap/>
            <w:tcMar>
              <w:top w:w="0" w:type="dxa"/>
              <w:left w:w="0" w:type="dxa"/>
              <w:bottom w:w="0" w:type="dxa"/>
              <w:right w:w="0" w:type="dxa"/>
            </w:tcMar>
            <w:vAlign w:val="bottom"/>
            <w:hideMark/>
          </w:tcPr>
          <w:p w14:paraId="04179580" w14:textId="77777777" w:rsidR="00000000" w:rsidRDefault="00097612">
            <w:pPr>
              <w:pStyle w:val="a3"/>
              <w:spacing w:before="0" w:beforeAutospacing="0" w:after="0" w:afterAutospacing="0"/>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17CF0BAC" w14:textId="77777777" w:rsidR="00000000" w:rsidRDefault="00097612">
            <w:pPr>
              <w:pStyle w:val="a3"/>
              <w:spacing w:before="0" w:beforeAutospacing="0" w:after="0" w:afterAutospacing="0"/>
              <w:jc w:val="right"/>
              <w:rPr>
                <w:sz w:val="16"/>
                <w:szCs w:val="16"/>
              </w:rPr>
            </w:pPr>
            <w:r>
              <w:rPr>
                <w:sz w:val="16"/>
                <w:szCs w:val="16"/>
              </w:rPr>
              <w:t>(146)</w:t>
            </w:r>
          </w:p>
        </w:tc>
        <w:tc>
          <w:tcPr>
            <w:tcW w:w="76" w:type="pct"/>
            <w:shd w:val="clear" w:color="auto" w:fill="CCEEFF"/>
            <w:noWrap/>
            <w:tcMar>
              <w:top w:w="0" w:type="dxa"/>
              <w:left w:w="0" w:type="dxa"/>
              <w:bottom w:w="0" w:type="dxa"/>
              <w:right w:w="0" w:type="dxa"/>
            </w:tcMar>
            <w:vAlign w:val="bottom"/>
            <w:hideMark/>
          </w:tcPr>
          <w:p w14:paraId="7CFF737D"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6EFE707A" w14:textId="77777777" w:rsidR="00000000" w:rsidRDefault="00097612">
            <w:pPr>
              <w:pStyle w:val="a3"/>
              <w:spacing w:before="0" w:beforeAutospacing="0" w:after="0" w:afterAutospacing="0"/>
              <w:jc w:val="center"/>
              <w:rPr>
                <w:sz w:val="20"/>
                <w:szCs w:val="20"/>
              </w:rPr>
            </w:pPr>
            <w:r>
              <w:rPr>
                <w:sz w:val="16"/>
                <w:szCs w:val="16"/>
              </w:rPr>
              <w:t>​</w:t>
            </w:r>
          </w:p>
        </w:tc>
        <w:tc>
          <w:tcPr>
            <w:tcW w:w="342" w:type="pct"/>
            <w:shd w:val="clear" w:color="auto" w:fill="CCEEFF"/>
            <w:tcMar>
              <w:top w:w="0" w:type="dxa"/>
              <w:left w:w="0" w:type="dxa"/>
              <w:bottom w:w="0" w:type="dxa"/>
              <w:right w:w="0" w:type="dxa"/>
            </w:tcMar>
            <w:vAlign w:val="bottom"/>
            <w:hideMark/>
          </w:tcPr>
          <w:p w14:paraId="322DF21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27ACC98D" w14:textId="77777777" w:rsidR="00000000" w:rsidRDefault="00097612">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2ABCE95C" w14:textId="77777777" w:rsidR="00000000" w:rsidRDefault="00097612">
            <w:pPr>
              <w:pStyle w:val="a3"/>
              <w:spacing w:before="0" w:beforeAutospacing="0" w:after="0" w:afterAutospacing="0"/>
              <w:jc w:val="center"/>
              <w:rPr>
                <w:sz w:val="20"/>
                <w:szCs w:val="20"/>
              </w:rPr>
            </w:pPr>
            <w:r>
              <w:rPr>
                <w:sz w:val="16"/>
                <w:szCs w:val="16"/>
              </w:rPr>
              <w:t>​</w:t>
            </w:r>
          </w:p>
        </w:tc>
        <w:tc>
          <w:tcPr>
            <w:tcW w:w="367" w:type="pct"/>
            <w:shd w:val="clear" w:color="auto" w:fill="CCEEFF"/>
            <w:noWrap/>
            <w:tcMar>
              <w:top w:w="0" w:type="dxa"/>
              <w:left w:w="0" w:type="dxa"/>
              <w:bottom w:w="0" w:type="dxa"/>
              <w:right w:w="0" w:type="dxa"/>
            </w:tcMar>
            <w:vAlign w:val="bottom"/>
            <w:hideMark/>
          </w:tcPr>
          <w:p w14:paraId="2C513EAC" w14:textId="77777777" w:rsidR="00000000" w:rsidRDefault="00097612">
            <w:pPr>
              <w:pStyle w:val="a3"/>
              <w:spacing w:before="0" w:beforeAutospacing="0" w:after="0" w:afterAutospacing="0"/>
              <w:jc w:val="right"/>
              <w:rPr>
                <w:sz w:val="16"/>
                <w:szCs w:val="16"/>
              </w:rPr>
            </w:pPr>
            <w:r>
              <w:rPr>
                <w:sz w:val="16"/>
                <w:szCs w:val="16"/>
              </w:rPr>
              <w:t>(8,453)</w:t>
            </w:r>
          </w:p>
        </w:tc>
        <w:tc>
          <w:tcPr>
            <w:tcW w:w="76" w:type="pct"/>
            <w:shd w:val="clear" w:color="auto" w:fill="CCEEFF"/>
            <w:noWrap/>
            <w:tcMar>
              <w:top w:w="0" w:type="dxa"/>
              <w:left w:w="0" w:type="dxa"/>
              <w:bottom w:w="0" w:type="dxa"/>
              <w:right w:w="0" w:type="dxa"/>
            </w:tcMar>
            <w:vAlign w:val="bottom"/>
            <w:hideMark/>
          </w:tcPr>
          <w:p w14:paraId="43DE1491" w14:textId="77777777" w:rsidR="00000000" w:rsidRDefault="00097612">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14:paraId="39C7CE7A" w14:textId="77777777" w:rsidR="00000000" w:rsidRDefault="00097612">
            <w:pPr>
              <w:pStyle w:val="a3"/>
              <w:spacing w:before="0" w:beforeAutospacing="0" w:after="0" w:afterAutospacing="0"/>
              <w:jc w:val="center"/>
              <w:rPr>
                <w:sz w:val="20"/>
                <w:szCs w:val="20"/>
              </w:rPr>
            </w:pPr>
            <w:r>
              <w:rPr>
                <w:sz w:val="16"/>
                <w:szCs w:val="16"/>
              </w:rPr>
              <w:t>​</w:t>
            </w:r>
          </w:p>
        </w:tc>
        <w:tc>
          <w:tcPr>
            <w:tcW w:w="422" w:type="pct"/>
            <w:shd w:val="clear" w:color="auto" w:fill="CCEEFF"/>
            <w:noWrap/>
            <w:tcMar>
              <w:top w:w="0" w:type="dxa"/>
              <w:left w:w="0" w:type="dxa"/>
              <w:bottom w:w="0" w:type="dxa"/>
              <w:right w:w="0" w:type="dxa"/>
            </w:tcMar>
            <w:vAlign w:val="bottom"/>
            <w:hideMark/>
          </w:tcPr>
          <w:p w14:paraId="4148E2F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2437932B" w14:textId="77777777" w:rsidR="00000000" w:rsidRDefault="00097612">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03159B03" w14:textId="77777777" w:rsidR="00000000" w:rsidRDefault="00097612">
            <w:pPr>
              <w:pStyle w:val="a3"/>
              <w:spacing w:before="0" w:beforeAutospacing="0" w:after="0" w:afterAutospacing="0"/>
              <w:jc w:val="center"/>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14:paraId="6EE87304"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669151BF" w14:textId="77777777" w:rsidR="00000000" w:rsidRDefault="00097612">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6FF9EF84" w14:textId="77777777" w:rsidR="00000000" w:rsidRDefault="00097612">
            <w:pPr>
              <w:pStyle w:val="a3"/>
              <w:spacing w:before="0" w:beforeAutospacing="0" w:after="0" w:afterAutospacing="0"/>
              <w:jc w:val="center"/>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14:paraId="626680B4" w14:textId="77777777" w:rsidR="00000000" w:rsidRDefault="00097612">
            <w:pPr>
              <w:pStyle w:val="a3"/>
              <w:spacing w:before="0" w:beforeAutospacing="0" w:after="0" w:afterAutospacing="0"/>
              <w:jc w:val="right"/>
              <w:rPr>
                <w:sz w:val="16"/>
                <w:szCs w:val="16"/>
              </w:rPr>
            </w:pPr>
            <w:r>
              <w:rPr>
                <w:sz w:val="16"/>
                <w:szCs w:val="16"/>
              </w:rPr>
              <w:t>(8,453)</w:t>
            </w:r>
          </w:p>
        </w:tc>
      </w:tr>
      <w:tr w:rsidR="00000000" w14:paraId="4B47C517" w14:textId="77777777">
        <w:trPr>
          <w:divId w:val="1429960337"/>
        </w:trPr>
        <w:tc>
          <w:tcPr>
            <w:tcW w:w="1847" w:type="pct"/>
            <w:tcMar>
              <w:top w:w="0" w:type="dxa"/>
              <w:left w:w="0" w:type="dxa"/>
              <w:bottom w:w="0" w:type="dxa"/>
              <w:right w:w="0" w:type="dxa"/>
            </w:tcMar>
            <w:vAlign w:val="bottom"/>
            <w:hideMark/>
          </w:tcPr>
          <w:p w14:paraId="54B6A39E" w14:textId="77777777" w:rsidR="00000000" w:rsidRDefault="00097612">
            <w:pPr>
              <w:pStyle w:val="a3"/>
              <w:spacing w:before="0" w:beforeAutospacing="0" w:after="0" w:afterAutospacing="0"/>
              <w:ind w:left="240"/>
              <w:rPr>
                <w:sz w:val="16"/>
                <w:szCs w:val="16"/>
              </w:rPr>
            </w:pPr>
            <w:r>
              <w:rPr>
                <w:sz w:val="16"/>
                <w:szCs w:val="16"/>
              </w:rPr>
              <w:t>Net unrealized gain on marketable securities</w:t>
            </w:r>
          </w:p>
        </w:tc>
        <w:tc>
          <w:tcPr>
            <w:tcW w:w="76" w:type="pct"/>
            <w:noWrap/>
            <w:tcMar>
              <w:top w:w="0" w:type="dxa"/>
              <w:left w:w="0" w:type="dxa"/>
              <w:bottom w:w="0" w:type="dxa"/>
              <w:right w:w="0" w:type="dxa"/>
            </w:tcMar>
            <w:vAlign w:val="bottom"/>
            <w:hideMark/>
          </w:tcPr>
          <w:p w14:paraId="7DAFBF95" w14:textId="77777777" w:rsidR="00000000" w:rsidRDefault="00097612">
            <w:pPr>
              <w:pStyle w:val="a3"/>
              <w:spacing w:before="0" w:beforeAutospacing="0" w:after="0" w:afterAutospacing="0"/>
              <w:rPr>
                <w:sz w:val="20"/>
                <w:szCs w:val="20"/>
              </w:rPr>
            </w:pPr>
            <w:r>
              <w:rPr>
                <w:sz w:val="16"/>
                <w:szCs w:val="16"/>
              </w:rPr>
              <w:t>​</w:t>
            </w:r>
          </w:p>
        </w:tc>
        <w:tc>
          <w:tcPr>
            <w:tcW w:w="342" w:type="pct"/>
            <w:tcMar>
              <w:top w:w="0" w:type="dxa"/>
              <w:left w:w="0" w:type="dxa"/>
              <w:bottom w:w="0" w:type="dxa"/>
              <w:right w:w="0" w:type="dxa"/>
            </w:tcMar>
            <w:vAlign w:val="bottom"/>
            <w:hideMark/>
          </w:tcPr>
          <w:p w14:paraId="5A55B981"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5BA65CD"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AE03E70"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Mar>
              <w:top w:w="0" w:type="dxa"/>
              <w:left w:w="0" w:type="dxa"/>
              <w:bottom w:w="0" w:type="dxa"/>
              <w:right w:w="0" w:type="dxa"/>
            </w:tcMar>
            <w:vAlign w:val="bottom"/>
            <w:hideMark/>
          </w:tcPr>
          <w:p w14:paraId="07C84E25"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A6A93DF" w14:textId="77777777" w:rsidR="00000000" w:rsidRDefault="00097612">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5B78EDA" w14:textId="77777777" w:rsidR="00000000" w:rsidRDefault="00097612">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7DF02DEA"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021E595B" w14:textId="77777777" w:rsidR="00000000" w:rsidRDefault="00097612">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14:paraId="6156A889" w14:textId="77777777" w:rsidR="00000000" w:rsidRDefault="00097612">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14:paraId="548C7D9E" w14:textId="77777777" w:rsidR="00000000" w:rsidRDefault="00097612">
            <w:pPr>
              <w:pStyle w:val="a3"/>
              <w:spacing w:before="0" w:beforeAutospacing="0" w:after="0" w:afterAutospacing="0"/>
              <w:ind w:right="60"/>
              <w:jc w:val="right"/>
              <w:rPr>
                <w:sz w:val="16"/>
                <w:szCs w:val="16"/>
              </w:rPr>
            </w:pPr>
            <w:r>
              <w:rPr>
                <w:sz w:val="16"/>
                <w:szCs w:val="16"/>
              </w:rPr>
              <w:t>402</w:t>
            </w:r>
          </w:p>
        </w:tc>
        <w:tc>
          <w:tcPr>
            <w:tcW w:w="76" w:type="pct"/>
            <w:noWrap/>
            <w:tcMar>
              <w:top w:w="0" w:type="dxa"/>
              <w:left w:w="0" w:type="dxa"/>
              <w:bottom w:w="0" w:type="dxa"/>
              <w:right w:w="0" w:type="dxa"/>
            </w:tcMar>
            <w:vAlign w:val="bottom"/>
            <w:hideMark/>
          </w:tcPr>
          <w:p w14:paraId="2CBBEBD1" w14:textId="77777777" w:rsidR="00000000" w:rsidRDefault="00097612">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40528D76" w14:textId="77777777" w:rsidR="00000000" w:rsidRDefault="00097612">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3A09CE38"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53918D5" w14:textId="77777777" w:rsidR="00000000" w:rsidRDefault="00097612">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1A7A58BB" w14:textId="77777777" w:rsidR="00000000" w:rsidRDefault="00097612">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62AABDFF" w14:textId="77777777" w:rsidR="00000000" w:rsidRDefault="00097612">
            <w:pPr>
              <w:pStyle w:val="a3"/>
              <w:spacing w:before="0" w:beforeAutospacing="0" w:after="0" w:afterAutospacing="0"/>
              <w:ind w:right="60"/>
              <w:jc w:val="right"/>
              <w:rPr>
                <w:sz w:val="16"/>
                <w:szCs w:val="16"/>
              </w:rPr>
            </w:pPr>
            <w:r>
              <w:rPr>
                <w:sz w:val="16"/>
                <w:szCs w:val="16"/>
              </w:rPr>
              <w:t>402</w:t>
            </w:r>
          </w:p>
        </w:tc>
      </w:tr>
      <w:tr w:rsidR="00000000" w14:paraId="1F130BCA" w14:textId="77777777">
        <w:trPr>
          <w:divId w:val="1429960337"/>
        </w:trPr>
        <w:tc>
          <w:tcPr>
            <w:tcW w:w="1847" w:type="pct"/>
            <w:shd w:val="clear" w:color="auto" w:fill="CCEEFF"/>
            <w:tcMar>
              <w:top w:w="0" w:type="dxa"/>
              <w:left w:w="0" w:type="dxa"/>
              <w:bottom w:w="0" w:type="dxa"/>
              <w:right w:w="0" w:type="dxa"/>
            </w:tcMar>
            <w:vAlign w:val="bottom"/>
            <w:hideMark/>
          </w:tcPr>
          <w:p w14:paraId="1B60DAF3" w14:textId="77777777" w:rsidR="00000000" w:rsidRDefault="00097612">
            <w:pPr>
              <w:pStyle w:val="a3"/>
              <w:spacing w:before="0" w:beforeAutospacing="0" w:after="0" w:afterAutospacing="0"/>
              <w:ind w:left="240"/>
              <w:rPr>
                <w:sz w:val="16"/>
                <w:szCs w:val="16"/>
              </w:rPr>
            </w:pPr>
            <w:r>
              <w:rPr>
                <w:sz w:val="16"/>
                <w:szCs w:val="16"/>
              </w:rPr>
              <w:t>Net loss</w:t>
            </w:r>
          </w:p>
        </w:tc>
        <w:tc>
          <w:tcPr>
            <w:tcW w:w="76" w:type="pct"/>
            <w:shd w:val="clear" w:color="auto" w:fill="CCEEFF"/>
            <w:noWrap/>
            <w:tcMar>
              <w:top w:w="0" w:type="dxa"/>
              <w:left w:w="0" w:type="dxa"/>
              <w:bottom w:w="0" w:type="dxa"/>
              <w:right w:w="0" w:type="dxa"/>
            </w:tcMar>
            <w:vAlign w:val="bottom"/>
            <w:hideMark/>
          </w:tcPr>
          <w:p w14:paraId="6DBC5CB7" w14:textId="77777777" w:rsidR="00000000" w:rsidRDefault="00097612">
            <w:pPr>
              <w:pStyle w:val="a3"/>
              <w:spacing w:before="0" w:beforeAutospacing="0" w:after="0" w:afterAutospacing="0"/>
              <w:rPr>
                <w:sz w:val="20"/>
                <w:szCs w:val="20"/>
              </w:rPr>
            </w:pPr>
            <w:r>
              <w:rPr>
                <w:sz w:val="16"/>
                <w:szCs w:val="16"/>
              </w:rPr>
              <w:t>​</w:t>
            </w:r>
          </w:p>
        </w:tc>
        <w:tc>
          <w:tcPr>
            <w:tcW w:w="342" w:type="pct"/>
            <w:tcBorders>
              <w:bottom w:val="single" w:sz="6" w:space="0" w:color="000000"/>
            </w:tcBorders>
            <w:shd w:val="clear" w:color="auto" w:fill="CCEEFF"/>
            <w:tcMar>
              <w:top w:w="0" w:type="dxa"/>
              <w:left w:w="0" w:type="dxa"/>
              <w:bottom w:w="0" w:type="dxa"/>
              <w:right w:w="0" w:type="dxa"/>
            </w:tcMar>
            <w:vAlign w:val="bottom"/>
            <w:hideMark/>
          </w:tcPr>
          <w:p w14:paraId="6E3DBA69"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51253791"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14:paraId="1BD1A565" w14:textId="77777777" w:rsidR="00000000" w:rsidRDefault="00097612">
            <w:pPr>
              <w:pStyle w:val="a3"/>
              <w:spacing w:before="0" w:beforeAutospacing="0" w:after="0" w:afterAutospacing="0"/>
              <w:jc w:val="center"/>
              <w:rPr>
                <w:sz w:val="20"/>
                <w:szCs w:val="20"/>
              </w:rPr>
            </w:pPr>
            <w:r>
              <w:rPr>
                <w:sz w:val="16"/>
                <w:szCs w:val="16"/>
              </w:rPr>
              <w:t>​</w:t>
            </w:r>
          </w:p>
        </w:tc>
        <w:tc>
          <w:tcPr>
            <w:tcW w:w="342" w:type="pct"/>
            <w:tcBorders>
              <w:bottom w:val="single" w:sz="6" w:space="0" w:color="000000"/>
            </w:tcBorders>
            <w:shd w:val="clear" w:color="auto" w:fill="CCEEFF"/>
            <w:tcMar>
              <w:top w:w="0" w:type="dxa"/>
              <w:left w:w="0" w:type="dxa"/>
              <w:bottom w:w="0" w:type="dxa"/>
              <w:right w:w="0" w:type="dxa"/>
            </w:tcMar>
            <w:vAlign w:val="bottom"/>
            <w:hideMark/>
          </w:tcPr>
          <w:p w14:paraId="54C2E6DC"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541F7796"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14:paraId="563BA463" w14:textId="77777777" w:rsidR="00000000" w:rsidRDefault="00097612">
            <w:pPr>
              <w:pStyle w:val="a3"/>
              <w:spacing w:before="0" w:beforeAutospacing="0" w:after="0" w:afterAutospacing="0"/>
              <w:jc w:val="center"/>
              <w:rPr>
                <w:sz w:val="20"/>
                <w:szCs w:val="20"/>
              </w:rPr>
            </w:pPr>
            <w:r>
              <w:rPr>
                <w:sz w:val="16"/>
                <w:szCs w:val="16"/>
              </w:rPr>
              <w:t>​</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14:paraId="491E3D36"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281F12E4" w14:textId="77777777" w:rsidR="00000000" w:rsidRDefault="00097612">
            <w:pPr>
              <w:pStyle w:val="a3"/>
              <w:spacing w:before="0" w:beforeAutospacing="0" w:after="0" w:afterAutospacing="0"/>
              <w:rPr>
                <w:sz w:val="20"/>
                <w:szCs w:val="20"/>
              </w:rPr>
            </w:pPr>
            <w:r>
              <w:rPr>
                <w:sz w:val="16"/>
                <w:szCs w:val="16"/>
              </w:rPr>
              <w:t>​</w:t>
            </w:r>
          </w:p>
        </w:tc>
        <w:tc>
          <w:tcPr>
            <w:tcW w:w="108" w:type="pct"/>
            <w:tcBorders>
              <w:bottom w:val="single" w:sz="6" w:space="0" w:color="000000"/>
            </w:tcBorders>
            <w:shd w:val="clear" w:color="auto" w:fill="CCEEFF"/>
            <w:noWrap/>
            <w:tcMar>
              <w:top w:w="0" w:type="dxa"/>
              <w:left w:w="0" w:type="dxa"/>
              <w:bottom w:w="0" w:type="dxa"/>
              <w:right w:w="0" w:type="dxa"/>
            </w:tcMar>
            <w:vAlign w:val="bottom"/>
            <w:hideMark/>
          </w:tcPr>
          <w:p w14:paraId="4B24793D" w14:textId="77777777" w:rsidR="00000000" w:rsidRDefault="00097612">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shd w:val="clear" w:color="auto" w:fill="CCEEFF"/>
            <w:noWrap/>
            <w:tcMar>
              <w:top w:w="0" w:type="dxa"/>
              <w:left w:w="0" w:type="dxa"/>
              <w:bottom w:w="0" w:type="dxa"/>
              <w:right w:w="0" w:type="dxa"/>
            </w:tcMar>
            <w:vAlign w:val="bottom"/>
            <w:hideMark/>
          </w:tcPr>
          <w:p w14:paraId="514BECC8" w14:textId="77777777" w:rsidR="00000000" w:rsidRDefault="00097612">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68C78367" w14:textId="77777777" w:rsidR="00000000" w:rsidRDefault="00097612">
            <w:pPr>
              <w:pStyle w:val="a3"/>
              <w:spacing w:before="0" w:beforeAutospacing="0" w:after="0" w:afterAutospacing="0"/>
              <w:rPr>
                <w:sz w:val="20"/>
                <w:szCs w:val="20"/>
              </w:rPr>
            </w:pPr>
            <w:r>
              <w:rPr>
                <w:sz w:val="16"/>
                <w:szCs w:val="16"/>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14:paraId="490902F3" w14:textId="77777777" w:rsidR="00000000" w:rsidRDefault="00097612">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14:paraId="79C2F9C4" w14:textId="77777777" w:rsidR="00000000" w:rsidRDefault="00097612">
            <w:pPr>
              <w:pStyle w:val="a3"/>
              <w:spacing w:before="0" w:beforeAutospacing="0" w:after="0" w:afterAutospacing="0"/>
              <w:jc w:val="right"/>
              <w:rPr>
                <w:sz w:val="16"/>
                <w:szCs w:val="16"/>
              </w:rPr>
            </w:pPr>
            <w:r>
              <w:rPr>
                <w:sz w:val="16"/>
                <w:szCs w:val="16"/>
              </w:rPr>
              <w:t>(165,338)</w:t>
            </w:r>
          </w:p>
        </w:tc>
        <w:tc>
          <w:tcPr>
            <w:tcW w:w="76" w:type="pct"/>
            <w:shd w:val="clear" w:color="auto" w:fill="CCEEFF"/>
            <w:noWrap/>
            <w:tcMar>
              <w:top w:w="0" w:type="dxa"/>
              <w:left w:w="0" w:type="dxa"/>
              <w:bottom w:w="0" w:type="dxa"/>
              <w:right w:w="0" w:type="dxa"/>
            </w:tcMar>
            <w:vAlign w:val="bottom"/>
            <w:hideMark/>
          </w:tcPr>
          <w:p w14:paraId="47F4DE12" w14:textId="77777777" w:rsidR="00000000" w:rsidRDefault="00097612">
            <w:pPr>
              <w:pStyle w:val="a3"/>
              <w:spacing w:before="0" w:beforeAutospacing="0" w:after="0" w:afterAutospacing="0"/>
              <w:rPr>
                <w:sz w:val="20"/>
                <w:szCs w:val="20"/>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14:paraId="17F83AC6" w14:textId="77777777" w:rsidR="00000000" w:rsidRDefault="00097612">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shd w:val="clear" w:color="auto" w:fill="CCEEFF"/>
            <w:noWrap/>
            <w:tcMar>
              <w:top w:w="0" w:type="dxa"/>
              <w:left w:w="0" w:type="dxa"/>
              <w:bottom w:w="0" w:type="dxa"/>
              <w:right w:w="0" w:type="dxa"/>
            </w:tcMar>
            <w:vAlign w:val="bottom"/>
            <w:hideMark/>
          </w:tcPr>
          <w:p w14:paraId="28F3766D" w14:textId="77777777" w:rsidR="00000000" w:rsidRDefault="00097612">
            <w:pPr>
              <w:pStyle w:val="a3"/>
              <w:spacing w:before="0" w:beforeAutospacing="0" w:after="0" w:afterAutospacing="0"/>
              <w:jc w:val="right"/>
              <w:rPr>
                <w:sz w:val="16"/>
                <w:szCs w:val="16"/>
              </w:rPr>
            </w:pPr>
            <w:r>
              <w:rPr>
                <w:sz w:val="16"/>
                <w:szCs w:val="16"/>
              </w:rPr>
              <w:t>(165,338)</w:t>
            </w:r>
          </w:p>
        </w:tc>
      </w:tr>
      <w:tr w:rsidR="00000000" w14:paraId="5FAD38D9" w14:textId="77777777">
        <w:trPr>
          <w:divId w:val="1429960337"/>
        </w:trPr>
        <w:tc>
          <w:tcPr>
            <w:tcW w:w="1847" w:type="pct"/>
            <w:tcMar>
              <w:top w:w="0" w:type="dxa"/>
              <w:left w:w="0" w:type="dxa"/>
              <w:bottom w:w="0" w:type="dxa"/>
              <w:right w:w="0" w:type="dxa"/>
            </w:tcMar>
            <w:vAlign w:val="bottom"/>
            <w:hideMark/>
          </w:tcPr>
          <w:p w14:paraId="38B81635" w14:textId="77777777" w:rsidR="00000000" w:rsidRDefault="00097612">
            <w:pPr>
              <w:pStyle w:val="a3"/>
              <w:spacing w:before="0" w:beforeAutospacing="0" w:after="0" w:afterAutospacing="0"/>
              <w:rPr>
                <w:sz w:val="16"/>
                <w:szCs w:val="16"/>
              </w:rPr>
            </w:pPr>
            <w:r>
              <w:rPr>
                <w:sz w:val="16"/>
                <w:szCs w:val="16"/>
              </w:rPr>
              <w:t>Balances at September 30, 2018</w:t>
            </w:r>
          </w:p>
        </w:tc>
        <w:tc>
          <w:tcPr>
            <w:tcW w:w="76" w:type="pct"/>
            <w:noWrap/>
            <w:tcMar>
              <w:top w:w="0" w:type="dxa"/>
              <w:left w:w="0" w:type="dxa"/>
              <w:bottom w:w="0" w:type="dxa"/>
              <w:right w:w="0" w:type="dxa"/>
            </w:tcMar>
            <w:vAlign w:val="bottom"/>
            <w:hideMark/>
          </w:tcPr>
          <w:p w14:paraId="0938B038" w14:textId="77777777" w:rsidR="00000000" w:rsidRDefault="00097612">
            <w:pPr>
              <w:pStyle w:val="a3"/>
              <w:spacing w:before="0" w:beforeAutospacing="0" w:after="0" w:afterAutospacing="0"/>
              <w:rPr>
                <w:sz w:val="20"/>
                <w:szCs w:val="20"/>
              </w:rPr>
            </w:pPr>
            <w:r>
              <w:rPr>
                <w:sz w:val="16"/>
                <w:szCs w:val="16"/>
              </w:rPr>
              <w:t>​</w:t>
            </w:r>
          </w:p>
        </w:tc>
        <w:tc>
          <w:tcPr>
            <w:tcW w:w="342" w:type="pct"/>
            <w:tcBorders>
              <w:bottom w:val="double" w:sz="6" w:space="0" w:color="000000"/>
            </w:tcBorders>
            <w:noWrap/>
            <w:tcMar>
              <w:top w:w="0" w:type="dxa"/>
              <w:left w:w="0" w:type="dxa"/>
              <w:bottom w:w="0" w:type="dxa"/>
              <w:right w:w="0" w:type="dxa"/>
            </w:tcMar>
            <w:vAlign w:val="bottom"/>
            <w:hideMark/>
          </w:tcPr>
          <w:p w14:paraId="5ECD1A53" w14:textId="77777777" w:rsidR="00000000" w:rsidRDefault="00097612">
            <w:pPr>
              <w:pStyle w:val="a3"/>
              <w:spacing w:before="0" w:beforeAutospacing="0" w:after="0" w:afterAutospacing="0"/>
              <w:ind w:right="60"/>
              <w:jc w:val="right"/>
              <w:rPr>
                <w:sz w:val="16"/>
                <w:szCs w:val="16"/>
              </w:rPr>
            </w:pPr>
            <w:r>
              <w:rPr>
                <w:sz w:val="16"/>
                <w:szCs w:val="16"/>
              </w:rPr>
              <w:t>55,410</w:t>
            </w:r>
          </w:p>
        </w:tc>
        <w:tc>
          <w:tcPr>
            <w:tcW w:w="76" w:type="pct"/>
            <w:noWrap/>
            <w:tcMar>
              <w:top w:w="0" w:type="dxa"/>
              <w:left w:w="0" w:type="dxa"/>
              <w:bottom w:w="0" w:type="dxa"/>
              <w:right w:w="0" w:type="dxa"/>
            </w:tcMar>
            <w:vAlign w:val="bottom"/>
            <w:hideMark/>
          </w:tcPr>
          <w:p w14:paraId="7D77D504"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14:paraId="7933E5BF" w14:textId="77777777" w:rsidR="00000000" w:rsidRDefault="00097612">
            <w:pPr>
              <w:pStyle w:val="a3"/>
              <w:spacing w:before="0" w:beforeAutospacing="0" w:after="0" w:afterAutospacing="0"/>
              <w:jc w:val="center"/>
              <w:rPr>
                <w:sz w:val="16"/>
                <w:szCs w:val="16"/>
              </w:rPr>
            </w:pPr>
            <w:r>
              <w:rPr>
                <w:sz w:val="16"/>
                <w:szCs w:val="16"/>
              </w:rPr>
              <w:t>$</w:t>
            </w:r>
          </w:p>
        </w:tc>
        <w:tc>
          <w:tcPr>
            <w:tcW w:w="342" w:type="pct"/>
            <w:tcBorders>
              <w:bottom w:val="double" w:sz="6" w:space="0" w:color="000000"/>
            </w:tcBorders>
            <w:noWrap/>
            <w:tcMar>
              <w:top w:w="0" w:type="dxa"/>
              <w:left w:w="0" w:type="dxa"/>
              <w:bottom w:w="0" w:type="dxa"/>
              <w:right w:w="0" w:type="dxa"/>
            </w:tcMar>
            <w:vAlign w:val="bottom"/>
            <w:hideMark/>
          </w:tcPr>
          <w:p w14:paraId="5701D4C9" w14:textId="77777777" w:rsidR="00000000" w:rsidRDefault="00097612">
            <w:pPr>
              <w:pStyle w:val="a3"/>
              <w:spacing w:before="0" w:beforeAutospacing="0" w:after="0" w:afterAutospacing="0"/>
              <w:ind w:right="60"/>
              <w:jc w:val="right"/>
              <w:rPr>
                <w:sz w:val="16"/>
                <w:szCs w:val="16"/>
              </w:rPr>
            </w:pPr>
            <w:r>
              <w:rPr>
                <w:sz w:val="16"/>
                <w:szCs w:val="16"/>
              </w:rPr>
              <w:t>1</w:t>
            </w:r>
          </w:p>
        </w:tc>
        <w:tc>
          <w:tcPr>
            <w:tcW w:w="76" w:type="pct"/>
            <w:noWrap/>
            <w:tcMar>
              <w:top w:w="0" w:type="dxa"/>
              <w:left w:w="0" w:type="dxa"/>
              <w:bottom w:w="0" w:type="dxa"/>
              <w:right w:w="0" w:type="dxa"/>
            </w:tcMar>
            <w:vAlign w:val="bottom"/>
            <w:hideMark/>
          </w:tcPr>
          <w:p w14:paraId="7C4CFB5B" w14:textId="77777777" w:rsidR="00000000" w:rsidRDefault="00097612">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14:paraId="3053D82E" w14:textId="77777777" w:rsidR="00000000" w:rsidRDefault="00097612">
            <w:pPr>
              <w:pStyle w:val="a3"/>
              <w:spacing w:before="0" w:beforeAutospacing="0" w:after="0" w:afterAutospacing="0"/>
              <w:jc w:val="center"/>
              <w:rPr>
                <w:sz w:val="16"/>
                <w:szCs w:val="16"/>
              </w:rPr>
            </w:pPr>
            <w:r>
              <w:rPr>
                <w:sz w:val="16"/>
                <w:szCs w:val="16"/>
              </w:rPr>
              <w:t>$</w:t>
            </w:r>
          </w:p>
        </w:tc>
        <w:tc>
          <w:tcPr>
            <w:tcW w:w="367" w:type="pct"/>
            <w:tcBorders>
              <w:bottom w:val="double" w:sz="6" w:space="0" w:color="000000"/>
            </w:tcBorders>
            <w:noWrap/>
            <w:tcMar>
              <w:top w:w="0" w:type="dxa"/>
              <w:left w:w="0" w:type="dxa"/>
              <w:bottom w:w="0" w:type="dxa"/>
              <w:right w:w="0" w:type="dxa"/>
            </w:tcMar>
            <w:vAlign w:val="bottom"/>
            <w:hideMark/>
          </w:tcPr>
          <w:p w14:paraId="1B993BF3" w14:textId="77777777" w:rsidR="00000000" w:rsidRDefault="00097612">
            <w:pPr>
              <w:pStyle w:val="a3"/>
              <w:spacing w:before="0" w:beforeAutospacing="0" w:after="0" w:afterAutospacing="0"/>
              <w:ind w:right="60"/>
              <w:jc w:val="right"/>
              <w:rPr>
                <w:sz w:val="16"/>
                <w:szCs w:val="16"/>
              </w:rPr>
            </w:pPr>
            <w:r>
              <w:rPr>
                <w:sz w:val="16"/>
                <w:szCs w:val="16"/>
              </w:rPr>
              <w:t>948,844</w:t>
            </w:r>
          </w:p>
        </w:tc>
        <w:tc>
          <w:tcPr>
            <w:tcW w:w="76" w:type="pct"/>
            <w:noWrap/>
            <w:tcMar>
              <w:top w:w="0" w:type="dxa"/>
              <w:left w:w="0" w:type="dxa"/>
              <w:bottom w:w="0" w:type="dxa"/>
              <w:right w:w="0" w:type="dxa"/>
            </w:tcMar>
            <w:vAlign w:val="bottom"/>
            <w:hideMark/>
          </w:tcPr>
          <w:p w14:paraId="609D8795" w14:textId="77777777" w:rsidR="00000000" w:rsidRDefault="00097612">
            <w:pPr>
              <w:pStyle w:val="a3"/>
              <w:spacing w:before="0" w:beforeAutospacing="0" w:after="0" w:afterAutospacing="0"/>
              <w:rPr>
                <w:sz w:val="20"/>
                <w:szCs w:val="20"/>
              </w:rPr>
            </w:pPr>
            <w:r>
              <w:rPr>
                <w:sz w:val="16"/>
                <w:szCs w:val="16"/>
              </w:rPr>
              <w:t>​</w:t>
            </w:r>
          </w:p>
        </w:tc>
        <w:tc>
          <w:tcPr>
            <w:tcW w:w="108" w:type="pct"/>
            <w:tcBorders>
              <w:bottom w:val="double" w:sz="6" w:space="0" w:color="000000"/>
            </w:tcBorders>
            <w:noWrap/>
            <w:tcMar>
              <w:top w:w="0" w:type="dxa"/>
              <w:left w:w="0" w:type="dxa"/>
              <w:bottom w:w="0" w:type="dxa"/>
              <w:right w:w="0" w:type="dxa"/>
            </w:tcMar>
            <w:vAlign w:val="bottom"/>
            <w:hideMark/>
          </w:tcPr>
          <w:p w14:paraId="166742B6" w14:textId="77777777" w:rsidR="00000000" w:rsidRDefault="00097612">
            <w:pPr>
              <w:pStyle w:val="a3"/>
              <w:spacing w:before="0" w:beforeAutospacing="0" w:after="0" w:afterAutospacing="0"/>
              <w:jc w:val="center"/>
              <w:rPr>
                <w:sz w:val="16"/>
                <w:szCs w:val="16"/>
              </w:rPr>
            </w:pPr>
            <w:r>
              <w:rPr>
                <w:sz w:val="16"/>
                <w:szCs w:val="16"/>
              </w:rPr>
              <w:t>$</w:t>
            </w:r>
          </w:p>
        </w:tc>
        <w:tc>
          <w:tcPr>
            <w:tcW w:w="422" w:type="pct"/>
            <w:tcBorders>
              <w:bottom w:val="double" w:sz="6" w:space="0" w:color="000000"/>
            </w:tcBorders>
            <w:noWrap/>
            <w:tcMar>
              <w:top w:w="0" w:type="dxa"/>
              <w:left w:w="0" w:type="dxa"/>
              <w:bottom w:w="0" w:type="dxa"/>
              <w:right w:w="0" w:type="dxa"/>
            </w:tcMar>
            <w:vAlign w:val="bottom"/>
            <w:hideMark/>
          </w:tcPr>
          <w:p w14:paraId="127702F5" w14:textId="77777777" w:rsidR="00000000" w:rsidRDefault="00097612">
            <w:pPr>
              <w:pStyle w:val="a3"/>
              <w:spacing w:before="0" w:beforeAutospacing="0" w:after="0" w:afterAutospacing="0"/>
              <w:jc w:val="right"/>
              <w:rPr>
                <w:sz w:val="16"/>
                <w:szCs w:val="16"/>
              </w:rPr>
            </w:pPr>
            <w:r>
              <w:rPr>
                <w:sz w:val="16"/>
                <w:szCs w:val="16"/>
              </w:rPr>
              <w:t>(331)</w:t>
            </w:r>
          </w:p>
        </w:tc>
        <w:tc>
          <w:tcPr>
            <w:tcW w:w="76" w:type="pct"/>
            <w:noWrap/>
            <w:tcMar>
              <w:top w:w="0" w:type="dxa"/>
              <w:left w:w="0" w:type="dxa"/>
              <w:bottom w:w="0" w:type="dxa"/>
              <w:right w:w="0" w:type="dxa"/>
            </w:tcMar>
            <w:vAlign w:val="bottom"/>
            <w:hideMark/>
          </w:tcPr>
          <w:p w14:paraId="7AB92560" w14:textId="77777777" w:rsidR="00000000" w:rsidRDefault="00097612">
            <w:pPr>
              <w:pStyle w:val="a3"/>
              <w:spacing w:before="0" w:beforeAutospacing="0" w:after="0" w:afterAutospacing="0"/>
              <w:rPr>
                <w:sz w:val="20"/>
                <w:szCs w:val="20"/>
              </w:rPr>
            </w:pPr>
            <w:r>
              <w:rPr>
                <w:sz w:val="16"/>
                <w:szCs w:val="16"/>
              </w:rPr>
              <w:t>​</w:t>
            </w:r>
          </w:p>
        </w:tc>
        <w:tc>
          <w:tcPr>
            <w:tcW w:w="91" w:type="pct"/>
            <w:tcBorders>
              <w:bottom w:val="double" w:sz="6" w:space="0" w:color="000000"/>
            </w:tcBorders>
            <w:noWrap/>
            <w:tcMar>
              <w:top w:w="0" w:type="dxa"/>
              <w:left w:w="0" w:type="dxa"/>
              <w:bottom w:w="0" w:type="dxa"/>
              <w:right w:w="0" w:type="dxa"/>
            </w:tcMar>
            <w:vAlign w:val="bottom"/>
            <w:hideMark/>
          </w:tcPr>
          <w:p w14:paraId="2BDBD2CE" w14:textId="77777777" w:rsidR="00000000" w:rsidRDefault="00097612">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noWrap/>
            <w:tcMar>
              <w:top w:w="0" w:type="dxa"/>
              <w:left w:w="0" w:type="dxa"/>
              <w:bottom w:w="0" w:type="dxa"/>
              <w:right w:w="0" w:type="dxa"/>
            </w:tcMar>
            <w:vAlign w:val="bottom"/>
            <w:hideMark/>
          </w:tcPr>
          <w:p w14:paraId="2B32F74A" w14:textId="77777777" w:rsidR="00000000" w:rsidRDefault="00097612">
            <w:pPr>
              <w:pStyle w:val="a3"/>
              <w:spacing w:before="0" w:beforeAutospacing="0" w:after="0" w:afterAutospacing="0"/>
              <w:jc w:val="right"/>
              <w:rPr>
                <w:sz w:val="16"/>
                <w:szCs w:val="16"/>
              </w:rPr>
            </w:pPr>
            <w:r>
              <w:rPr>
                <w:sz w:val="16"/>
                <w:szCs w:val="16"/>
              </w:rPr>
              <w:t>(961,959)</w:t>
            </w:r>
          </w:p>
        </w:tc>
        <w:tc>
          <w:tcPr>
            <w:tcW w:w="76" w:type="pct"/>
            <w:noWrap/>
            <w:tcMar>
              <w:top w:w="0" w:type="dxa"/>
              <w:left w:w="0" w:type="dxa"/>
              <w:bottom w:w="0" w:type="dxa"/>
              <w:right w:w="0" w:type="dxa"/>
            </w:tcMar>
            <w:vAlign w:val="bottom"/>
            <w:hideMark/>
          </w:tcPr>
          <w:p w14:paraId="5D458C2D" w14:textId="77777777" w:rsidR="00000000" w:rsidRDefault="00097612">
            <w:pPr>
              <w:pStyle w:val="a3"/>
              <w:spacing w:before="0" w:beforeAutospacing="0" w:after="0" w:afterAutospacing="0"/>
              <w:rPr>
                <w:sz w:val="20"/>
                <w:szCs w:val="20"/>
              </w:rPr>
            </w:pPr>
            <w:r>
              <w:rPr>
                <w:sz w:val="16"/>
                <w:szCs w:val="16"/>
              </w:rPr>
              <w:t>​</w:t>
            </w:r>
          </w:p>
        </w:tc>
        <w:tc>
          <w:tcPr>
            <w:tcW w:w="96" w:type="pct"/>
            <w:tcBorders>
              <w:bottom w:val="double" w:sz="6" w:space="0" w:color="000000"/>
            </w:tcBorders>
            <w:noWrap/>
            <w:tcMar>
              <w:top w:w="0" w:type="dxa"/>
              <w:left w:w="0" w:type="dxa"/>
              <w:bottom w:w="0" w:type="dxa"/>
              <w:right w:w="0" w:type="dxa"/>
            </w:tcMar>
            <w:vAlign w:val="bottom"/>
            <w:hideMark/>
          </w:tcPr>
          <w:p w14:paraId="501F8053" w14:textId="77777777" w:rsidR="00000000" w:rsidRDefault="00097612">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noWrap/>
            <w:tcMar>
              <w:top w:w="0" w:type="dxa"/>
              <w:left w:w="0" w:type="dxa"/>
              <w:bottom w:w="0" w:type="dxa"/>
              <w:right w:w="0" w:type="dxa"/>
            </w:tcMar>
            <w:vAlign w:val="bottom"/>
            <w:hideMark/>
          </w:tcPr>
          <w:p w14:paraId="638AD228" w14:textId="77777777" w:rsidR="00000000" w:rsidRDefault="00097612">
            <w:pPr>
              <w:pStyle w:val="a3"/>
              <w:spacing w:before="0" w:beforeAutospacing="0" w:after="0" w:afterAutospacing="0"/>
              <w:jc w:val="right"/>
              <w:rPr>
                <w:sz w:val="16"/>
                <w:szCs w:val="16"/>
              </w:rPr>
            </w:pPr>
            <w:r>
              <w:rPr>
                <w:sz w:val="16"/>
                <w:szCs w:val="16"/>
              </w:rPr>
              <w:t>(13,445)</w:t>
            </w:r>
          </w:p>
        </w:tc>
      </w:tr>
    </w:tbl>
    <w:p w14:paraId="136AC164" w14:textId="77777777" w:rsidR="00000000" w:rsidRDefault="00097612">
      <w:pPr>
        <w:pStyle w:val="a3"/>
        <w:spacing w:before="0" w:beforeAutospacing="0" w:after="0" w:afterAutospacing="0"/>
        <w:divId w:val="1429960337"/>
        <w:rPr>
          <w:sz w:val="20"/>
          <w:szCs w:val="20"/>
        </w:rPr>
      </w:pPr>
      <w:r>
        <w:rPr>
          <w:sz w:val="12"/>
          <w:szCs w:val="12"/>
        </w:rPr>
        <w:t>​</w:t>
      </w:r>
    </w:p>
    <w:p w14:paraId="0189C3AB" w14:textId="77777777" w:rsidR="00000000" w:rsidRDefault="00097612">
      <w:pPr>
        <w:pStyle w:val="a3"/>
        <w:spacing w:before="0" w:beforeAutospacing="0" w:after="0" w:afterAutospacing="0"/>
        <w:ind w:firstLine="720"/>
        <w:jc w:val="center"/>
        <w:divId w:val="1429960337"/>
        <w:rPr>
          <w:sz w:val="20"/>
          <w:szCs w:val="20"/>
        </w:rPr>
      </w:pPr>
      <w:r>
        <w:rPr>
          <w:i/>
          <w:iCs/>
          <w:sz w:val="20"/>
          <w:szCs w:val="20"/>
        </w:rPr>
        <w:t>See accompanying notes to condensed consolidated financial statements.</w:t>
      </w:r>
    </w:p>
    <w:p w14:paraId="1D241C4A" w14:textId="77777777" w:rsidR="00000000" w:rsidRDefault="00097612">
      <w:pPr>
        <w:pStyle w:val="a3"/>
        <w:spacing w:before="360" w:beforeAutospacing="0" w:after="0" w:afterAutospacing="0"/>
        <w:jc w:val="center"/>
        <w:divId w:val="846482890"/>
        <w:rPr>
          <w:sz w:val="20"/>
          <w:szCs w:val="20"/>
        </w:rPr>
      </w:pPr>
      <w:r>
        <w:rPr>
          <w:sz w:val="20"/>
          <w:szCs w:val="20"/>
        </w:rPr>
        <w:t>5</w:t>
      </w:r>
    </w:p>
    <w:p w14:paraId="0D5DF9F6" w14:textId="77777777" w:rsidR="00000000" w:rsidRDefault="00097612">
      <w:pPr>
        <w:pStyle w:val="a3"/>
        <w:spacing w:before="0" w:beforeAutospacing="0" w:after="600" w:afterAutospacing="0"/>
        <w:divId w:val="532420576"/>
        <w:rPr>
          <w:sz w:val="20"/>
          <w:szCs w:val="20"/>
        </w:rPr>
      </w:pPr>
      <w:hyperlink w:anchor="TOC" w:history="1">
        <w:r>
          <w:rPr>
            <w:rStyle w:val="a4"/>
            <w:sz w:val="20"/>
            <w:szCs w:val="20"/>
          </w:rPr>
          <w:t>Table of Contents</w:t>
        </w:r>
      </w:hyperlink>
    </w:p>
    <w:p w14:paraId="694AFE63" w14:textId="77777777" w:rsidR="00000000" w:rsidRDefault="00097612">
      <w:pPr>
        <w:pStyle w:val="a3"/>
        <w:spacing w:before="0" w:beforeAutospacing="0" w:after="0" w:afterAutospacing="0"/>
        <w:jc w:val="center"/>
        <w:divId w:val="1082946914"/>
        <w:rPr>
          <w:sz w:val="20"/>
          <w:szCs w:val="20"/>
        </w:rPr>
      </w:pPr>
      <w:r>
        <w:rPr>
          <w:b/>
          <w:bCs/>
          <w:sz w:val="20"/>
          <w:szCs w:val="20"/>
        </w:rPr>
        <w:t>THERAVANCE BIOPHARMA, INC.</w:t>
      </w:r>
    </w:p>
    <w:p w14:paraId="7D0DFE01" w14:textId="77777777" w:rsidR="00000000" w:rsidRDefault="00097612">
      <w:pPr>
        <w:pStyle w:val="a3"/>
        <w:spacing w:before="0" w:beforeAutospacing="0" w:after="0" w:afterAutospacing="0"/>
        <w:jc w:val="center"/>
        <w:divId w:val="1082946914"/>
        <w:rPr>
          <w:sz w:val="20"/>
          <w:szCs w:val="20"/>
        </w:rPr>
      </w:pPr>
      <w:r>
        <w:rPr>
          <w:b/>
          <w:bCs/>
          <w:sz w:val="20"/>
          <w:szCs w:val="20"/>
        </w:rPr>
        <w:t>CONDENSED CONSOLIDATED STATEMENTS OF CASH FLOWS</w:t>
      </w:r>
    </w:p>
    <w:p w14:paraId="1CD67363" w14:textId="77777777" w:rsidR="00000000" w:rsidRDefault="00097612">
      <w:pPr>
        <w:pStyle w:val="a3"/>
        <w:spacing w:before="0" w:beforeAutospacing="0" w:after="0" w:afterAutospacing="0"/>
        <w:jc w:val="center"/>
        <w:divId w:val="1082946914"/>
        <w:rPr>
          <w:sz w:val="20"/>
          <w:szCs w:val="20"/>
        </w:rPr>
      </w:pPr>
      <w:r>
        <w:rPr>
          <w:b/>
          <w:bCs/>
          <w:sz w:val="20"/>
          <w:szCs w:val="20"/>
        </w:rPr>
        <w:t>(Unaudited)</w:t>
      </w:r>
    </w:p>
    <w:p w14:paraId="6A155CBA" w14:textId="77777777" w:rsidR="00000000" w:rsidRDefault="00097612">
      <w:pPr>
        <w:pStyle w:val="a3"/>
        <w:spacing w:before="0" w:beforeAutospacing="0" w:after="0" w:afterAutospacing="0"/>
        <w:jc w:val="center"/>
        <w:divId w:val="1082946914"/>
        <w:rPr>
          <w:sz w:val="20"/>
          <w:szCs w:val="20"/>
        </w:rPr>
      </w:pPr>
      <w:r>
        <w:rPr>
          <w:b/>
          <w:bCs/>
          <w:sz w:val="20"/>
          <w:szCs w:val="20"/>
        </w:rPr>
        <w:t>(In thousands)</w:t>
      </w:r>
    </w:p>
    <w:p w14:paraId="50933B83" w14:textId="77777777" w:rsidR="00000000" w:rsidRDefault="00097612">
      <w:pPr>
        <w:pStyle w:val="a3"/>
        <w:spacing w:before="0" w:beforeAutospacing="0" w:after="0" w:afterAutospacing="0"/>
        <w:jc w:val="center"/>
        <w:divId w:val="1082946914"/>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724"/>
        <w:gridCol w:w="202"/>
        <w:gridCol w:w="202"/>
        <w:gridCol w:w="807"/>
        <w:gridCol w:w="202"/>
        <w:gridCol w:w="202"/>
        <w:gridCol w:w="807"/>
        <w:gridCol w:w="160"/>
      </w:tblGrid>
      <w:tr w:rsidR="00000000" w14:paraId="52479022" w14:textId="77777777">
        <w:trPr>
          <w:divId w:val="1082946914"/>
          <w:trHeight w:val="20"/>
        </w:trPr>
        <w:tc>
          <w:tcPr>
            <w:tcW w:w="3448" w:type="pct"/>
            <w:tcMar>
              <w:top w:w="0" w:type="dxa"/>
              <w:left w:w="0" w:type="dxa"/>
              <w:bottom w:w="0" w:type="dxa"/>
              <w:right w:w="0" w:type="dxa"/>
            </w:tcMar>
            <w:hideMark/>
          </w:tcPr>
          <w:p w14:paraId="3B5EF8AA" w14:textId="77777777" w:rsidR="00000000" w:rsidRDefault="00097612">
            <w:pPr>
              <w:pStyle w:val="a3"/>
              <w:spacing w:before="0" w:beforeAutospacing="0" w:after="0" w:afterAutospacing="0"/>
              <w:divId w:val="1846937711"/>
              <w:rPr>
                <w:sz w:val="20"/>
                <w:szCs w:val="20"/>
              </w:rPr>
            </w:pPr>
            <w:r>
              <w:rPr>
                <w:sz w:val="2"/>
                <w:szCs w:val="2"/>
              </w:rPr>
              <w:t>​</w:t>
            </w:r>
          </w:p>
        </w:tc>
        <w:tc>
          <w:tcPr>
            <w:tcW w:w="124" w:type="pct"/>
            <w:noWrap/>
            <w:tcMar>
              <w:top w:w="0" w:type="dxa"/>
              <w:left w:w="0" w:type="dxa"/>
              <w:bottom w:w="0" w:type="dxa"/>
              <w:right w:w="0" w:type="dxa"/>
            </w:tcMar>
            <w:vAlign w:val="bottom"/>
            <w:hideMark/>
          </w:tcPr>
          <w:p w14:paraId="45767710" w14:textId="77777777" w:rsidR="00000000" w:rsidRDefault="00097612">
            <w:pPr>
              <w:pStyle w:val="a3"/>
              <w:spacing w:before="0" w:beforeAutospacing="0" w:after="0" w:afterAutospacing="0"/>
              <w:divId w:val="671683447"/>
              <w:rPr>
                <w:sz w:val="20"/>
                <w:szCs w:val="20"/>
              </w:rPr>
            </w:pPr>
            <w:r>
              <w:rPr>
                <w:sz w:val="2"/>
                <w:szCs w:val="2"/>
              </w:rPr>
              <w:t>​</w:t>
            </w:r>
          </w:p>
        </w:tc>
        <w:tc>
          <w:tcPr>
            <w:tcW w:w="124" w:type="pct"/>
            <w:noWrap/>
            <w:tcMar>
              <w:top w:w="0" w:type="dxa"/>
              <w:left w:w="0" w:type="dxa"/>
              <w:bottom w:w="0" w:type="dxa"/>
              <w:right w:w="0" w:type="dxa"/>
            </w:tcMar>
            <w:vAlign w:val="bottom"/>
            <w:hideMark/>
          </w:tcPr>
          <w:p w14:paraId="6CC26A77" w14:textId="77777777" w:rsidR="00000000" w:rsidRDefault="00097612">
            <w:pPr>
              <w:pStyle w:val="a3"/>
              <w:spacing w:before="0" w:beforeAutospacing="0" w:after="0" w:afterAutospacing="0"/>
              <w:divId w:val="777944571"/>
              <w:rPr>
                <w:sz w:val="20"/>
                <w:szCs w:val="20"/>
              </w:rPr>
            </w:pPr>
            <w:r>
              <w:rPr>
                <w:sz w:val="2"/>
                <w:szCs w:val="2"/>
              </w:rPr>
              <w:t>​</w:t>
            </w:r>
          </w:p>
        </w:tc>
        <w:tc>
          <w:tcPr>
            <w:tcW w:w="488" w:type="pct"/>
            <w:noWrap/>
            <w:tcMar>
              <w:top w:w="0" w:type="dxa"/>
              <w:left w:w="0" w:type="dxa"/>
              <w:bottom w:w="0" w:type="dxa"/>
              <w:right w:w="0" w:type="dxa"/>
            </w:tcMar>
            <w:vAlign w:val="bottom"/>
            <w:hideMark/>
          </w:tcPr>
          <w:p w14:paraId="797B4645" w14:textId="77777777" w:rsidR="00000000" w:rsidRDefault="00097612">
            <w:pPr>
              <w:pStyle w:val="a3"/>
              <w:spacing w:before="0" w:beforeAutospacing="0" w:after="0" w:afterAutospacing="0"/>
              <w:divId w:val="136919929"/>
              <w:rPr>
                <w:sz w:val="20"/>
                <w:szCs w:val="20"/>
              </w:rPr>
            </w:pPr>
            <w:r>
              <w:rPr>
                <w:sz w:val="2"/>
                <w:szCs w:val="2"/>
              </w:rPr>
              <w:t>​</w:t>
            </w:r>
          </w:p>
        </w:tc>
        <w:tc>
          <w:tcPr>
            <w:tcW w:w="124" w:type="pct"/>
            <w:noWrap/>
            <w:tcMar>
              <w:top w:w="0" w:type="dxa"/>
              <w:left w:w="0" w:type="dxa"/>
              <w:bottom w:w="0" w:type="dxa"/>
              <w:right w:w="0" w:type="dxa"/>
            </w:tcMar>
            <w:vAlign w:val="bottom"/>
            <w:hideMark/>
          </w:tcPr>
          <w:p w14:paraId="0943CCC4" w14:textId="77777777" w:rsidR="00000000" w:rsidRDefault="00097612">
            <w:pPr>
              <w:pStyle w:val="a3"/>
              <w:spacing w:before="0" w:beforeAutospacing="0" w:after="0" w:afterAutospacing="0"/>
              <w:divId w:val="1041905720"/>
              <w:rPr>
                <w:sz w:val="20"/>
                <w:szCs w:val="20"/>
              </w:rPr>
            </w:pPr>
            <w:r>
              <w:rPr>
                <w:sz w:val="2"/>
                <w:szCs w:val="2"/>
              </w:rPr>
              <w:t>​</w:t>
            </w:r>
          </w:p>
        </w:tc>
        <w:tc>
          <w:tcPr>
            <w:tcW w:w="124" w:type="pct"/>
            <w:noWrap/>
            <w:tcMar>
              <w:top w:w="0" w:type="dxa"/>
              <w:left w:w="0" w:type="dxa"/>
              <w:bottom w:w="0" w:type="dxa"/>
              <w:right w:w="0" w:type="dxa"/>
            </w:tcMar>
            <w:vAlign w:val="bottom"/>
            <w:hideMark/>
          </w:tcPr>
          <w:p w14:paraId="09132CE2" w14:textId="77777777" w:rsidR="00000000" w:rsidRDefault="00097612">
            <w:pPr>
              <w:pStyle w:val="a3"/>
              <w:spacing w:before="0" w:beforeAutospacing="0" w:after="0" w:afterAutospacing="0"/>
              <w:divId w:val="571432616"/>
              <w:rPr>
                <w:sz w:val="20"/>
                <w:szCs w:val="20"/>
              </w:rPr>
            </w:pPr>
            <w:r>
              <w:rPr>
                <w:sz w:val="2"/>
                <w:szCs w:val="2"/>
              </w:rPr>
              <w:t>​</w:t>
            </w:r>
          </w:p>
        </w:tc>
        <w:tc>
          <w:tcPr>
            <w:tcW w:w="488" w:type="pct"/>
            <w:noWrap/>
            <w:tcMar>
              <w:top w:w="0" w:type="dxa"/>
              <w:left w:w="0" w:type="dxa"/>
              <w:bottom w:w="0" w:type="dxa"/>
              <w:right w:w="0" w:type="dxa"/>
            </w:tcMar>
            <w:vAlign w:val="bottom"/>
            <w:hideMark/>
          </w:tcPr>
          <w:p w14:paraId="3FAD9DFD" w14:textId="77777777" w:rsidR="00000000" w:rsidRDefault="00097612">
            <w:pPr>
              <w:pStyle w:val="a3"/>
              <w:spacing w:before="0" w:beforeAutospacing="0" w:after="0" w:afterAutospacing="0"/>
              <w:divId w:val="1738284621"/>
              <w:rPr>
                <w:sz w:val="20"/>
                <w:szCs w:val="20"/>
              </w:rPr>
            </w:pPr>
            <w:r>
              <w:rPr>
                <w:sz w:val="2"/>
                <w:szCs w:val="2"/>
              </w:rPr>
              <w:t>​</w:t>
            </w:r>
          </w:p>
        </w:tc>
        <w:tc>
          <w:tcPr>
            <w:tcW w:w="79" w:type="pct"/>
            <w:noWrap/>
            <w:tcMar>
              <w:top w:w="0" w:type="dxa"/>
              <w:left w:w="0" w:type="dxa"/>
              <w:bottom w:w="0" w:type="dxa"/>
              <w:right w:w="0" w:type="dxa"/>
            </w:tcMar>
            <w:vAlign w:val="bottom"/>
            <w:hideMark/>
          </w:tcPr>
          <w:p w14:paraId="0292BC1F" w14:textId="77777777" w:rsidR="00000000" w:rsidRDefault="00097612">
            <w:pPr>
              <w:pStyle w:val="a3"/>
              <w:spacing w:before="0" w:beforeAutospacing="0" w:after="0" w:afterAutospacing="0"/>
              <w:divId w:val="112603109"/>
              <w:rPr>
                <w:sz w:val="20"/>
                <w:szCs w:val="20"/>
              </w:rPr>
            </w:pPr>
            <w:r>
              <w:rPr>
                <w:sz w:val="2"/>
                <w:szCs w:val="2"/>
              </w:rPr>
              <w:t>​</w:t>
            </w:r>
          </w:p>
        </w:tc>
      </w:tr>
      <w:tr w:rsidR="00000000" w14:paraId="4ACA92F4" w14:textId="77777777">
        <w:trPr>
          <w:divId w:val="1082946914"/>
        </w:trPr>
        <w:tc>
          <w:tcPr>
            <w:tcW w:w="3448" w:type="pct"/>
            <w:shd w:val="clear" w:color="auto" w:fill="auto"/>
            <w:noWrap/>
            <w:tcMar>
              <w:top w:w="0" w:type="dxa"/>
              <w:left w:w="0" w:type="dxa"/>
              <w:bottom w:w="0" w:type="dxa"/>
              <w:right w:w="0" w:type="dxa"/>
            </w:tcMar>
            <w:vAlign w:val="bottom"/>
            <w:hideMark/>
          </w:tcPr>
          <w:p w14:paraId="1E713BE7" w14:textId="77777777" w:rsidR="00000000" w:rsidRDefault="00097612">
            <w:pPr>
              <w:pStyle w:val="a3"/>
              <w:spacing w:before="0" w:beforeAutospacing="0" w:after="0" w:afterAutospacing="0"/>
              <w:rPr>
                <w:sz w:val="20"/>
                <w:szCs w:val="20"/>
              </w:rPr>
            </w:pPr>
            <w:r>
              <w:rPr>
                <w:b/>
                <w:bCs/>
                <w:sz w:val="16"/>
                <w:szCs w:val="16"/>
              </w:rPr>
              <w:t>​</w:t>
            </w:r>
          </w:p>
        </w:tc>
        <w:tc>
          <w:tcPr>
            <w:tcW w:w="124" w:type="pct"/>
            <w:shd w:val="clear" w:color="auto" w:fill="auto"/>
            <w:noWrap/>
            <w:tcMar>
              <w:top w:w="0" w:type="dxa"/>
              <w:left w:w="0" w:type="dxa"/>
              <w:bottom w:w="0" w:type="dxa"/>
              <w:right w:w="0" w:type="dxa"/>
            </w:tcMar>
            <w:vAlign w:val="bottom"/>
            <w:hideMark/>
          </w:tcPr>
          <w:p w14:paraId="7913C556" w14:textId="77777777" w:rsidR="00000000" w:rsidRDefault="00097612">
            <w:pPr>
              <w:pStyle w:val="a3"/>
              <w:spacing w:before="0" w:beforeAutospacing="0" w:after="0" w:afterAutospacing="0"/>
              <w:rPr>
                <w:sz w:val="20"/>
                <w:szCs w:val="20"/>
              </w:rPr>
            </w:pPr>
            <w:r>
              <w:rPr>
                <w:b/>
                <w:bCs/>
                <w:sz w:val="16"/>
                <w:szCs w:val="16"/>
              </w:rPr>
              <w:t>​</w:t>
            </w:r>
          </w:p>
        </w:tc>
        <w:tc>
          <w:tcPr>
            <w:tcW w:w="1348" w:type="pct"/>
            <w:gridSpan w:val="5"/>
            <w:shd w:val="clear" w:color="auto" w:fill="auto"/>
            <w:noWrap/>
            <w:tcMar>
              <w:top w:w="0" w:type="dxa"/>
              <w:left w:w="0" w:type="dxa"/>
              <w:bottom w:w="0" w:type="dxa"/>
              <w:right w:w="0" w:type="dxa"/>
            </w:tcMar>
            <w:vAlign w:val="bottom"/>
            <w:hideMark/>
          </w:tcPr>
          <w:p w14:paraId="06866BD5"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79" w:type="pct"/>
            <w:shd w:val="clear" w:color="auto" w:fill="auto"/>
            <w:noWrap/>
            <w:tcMar>
              <w:top w:w="0" w:type="dxa"/>
              <w:left w:w="0" w:type="dxa"/>
              <w:bottom w:w="0" w:type="dxa"/>
              <w:right w:w="0" w:type="dxa"/>
            </w:tcMar>
            <w:vAlign w:val="bottom"/>
            <w:hideMark/>
          </w:tcPr>
          <w:p w14:paraId="6DE379F5" w14:textId="77777777" w:rsidR="00000000" w:rsidRDefault="00097612">
            <w:pPr>
              <w:pStyle w:val="a3"/>
              <w:spacing w:before="0" w:beforeAutospacing="0" w:after="0" w:afterAutospacing="0"/>
              <w:rPr>
                <w:sz w:val="20"/>
                <w:szCs w:val="20"/>
              </w:rPr>
            </w:pPr>
            <w:r>
              <w:rPr>
                <w:b/>
                <w:bCs/>
                <w:sz w:val="16"/>
                <w:szCs w:val="16"/>
              </w:rPr>
              <w:t>​</w:t>
            </w:r>
          </w:p>
        </w:tc>
      </w:tr>
      <w:tr w:rsidR="00000000" w14:paraId="311DE957" w14:textId="77777777">
        <w:trPr>
          <w:divId w:val="1082946914"/>
        </w:trPr>
        <w:tc>
          <w:tcPr>
            <w:tcW w:w="3448" w:type="pct"/>
            <w:shd w:val="clear" w:color="auto" w:fill="auto"/>
            <w:noWrap/>
            <w:tcMar>
              <w:top w:w="0" w:type="dxa"/>
              <w:left w:w="0" w:type="dxa"/>
              <w:bottom w:w="0" w:type="dxa"/>
              <w:right w:w="0" w:type="dxa"/>
            </w:tcMar>
            <w:vAlign w:val="bottom"/>
            <w:hideMark/>
          </w:tcPr>
          <w:p w14:paraId="58748AA8" w14:textId="77777777" w:rsidR="00000000" w:rsidRDefault="00097612">
            <w:pPr>
              <w:pStyle w:val="a3"/>
              <w:spacing w:before="0" w:beforeAutospacing="0" w:after="0" w:afterAutospacing="0"/>
              <w:rPr>
                <w:sz w:val="20"/>
                <w:szCs w:val="20"/>
              </w:rPr>
            </w:pPr>
            <w:r>
              <w:rPr>
                <w:b/>
                <w:bCs/>
                <w:sz w:val="16"/>
                <w:szCs w:val="16"/>
              </w:rPr>
              <w:t>​</w:t>
            </w:r>
          </w:p>
        </w:tc>
        <w:tc>
          <w:tcPr>
            <w:tcW w:w="124" w:type="pct"/>
            <w:shd w:val="clear" w:color="auto" w:fill="auto"/>
            <w:noWrap/>
            <w:tcMar>
              <w:top w:w="0" w:type="dxa"/>
              <w:left w:w="0" w:type="dxa"/>
              <w:bottom w:w="0" w:type="dxa"/>
              <w:right w:w="0" w:type="dxa"/>
            </w:tcMar>
            <w:vAlign w:val="bottom"/>
            <w:hideMark/>
          </w:tcPr>
          <w:p w14:paraId="09F83E14" w14:textId="77777777" w:rsidR="00000000" w:rsidRDefault="00097612">
            <w:pPr>
              <w:pStyle w:val="a3"/>
              <w:spacing w:before="0" w:beforeAutospacing="0" w:after="0" w:afterAutospacing="0"/>
              <w:rPr>
                <w:sz w:val="20"/>
                <w:szCs w:val="20"/>
              </w:rPr>
            </w:pPr>
            <w:r>
              <w:rPr>
                <w:b/>
                <w:bCs/>
                <w:sz w:val="16"/>
                <w:szCs w:val="16"/>
              </w:rPr>
              <w:t>​</w:t>
            </w:r>
          </w:p>
        </w:tc>
        <w:tc>
          <w:tcPr>
            <w:tcW w:w="1348" w:type="pct"/>
            <w:gridSpan w:val="5"/>
            <w:tcBorders>
              <w:bottom w:val="single" w:sz="6" w:space="0" w:color="000000"/>
            </w:tcBorders>
            <w:shd w:val="clear" w:color="auto" w:fill="auto"/>
            <w:noWrap/>
            <w:tcMar>
              <w:top w:w="0" w:type="dxa"/>
              <w:left w:w="0" w:type="dxa"/>
              <w:bottom w:w="0" w:type="dxa"/>
              <w:right w:w="0" w:type="dxa"/>
            </w:tcMar>
            <w:vAlign w:val="bottom"/>
            <w:hideMark/>
          </w:tcPr>
          <w:p w14:paraId="13724016"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21115606" w14:textId="77777777" w:rsidR="00000000" w:rsidRDefault="00097612">
            <w:pPr>
              <w:pStyle w:val="a3"/>
              <w:spacing w:before="0" w:beforeAutospacing="0" w:after="0" w:afterAutospacing="0"/>
              <w:rPr>
                <w:sz w:val="20"/>
                <w:szCs w:val="20"/>
              </w:rPr>
            </w:pPr>
            <w:r>
              <w:rPr>
                <w:b/>
                <w:bCs/>
                <w:sz w:val="16"/>
                <w:szCs w:val="16"/>
              </w:rPr>
              <w:t>​</w:t>
            </w:r>
          </w:p>
        </w:tc>
      </w:tr>
      <w:tr w:rsidR="00000000" w14:paraId="0563200B" w14:textId="77777777">
        <w:trPr>
          <w:divId w:val="1082946914"/>
        </w:trPr>
        <w:tc>
          <w:tcPr>
            <w:tcW w:w="3448" w:type="pct"/>
            <w:shd w:val="clear" w:color="auto" w:fill="auto"/>
            <w:noWrap/>
            <w:tcMar>
              <w:top w:w="0" w:type="dxa"/>
              <w:left w:w="0" w:type="dxa"/>
              <w:bottom w:w="0" w:type="dxa"/>
              <w:right w:w="0" w:type="dxa"/>
            </w:tcMar>
            <w:vAlign w:val="bottom"/>
            <w:hideMark/>
          </w:tcPr>
          <w:p w14:paraId="638D7B2E" w14:textId="77777777" w:rsidR="00000000" w:rsidRDefault="00097612">
            <w:pPr>
              <w:pStyle w:val="a3"/>
              <w:spacing w:before="0" w:beforeAutospacing="0" w:after="0" w:afterAutospacing="0"/>
              <w:rPr>
                <w:sz w:val="20"/>
                <w:szCs w:val="20"/>
              </w:rPr>
            </w:pPr>
            <w:r>
              <w:rPr>
                <w:b/>
                <w:bCs/>
                <w:sz w:val="16"/>
                <w:szCs w:val="16"/>
              </w:rPr>
              <w:t>​</w:t>
            </w:r>
          </w:p>
        </w:tc>
        <w:tc>
          <w:tcPr>
            <w:tcW w:w="124" w:type="pct"/>
            <w:shd w:val="clear" w:color="auto" w:fill="auto"/>
            <w:noWrap/>
            <w:tcMar>
              <w:top w:w="0" w:type="dxa"/>
              <w:left w:w="0" w:type="dxa"/>
              <w:bottom w:w="0" w:type="dxa"/>
              <w:right w:w="0" w:type="dxa"/>
            </w:tcMar>
            <w:vAlign w:val="bottom"/>
            <w:hideMark/>
          </w:tcPr>
          <w:p w14:paraId="45BB85FA" w14:textId="77777777" w:rsidR="00000000" w:rsidRDefault="00097612">
            <w:pPr>
              <w:pStyle w:val="a3"/>
              <w:spacing w:before="0" w:beforeAutospacing="0" w:after="0" w:afterAutospacing="0"/>
              <w:rPr>
                <w:sz w:val="16"/>
                <w:szCs w:val="16"/>
              </w:rPr>
            </w:pPr>
            <w:r>
              <w:rPr>
                <w:b/>
                <w:bCs/>
                <w:sz w:val="16"/>
                <w:szCs w:val="16"/>
              </w:rPr>
              <w:t>    </w:t>
            </w:r>
          </w:p>
        </w:tc>
        <w:tc>
          <w:tcPr>
            <w:tcW w:w="612" w:type="pct"/>
            <w:gridSpan w:val="2"/>
            <w:tcBorders>
              <w:bottom w:val="single" w:sz="6" w:space="0" w:color="000000"/>
            </w:tcBorders>
            <w:shd w:val="clear" w:color="auto" w:fill="auto"/>
            <w:noWrap/>
            <w:tcMar>
              <w:top w:w="0" w:type="dxa"/>
              <w:left w:w="0" w:type="dxa"/>
              <w:bottom w:w="0" w:type="dxa"/>
              <w:right w:w="0" w:type="dxa"/>
            </w:tcMar>
            <w:vAlign w:val="bottom"/>
            <w:hideMark/>
          </w:tcPr>
          <w:p w14:paraId="460FA1BC" w14:textId="77777777" w:rsidR="00000000" w:rsidRDefault="00097612">
            <w:pPr>
              <w:pStyle w:val="a3"/>
              <w:spacing w:before="0" w:beforeAutospacing="0" w:after="0" w:afterAutospacing="0"/>
              <w:jc w:val="center"/>
              <w:rPr>
                <w:sz w:val="16"/>
                <w:szCs w:val="16"/>
              </w:rPr>
            </w:pPr>
            <w:r>
              <w:rPr>
                <w:b/>
                <w:bCs/>
                <w:sz w:val="16"/>
                <w:szCs w:val="16"/>
              </w:rPr>
              <w:t>2019</w:t>
            </w:r>
          </w:p>
        </w:tc>
        <w:tc>
          <w:tcPr>
            <w:tcW w:w="124" w:type="pct"/>
            <w:shd w:val="clear" w:color="auto" w:fill="auto"/>
            <w:noWrap/>
            <w:tcMar>
              <w:top w:w="0" w:type="dxa"/>
              <w:left w:w="0" w:type="dxa"/>
              <w:bottom w:w="0" w:type="dxa"/>
              <w:right w:w="0" w:type="dxa"/>
            </w:tcMar>
            <w:vAlign w:val="bottom"/>
            <w:hideMark/>
          </w:tcPr>
          <w:p w14:paraId="60BC81EF" w14:textId="77777777" w:rsidR="00000000" w:rsidRDefault="00097612">
            <w:pPr>
              <w:pStyle w:val="a3"/>
              <w:spacing w:before="0" w:beforeAutospacing="0" w:after="0" w:afterAutospacing="0"/>
              <w:rPr>
                <w:sz w:val="16"/>
                <w:szCs w:val="16"/>
              </w:rPr>
            </w:pPr>
            <w:r>
              <w:rPr>
                <w:b/>
                <w:bCs/>
                <w:sz w:val="16"/>
                <w:szCs w:val="16"/>
              </w:rPr>
              <w:t>    </w:t>
            </w:r>
          </w:p>
        </w:tc>
        <w:tc>
          <w:tcPr>
            <w:tcW w:w="612" w:type="pct"/>
            <w:gridSpan w:val="2"/>
            <w:tcBorders>
              <w:bottom w:val="single" w:sz="6" w:space="0" w:color="000000"/>
            </w:tcBorders>
            <w:shd w:val="clear" w:color="auto" w:fill="auto"/>
            <w:noWrap/>
            <w:tcMar>
              <w:top w:w="0" w:type="dxa"/>
              <w:left w:w="0" w:type="dxa"/>
              <w:bottom w:w="0" w:type="dxa"/>
              <w:right w:w="0" w:type="dxa"/>
            </w:tcMar>
            <w:vAlign w:val="bottom"/>
            <w:hideMark/>
          </w:tcPr>
          <w:p w14:paraId="3AD1A975"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185EBC1B" w14:textId="77777777" w:rsidR="00000000" w:rsidRDefault="00097612">
            <w:pPr>
              <w:pStyle w:val="a3"/>
              <w:spacing w:before="0" w:beforeAutospacing="0" w:after="0" w:afterAutospacing="0"/>
              <w:rPr>
                <w:sz w:val="16"/>
                <w:szCs w:val="16"/>
              </w:rPr>
            </w:pPr>
            <w:r>
              <w:rPr>
                <w:b/>
                <w:bCs/>
                <w:sz w:val="16"/>
                <w:szCs w:val="16"/>
              </w:rPr>
              <w:t>    </w:t>
            </w:r>
          </w:p>
        </w:tc>
      </w:tr>
      <w:tr w:rsidR="00000000" w14:paraId="2231BF37" w14:textId="77777777">
        <w:trPr>
          <w:divId w:val="1082946914"/>
        </w:trPr>
        <w:tc>
          <w:tcPr>
            <w:tcW w:w="3448" w:type="pct"/>
            <w:shd w:val="clear" w:color="auto" w:fill="CCEEFF"/>
            <w:tcMar>
              <w:top w:w="0" w:type="dxa"/>
              <w:left w:w="0" w:type="dxa"/>
              <w:bottom w:w="0" w:type="dxa"/>
              <w:right w:w="0" w:type="dxa"/>
            </w:tcMar>
            <w:hideMark/>
          </w:tcPr>
          <w:p w14:paraId="46D0FD5E" w14:textId="77777777" w:rsidR="00000000" w:rsidRDefault="00097612">
            <w:pPr>
              <w:pStyle w:val="a3"/>
              <w:spacing w:before="0" w:beforeAutospacing="0" w:after="0" w:afterAutospacing="0"/>
              <w:rPr>
                <w:sz w:val="16"/>
                <w:szCs w:val="16"/>
              </w:rPr>
            </w:pPr>
            <w:r>
              <w:rPr>
                <w:b/>
                <w:bCs/>
                <w:sz w:val="16"/>
                <w:szCs w:val="16"/>
              </w:rPr>
              <w:t>Operating activities</w:t>
            </w:r>
          </w:p>
        </w:tc>
        <w:tc>
          <w:tcPr>
            <w:tcW w:w="124" w:type="pct"/>
            <w:shd w:val="clear" w:color="auto" w:fill="CCEEFF"/>
            <w:noWrap/>
            <w:tcMar>
              <w:top w:w="0" w:type="dxa"/>
              <w:left w:w="0" w:type="dxa"/>
              <w:bottom w:w="0" w:type="dxa"/>
              <w:right w:w="0" w:type="dxa"/>
            </w:tcMar>
            <w:vAlign w:val="bottom"/>
            <w:hideMark/>
          </w:tcPr>
          <w:p w14:paraId="5A94E1E7"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1CAB4432"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7163ED81" w14:textId="77777777" w:rsidR="00000000" w:rsidRDefault="00097612">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219B68AC"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620B5D3B"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69049CF6" w14:textId="77777777" w:rsidR="00000000" w:rsidRDefault="00097612">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71068539" w14:textId="77777777" w:rsidR="00000000" w:rsidRDefault="00097612">
            <w:pPr>
              <w:pStyle w:val="a3"/>
              <w:spacing w:before="0" w:beforeAutospacing="0" w:after="0" w:afterAutospacing="0"/>
              <w:rPr>
                <w:sz w:val="20"/>
                <w:szCs w:val="20"/>
              </w:rPr>
            </w:pPr>
            <w:r>
              <w:rPr>
                <w:sz w:val="16"/>
                <w:szCs w:val="16"/>
              </w:rPr>
              <w:t>​</w:t>
            </w:r>
          </w:p>
        </w:tc>
      </w:tr>
      <w:tr w:rsidR="00000000" w14:paraId="0987DD76" w14:textId="77777777">
        <w:trPr>
          <w:divId w:val="1082946914"/>
        </w:trPr>
        <w:tc>
          <w:tcPr>
            <w:tcW w:w="3448" w:type="pct"/>
            <w:tcMar>
              <w:top w:w="0" w:type="dxa"/>
              <w:left w:w="0" w:type="dxa"/>
              <w:bottom w:w="0" w:type="dxa"/>
              <w:right w:w="0" w:type="dxa"/>
            </w:tcMar>
            <w:hideMark/>
          </w:tcPr>
          <w:p w14:paraId="69815CD9" w14:textId="77777777" w:rsidR="00000000" w:rsidRDefault="00097612">
            <w:pPr>
              <w:pStyle w:val="a3"/>
              <w:spacing w:before="0" w:beforeAutospacing="0" w:after="0" w:afterAutospacing="0"/>
              <w:rPr>
                <w:sz w:val="16"/>
                <w:szCs w:val="16"/>
              </w:rPr>
            </w:pPr>
            <w:r>
              <w:rPr>
                <w:sz w:val="16"/>
                <w:szCs w:val="16"/>
              </w:rPr>
              <w:t xml:space="preserve">Net loss </w:t>
            </w:r>
          </w:p>
        </w:tc>
        <w:tc>
          <w:tcPr>
            <w:tcW w:w="124" w:type="pct"/>
            <w:noWrap/>
            <w:tcMar>
              <w:top w:w="0" w:type="dxa"/>
              <w:left w:w="0" w:type="dxa"/>
              <w:bottom w:w="0" w:type="dxa"/>
              <w:right w:w="0" w:type="dxa"/>
            </w:tcMar>
            <w:vAlign w:val="bottom"/>
            <w:hideMark/>
          </w:tcPr>
          <w:p w14:paraId="22D3CFB1"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32D3917E" w14:textId="77777777" w:rsidR="00000000" w:rsidRDefault="00097612">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14:paraId="79816098" w14:textId="77777777" w:rsidR="00000000" w:rsidRDefault="00097612">
            <w:pPr>
              <w:pStyle w:val="a3"/>
              <w:spacing w:before="0" w:beforeAutospacing="0" w:after="0" w:afterAutospacing="0"/>
              <w:jc w:val="right"/>
              <w:rPr>
                <w:sz w:val="16"/>
                <w:szCs w:val="16"/>
              </w:rPr>
            </w:pPr>
            <w:r>
              <w:rPr>
                <w:sz w:val="16"/>
                <w:szCs w:val="16"/>
              </w:rPr>
              <w:t>(170,849)</w:t>
            </w:r>
          </w:p>
        </w:tc>
        <w:tc>
          <w:tcPr>
            <w:tcW w:w="124" w:type="pct"/>
            <w:noWrap/>
            <w:tcMar>
              <w:top w:w="0" w:type="dxa"/>
              <w:left w:w="0" w:type="dxa"/>
              <w:bottom w:w="0" w:type="dxa"/>
              <w:right w:w="0" w:type="dxa"/>
            </w:tcMar>
            <w:vAlign w:val="bottom"/>
            <w:hideMark/>
          </w:tcPr>
          <w:p w14:paraId="73638E8B"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4D6056EB" w14:textId="77777777" w:rsidR="00000000" w:rsidRDefault="00097612">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14:paraId="03F348EC" w14:textId="77777777" w:rsidR="00000000" w:rsidRDefault="00097612">
            <w:pPr>
              <w:pStyle w:val="a3"/>
              <w:spacing w:before="0" w:beforeAutospacing="0" w:after="0" w:afterAutospacing="0"/>
              <w:jc w:val="right"/>
              <w:rPr>
                <w:sz w:val="16"/>
                <w:szCs w:val="16"/>
              </w:rPr>
            </w:pPr>
            <w:r>
              <w:rPr>
                <w:sz w:val="16"/>
                <w:szCs w:val="16"/>
              </w:rPr>
              <w:t>(165,338)</w:t>
            </w:r>
          </w:p>
        </w:tc>
        <w:tc>
          <w:tcPr>
            <w:tcW w:w="79" w:type="pct"/>
            <w:noWrap/>
            <w:tcMar>
              <w:top w:w="0" w:type="dxa"/>
              <w:left w:w="0" w:type="dxa"/>
              <w:bottom w:w="0" w:type="dxa"/>
              <w:right w:w="0" w:type="dxa"/>
            </w:tcMar>
            <w:vAlign w:val="bottom"/>
            <w:hideMark/>
          </w:tcPr>
          <w:p w14:paraId="27412727" w14:textId="77777777" w:rsidR="00000000" w:rsidRDefault="00097612">
            <w:pPr>
              <w:pStyle w:val="a3"/>
              <w:spacing w:before="0" w:beforeAutospacing="0" w:after="0" w:afterAutospacing="0"/>
              <w:rPr>
                <w:sz w:val="20"/>
                <w:szCs w:val="20"/>
              </w:rPr>
            </w:pPr>
            <w:r>
              <w:rPr>
                <w:sz w:val="16"/>
                <w:szCs w:val="16"/>
              </w:rPr>
              <w:t>​</w:t>
            </w:r>
          </w:p>
        </w:tc>
      </w:tr>
      <w:tr w:rsidR="00000000" w14:paraId="110C10E1" w14:textId="77777777">
        <w:trPr>
          <w:divId w:val="1082946914"/>
        </w:trPr>
        <w:tc>
          <w:tcPr>
            <w:tcW w:w="3448" w:type="pct"/>
            <w:shd w:val="clear" w:color="auto" w:fill="CCEEFF"/>
            <w:tcMar>
              <w:top w:w="0" w:type="dxa"/>
              <w:left w:w="0" w:type="dxa"/>
              <w:bottom w:w="0" w:type="dxa"/>
              <w:right w:w="0" w:type="dxa"/>
            </w:tcMar>
            <w:hideMark/>
          </w:tcPr>
          <w:p w14:paraId="3C47A69F" w14:textId="77777777" w:rsidR="00000000" w:rsidRDefault="00097612">
            <w:pPr>
              <w:pStyle w:val="a3"/>
              <w:spacing w:before="0" w:beforeAutospacing="0" w:after="0" w:afterAutospacing="0"/>
              <w:rPr>
                <w:sz w:val="16"/>
                <w:szCs w:val="16"/>
              </w:rPr>
            </w:pPr>
            <w:r>
              <w:rPr>
                <w:sz w:val="16"/>
                <w:szCs w:val="16"/>
              </w:rPr>
              <w:t>Adjustments to reconcile net loss to net cash used in operating activities:</w:t>
            </w:r>
          </w:p>
        </w:tc>
        <w:tc>
          <w:tcPr>
            <w:tcW w:w="124" w:type="pct"/>
            <w:shd w:val="clear" w:color="auto" w:fill="CCEEFF"/>
            <w:noWrap/>
            <w:tcMar>
              <w:top w:w="0" w:type="dxa"/>
              <w:left w:w="0" w:type="dxa"/>
              <w:bottom w:w="0" w:type="dxa"/>
              <w:right w:w="0" w:type="dxa"/>
            </w:tcMar>
            <w:vAlign w:val="bottom"/>
            <w:hideMark/>
          </w:tcPr>
          <w:p w14:paraId="23D008CA"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7EEDFDDA"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0B30978C" w14:textId="77777777" w:rsidR="00000000" w:rsidRDefault="00097612">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6232995E"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4A329E3D"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12ED6401" w14:textId="77777777" w:rsidR="00000000" w:rsidRDefault="00097612">
            <w:pPr>
              <w:pStyle w:val="a3"/>
              <w:spacing w:before="0" w:beforeAutospacing="0" w:after="0" w:afterAutospacing="0"/>
              <w:jc w:val="right"/>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382225AC" w14:textId="77777777" w:rsidR="00000000" w:rsidRDefault="00097612">
            <w:pPr>
              <w:pStyle w:val="a3"/>
              <w:spacing w:before="0" w:beforeAutospacing="0" w:after="0" w:afterAutospacing="0"/>
              <w:rPr>
                <w:sz w:val="20"/>
                <w:szCs w:val="20"/>
              </w:rPr>
            </w:pPr>
            <w:r>
              <w:rPr>
                <w:sz w:val="16"/>
                <w:szCs w:val="16"/>
              </w:rPr>
              <w:t>​</w:t>
            </w:r>
          </w:p>
        </w:tc>
      </w:tr>
      <w:tr w:rsidR="00000000" w14:paraId="0BF6475B" w14:textId="77777777">
        <w:trPr>
          <w:divId w:val="1082946914"/>
        </w:trPr>
        <w:tc>
          <w:tcPr>
            <w:tcW w:w="3448" w:type="pct"/>
            <w:tcMar>
              <w:top w:w="0" w:type="dxa"/>
              <w:left w:w="0" w:type="dxa"/>
              <w:bottom w:w="0" w:type="dxa"/>
              <w:right w:w="0" w:type="dxa"/>
            </w:tcMar>
            <w:hideMark/>
          </w:tcPr>
          <w:p w14:paraId="16F02F9A" w14:textId="77777777" w:rsidR="00000000" w:rsidRDefault="00097612">
            <w:pPr>
              <w:pStyle w:val="a3"/>
              <w:spacing w:before="0" w:beforeAutospacing="0" w:after="0" w:afterAutospacing="0"/>
              <w:ind w:left="240"/>
              <w:rPr>
                <w:sz w:val="16"/>
                <w:szCs w:val="16"/>
              </w:rPr>
            </w:pPr>
            <w:r>
              <w:rPr>
                <w:sz w:val="16"/>
                <w:szCs w:val="16"/>
              </w:rPr>
              <w:t>Depreciation and amortization</w:t>
            </w:r>
          </w:p>
        </w:tc>
        <w:tc>
          <w:tcPr>
            <w:tcW w:w="124" w:type="pct"/>
            <w:noWrap/>
            <w:tcMar>
              <w:top w:w="0" w:type="dxa"/>
              <w:left w:w="0" w:type="dxa"/>
              <w:bottom w:w="0" w:type="dxa"/>
              <w:right w:w="0" w:type="dxa"/>
            </w:tcMar>
            <w:vAlign w:val="bottom"/>
            <w:hideMark/>
          </w:tcPr>
          <w:p w14:paraId="175EF2B3"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30918902"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5A41CC3F" w14:textId="77777777" w:rsidR="00000000" w:rsidRDefault="00097612">
            <w:pPr>
              <w:pStyle w:val="a3"/>
              <w:spacing w:before="0" w:beforeAutospacing="0" w:after="0" w:afterAutospacing="0"/>
              <w:ind w:right="60"/>
              <w:jc w:val="right"/>
              <w:rPr>
                <w:sz w:val="16"/>
                <w:szCs w:val="16"/>
              </w:rPr>
            </w:pPr>
            <w:r>
              <w:rPr>
                <w:sz w:val="16"/>
                <w:szCs w:val="16"/>
              </w:rPr>
              <w:t>4,676</w:t>
            </w:r>
          </w:p>
        </w:tc>
        <w:tc>
          <w:tcPr>
            <w:tcW w:w="124" w:type="pct"/>
            <w:noWrap/>
            <w:tcMar>
              <w:top w:w="0" w:type="dxa"/>
              <w:left w:w="0" w:type="dxa"/>
              <w:bottom w:w="0" w:type="dxa"/>
              <w:right w:w="0" w:type="dxa"/>
            </w:tcMar>
            <w:vAlign w:val="bottom"/>
            <w:hideMark/>
          </w:tcPr>
          <w:p w14:paraId="29456168"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65B6A86C"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2B6828AD" w14:textId="77777777" w:rsidR="00000000" w:rsidRDefault="00097612">
            <w:pPr>
              <w:pStyle w:val="a3"/>
              <w:spacing w:before="0" w:beforeAutospacing="0" w:after="0" w:afterAutospacing="0"/>
              <w:ind w:right="60"/>
              <w:jc w:val="right"/>
              <w:rPr>
                <w:sz w:val="16"/>
                <w:szCs w:val="16"/>
              </w:rPr>
            </w:pPr>
            <w:r>
              <w:rPr>
                <w:sz w:val="16"/>
                <w:szCs w:val="16"/>
              </w:rPr>
              <w:t>3,195</w:t>
            </w:r>
          </w:p>
        </w:tc>
        <w:tc>
          <w:tcPr>
            <w:tcW w:w="79" w:type="pct"/>
            <w:noWrap/>
            <w:tcMar>
              <w:top w:w="0" w:type="dxa"/>
              <w:left w:w="0" w:type="dxa"/>
              <w:bottom w:w="0" w:type="dxa"/>
              <w:right w:w="0" w:type="dxa"/>
            </w:tcMar>
            <w:vAlign w:val="bottom"/>
            <w:hideMark/>
          </w:tcPr>
          <w:p w14:paraId="55ED4ED6" w14:textId="77777777" w:rsidR="00000000" w:rsidRDefault="00097612">
            <w:pPr>
              <w:pStyle w:val="a3"/>
              <w:spacing w:before="0" w:beforeAutospacing="0" w:after="0" w:afterAutospacing="0"/>
              <w:rPr>
                <w:sz w:val="20"/>
                <w:szCs w:val="20"/>
              </w:rPr>
            </w:pPr>
            <w:r>
              <w:rPr>
                <w:sz w:val="16"/>
                <w:szCs w:val="16"/>
              </w:rPr>
              <w:t>​</w:t>
            </w:r>
          </w:p>
        </w:tc>
      </w:tr>
      <w:tr w:rsidR="00000000" w14:paraId="32DFE799" w14:textId="77777777">
        <w:trPr>
          <w:divId w:val="1082946914"/>
        </w:trPr>
        <w:tc>
          <w:tcPr>
            <w:tcW w:w="3448" w:type="pct"/>
            <w:shd w:val="clear" w:color="auto" w:fill="CCEEFF"/>
            <w:tcMar>
              <w:top w:w="0" w:type="dxa"/>
              <w:left w:w="0" w:type="dxa"/>
              <w:bottom w:w="0" w:type="dxa"/>
              <w:right w:w="0" w:type="dxa"/>
            </w:tcMar>
            <w:hideMark/>
          </w:tcPr>
          <w:p w14:paraId="021C18D9" w14:textId="77777777" w:rsidR="00000000" w:rsidRDefault="00097612">
            <w:pPr>
              <w:pStyle w:val="a3"/>
              <w:spacing w:before="0" w:beforeAutospacing="0" w:after="0" w:afterAutospacing="0"/>
              <w:ind w:left="240"/>
              <w:rPr>
                <w:sz w:val="16"/>
                <w:szCs w:val="16"/>
              </w:rPr>
            </w:pPr>
            <w:r>
              <w:rPr>
                <w:sz w:val="16"/>
                <w:szCs w:val="16"/>
              </w:rPr>
              <w:t>Amortization and accretion income, net</w:t>
            </w:r>
          </w:p>
        </w:tc>
        <w:tc>
          <w:tcPr>
            <w:tcW w:w="124" w:type="pct"/>
            <w:shd w:val="clear" w:color="auto" w:fill="CCEEFF"/>
            <w:noWrap/>
            <w:tcMar>
              <w:top w:w="0" w:type="dxa"/>
              <w:left w:w="0" w:type="dxa"/>
              <w:bottom w:w="0" w:type="dxa"/>
              <w:right w:w="0" w:type="dxa"/>
            </w:tcMar>
            <w:vAlign w:val="bottom"/>
            <w:hideMark/>
          </w:tcPr>
          <w:p w14:paraId="0AF1E572"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7CFC0B1F"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6C43AABF" w14:textId="77777777" w:rsidR="00000000" w:rsidRDefault="00097612">
            <w:pPr>
              <w:pStyle w:val="a3"/>
              <w:spacing w:before="0" w:beforeAutospacing="0" w:after="0" w:afterAutospacing="0"/>
              <w:jc w:val="right"/>
              <w:rPr>
                <w:sz w:val="16"/>
                <w:szCs w:val="16"/>
              </w:rPr>
            </w:pPr>
            <w:r>
              <w:rPr>
                <w:sz w:val="16"/>
                <w:szCs w:val="16"/>
              </w:rPr>
              <w:t>(2,599)</w:t>
            </w:r>
          </w:p>
        </w:tc>
        <w:tc>
          <w:tcPr>
            <w:tcW w:w="124" w:type="pct"/>
            <w:shd w:val="clear" w:color="auto" w:fill="CCEEFF"/>
            <w:noWrap/>
            <w:tcMar>
              <w:top w:w="0" w:type="dxa"/>
              <w:left w:w="0" w:type="dxa"/>
              <w:bottom w:w="0" w:type="dxa"/>
              <w:right w:w="0" w:type="dxa"/>
            </w:tcMar>
            <w:vAlign w:val="bottom"/>
            <w:hideMark/>
          </w:tcPr>
          <w:p w14:paraId="7AFA5419"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707946E1"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77A1130E" w14:textId="77777777" w:rsidR="00000000" w:rsidRDefault="00097612">
            <w:pPr>
              <w:pStyle w:val="a3"/>
              <w:spacing w:before="0" w:beforeAutospacing="0" w:after="0" w:afterAutospacing="0"/>
              <w:jc w:val="right"/>
              <w:rPr>
                <w:sz w:val="16"/>
                <w:szCs w:val="16"/>
              </w:rPr>
            </w:pPr>
            <w:r>
              <w:rPr>
                <w:sz w:val="16"/>
                <w:szCs w:val="16"/>
              </w:rPr>
              <w:t>(887)</w:t>
            </w:r>
          </w:p>
        </w:tc>
        <w:tc>
          <w:tcPr>
            <w:tcW w:w="79" w:type="pct"/>
            <w:shd w:val="clear" w:color="auto" w:fill="CCEEFF"/>
            <w:noWrap/>
            <w:tcMar>
              <w:top w:w="0" w:type="dxa"/>
              <w:left w:w="0" w:type="dxa"/>
              <w:bottom w:w="0" w:type="dxa"/>
              <w:right w:w="0" w:type="dxa"/>
            </w:tcMar>
            <w:vAlign w:val="bottom"/>
            <w:hideMark/>
          </w:tcPr>
          <w:p w14:paraId="796500E2" w14:textId="77777777" w:rsidR="00000000" w:rsidRDefault="00097612">
            <w:pPr>
              <w:pStyle w:val="a3"/>
              <w:spacing w:before="0" w:beforeAutospacing="0" w:after="0" w:afterAutospacing="0"/>
              <w:rPr>
                <w:sz w:val="20"/>
                <w:szCs w:val="20"/>
              </w:rPr>
            </w:pPr>
            <w:r>
              <w:rPr>
                <w:sz w:val="16"/>
                <w:szCs w:val="16"/>
              </w:rPr>
              <w:t>​</w:t>
            </w:r>
          </w:p>
        </w:tc>
      </w:tr>
      <w:tr w:rsidR="00000000" w14:paraId="0E1A2184" w14:textId="77777777">
        <w:trPr>
          <w:divId w:val="1082946914"/>
        </w:trPr>
        <w:tc>
          <w:tcPr>
            <w:tcW w:w="3448" w:type="pct"/>
            <w:tcMar>
              <w:top w:w="0" w:type="dxa"/>
              <w:left w:w="0" w:type="dxa"/>
              <w:bottom w:w="0" w:type="dxa"/>
              <w:right w:w="0" w:type="dxa"/>
            </w:tcMar>
            <w:hideMark/>
          </w:tcPr>
          <w:p w14:paraId="52C4980C" w14:textId="77777777" w:rsidR="00000000" w:rsidRDefault="00097612">
            <w:pPr>
              <w:pStyle w:val="a3"/>
              <w:spacing w:before="0" w:beforeAutospacing="0" w:after="0" w:afterAutospacing="0"/>
              <w:ind w:left="240"/>
              <w:rPr>
                <w:sz w:val="16"/>
                <w:szCs w:val="16"/>
              </w:rPr>
            </w:pPr>
            <w:r>
              <w:rPr>
                <w:sz w:val="16"/>
                <w:szCs w:val="16"/>
              </w:rPr>
              <w:t xml:space="preserve">Share-based compensation </w:t>
            </w:r>
          </w:p>
        </w:tc>
        <w:tc>
          <w:tcPr>
            <w:tcW w:w="124" w:type="pct"/>
            <w:noWrap/>
            <w:tcMar>
              <w:top w:w="0" w:type="dxa"/>
              <w:left w:w="0" w:type="dxa"/>
              <w:bottom w:w="0" w:type="dxa"/>
              <w:right w:w="0" w:type="dxa"/>
            </w:tcMar>
            <w:vAlign w:val="bottom"/>
            <w:hideMark/>
          </w:tcPr>
          <w:p w14:paraId="5B09D86D"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23C0C629"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357ED056" w14:textId="77777777" w:rsidR="00000000" w:rsidRDefault="00097612">
            <w:pPr>
              <w:pStyle w:val="a3"/>
              <w:spacing w:before="0" w:beforeAutospacing="0" w:after="0" w:afterAutospacing="0"/>
              <w:ind w:right="60"/>
              <w:jc w:val="right"/>
              <w:rPr>
                <w:sz w:val="16"/>
                <w:szCs w:val="16"/>
              </w:rPr>
            </w:pPr>
            <w:r>
              <w:rPr>
                <w:sz w:val="16"/>
                <w:szCs w:val="16"/>
              </w:rPr>
              <w:t>36,538</w:t>
            </w:r>
          </w:p>
        </w:tc>
        <w:tc>
          <w:tcPr>
            <w:tcW w:w="124" w:type="pct"/>
            <w:noWrap/>
            <w:tcMar>
              <w:top w:w="0" w:type="dxa"/>
              <w:left w:w="0" w:type="dxa"/>
              <w:bottom w:w="0" w:type="dxa"/>
              <w:right w:w="0" w:type="dxa"/>
            </w:tcMar>
            <w:vAlign w:val="bottom"/>
            <w:hideMark/>
          </w:tcPr>
          <w:p w14:paraId="5D0B4AFB"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154873ED"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1793FE6D" w14:textId="77777777" w:rsidR="00000000" w:rsidRDefault="00097612">
            <w:pPr>
              <w:pStyle w:val="a3"/>
              <w:spacing w:before="0" w:beforeAutospacing="0" w:after="0" w:afterAutospacing="0"/>
              <w:ind w:right="60"/>
              <w:jc w:val="right"/>
              <w:rPr>
                <w:sz w:val="16"/>
                <w:szCs w:val="16"/>
              </w:rPr>
            </w:pPr>
            <w:r>
              <w:rPr>
                <w:sz w:val="16"/>
                <w:szCs w:val="16"/>
              </w:rPr>
              <w:t>39,599</w:t>
            </w:r>
          </w:p>
        </w:tc>
        <w:tc>
          <w:tcPr>
            <w:tcW w:w="79" w:type="pct"/>
            <w:noWrap/>
            <w:tcMar>
              <w:top w:w="0" w:type="dxa"/>
              <w:left w:w="0" w:type="dxa"/>
              <w:bottom w:w="0" w:type="dxa"/>
              <w:right w:w="0" w:type="dxa"/>
            </w:tcMar>
            <w:vAlign w:val="bottom"/>
            <w:hideMark/>
          </w:tcPr>
          <w:p w14:paraId="23945F56" w14:textId="77777777" w:rsidR="00000000" w:rsidRDefault="00097612">
            <w:pPr>
              <w:pStyle w:val="a3"/>
              <w:spacing w:before="0" w:beforeAutospacing="0" w:after="0" w:afterAutospacing="0"/>
              <w:rPr>
                <w:sz w:val="20"/>
                <w:szCs w:val="20"/>
              </w:rPr>
            </w:pPr>
            <w:r>
              <w:rPr>
                <w:sz w:val="16"/>
                <w:szCs w:val="16"/>
              </w:rPr>
              <w:t>​</w:t>
            </w:r>
          </w:p>
        </w:tc>
      </w:tr>
      <w:tr w:rsidR="00000000" w14:paraId="7E5534F5" w14:textId="77777777">
        <w:trPr>
          <w:divId w:val="1082946914"/>
        </w:trPr>
        <w:tc>
          <w:tcPr>
            <w:tcW w:w="3448" w:type="pct"/>
            <w:shd w:val="clear" w:color="auto" w:fill="CCEEFF"/>
            <w:tcMar>
              <w:top w:w="0" w:type="dxa"/>
              <w:left w:w="0" w:type="dxa"/>
              <w:bottom w:w="0" w:type="dxa"/>
              <w:right w:w="0" w:type="dxa"/>
            </w:tcMar>
            <w:hideMark/>
          </w:tcPr>
          <w:p w14:paraId="1B846C11" w14:textId="77777777" w:rsidR="00000000" w:rsidRDefault="00097612">
            <w:pPr>
              <w:pStyle w:val="a3"/>
              <w:spacing w:before="0" w:beforeAutospacing="0" w:after="0" w:afterAutospacing="0"/>
              <w:ind w:left="240"/>
              <w:rPr>
                <w:sz w:val="16"/>
                <w:szCs w:val="16"/>
              </w:rPr>
            </w:pPr>
            <w:r>
              <w:rPr>
                <w:sz w:val="16"/>
                <w:szCs w:val="16"/>
              </w:rPr>
              <w:t>Reversal of inventory purchase commitment liability</w:t>
            </w:r>
          </w:p>
        </w:tc>
        <w:tc>
          <w:tcPr>
            <w:tcW w:w="124" w:type="pct"/>
            <w:shd w:val="clear" w:color="auto" w:fill="CCEEFF"/>
            <w:noWrap/>
            <w:tcMar>
              <w:top w:w="0" w:type="dxa"/>
              <w:left w:w="0" w:type="dxa"/>
              <w:bottom w:w="0" w:type="dxa"/>
              <w:right w:w="0" w:type="dxa"/>
            </w:tcMar>
            <w:vAlign w:val="bottom"/>
            <w:hideMark/>
          </w:tcPr>
          <w:p w14:paraId="42329AF9"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2A701149"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2853D44B" w14:textId="77777777" w:rsidR="00000000" w:rsidRDefault="00097612">
            <w:pPr>
              <w:pStyle w:val="a3"/>
              <w:spacing w:before="0" w:beforeAutospacing="0" w:after="0" w:afterAutospacing="0"/>
              <w:ind w:right="60"/>
              <w:jc w:val="right"/>
              <w:rPr>
                <w:sz w:val="16"/>
                <w:szCs w:val="16"/>
              </w:rPr>
            </w:pPr>
            <w:r>
              <w:rPr>
                <w:sz w:val="16"/>
                <w:szCs w:val="16"/>
              </w:rPr>
              <w:t>—</w:t>
            </w:r>
          </w:p>
        </w:tc>
        <w:tc>
          <w:tcPr>
            <w:tcW w:w="124" w:type="pct"/>
            <w:shd w:val="clear" w:color="auto" w:fill="CCEEFF"/>
            <w:noWrap/>
            <w:tcMar>
              <w:top w:w="0" w:type="dxa"/>
              <w:left w:w="0" w:type="dxa"/>
              <w:bottom w:w="0" w:type="dxa"/>
              <w:right w:w="0" w:type="dxa"/>
            </w:tcMar>
            <w:vAlign w:val="bottom"/>
            <w:hideMark/>
          </w:tcPr>
          <w:p w14:paraId="3304129F"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3E4B1B47"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62625180" w14:textId="77777777" w:rsidR="00000000" w:rsidRDefault="00097612">
            <w:pPr>
              <w:pStyle w:val="a3"/>
              <w:spacing w:before="0" w:beforeAutospacing="0" w:after="0" w:afterAutospacing="0"/>
              <w:jc w:val="right"/>
              <w:rPr>
                <w:sz w:val="16"/>
                <w:szCs w:val="16"/>
              </w:rPr>
            </w:pPr>
            <w:r>
              <w:rPr>
                <w:sz w:val="16"/>
                <w:szCs w:val="16"/>
              </w:rPr>
              <w:t>(2,250)</w:t>
            </w:r>
          </w:p>
        </w:tc>
        <w:tc>
          <w:tcPr>
            <w:tcW w:w="79" w:type="pct"/>
            <w:shd w:val="clear" w:color="auto" w:fill="CCEEFF"/>
            <w:noWrap/>
            <w:tcMar>
              <w:top w:w="0" w:type="dxa"/>
              <w:left w:w="0" w:type="dxa"/>
              <w:bottom w:w="0" w:type="dxa"/>
              <w:right w:w="0" w:type="dxa"/>
            </w:tcMar>
            <w:vAlign w:val="bottom"/>
            <w:hideMark/>
          </w:tcPr>
          <w:p w14:paraId="70DD8C1D" w14:textId="77777777" w:rsidR="00000000" w:rsidRDefault="00097612">
            <w:pPr>
              <w:pStyle w:val="a3"/>
              <w:spacing w:before="0" w:beforeAutospacing="0" w:after="0" w:afterAutospacing="0"/>
              <w:rPr>
                <w:sz w:val="20"/>
                <w:szCs w:val="20"/>
              </w:rPr>
            </w:pPr>
            <w:r>
              <w:rPr>
                <w:sz w:val="16"/>
                <w:szCs w:val="16"/>
              </w:rPr>
              <w:t>​</w:t>
            </w:r>
          </w:p>
        </w:tc>
      </w:tr>
      <w:tr w:rsidR="00000000" w14:paraId="43452AE8" w14:textId="77777777">
        <w:trPr>
          <w:divId w:val="1082946914"/>
        </w:trPr>
        <w:tc>
          <w:tcPr>
            <w:tcW w:w="3448" w:type="pct"/>
            <w:tcMar>
              <w:top w:w="0" w:type="dxa"/>
              <w:left w:w="0" w:type="dxa"/>
              <w:bottom w:w="0" w:type="dxa"/>
              <w:right w:w="0" w:type="dxa"/>
            </w:tcMar>
            <w:hideMark/>
          </w:tcPr>
          <w:p w14:paraId="25DDA819" w14:textId="77777777" w:rsidR="00000000" w:rsidRDefault="00097612">
            <w:pPr>
              <w:pStyle w:val="a3"/>
              <w:spacing w:before="0" w:beforeAutospacing="0" w:after="0" w:afterAutospacing="0"/>
              <w:ind w:left="240"/>
              <w:rPr>
                <w:sz w:val="16"/>
                <w:szCs w:val="16"/>
              </w:rPr>
            </w:pPr>
            <w:r>
              <w:rPr>
                <w:sz w:val="16"/>
                <w:szCs w:val="16"/>
              </w:rPr>
              <w:t>Amortization of right-of-use assets</w:t>
            </w:r>
          </w:p>
        </w:tc>
        <w:tc>
          <w:tcPr>
            <w:tcW w:w="124" w:type="pct"/>
            <w:noWrap/>
            <w:tcMar>
              <w:top w:w="0" w:type="dxa"/>
              <w:left w:w="0" w:type="dxa"/>
              <w:bottom w:w="0" w:type="dxa"/>
              <w:right w:w="0" w:type="dxa"/>
            </w:tcMar>
            <w:vAlign w:val="bottom"/>
            <w:hideMark/>
          </w:tcPr>
          <w:p w14:paraId="43867BC2"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19468F8E"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42FDF867" w14:textId="77777777" w:rsidR="00000000" w:rsidRDefault="00097612">
            <w:pPr>
              <w:pStyle w:val="a3"/>
              <w:spacing w:before="0" w:beforeAutospacing="0" w:after="0" w:afterAutospacing="0"/>
              <w:ind w:right="60"/>
              <w:jc w:val="right"/>
              <w:rPr>
                <w:sz w:val="16"/>
                <w:szCs w:val="16"/>
              </w:rPr>
            </w:pPr>
            <w:r>
              <w:rPr>
                <w:sz w:val="16"/>
                <w:szCs w:val="16"/>
              </w:rPr>
              <w:t>3,029</w:t>
            </w:r>
          </w:p>
        </w:tc>
        <w:tc>
          <w:tcPr>
            <w:tcW w:w="124" w:type="pct"/>
            <w:noWrap/>
            <w:tcMar>
              <w:top w:w="0" w:type="dxa"/>
              <w:left w:w="0" w:type="dxa"/>
              <w:bottom w:w="0" w:type="dxa"/>
              <w:right w:w="0" w:type="dxa"/>
            </w:tcMar>
            <w:vAlign w:val="bottom"/>
            <w:hideMark/>
          </w:tcPr>
          <w:p w14:paraId="242F5BA4"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47DB5C59"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45729DE5" w14:textId="77777777" w:rsidR="00000000" w:rsidRDefault="00097612">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592032AE" w14:textId="77777777" w:rsidR="00000000" w:rsidRDefault="00097612">
            <w:pPr>
              <w:pStyle w:val="a3"/>
              <w:spacing w:before="0" w:beforeAutospacing="0" w:after="0" w:afterAutospacing="0"/>
              <w:rPr>
                <w:sz w:val="20"/>
                <w:szCs w:val="20"/>
              </w:rPr>
            </w:pPr>
            <w:r>
              <w:rPr>
                <w:sz w:val="16"/>
                <w:szCs w:val="16"/>
              </w:rPr>
              <w:t>​</w:t>
            </w:r>
          </w:p>
        </w:tc>
      </w:tr>
      <w:tr w:rsidR="00000000" w14:paraId="575FF802" w14:textId="77777777">
        <w:trPr>
          <w:divId w:val="1082946914"/>
        </w:trPr>
        <w:tc>
          <w:tcPr>
            <w:tcW w:w="3448" w:type="pct"/>
            <w:shd w:val="clear" w:color="auto" w:fill="CCEEFF"/>
            <w:tcMar>
              <w:top w:w="0" w:type="dxa"/>
              <w:left w:w="0" w:type="dxa"/>
              <w:bottom w:w="0" w:type="dxa"/>
              <w:right w:w="0" w:type="dxa"/>
            </w:tcMar>
            <w:hideMark/>
          </w:tcPr>
          <w:p w14:paraId="4F8BDD1F" w14:textId="77777777" w:rsidR="00000000" w:rsidRDefault="00097612">
            <w:pPr>
              <w:pStyle w:val="a3"/>
              <w:spacing w:before="0" w:beforeAutospacing="0" w:after="0" w:afterAutospacing="0"/>
              <w:ind w:left="240"/>
              <w:rPr>
                <w:sz w:val="16"/>
                <w:szCs w:val="16"/>
              </w:rPr>
            </w:pPr>
            <w:r>
              <w:rPr>
                <w:sz w:val="16"/>
                <w:szCs w:val="16"/>
              </w:rPr>
              <w:t>Undistributed earnings from investment in TRC, LLC</w:t>
            </w:r>
          </w:p>
        </w:tc>
        <w:tc>
          <w:tcPr>
            <w:tcW w:w="124" w:type="pct"/>
            <w:shd w:val="clear" w:color="auto" w:fill="CCEEFF"/>
            <w:noWrap/>
            <w:tcMar>
              <w:top w:w="0" w:type="dxa"/>
              <w:left w:w="0" w:type="dxa"/>
              <w:bottom w:w="0" w:type="dxa"/>
              <w:right w:w="0" w:type="dxa"/>
            </w:tcMar>
            <w:vAlign w:val="bottom"/>
            <w:hideMark/>
          </w:tcPr>
          <w:p w14:paraId="43AEDC1B"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263EDC97"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54A14C18" w14:textId="77777777" w:rsidR="00000000" w:rsidRDefault="00097612">
            <w:pPr>
              <w:pStyle w:val="a3"/>
              <w:spacing w:before="0" w:beforeAutospacing="0" w:after="0" w:afterAutospacing="0"/>
              <w:jc w:val="right"/>
              <w:rPr>
                <w:sz w:val="16"/>
                <w:szCs w:val="16"/>
              </w:rPr>
            </w:pPr>
            <w:r>
              <w:rPr>
                <w:sz w:val="16"/>
                <w:szCs w:val="16"/>
              </w:rPr>
              <w:t>(11,239)</w:t>
            </w:r>
          </w:p>
        </w:tc>
        <w:tc>
          <w:tcPr>
            <w:tcW w:w="124" w:type="pct"/>
            <w:shd w:val="clear" w:color="auto" w:fill="CCEEFF"/>
            <w:noWrap/>
            <w:tcMar>
              <w:top w:w="0" w:type="dxa"/>
              <w:left w:w="0" w:type="dxa"/>
              <w:bottom w:w="0" w:type="dxa"/>
              <w:right w:w="0" w:type="dxa"/>
            </w:tcMar>
            <w:vAlign w:val="bottom"/>
            <w:hideMark/>
          </w:tcPr>
          <w:p w14:paraId="4AF11A3F"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1E88C173"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7F721517" w14:textId="77777777" w:rsidR="00000000" w:rsidRDefault="00097612">
            <w:pPr>
              <w:pStyle w:val="a3"/>
              <w:spacing w:before="0" w:beforeAutospacing="0" w:after="0" w:afterAutospacing="0"/>
              <w:jc w:val="right"/>
              <w:rPr>
                <w:sz w:val="16"/>
                <w:szCs w:val="16"/>
              </w:rPr>
            </w:pPr>
            <w:r>
              <w:rPr>
                <w:sz w:val="16"/>
                <w:szCs w:val="16"/>
              </w:rPr>
              <w:t>(2,803)</w:t>
            </w:r>
          </w:p>
        </w:tc>
        <w:tc>
          <w:tcPr>
            <w:tcW w:w="79" w:type="pct"/>
            <w:shd w:val="clear" w:color="auto" w:fill="CCEEFF"/>
            <w:noWrap/>
            <w:tcMar>
              <w:top w:w="0" w:type="dxa"/>
              <w:left w:w="0" w:type="dxa"/>
              <w:bottom w:w="0" w:type="dxa"/>
              <w:right w:w="0" w:type="dxa"/>
            </w:tcMar>
            <w:vAlign w:val="bottom"/>
            <w:hideMark/>
          </w:tcPr>
          <w:p w14:paraId="56A01C06" w14:textId="77777777" w:rsidR="00000000" w:rsidRDefault="00097612">
            <w:pPr>
              <w:pStyle w:val="a3"/>
              <w:spacing w:before="0" w:beforeAutospacing="0" w:after="0" w:afterAutospacing="0"/>
              <w:rPr>
                <w:sz w:val="20"/>
                <w:szCs w:val="20"/>
              </w:rPr>
            </w:pPr>
            <w:r>
              <w:rPr>
                <w:sz w:val="16"/>
                <w:szCs w:val="16"/>
              </w:rPr>
              <w:t>​</w:t>
            </w:r>
          </w:p>
        </w:tc>
      </w:tr>
      <w:tr w:rsidR="00000000" w14:paraId="7A6E572E" w14:textId="77777777">
        <w:trPr>
          <w:divId w:val="1082946914"/>
        </w:trPr>
        <w:tc>
          <w:tcPr>
            <w:tcW w:w="3448" w:type="pct"/>
            <w:tcMar>
              <w:top w:w="0" w:type="dxa"/>
              <w:left w:w="0" w:type="dxa"/>
              <w:bottom w:w="0" w:type="dxa"/>
              <w:right w:w="0" w:type="dxa"/>
            </w:tcMar>
            <w:hideMark/>
          </w:tcPr>
          <w:p w14:paraId="17BA38CD" w14:textId="77777777" w:rsidR="00000000" w:rsidRDefault="00097612">
            <w:pPr>
              <w:pStyle w:val="a3"/>
              <w:spacing w:before="0" w:beforeAutospacing="0" w:after="0" w:afterAutospacing="0"/>
              <w:ind w:left="240"/>
              <w:rPr>
                <w:sz w:val="16"/>
                <w:szCs w:val="16"/>
              </w:rPr>
            </w:pPr>
            <w:r>
              <w:rPr>
                <w:sz w:val="16"/>
                <w:szCs w:val="16"/>
              </w:rPr>
              <w:t>Other</w:t>
            </w:r>
          </w:p>
        </w:tc>
        <w:tc>
          <w:tcPr>
            <w:tcW w:w="124" w:type="pct"/>
            <w:noWrap/>
            <w:tcMar>
              <w:top w:w="0" w:type="dxa"/>
              <w:left w:w="0" w:type="dxa"/>
              <w:bottom w:w="0" w:type="dxa"/>
              <w:right w:w="0" w:type="dxa"/>
            </w:tcMar>
            <w:vAlign w:val="bottom"/>
            <w:hideMark/>
          </w:tcPr>
          <w:p w14:paraId="5E21BC4E"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4F41E024"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2D409CD2" w14:textId="77777777" w:rsidR="00000000" w:rsidRDefault="00097612">
            <w:pPr>
              <w:pStyle w:val="a3"/>
              <w:spacing w:before="0" w:beforeAutospacing="0" w:after="0" w:afterAutospacing="0"/>
              <w:ind w:right="60"/>
              <w:jc w:val="right"/>
              <w:rPr>
                <w:sz w:val="16"/>
                <w:szCs w:val="16"/>
              </w:rPr>
            </w:pPr>
            <w:r>
              <w:rPr>
                <w:sz w:val="16"/>
                <w:szCs w:val="16"/>
              </w:rPr>
              <w:t>148</w:t>
            </w:r>
          </w:p>
        </w:tc>
        <w:tc>
          <w:tcPr>
            <w:tcW w:w="124" w:type="pct"/>
            <w:noWrap/>
            <w:tcMar>
              <w:top w:w="0" w:type="dxa"/>
              <w:left w:w="0" w:type="dxa"/>
              <w:bottom w:w="0" w:type="dxa"/>
              <w:right w:w="0" w:type="dxa"/>
            </w:tcMar>
            <w:vAlign w:val="bottom"/>
            <w:hideMark/>
          </w:tcPr>
          <w:p w14:paraId="22CCF2AB"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2B863D73"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57F02883" w14:textId="77777777" w:rsidR="00000000" w:rsidRDefault="00097612">
            <w:pPr>
              <w:pStyle w:val="a3"/>
              <w:spacing w:before="0" w:beforeAutospacing="0" w:after="0" w:afterAutospacing="0"/>
              <w:jc w:val="right"/>
              <w:rPr>
                <w:sz w:val="16"/>
                <w:szCs w:val="16"/>
              </w:rPr>
            </w:pPr>
            <w:r>
              <w:rPr>
                <w:sz w:val="16"/>
                <w:szCs w:val="16"/>
              </w:rPr>
              <w:t>(68)</w:t>
            </w:r>
          </w:p>
        </w:tc>
        <w:tc>
          <w:tcPr>
            <w:tcW w:w="79" w:type="pct"/>
            <w:noWrap/>
            <w:tcMar>
              <w:top w:w="0" w:type="dxa"/>
              <w:left w:w="0" w:type="dxa"/>
              <w:bottom w:w="0" w:type="dxa"/>
              <w:right w:w="0" w:type="dxa"/>
            </w:tcMar>
            <w:vAlign w:val="bottom"/>
            <w:hideMark/>
          </w:tcPr>
          <w:p w14:paraId="334F0B39" w14:textId="77777777" w:rsidR="00000000" w:rsidRDefault="00097612">
            <w:pPr>
              <w:pStyle w:val="a3"/>
              <w:spacing w:before="0" w:beforeAutospacing="0" w:after="0" w:afterAutospacing="0"/>
              <w:rPr>
                <w:sz w:val="20"/>
                <w:szCs w:val="20"/>
              </w:rPr>
            </w:pPr>
            <w:r>
              <w:rPr>
                <w:sz w:val="16"/>
                <w:szCs w:val="16"/>
              </w:rPr>
              <w:t>​</w:t>
            </w:r>
          </w:p>
        </w:tc>
      </w:tr>
      <w:tr w:rsidR="00000000" w14:paraId="49EA02DF" w14:textId="77777777">
        <w:trPr>
          <w:divId w:val="1082946914"/>
        </w:trPr>
        <w:tc>
          <w:tcPr>
            <w:tcW w:w="3448" w:type="pct"/>
            <w:shd w:val="clear" w:color="auto" w:fill="CCEEFF"/>
            <w:tcMar>
              <w:top w:w="0" w:type="dxa"/>
              <w:left w:w="0" w:type="dxa"/>
              <w:bottom w:w="0" w:type="dxa"/>
              <w:right w:w="0" w:type="dxa"/>
            </w:tcMar>
            <w:hideMark/>
          </w:tcPr>
          <w:p w14:paraId="761378DE" w14:textId="77777777" w:rsidR="00000000" w:rsidRDefault="00097612">
            <w:pPr>
              <w:pStyle w:val="a3"/>
              <w:spacing w:before="0" w:beforeAutospacing="0" w:after="0" w:afterAutospacing="0"/>
              <w:ind w:left="240"/>
              <w:rPr>
                <w:sz w:val="16"/>
                <w:szCs w:val="16"/>
              </w:rPr>
            </w:pPr>
            <w:r>
              <w:rPr>
                <w:sz w:val="16"/>
                <w:szCs w:val="16"/>
              </w:rPr>
              <w:t>Changes in operating assets and liabilities:</w:t>
            </w:r>
          </w:p>
        </w:tc>
        <w:tc>
          <w:tcPr>
            <w:tcW w:w="124" w:type="pct"/>
            <w:shd w:val="clear" w:color="auto" w:fill="CCEEFF"/>
            <w:noWrap/>
            <w:tcMar>
              <w:top w:w="0" w:type="dxa"/>
              <w:left w:w="0" w:type="dxa"/>
              <w:bottom w:w="0" w:type="dxa"/>
              <w:right w:w="0" w:type="dxa"/>
            </w:tcMar>
            <w:vAlign w:val="bottom"/>
            <w:hideMark/>
          </w:tcPr>
          <w:p w14:paraId="6410D1E9"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7451BBD2"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7E9F61DE" w14:textId="77777777" w:rsidR="00000000" w:rsidRDefault="00097612">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437A8825"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4EC5CF14"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15A611BA" w14:textId="77777777" w:rsidR="00000000" w:rsidRDefault="00097612">
            <w:pPr>
              <w:pStyle w:val="a3"/>
              <w:spacing w:before="0" w:beforeAutospacing="0" w:after="0" w:afterAutospacing="0"/>
              <w:jc w:val="right"/>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1F02CFC9" w14:textId="77777777" w:rsidR="00000000" w:rsidRDefault="00097612">
            <w:pPr>
              <w:pStyle w:val="a3"/>
              <w:spacing w:before="0" w:beforeAutospacing="0" w:after="0" w:afterAutospacing="0"/>
              <w:rPr>
                <w:sz w:val="20"/>
                <w:szCs w:val="20"/>
              </w:rPr>
            </w:pPr>
            <w:r>
              <w:rPr>
                <w:sz w:val="16"/>
                <w:szCs w:val="16"/>
              </w:rPr>
              <w:t>​</w:t>
            </w:r>
          </w:p>
        </w:tc>
      </w:tr>
      <w:tr w:rsidR="00000000" w14:paraId="744E770C" w14:textId="77777777">
        <w:trPr>
          <w:divId w:val="1082946914"/>
        </w:trPr>
        <w:tc>
          <w:tcPr>
            <w:tcW w:w="3448" w:type="pct"/>
            <w:tcMar>
              <w:top w:w="0" w:type="dxa"/>
              <w:left w:w="0" w:type="dxa"/>
              <w:bottom w:w="0" w:type="dxa"/>
              <w:right w:w="0" w:type="dxa"/>
            </w:tcMar>
            <w:hideMark/>
          </w:tcPr>
          <w:p w14:paraId="317D0F56" w14:textId="77777777" w:rsidR="00000000" w:rsidRDefault="00097612">
            <w:pPr>
              <w:pStyle w:val="a3"/>
              <w:spacing w:before="0" w:beforeAutospacing="0" w:after="0" w:afterAutospacing="0"/>
              <w:ind w:left="360"/>
              <w:rPr>
                <w:sz w:val="16"/>
                <w:szCs w:val="16"/>
              </w:rPr>
            </w:pPr>
            <w:r>
              <w:rPr>
                <w:sz w:val="16"/>
                <w:szCs w:val="16"/>
              </w:rPr>
              <w:t xml:space="preserve">Accounts receivable </w:t>
            </w:r>
          </w:p>
        </w:tc>
        <w:tc>
          <w:tcPr>
            <w:tcW w:w="124" w:type="pct"/>
            <w:noWrap/>
            <w:tcMar>
              <w:top w:w="0" w:type="dxa"/>
              <w:left w:w="0" w:type="dxa"/>
              <w:bottom w:w="0" w:type="dxa"/>
              <w:right w:w="0" w:type="dxa"/>
            </w:tcMar>
            <w:vAlign w:val="bottom"/>
            <w:hideMark/>
          </w:tcPr>
          <w:p w14:paraId="25C2266B"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244897FC"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0FFB7278" w14:textId="77777777" w:rsidR="00000000" w:rsidRDefault="00097612">
            <w:pPr>
              <w:pStyle w:val="a3"/>
              <w:spacing w:before="0" w:beforeAutospacing="0" w:after="0" w:afterAutospacing="0"/>
              <w:ind w:right="60"/>
              <w:jc w:val="right"/>
              <w:rPr>
                <w:sz w:val="16"/>
                <w:szCs w:val="16"/>
              </w:rPr>
            </w:pPr>
            <w:r>
              <w:rPr>
                <w:sz w:val="16"/>
                <w:szCs w:val="16"/>
              </w:rPr>
              <w:t>534</w:t>
            </w:r>
          </w:p>
        </w:tc>
        <w:tc>
          <w:tcPr>
            <w:tcW w:w="124" w:type="pct"/>
            <w:noWrap/>
            <w:tcMar>
              <w:top w:w="0" w:type="dxa"/>
              <w:left w:w="0" w:type="dxa"/>
              <w:bottom w:w="0" w:type="dxa"/>
              <w:right w:w="0" w:type="dxa"/>
            </w:tcMar>
            <w:vAlign w:val="bottom"/>
            <w:hideMark/>
          </w:tcPr>
          <w:p w14:paraId="3C6329DB"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43497C3E"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75302D83" w14:textId="77777777" w:rsidR="00000000" w:rsidRDefault="00097612">
            <w:pPr>
              <w:pStyle w:val="a3"/>
              <w:spacing w:before="0" w:beforeAutospacing="0" w:after="0" w:afterAutospacing="0"/>
              <w:jc w:val="right"/>
              <w:rPr>
                <w:sz w:val="16"/>
                <w:szCs w:val="16"/>
              </w:rPr>
            </w:pPr>
            <w:r>
              <w:rPr>
                <w:sz w:val="16"/>
                <w:szCs w:val="16"/>
              </w:rPr>
              <w:t>(771)</w:t>
            </w:r>
          </w:p>
        </w:tc>
        <w:tc>
          <w:tcPr>
            <w:tcW w:w="79" w:type="pct"/>
            <w:noWrap/>
            <w:tcMar>
              <w:top w:w="0" w:type="dxa"/>
              <w:left w:w="0" w:type="dxa"/>
              <w:bottom w:w="0" w:type="dxa"/>
              <w:right w:w="0" w:type="dxa"/>
            </w:tcMar>
            <w:vAlign w:val="bottom"/>
            <w:hideMark/>
          </w:tcPr>
          <w:p w14:paraId="544EF65F" w14:textId="77777777" w:rsidR="00000000" w:rsidRDefault="00097612">
            <w:pPr>
              <w:pStyle w:val="a3"/>
              <w:spacing w:before="0" w:beforeAutospacing="0" w:after="0" w:afterAutospacing="0"/>
              <w:rPr>
                <w:sz w:val="20"/>
                <w:szCs w:val="20"/>
              </w:rPr>
            </w:pPr>
            <w:r>
              <w:rPr>
                <w:sz w:val="16"/>
                <w:szCs w:val="16"/>
              </w:rPr>
              <w:t>​</w:t>
            </w:r>
          </w:p>
        </w:tc>
      </w:tr>
      <w:tr w:rsidR="00000000" w14:paraId="6F2DF0A4" w14:textId="77777777">
        <w:trPr>
          <w:divId w:val="1082946914"/>
        </w:trPr>
        <w:tc>
          <w:tcPr>
            <w:tcW w:w="3448" w:type="pct"/>
            <w:shd w:val="clear" w:color="auto" w:fill="CCEEFF"/>
            <w:tcMar>
              <w:top w:w="0" w:type="dxa"/>
              <w:left w:w="0" w:type="dxa"/>
              <w:bottom w:w="0" w:type="dxa"/>
              <w:right w:w="0" w:type="dxa"/>
            </w:tcMar>
            <w:hideMark/>
          </w:tcPr>
          <w:p w14:paraId="0139EDB7" w14:textId="77777777" w:rsidR="00000000" w:rsidRDefault="00097612">
            <w:pPr>
              <w:pStyle w:val="a3"/>
              <w:spacing w:before="0" w:beforeAutospacing="0" w:after="0" w:afterAutospacing="0"/>
              <w:ind w:left="360"/>
              <w:rPr>
                <w:sz w:val="16"/>
                <w:szCs w:val="16"/>
              </w:rPr>
            </w:pPr>
            <w:r>
              <w:rPr>
                <w:sz w:val="16"/>
                <w:szCs w:val="16"/>
              </w:rPr>
              <w:t xml:space="preserve">Receivables from collaborative arrangements </w:t>
            </w:r>
          </w:p>
        </w:tc>
        <w:tc>
          <w:tcPr>
            <w:tcW w:w="124" w:type="pct"/>
            <w:shd w:val="clear" w:color="auto" w:fill="CCEEFF"/>
            <w:noWrap/>
            <w:tcMar>
              <w:top w:w="0" w:type="dxa"/>
              <w:left w:w="0" w:type="dxa"/>
              <w:bottom w:w="0" w:type="dxa"/>
              <w:right w:w="0" w:type="dxa"/>
            </w:tcMar>
            <w:vAlign w:val="bottom"/>
            <w:hideMark/>
          </w:tcPr>
          <w:p w14:paraId="26613DC1"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7B8AD866"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189CAABE" w14:textId="77777777" w:rsidR="00000000" w:rsidRDefault="00097612">
            <w:pPr>
              <w:pStyle w:val="a3"/>
              <w:spacing w:before="0" w:beforeAutospacing="0" w:after="0" w:afterAutospacing="0"/>
              <w:ind w:right="60"/>
              <w:jc w:val="right"/>
              <w:rPr>
                <w:sz w:val="16"/>
                <w:szCs w:val="16"/>
              </w:rPr>
            </w:pPr>
            <w:r>
              <w:rPr>
                <w:sz w:val="16"/>
                <w:szCs w:val="16"/>
              </w:rPr>
              <w:t>5,458</w:t>
            </w:r>
          </w:p>
        </w:tc>
        <w:tc>
          <w:tcPr>
            <w:tcW w:w="124" w:type="pct"/>
            <w:shd w:val="clear" w:color="auto" w:fill="CCEEFF"/>
            <w:noWrap/>
            <w:tcMar>
              <w:top w:w="0" w:type="dxa"/>
              <w:left w:w="0" w:type="dxa"/>
              <w:bottom w:w="0" w:type="dxa"/>
              <w:right w:w="0" w:type="dxa"/>
            </w:tcMar>
            <w:vAlign w:val="bottom"/>
            <w:hideMark/>
          </w:tcPr>
          <w:p w14:paraId="4D4F099F"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6C31075A"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2FF40BCC" w14:textId="77777777" w:rsidR="00000000" w:rsidRDefault="00097612">
            <w:pPr>
              <w:pStyle w:val="a3"/>
              <w:spacing w:before="0" w:beforeAutospacing="0" w:after="0" w:afterAutospacing="0"/>
              <w:ind w:right="60"/>
              <w:jc w:val="right"/>
              <w:rPr>
                <w:sz w:val="16"/>
                <w:szCs w:val="16"/>
              </w:rPr>
            </w:pPr>
            <w:r>
              <w:rPr>
                <w:sz w:val="16"/>
                <w:szCs w:val="16"/>
              </w:rPr>
              <w:t>3,202</w:t>
            </w:r>
          </w:p>
        </w:tc>
        <w:tc>
          <w:tcPr>
            <w:tcW w:w="79" w:type="pct"/>
            <w:shd w:val="clear" w:color="auto" w:fill="CCEEFF"/>
            <w:noWrap/>
            <w:tcMar>
              <w:top w:w="0" w:type="dxa"/>
              <w:left w:w="0" w:type="dxa"/>
              <w:bottom w:w="0" w:type="dxa"/>
              <w:right w:w="0" w:type="dxa"/>
            </w:tcMar>
            <w:vAlign w:val="bottom"/>
            <w:hideMark/>
          </w:tcPr>
          <w:p w14:paraId="40754D94" w14:textId="77777777" w:rsidR="00000000" w:rsidRDefault="00097612">
            <w:pPr>
              <w:pStyle w:val="a3"/>
              <w:spacing w:before="0" w:beforeAutospacing="0" w:after="0" w:afterAutospacing="0"/>
              <w:rPr>
                <w:sz w:val="20"/>
                <w:szCs w:val="20"/>
              </w:rPr>
            </w:pPr>
            <w:r>
              <w:rPr>
                <w:sz w:val="16"/>
                <w:szCs w:val="16"/>
              </w:rPr>
              <w:t>​</w:t>
            </w:r>
          </w:p>
        </w:tc>
      </w:tr>
      <w:tr w:rsidR="00000000" w14:paraId="41A90B64" w14:textId="77777777">
        <w:trPr>
          <w:divId w:val="1082946914"/>
        </w:trPr>
        <w:tc>
          <w:tcPr>
            <w:tcW w:w="3448" w:type="pct"/>
            <w:tcMar>
              <w:top w:w="0" w:type="dxa"/>
              <w:left w:w="0" w:type="dxa"/>
              <w:bottom w:w="0" w:type="dxa"/>
              <w:right w:w="0" w:type="dxa"/>
            </w:tcMar>
            <w:hideMark/>
          </w:tcPr>
          <w:p w14:paraId="5075C787" w14:textId="77777777" w:rsidR="00000000" w:rsidRDefault="00097612">
            <w:pPr>
              <w:pStyle w:val="a3"/>
              <w:spacing w:before="0" w:beforeAutospacing="0" w:after="0" w:afterAutospacing="0"/>
              <w:ind w:left="360"/>
              <w:rPr>
                <w:sz w:val="16"/>
                <w:szCs w:val="16"/>
              </w:rPr>
            </w:pPr>
            <w:r>
              <w:rPr>
                <w:sz w:val="16"/>
                <w:szCs w:val="16"/>
              </w:rPr>
              <w:t>Other prepaid and current assets</w:t>
            </w:r>
          </w:p>
        </w:tc>
        <w:tc>
          <w:tcPr>
            <w:tcW w:w="124" w:type="pct"/>
            <w:noWrap/>
            <w:tcMar>
              <w:top w:w="0" w:type="dxa"/>
              <w:left w:w="0" w:type="dxa"/>
              <w:bottom w:w="0" w:type="dxa"/>
              <w:right w:w="0" w:type="dxa"/>
            </w:tcMar>
            <w:vAlign w:val="bottom"/>
            <w:hideMark/>
          </w:tcPr>
          <w:p w14:paraId="51745AF0"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77D17B4E"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3A746289" w14:textId="77777777" w:rsidR="00000000" w:rsidRDefault="00097612">
            <w:pPr>
              <w:pStyle w:val="a3"/>
              <w:spacing w:before="0" w:beforeAutospacing="0" w:after="0" w:afterAutospacing="0"/>
              <w:jc w:val="right"/>
              <w:rPr>
                <w:sz w:val="16"/>
                <w:szCs w:val="16"/>
              </w:rPr>
            </w:pPr>
            <w:r>
              <w:rPr>
                <w:sz w:val="16"/>
                <w:szCs w:val="16"/>
              </w:rPr>
              <w:t>(681)</w:t>
            </w:r>
          </w:p>
        </w:tc>
        <w:tc>
          <w:tcPr>
            <w:tcW w:w="124" w:type="pct"/>
            <w:noWrap/>
            <w:tcMar>
              <w:top w:w="0" w:type="dxa"/>
              <w:left w:w="0" w:type="dxa"/>
              <w:bottom w:w="0" w:type="dxa"/>
              <w:right w:w="0" w:type="dxa"/>
            </w:tcMar>
            <w:vAlign w:val="bottom"/>
            <w:hideMark/>
          </w:tcPr>
          <w:p w14:paraId="1DF4FDB5"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5AB5DDB9"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0E07DB4D" w14:textId="77777777" w:rsidR="00000000" w:rsidRDefault="00097612">
            <w:pPr>
              <w:pStyle w:val="a3"/>
              <w:spacing w:before="0" w:beforeAutospacing="0" w:after="0" w:afterAutospacing="0"/>
              <w:jc w:val="right"/>
              <w:rPr>
                <w:sz w:val="16"/>
                <w:szCs w:val="16"/>
              </w:rPr>
            </w:pPr>
            <w:r>
              <w:rPr>
                <w:sz w:val="16"/>
                <w:szCs w:val="16"/>
              </w:rPr>
              <w:t>(493)</w:t>
            </w:r>
          </w:p>
        </w:tc>
        <w:tc>
          <w:tcPr>
            <w:tcW w:w="79" w:type="pct"/>
            <w:noWrap/>
            <w:tcMar>
              <w:top w:w="0" w:type="dxa"/>
              <w:left w:w="0" w:type="dxa"/>
              <w:bottom w:w="0" w:type="dxa"/>
              <w:right w:w="0" w:type="dxa"/>
            </w:tcMar>
            <w:vAlign w:val="bottom"/>
            <w:hideMark/>
          </w:tcPr>
          <w:p w14:paraId="5E74CB53" w14:textId="77777777" w:rsidR="00000000" w:rsidRDefault="00097612">
            <w:pPr>
              <w:pStyle w:val="a3"/>
              <w:spacing w:before="0" w:beforeAutospacing="0" w:after="0" w:afterAutospacing="0"/>
              <w:rPr>
                <w:sz w:val="20"/>
                <w:szCs w:val="20"/>
              </w:rPr>
            </w:pPr>
            <w:r>
              <w:rPr>
                <w:sz w:val="16"/>
                <w:szCs w:val="16"/>
              </w:rPr>
              <w:t>​</w:t>
            </w:r>
          </w:p>
        </w:tc>
      </w:tr>
      <w:tr w:rsidR="00000000" w14:paraId="0A84351E" w14:textId="77777777">
        <w:trPr>
          <w:divId w:val="1082946914"/>
        </w:trPr>
        <w:tc>
          <w:tcPr>
            <w:tcW w:w="3448" w:type="pct"/>
            <w:shd w:val="clear" w:color="auto" w:fill="CCEEFF"/>
            <w:tcMar>
              <w:top w:w="0" w:type="dxa"/>
              <w:left w:w="0" w:type="dxa"/>
              <w:bottom w:w="0" w:type="dxa"/>
              <w:right w:w="0" w:type="dxa"/>
            </w:tcMar>
            <w:hideMark/>
          </w:tcPr>
          <w:p w14:paraId="0D26C5CF" w14:textId="77777777" w:rsidR="00000000" w:rsidRDefault="00097612">
            <w:pPr>
              <w:pStyle w:val="a3"/>
              <w:spacing w:before="0" w:beforeAutospacing="0" w:after="0" w:afterAutospacing="0"/>
              <w:ind w:left="360"/>
              <w:rPr>
                <w:sz w:val="16"/>
                <w:szCs w:val="16"/>
              </w:rPr>
            </w:pPr>
            <w:r>
              <w:rPr>
                <w:sz w:val="16"/>
                <w:szCs w:val="16"/>
              </w:rPr>
              <w:t xml:space="preserve">Inventories </w:t>
            </w:r>
          </w:p>
        </w:tc>
        <w:tc>
          <w:tcPr>
            <w:tcW w:w="124" w:type="pct"/>
            <w:shd w:val="clear" w:color="auto" w:fill="CCEEFF"/>
            <w:noWrap/>
            <w:tcMar>
              <w:top w:w="0" w:type="dxa"/>
              <w:left w:w="0" w:type="dxa"/>
              <w:bottom w:w="0" w:type="dxa"/>
              <w:right w:w="0" w:type="dxa"/>
            </w:tcMar>
            <w:vAlign w:val="bottom"/>
            <w:hideMark/>
          </w:tcPr>
          <w:p w14:paraId="237F5ECF"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6864DF0C"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00CDC3E1" w14:textId="77777777" w:rsidR="00000000" w:rsidRDefault="00097612">
            <w:pPr>
              <w:pStyle w:val="a3"/>
              <w:spacing w:before="0" w:beforeAutospacing="0" w:after="0" w:afterAutospacing="0"/>
              <w:ind w:right="60"/>
              <w:jc w:val="right"/>
              <w:rPr>
                <w:sz w:val="16"/>
                <w:szCs w:val="16"/>
              </w:rPr>
            </w:pPr>
            <w:r>
              <w:rPr>
                <w:sz w:val="16"/>
                <w:szCs w:val="16"/>
              </w:rPr>
              <w:t>—</w:t>
            </w:r>
          </w:p>
        </w:tc>
        <w:tc>
          <w:tcPr>
            <w:tcW w:w="124" w:type="pct"/>
            <w:shd w:val="clear" w:color="auto" w:fill="CCEEFF"/>
            <w:noWrap/>
            <w:tcMar>
              <w:top w:w="0" w:type="dxa"/>
              <w:left w:w="0" w:type="dxa"/>
              <w:bottom w:w="0" w:type="dxa"/>
              <w:right w:w="0" w:type="dxa"/>
            </w:tcMar>
            <w:vAlign w:val="bottom"/>
            <w:hideMark/>
          </w:tcPr>
          <w:p w14:paraId="70E02D28"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63314DFE"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7589F564" w14:textId="77777777" w:rsidR="00000000" w:rsidRDefault="00097612">
            <w:pPr>
              <w:pStyle w:val="a3"/>
              <w:spacing w:before="0" w:beforeAutospacing="0" w:after="0" w:afterAutospacing="0"/>
              <w:jc w:val="right"/>
              <w:rPr>
                <w:sz w:val="16"/>
                <w:szCs w:val="16"/>
              </w:rPr>
            </w:pPr>
            <w:r>
              <w:rPr>
                <w:sz w:val="16"/>
                <w:szCs w:val="16"/>
              </w:rPr>
              <w:t>(552)</w:t>
            </w:r>
          </w:p>
        </w:tc>
        <w:tc>
          <w:tcPr>
            <w:tcW w:w="79" w:type="pct"/>
            <w:shd w:val="clear" w:color="auto" w:fill="CCEEFF"/>
            <w:noWrap/>
            <w:tcMar>
              <w:top w:w="0" w:type="dxa"/>
              <w:left w:w="0" w:type="dxa"/>
              <w:bottom w:w="0" w:type="dxa"/>
              <w:right w:w="0" w:type="dxa"/>
            </w:tcMar>
            <w:vAlign w:val="bottom"/>
            <w:hideMark/>
          </w:tcPr>
          <w:p w14:paraId="489801A7" w14:textId="77777777" w:rsidR="00000000" w:rsidRDefault="00097612">
            <w:pPr>
              <w:pStyle w:val="a3"/>
              <w:spacing w:before="0" w:beforeAutospacing="0" w:after="0" w:afterAutospacing="0"/>
              <w:rPr>
                <w:sz w:val="20"/>
                <w:szCs w:val="20"/>
              </w:rPr>
            </w:pPr>
            <w:r>
              <w:rPr>
                <w:sz w:val="16"/>
                <w:szCs w:val="16"/>
              </w:rPr>
              <w:t>​</w:t>
            </w:r>
          </w:p>
        </w:tc>
      </w:tr>
      <w:tr w:rsidR="00000000" w14:paraId="5D2217E8" w14:textId="77777777">
        <w:trPr>
          <w:divId w:val="1082946914"/>
        </w:trPr>
        <w:tc>
          <w:tcPr>
            <w:tcW w:w="3448" w:type="pct"/>
            <w:tcMar>
              <w:top w:w="0" w:type="dxa"/>
              <w:left w:w="0" w:type="dxa"/>
              <w:bottom w:w="0" w:type="dxa"/>
              <w:right w:w="0" w:type="dxa"/>
            </w:tcMar>
            <w:hideMark/>
          </w:tcPr>
          <w:p w14:paraId="0CF68463" w14:textId="77777777" w:rsidR="00000000" w:rsidRDefault="00097612">
            <w:pPr>
              <w:pStyle w:val="a3"/>
              <w:spacing w:before="0" w:beforeAutospacing="0" w:after="0" w:afterAutospacing="0"/>
              <w:ind w:left="360"/>
              <w:rPr>
                <w:sz w:val="16"/>
                <w:szCs w:val="16"/>
              </w:rPr>
            </w:pPr>
            <w:r>
              <w:rPr>
                <w:sz w:val="16"/>
                <w:szCs w:val="16"/>
              </w:rPr>
              <w:t>Tax receivable</w:t>
            </w:r>
          </w:p>
        </w:tc>
        <w:tc>
          <w:tcPr>
            <w:tcW w:w="124" w:type="pct"/>
            <w:noWrap/>
            <w:tcMar>
              <w:top w:w="0" w:type="dxa"/>
              <w:left w:w="0" w:type="dxa"/>
              <w:bottom w:w="0" w:type="dxa"/>
              <w:right w:w="0" w:type="dxa"/>
            </w:tcMar>
            <w:vAlign w:val="bottom"/>
            <w:hideMark/>
          </w:tcPr>
          <w:p w14:paraId="68417E30"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3392E86E"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25EB9A81" w14:textId="77777777" w:rsidR="00000000" w:rsidRDefault="00097612">
            <w:pPr>
              <w:pStyle w:val="a3"/>
              <w:spacing w:before="0" w:beforeAutospacing="0" w:after="0" w:afterAutospacing="0"/>
              <w:jc w:val="right"/>
              <w:rPr>
                <w:sz w:val="16"/>
                <w:szCs w:val="16"/>
              </w:rPr>
            </w:pPr>
            <w:r>
              <w:rPr>
                <w:sz w:val="16"/>
                <w:szCs w:val="16"/>
              </w:rPr>
              <w:t>(3,700)</w:t>
            </w:r>
          </w:p>
        </w:tc>
        <w:tc>
          <w:tcPr>
            <w:tcW w:w="124" w:type="pct"/>
            <w:noWrap/>
            <w:tcMar>
              <w:top w:w="0" w:type="dxa"/>
              <w:left w:w="0" w:type="dxa"/>
              <w:bottom w:w="0" w:type="dxa"/>
              <w:right w:w="0" w:type="dxa"/>
            </w:tcMar>
            <w:vAlign w:val="bottom"/>
            <w:hideMark/>
          </w:tcPr>
          <w:p w14:paraId="5A9318D5"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582C98A4"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41E8AFAF" w14:textId="77777777" w:rsidR="00000000" w:rsidRDefault="00097612">
            <w:pPr>
              <w:pStyle w:val="a3"/>
              <w:spacing w:before="0" w:beforeAutospacing="0" w:after="0" w:afterAutospacing="0"/>
              <w:ind w:right="60"/>
              <w:jc w:val="right"/>
              <w:rPr>
                <w:sz w:val="16"/>
                <w:szCs w:val="16"/>
              </w:rPr>
            </w:pPr>
            <w:r>
              <w:rPr>
                <w:sz w:val="16"/>
                <w:szCs w:val="16"/>
              </w:rPr>
              <w:t>5,092</w:t>
            </w:r>
          </w:p>
        </w:tc>
        <w:tc>
          <w:tcPr>
            <w:tcW w:w="79" w:type="pct"/>
            <w:noWrap/>
            <w:tcMar>
              <w:top w:w="0" w:type="dxa"/>
              <w:left w:w="0" w:type="dxa"/>
              <w:bottom w:w="0" w:type="dxa"/>
              <w:right w:w="0" w:type="dxa"/>
            </w:tcMar>
            <w:vAlign w:val="bottom"/>
            <w:hideMark/>
          </w:tcPr>
          <w:p w14:paraId="16A899D4" w14:textId="77777777" w:rsidR="00000000" w:rsidRDefault="00097612">
            <w:pPr>
              <w:pStyle w:val="a3"/>
              <w:spacing w:before="0" w:beforeAutospacing="0" w:after="0" w:afterAutospacing="0"/>
              <w:rPr>
                <w:sz w:val="20"/>
                <w:szCs w:val="20"/>
              </w:rPr>
            </w:pPr>
            <w:r>
              <w:rPr>
                <w:sz w:val="16"/>
                <w:szCs w:val="16"/>
              </w:rPr>
              <w:t>​</w:t>
            </w:r>
          </w:p>
        </w:tc>
      </w:tr>
      <w:tr w:rsidR="00000000" w14:paraId="1274E463" w14:textId="77777777">
        <w:trPr>
          <w:divId w:val="1082946914"/>
        </w:trPr>
        <w:tc>
          <w:tcPr>
            <w:tcW w:w="3448" w:type="pct"/>
            <w:shd w:val="clear" w:color="auto" w:fill="CCEEFF"/>
            <w:tcMar>
              <w:top w:w="0" w:type="dxa"/>
              <w:left w:w="0" w:type="dxa"/>
              <w:bottom w:w="0" w:type="dxa"/>
              <w:right w:w="0" w:type="dxa"/>
            </w:tcMar>
            <w:vAlign w:val="bottom"/>
            <w:hideMark/>
          </w:tcPr>
          <w:p w14:paraId="7FFBFA77" w14:textId="77777777" w:rsidR="00000000" w:rsidRDefault="00097612">
            <w:pPr>
              <w:pStyle w:val="a3"/>
              <w:spacing w:before="0" w:beforeAutospacing="0" w:after="0" w:afterAutospacing="0"/>
              <w:ind w:left="360"/>
              <w:rPr>
                <w:sz w:val="16"/>
                <w:szCs w:val="16"/>
              </w:rPr>
            </w:pPr>
            <w:r>
              <w:rPr>
                <w:sz w:val="16"/>
                <w:szCs w:val="16"/>
              </w:rPr>
              <w:t>Other assets</w:t>
            </w:r>
          </w:p>
        </w:tc>
        <w:tc>
          <w:tcPr>
            <w:tcW w:w="124" w:type="pct"/>
            <w:shd w:val="clear" w:color="auto" w:fill="CCEEFF"/>
            <w:noWrap/>
            <w:tcMar>
              <w:top w:w="0" w:type="dxa"/>
              <w:left w:w="0" w:type="dxa"/>
              <w:bottom w:w="0" w:type="dxa"/>
              <w:right w:w="0" w:type="dxa"/>
            </w:tcMar>
            <w:vAlign w:val="bottom"/>
            <w:hideMark/>
          </w:tcPr>
          <w:p w14:paraId="00C4A99C"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13AB7B40"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34A3F4DC" w14:textId="77777777" w:rsidR="00000000" w:rsidRDefault="00097612">
            <w:pPr>
              <w:pStyle w:val="a3"/>
              <w:spacing w:before="0" w:beforeAutospacing="0" w:after="0" w:afterAutospacing="0"/>
              <w:ind w:right="60"/>
              <w:jc w:val="right"/>
              <w:rPr>
                <w:sz w:val="16"/>
                <w:szCs w:val="16"/>
              </w:rPr>
            </w:pPr>
            <w:r>
              <w:rPr>
                <w:sz w:val="16"/>
                <w:szCs w:val="16"/>
              </w:rPr>
              <w:t>3</w:t>
            </w:r>
          </w:p>
        </w:tc>
        <w:tc>
          <w:tcPr>
            <w:tcW w:w="124" w:type="pct"/>
            <w:shd w:val="clear" w:color="auto" w:fill="CCEEFF"/>
            <w:noWrap/>
            <w:tcMar>
              <w:top w:w="0" w:type="dxa"/>
              <w:left w:w="0" w:type="dxa"/>
              <w:bottom w:w="0" w:type="dxa"/>
              <w:right w:w="0" w:type="dxa"/>
            </w:tcMar>
            <w:vAlign w:val="bottom"/>
            <w:hideMark/>
          </w:tcPr>
          <w:p w14:paraId="10F55A27"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2F904B2B"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4DA08D45" w14:textId="77777777" w:rsidR="00000000" w:rsidRDefault="00097612">
            <w:pPr>
              <w:pStyle w:val="a3"/>
              <w:spacing w:before="0" w:beforeAutospacing="0" w:after="0" w:afterAutospacing="0"/>
              <w:jc w:val="right"/>
              <w:rPr>
                <w:sz w:val="16"/>
                <w:szCs w:val="16"/>
              </w:rPr>
            </w:pPr>
            <w:r>
              <w:rPr>
                <w:sz w:val="16"/>
                <w:szCs w:val="16"/>
              </w:rPr>
              <w:t>(115)</w:t>
            </w:r>
          </w:p>
        </w:tc>
        <w:tc>
          <w:tcPr>
            <w:tcW w:w="79" w:type="pct"/>
            <w:shd w:val="clear" w:color="auto" w:fill="CCEEFF"/>
            <w:noWrap/>
            <w:tcMar>
              <w:top w:w="0" w:type="dxa"/>
              <w:left w:w="0" w:type="dxa"/>
              <w:bottom w:w="0" w:type="dxa"/>
              <w:right w:w="0" w:type="dxa"/>
            </w:tcMar>
            <w:vAlign w:val="bottom"/>
            <w:hideMark/>
          </w:tcPr>
          <w:p w14:paraId="23586DB1" w14:textId="77777777" w:rsidR="00000000" w:rsidRDefault="00097612">
            <w:pPr>
              <w:pStyle w:val="a3"/>
              <w:spacing w:before="0" w:beforeAutospacing="0" w:after="0" w:afterAutospacing="0"/>
              <w:rPr>
                <w:sz w:val="20"/>
                <w:szCs w:val="20"/>
              </w:rPr>
            </w:pPr>
            <w:r>
              <w:rPr>
                <w:sz w:val="16"/>
                <w:szCs w:val="16"/>
              </w:rPr>
              <w:t>​</w:t>
            </w:r>
          </w:p>
        </w:tc>
      </w:tr>
      <w:tr w:rsidR="00000000" w14:paraId="228DC85D" w14:textId="77777777">
        <w:trPr>
          <w:divId w:val="1082946914"/>
        </w:trPr>
        <w:tc>
          <w:tcPr>
            <w:tcW w:w="3448" w:type="pct"/>
            <w:tcMar>
              <w:top w:w="0" w:type="dxa"/>
              <w:left w:w="0" w:type="dxa"/>
              <w:bottom w:w="0" w:type="dxa"/>
              <w:right w:w="0" w:type="dxa"/>
            </w:tcMar>
            <w:hideMark/>
          </w:tcPr>
          <w:p w14:paraId="296A6F93" w14:textId="77777777" w:rsidR="00000000" w:rsidRDefault="00097612">
            <w:pPr>
              <w:pStyle w:val="a3"/>
              <w:spacing w:before="0" w:beforeAutospacing="0" w:after="0" w:afterAutospacing="0"/>
              <w:ind w:left="360"/>
              <w:rPr>
                <w:sz w:val="16"/>
                <w:szCs w:val="16"/>
              </w:rPr>
            </w:pPr>
            <w:r>
              <w:rPr>
                <w:sz w:val="16"/>
                <w:szCs w:val="16"/>
              </w:rPr>
              <w:t xml:space="preserve">Accounts payable </w:t>
            </w:r>
          </w:p>
        </w:tc>
        <w:tc>
          <w:tcPr>
            <w:tcW w:w="124" w:type="pct"/>
            <w:noWrap/>
            <w:tcMar>
              <w:top w:w="0" w:type="dxa"/>
              <w:left w:w="0" w:type="dxa"/>
              <w:bottom w:w="0" w:type="dxa"/>
              <w:right w:w="0" w:type="dxa"/>
            </w:tcMar>
            <w:vAlign w:val="bottom"/>
            <w:hideMark/>
          </w:tcPr>
          <w:p w14:paraId="73472A6C"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0C337124"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2C8827F4" w14:textId="77777777" w:rsidR="00000000" w:rsidRDefault="00097612">
            <w:pPr>
              <w:pStyle w:val="a3"/>
              <w:spacing w:before="0" w:beforeAutospacing="0" w:after="0" w:afterAutospacing="0"/>
              <w:jc w:val="right"/>
              <w:rPr>
                <w:sz w:val="16"/>
                <w:szCs w:val="16"/>
              </w:rPr>
            </w:pPr>
            <w:r>
              <w:rPr>
                <w:sz w:val="16"/>
                <w:szCs w:val="16"/>
              </w:rPr>
              <w:t>(543)</w:t>
            </w:r>
          </w:p>
        </w:tc>
        <w:tc>
          <w:tcPr>
            <w:tcW w:w="124" w:type="pct"/>
            <w:noWrap/>
            <w:tcMar>
              <w:top w:w="0" w:type="dxa"/>
              <w:left w:w="0" w:type="dxa"/>
              <w:bottom w:w="0" w:type="dxa"/>
              <w:right w:w="0" w:type="dxa"/>
            </w:tcMar>
            <w:vAlign w:val="bottom"/>
            <w:hideMark/>
          </w:tcPr>
          <w:p w14:paraId="7E71861E"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64331BDE"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17C0EDF1" w14:textId="77777777" w:rsidR="00000000" w:rsidRDefault="00097612">
            <w:pPr>
              <w:pStyle w:val="a3"/>
              <w:spacing w:before="0" w:beforeAutospacing="0" w:after="0" w:afterAutospacing="0"/>
              <w:jc w:val="right"/>
              <w:rPr>
                <w:sz w:val="16"/>
                <w:szCs w:val="16"/>
              </w:rPr>
            </w:pPr>
            <w:r>
              <w:rPr>
                <w:sz w:val="16"/>
                <w:szCs w:val="16"/>
              </w:rPr>
              <w:t>(1,665)</w:t>
            </w:r>
          </w:p>
        </w:tc>
        <w:tc>
          <w:tcPr>
            <w:tcW w:w="79" w:type="pct"/>
            <w:noWrap/>
            <w:tcMar>
              <w:top w:w="0" w:type="dxa"/>
              <w:left w:w="0" w:type="dxa"/>
              <w:bottom w:w="0" w:type="dxa"/>
              <w:right w:w="0" w:type="dxa"/>
            </w:tcMar>
            <w:vAlign w:val="bottom"/>
            <w:hideMark/>
          </w:tcPr>
          <w:p w14:paraId="5F74E54E" w14:textId="77777777" w:rsidR="00000000" w:rsidRDefault="00097612">
            <w:pPr>
              <w:pStyle w:val="a3"/>
              <w:spacing w:before="0" w:beforeAutospacing="0" w:after="0" w:afterAutospacing="0"/>
              <w:rPr>
                <w:sz w:val="20"/>
                <w:szCs w:val="20"/>
              </w:rPr>
            </w:pPr>
            <w:r>
              <w:rPr>
                <w:sz w:val="16"/>
                <w:szCs w:val="16"/>
              </w:rPr>
              <w:t>​</w:t>
            </w:r>
          </w:p>
        </w:tc>
      </w:tr>
      <w:tr w:rsidR="00000000" w14:paraId="4D410552" w14:textId="77777777">
        <w:trPr>
          <w:divId w:val="1082946914"/>
        </w:trPr>
        <w:tc>
          <w:tcPr>
            <w:tcW w:w="3448" w:type="pct"/>
            <w:shd w:val="clear" w:color="auto" w:fill="CCEEFF"/>
            <w:tcMar>
              <w:top w:w="0" w:type="dxa"/>
              <w:left w:w="0" w:type="dxa"/>
              <w:bottom w:w="0" w:type="dxa"/>
              <w:right w:w="0" w:type="dxa"/>
            </w:tcMar>
            <w:hideMark/>
          </w:tcPr>
          <w:p w14:paraId="344C6842" w14:textId="77777777" w:rsidR="00000000" w:rsidRDefault="00097612">
            <w:pPr>
              <w:pStyle w:val="a3"/>
              <w:spacing w:before="0" w:beforeAutospacing="0" w:after="0" w:afterAutospacing="0"/>
              <w:ind w:left="360"/>
              <w:rPr>
                <w:sz w:val="16"/>
                <w:szCs w:val="16"/>
              </w:rPr>
            </w:pPr>
            <w:r>
              <w:rPr>
                <w:sz w:val="16"/>
                <w:szCs w:val="16"/>
              </w:rPr>
              <w:t xml:space="preserve">Accrued personnel-related expenses, accrued clinical and development expenses, and </w:t>
            </w:r>
            <w:r>
              <w:rPr>
                <w:sz w:val="16"/>
                <w:szCs w:val="16"/>
              </w:rPr>
              <w:br/>
            </w:r>
            <w:r>
              <w:rPr>
                <w:sz w:val="16"/>
                <w:szCs w:val="16"/>
              </w:rPr>
              <w:t>other accrued liabilities</w:t>
            </w:r>
            <w:r>
              <w:rPr>
                <w:sz w:val="16"/>
                <w:szCs w:val="16"/>
              </w:rPr>
              <w:t xml:space="preserve"> </w:t>
            </w:r>
          </w:p>
        </w:tc>
        <w:tc>
          <w:tcPr>
            <w:tcW w:w="124" w:type="pct"/>
            <w:shd w:val="clear" w:color="auto" w:fill="CCEEFF"/>
            <w:noWrap/>
            <w:tcMar>
              <w:top w:w="0" w:type="dxa"/>
              <w:left w:w="0" w:type="dxa"/>
              <w:bottom w:w="0" w:type="dxa"/>
              <w:right w:w="0" w:type="dxa"/>
            </w:tcMar>
            <w:vAlign w:val="bottom"/>
            <w:hideMark/>
          </w:tcPr>
          <w:p w14:paraId="724888F6"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63BB2F2A"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1F0D4A62" w14:textId="77777777" w:rsidR="00000000" w:rsidRDefault="00097612">
            <w:pPr>
              <w:pStyle w:val="a3"/>
              <w:spacing w:before="0" w:beforeAutospacing="0" w:after="0" w:afterAutospacing="0"/>
              <w:jc w:val="right"/>
              <w:rPr>
                <w:sz w:val="16"/>
                <w:szCs w:val="16"/>
              </w:rPr>
            </w:pPr>
            <w:r>
              <w:rPr>
                <w:sz w:val="16"/>
                <w:szCs w:val="16"/>
              </w:rPr>
              <w:t>(9,846)</w:t>
            </w:r>
          </w:p>
        </w:tc>
        <w:tc>
          <w:tcPr>
            <w:tcW w:w="124" w:type="pct"/>
            <w:shd w:val="clear" w:color="auto" w:fill="CCEEFF"/>
            <w:noWrap/>
            <w:tcMar>
              <w:top w:w="0" w:type="dxa"/>
              <w:left w:w="0" w:type="dxa"/>
              <w:bottom w:w="0" w:type="dxa"/>
              <w:right w:w="0" w:type="dxa"/>
            </w:tcMar>
            <w:vAlign w:val="bottom"/>
            <w:hideMark/>
          </w:tcPr>
          <w:p w14:paraId="5BEB4932"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6C63FAD2"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529A4D90" w14:textId="77777777" w:rsidR="00000000" w:rsidRDefault="00097612">
            <w:pPr>
              <w:pStyle w:val="a3"/>
              <w:spacing w:before="0" w:beforeAutospacing="0" w:after="0" w:afterAutospacing="0"/>
              <w:jc w:val="right"/>
              <w:rPr>
                <w:sz w:val="16"/>
                <w:szCs w:val="16"/>
              </w:rPr>
            </w:pPr>
            <w:r>
              <w:rPr>
                <w:sz w:val="16"/>
                <w:szCs w:val="16"/>
              </w:rPr>
              <w:t>(14,324)</w:t>
            </w:r>
          </w:p>
        </w:tc>
        <w:tc>
          <w:tcPr>
            <w:tcW w:w="79" w:type="pct"/>
            <w:shd w:val="clear" w:color="auto" w:fill="CCEEFF"/>
            <w:noWrap/>
            <w:tcMar>
              <w:top w:w="0" w:type="dxa"/>
              <w:left w:w="0" w:type="dxa"/>
              <w:bottom w:w="0" w:type="dxa"/>
              <w:right w:w="0" w:type="dxa"/>
            </w:tcMar>
            <w:vAlign w:val="bottom"/>
            <w:hideMark/>
          </w:tcPr>
          <w:p w14:paraId="049E7026" w14:textId="77777777" w:rsidR="00000000" w:rsidRDefault="00097612">
            <w:pPr>
              <w:pStyle w:val="a3"/>
              <w:spacing w:before="0" w:beforeAutospacing="0" w:after="0" w:afterAutospacing="0"/>
              <w:rPr>
                <w:sz w:val="20"/>
                <w:szCs w:val="20"/>
              </w:rPr>
            </w:pPr>
            <w:r>
              <w:rPr>
                <w:sz w:val="16"/>
                <w:szCs w:val="16"/>
              </w:rPr>
              <w:t>​</w:t>
            </w:r>
          </w:p>
        </w:tc>
      </w:tr>
      <w:tr w:rsidR="00000000" w14:paraId="210BA7D9" w14:textId="77777777">
        <w:trPr>
          <w:divId w:val="1082946914"/>
        </w:trPr>
        <w:tc>
          <w:tcPr>
            <w:tcW w:w="3448" w:type="pct"/>
            <w:tcMar>
              <w:top w:w="0" w:type="dxa"/>
              <w:left w:w="0" w:type="dxa"/>
              <w:bottom w:w="0" w:type="dxa"/>
              <w:right w:w="0" w:type="dxa"/>
            </w:tcMar>
            <w:hideMark/>
          </w:tcPr>
          <w:p w14:paraId="5275F860" w14:textId="77777777" w:rsidR="00000000" w:rsidRDefault="00097612">
            <w:pPr>
              <w:pStyle w:val="a3"/>
              <w:spacing w:before="0" w:beforeAutospacing="0" w:after="0" w:afterAutospacing="0"/>
              <w:ind w:left="360"/>
              <w:rPr>
                <w:sz w:val="16"/>
                <w:szCs w:val="16"/>
              </w:rPr>
            </w:pPr>
            <w:r>
              <w:rPr>
                <w:sz w:val="16"/>
                <w:szCs w:val="16"/>
              </w:rPr>
              <w:t>Accrued interest payable</w:t>
            </w:r>
          </w:p>
        </w:tc>
        <w:tc>
          <w:tcPr>
            <w:tcW w:w="124" w:type="pct"/>
            <w:noWrap/>
            <w:tcMar>
              <w:top w:w="0" w:type="dxa"/>
              <w:left w:w="0" w:type="dxa"/>
              <w:bottom w:w="0" w:type="dxa"/>
              <w:right w:w="0" w:type="dxa"/>
            </w:tcMar>
            <w:vAlign w:val="bottom"/>
            <w:hideMark/>
          </w:tcPr>
          <w:p w14:paraId="12C64FB2"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5CEC2AD1"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6B3374E1" w14:textId="77777777" w:rsidR="00000000" w:rsidRDefault="00097612">
            <w:pPr>
              <w:pStyle w:val="a3"/>
              <w:spacing w:before="0" w:beforeAutospacing="0" w:after="0" w:afterAutospacing="0"/>
              <w:ind w:right="60"/>
              <w:jc w:val="right"/>
              <w:rPr>
                <w:sz w:val="16"/>
                <w:szCs w:val="16"/>
              </w:rPr>
            </w:pPr>
            <w:r>
              <w:rPr>
                <w:sz w:val="16"/>
                <w:szCs w:val="16"/>
              </w:rPr>
              <w:t>4,482</w:t>
            </w:r>
          </w:p>
        </w:tc>
        <w:tc>
          <w:tcPr>
            <w:tcW w:w="124" w:type="pct"/>
            <w:noWrap/>
            <w:tcMar>
              <w:top w:w="0" w:type="dxa"/>
              <w:left w:w="0" w:type="dxa"/>
              <w:bottom w:w="0" w:type="dxa"/>
              <w:right w:w="0" w:type="dxa"/>
            </w:tcMar>
            <w:vAlign w:val="bottom"/>
            <w:hideMark/>
          </w:tcPr>
          <w:p w14:paraId="3017DD97"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1E9CBB74"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7DD0238F" w14:textId="77777777" w:rsidR="00000000" w:rsidRDefault="00097612">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34F11DA9" w14:textId="77777777" w:rsidR="00000000" w:rsidRDefault="00097612">
            <w:pPr>
              <w:pStyle w:val="a3"/>
              <w:spacing w:before="0" w:beforeAutospacing="0" w:after="0" w:afterAutospacing="0"/>
              <w:rPr>
                <w:sz w:val="20"/>
                <w:szCs w:val="20"/>
              </w:rPr>
            </w:pPr>
            <w:r>
              <w:rPr>
                <w:sz w:val="16"/>
                <w:szCs w:val="16"/>
              </w:rPr>
              <w:t>​</w:t>
            </w:r>
          </w:p>
        </w:tc>
      </w:tr>
      <w:tr w:rsidR="00000000" w14:paraId="3DC494B2" w14:textId="77777777">
        <w:trPr>
          <w:divId w:val="1082946914"/>
        </w:trPr>
        <w:tc>
          <w:tcPr>
            <w:tcW w:w="3448" w:type="pct"/>
            <w:shd w:val="clear" w:color="auto" w:fill="CCEEFF"/>
            <w:tcMar>
              <w:top w:w="0" w:type="dxa"/>
              <w:left w:w="0" w:type="dxa"/>
              <w:bottom w:w="0" w:type="dxa"/>
              <w:right w:w="0" w:type="dxa"/>
            </w:tcMar>
            <w:hideMark/>
          </w:tcPr>
          <w:p w14:paraId="5733064C" w14:textId="77777777" w:rsidR="00000000" w:rsidRDefault="00097612">
            <w:pPr>
              <w:pStyle w:val="a3"/>
              <w:spacing w:before="0" w:beforeAutospacing="0" w:after="0" w:afterAutospacing="0"/>
              <w:ind w:left="360"/>
              <w:rPr>
                <w:sz w:val="16"/>
                <w:szCs w:val="16"/>
              </w:rPr>
            </w:pPr>
            <w:r>
              <w:rPr>
                <w:sz w:val="16"/>
                <w:szCs w:val="16"/>
              </w:rPr>
              <w:t>Deferred rent</w:t>
            </w:r>
          </w:p>
        </w:tc>
        <w:tc>
          <w:tcPr>
            <w:tcW w:w="124" w:type="pct"/>
            <w:shd w:val="clear" w:color="auto" w:fill="CCEEFF"/>
            <w:noWrap/>
            <w:tcMar>
              <w:top w:w="0" w:type="dxa"/>
              <w:left w:w="0" w:type="dxa"/>
              <w:bottom w:w="0" w:type="dxa"/>
              <w:right w:w="0" w:type="dxa"/>
            </w:tcMar>
            <w:vAlign w:val="bottom"/>
            <w:hideMark/>
          </w:tcPr>
          <w:p w14:paraId="5B8582F9"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2BFE83D8"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5E14B2D5" w14:textId="77777777" w:rsidR="00000000" w:rsidRDefault="00097612">
            <w:pPr>
              <w:pStyle w:val="a3"/>
              <w:spacing w:before="0" w:beforeAutospacing="0" w:after="0" w:afterAutospacing="0"/>
              <w:ind w:right="60"/>
              <w:jc w:val="right"/>
              <w:rPr>
                <w:sz w:val="16"/>
                <w:szCs w:val="16"/>
              </w:rPr>
            </w:pPr>
            <w:r>
              <w:rPr>
                <w:sz w:val="16"/>
                <w:szCs w:val="16"/>
              </w:rPr>
              <w:t>—</w:t>
            </w:r>
          </w:p>
        </w:tc>
        <w:tc>
          <w:tcPr>
            <w:tcW w:w="124" w:type="pct"/>
            <w:shd w:val="clear" w:color="auto" w:fill="CCEEFF"/>
            <w:noWrap/>
            <w:tcMar>
              <w:top w:w="0" w:type="dxa"/>
              <w:left w:w="0" w:type="dxa"/>
              <w:bottom w:w="0" w:type="dxa"/>
              <w:right w:w="0" w:type="dxa"/>
            </w:tcMar>
            <w:vAlign w:val="bottom"/>
            <w:hideMark/>
          </w:tcPr>
          <w:p w14:paraId="5B1D8C83"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17A47674"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1B60F318" w14:textId="77777777" w:rsidR="00000000" w:rsidRDefault="00097612">
            <w:pPr>
              <w:pStyle w:val="a3"/>
              <w:spacing w:before="0" w:beforeAutospacing="0" w:after="0" w:afterAutospacing="0"/>
              <w:ind w:right="60"/>
              <w:jc w:val="right"/>
              <w:rPr>
                <w:sz w:val="16"/>
                <w:szCs w:val="16"/>
              </w:rPr>
            </w:pPr>
            <w:r>
              <w:rPr>
                <w:sz w:val="16"/>
                <w:szCs w:val="16"/>
              </w:rPr>
              <w:t>3,370</w:t>
            </w:r>
          </w:p>
        </w:tc>
        <w:tc>
          <w:tcPr>
            <w:tcW w:w="79" w:type="pct"/>
            <w:shd w:val="clear" w:color="auto" w:fill="CCEEFF"/>
            <w:noWrap/>
            <w:tcMar>
              <w:top w:w="0" w:type="dxa"/>
              <w:left w:w="0" w:type="dxa"/>
              <w:bottom w:w="0" w:type="dxa"/>
              <w:right w:w="0" w:type="dxa"/>
            </w:tcMar>
            <w:vAlign w:val="bottom"/>
            <w:hideMark/>
          </w:tcPr>
          <w:p w14:paraId="715AA6F9" w14:textId="77777777" w:rsidR="00000000" w:rsidRDefault="00097612">
            <w:pPr>
              <w:pStyle w:val="a3"/>
              <w:spacing w:before="0" w:beforeAutospacing="0" w:after="0" w:afterAutospacing="0"/>
              <w:rPr>
                <w:sz w:val="20"/>
                <w:szCs w:val="20"/>
              </w:rPr>
            </w:pPr>
            <w:r>
              <w:rPr>
                <w:sz w:val="16"/>
                <w:szCs w:val="16"/>
              </w:rPr>
              <w:t>​</w:t>
            </w:r>
          </w:p>
        </w:tc>
      </w:tr>
      <w:tr w:rsidR="00000000" w14:paraId="15DFB590" w14:textId="77777777">
        <w:trPr>
          <w:divId w:val="1082946914"/>
        </w:trPr>
        <w:tc>
          <w:tcPr>
            <w:tcW w:w="3448" w:type="pct"/>
            <w:tcMar>
              <w:top w:w="0" w:type="dxa"/>
              <w:left w:w="0" w:type="dxa"/>
              <w:bottom w:w="0" w:type="dxa"/>
              <w:right w:w="0" w:type="dxa"/>
            </w:tcMar>
            <w:hideMark/>
          </w:tcPr>
          <w:p w14:paraId="39893C6B" w14:textId="77777777" w:rsidR="00000000" w:rsidRDefault="00097612">
            <w:pPr>
              <w:pStyle w:val="a3"/>
              <w:spacing w:before="0" w:beforeAutospacing="0" w:after="0" w:afterAutospacing="0"/>
              <w:ind w:left="360"/>
              <w:rPr>
                <w:sz w:val="16"/>
                <w:szCs w:val="16"/>
              </w:rPr>
            </w:pPr>
            <w:r>
              <w:rPr>
                <w:sz w:val="16"/>
                <w:szCs w:val="16"/>
              </w:rPr>
              <w:t xml:space="preserve">Deferred revenue </w:t>
            </w:r>
          </w:p>
        </w:tc>
        <w:tc>
          <w:tcPr>
            <w:tcW w:w="124" w:type="pct"/>
            <w:noWrap/>
            <w:tcMar>
              <w:top w:w="0" w:type="dxa"/>
              <w:left w:w="0" w:type="dxa"/>
              <w:bottom w:w="0" w:type="dxa"/>
              <w:right w:w="0" w:type="dxa"/>
            </w:tcMar>
            <w:vAlign w:val="bottom"/>
            <w:hideMark/>
          </w:tcPr>
          <w:p w14:paraId="60DFA0D9"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7E2A85B6"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40589200" w14:textId="77777777" w:rsidR="00000000" w:rsidRDefault="00097612">
            <w:pPr>
              <w:pStyle w:val="a3"/>
              <w:spacing w:before="0" w:beforeAutospacing="0" w:after="0" w:afterAutospacing="0"/>
              <w:jc w:val="right"/>
              <w:rPr>
                <w:sz w:val="16"/>
                <w:szCs w:val="16"/>
              </w:rPr>
            </w:pPr>
            <w:r>
              <w:rPr>
                <w:sz w:val="16"/>
                <w:szCs w:val="16"/>
              </w:rPr>
              <w:t>(21,661)</w:t>
            </w:r>
          </w:p>
        </w:tc>
        <w:tc>
          <w:tcPr>
            <w:tcW w:w="124" w:type="pct"/>
            <w:noWrap/>
            <w:tcMar>
              <w:top w:w="0" w:type="dxa"/>
              <w:left w:w="0" w:type="dxa"/>
              <w:bottom w:w="0" w:type="dxa"/>
              <w:right w:w="0" w:type="dxa"/>
            </w:tcMar>
            <w:vAlign w:val="bottom"/>
            <w:hideMark/>
          </w:tcPr>
          <w:p w14:paraId="20E5DFA5"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2DC18805"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748C01CD" w14:textId="77777777" w:rsidR="00000000" w:rsidRDefault="00097612">
            <w:pPr>
              <w:pStyle w:val="a3"/>
              <w:spacing w:before="0" w:beforeAutospacing="0" w:after="0" w:afterAutospacing="0"/>
              <w:ind w:right="60"/>
              <w:jc w:val="right"/>
              <w:rPr>
                <w:sz w:val="16"/>
                <w:szCs w:val="16"/>
              </w:rPr>
            </w:pPr>
            <w:r>
              <w:rPr>
                <w:sz w:val="16"/>
                <w:szCs w:val="16"/>
              </w:rPr>
              <w:t>79,266</w:t>
            </w:r>
          </w:p>
        </w:tc>
        <w:tc>
          <w:tcPr>
            <w:tcW w:w="79" w:type="pct"/>
            <w:noWrap/>
            <w:tcMar>
              <w:top w:w="0" w:type="dxa"/>
              <w:left w:w="0" w:type="dxa"/>
              <w:bottom w:w="0" w:type="dxa"/>
              <w:right w:w="0" w:type="dxa"/>
            </w:tcMar>
            <w:vAlign w:val="bottom"/>
            <w:hideMark/>
          </w:tcPr>
          <w:p w14:paraId="3A2E1B72" w14:textId="77777777" w:rsidR="00000000" w:rsidRDefault="00097612">
            <w:pPr>
              <w:pStyle w:val="a3"/>
              <w:spacing w:before="0" w:beforeAutospacing="0" w:after="0" w:afterAutospacing="0"/>
              <w:rPr>
                <w:sz w:val="20"/>
                <w:szCs w:val="20"/>
              </w:rPr>
            </w:pPr>
            <w:r>
              <w:rPr>
                <w:sz w:val="16"/>
                <w:szCs w:val="16"/>
              </w:rPr>
              <w:t>​</w:t>
            </w:r>
          </w:p>
        </w:tc>
      </w:tr>
      <w:tr w:rsidR="00000000" w14:paraId="294695AC" w14:textId="77777777">
        <w:trPr>
          <w:divId w:val="1082946914"/>
        </w:trPr>
        <w:tc>
          <w:tcPr>
            <w:tcW w:w="3448" w:type="pct"/>
            <w:shd w:val="clear" w:color="auto" w:fill="CCEEFF"/>
            <w:tcMar>
              <w:top w:w="0" w:type="dxa"/>
              <w:left w:w="0" w:type="dxa"/>
              <w:bottom w:w="0" w:type="dxa"/>
              <w:right w:w="0" w:type="dxa"/>
            </w:tcMar>
            <w:hideMark/>
          </w:tcPr>
          <w:p w14:paraId="42452449" w14:textId="77777777" w:rsidR="00000000" w:rsidRDefault="00097612">
            <w:pPr>
              <w:pStyle w:val="a3"/>
              <w:spacing w:before="0" w:beforeAutospacing="0" w:after="0" w:afterAutospacing="0"/>
              <w:ind w:left="360"/>
              <w:rPr>
                <w:sz w:val="16"/>
                <w:szCs w:val="16"/>
              </w:rPr>
            </w:pPr>
            <w:r>
              <w:rPr>
                <w:sz w:val="16"/>
                <w:szCs w:val="16"/>
              </w:rPr>
              <w:t>Operating lease liabilities</w:t>
            </w:r>
          </w:p>
        </w:tc>
        <w:tc>
          <w:tcPr>
            <w:tcW w:w="124" w:type="pct"/>
            <w:shd w:val="clear" w:color="auto" w:fill="CCEEFF"/>
            <w:noWrap/>
            <w:tcMar>
              <w:top w:w="0" w:type="dxa"/>
              <w:left w:w="0" w:type="dxa"/>
              <w:bottom w:w="0" w:type="dxa"/>
              <w:right w:w="0" w:type="dxa"/>
            </w:tcMar>
            <w:vAlign w:val="bottom"/>
            <w:hideMark/>
          </w:tcPr>
          <w:p w14:paraId="718DEF97"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6D2D6359"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014931F7" w14:textId="77777777" w:rsidR="00000000" w:rsidRDefault="00097612">
            <w:pPr>
              <w:pStyle w:val="a3"/>
              <w:spacing w:before="0" w:beforeAutospacing="0" w:after="0" w:afterAutospacing="0"/>
              <w:jc w:val="right"/>
              <w:rPr>
                <w:sz w:val="16"/>
                <w:szCs w:val="16"/>
              </w:rPr>
            </w:pPr>
            <w:r>
              <w:rPr>
                <w:sz w:val="16"/>
                <w:szCs w:val="16"/>
              </w:rPr>
              <w:t>(2,307)</w:t>
            </w:r>
          </w:p>
        </w:tc>
        <w:tc>
          <w:tcPr>
            <w:tcW w:w="124" w:type="pct"/>
            <w:shd w:val="clear" w:color="auto" w:fill="CCEEFF"/>
            <w:noWrap/>
            <w:tcMar>
              <w:top w:w="0" w:type="dxa"/>
              <w:left w:w="0" w:type="dxa"/>
              <w:bottom w:w="0" w:type="dxa"/>
              <w:right w:w="0" w:type="dxa"/>
            </w:tcMar>
            <w:vAlign w:val="bottom"/>
            <w:hideMark/>
          </w:tcPr>
          <w:p w14:paraId="700E821B"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77A23A8C"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25ACF217" w14:textId="77777777" w:rsidR="00000000" w:rsidRDefault="00097612">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76D01F1D" w14:textId="77777777" w:rsidR="00000000" w:rsidRDefault="00097612">
            <w:pPr>
              <w:pStyle w:val="a3"/>
              <w:spacing w:before="0" w:beforeAutospacing="0" w:after="0" w:afterAutospacing="0"/>
              <w:rPr>
                <w:sz w:val="20"/>
                <w:szCs w:val="20"/>
              </w:rPr>
            </w:pPr>
            <w:r>
              <w:rPr>
                <w:sz w:val="16"/>
                <w:szCs w:val="16"/>
              </w:rPr>
              <w:t>​</w:t>
            </w:r>
          </w:p>
        </w:tc>
      </w:tr>
      <w:tr w:rsidR="00000000" w14:paraId="2E1DB10D" w14:textId="77777777">
        <w:trPr>
          <w:divId w:val="1082946914"/>
        </w:trPr>
        <w:tc>
          <w:tcPr>
            <w:tcW w:w="3448" w:type="pct"/>
            <w:tcMar>
              <w:top w:w="0" w:type="dxa"/>
              <w:left w:w="0" w:type="dxa"/>
              <w:bottom w:w="0" w:type="dxa"/>
              <w:right w:w="0" w:type="dxa"/>
            </w:tcMar>
            <w:hideMark/>
          </w:tcPr>
          <w:p w14:paraId="13E89DF6" w14:textId="77777777" w:rsidR="00000000" w:rsidRDefault="00097612">
            <w:pPr>
              <w:pStyle w:val="a3"/>
              <w:spacing w:before="0" w:beforeAutospacing="0" w:after="0" w:afterAutospacing="0"/>
              <w:ind w:left="360"/>
              <w:rPr>
                <w:sz w:val="16"/>
                <w:szCs w:val="16"/>
              </w:rPr>
            </w:pPr>
            <w:r>
              <w:rPr>
                <w:sz w:val="16"/>
                <w:szCs w:val="16"/>
              </w:rPr>
              <w:t>Other long-term liabilities</w:t>
            </w:r>
          </w:p>
        </w:tc>
        <w:tc>
          <w:tcPr>
            <w:tcW w:w="124" w:type="pct"/>
            <w:noWrap/>
            <w:tcMar>
              <w:top w:w="0" w:type="dxa"/>
              <w:left w:w="0" w:type="dxa"/>
              <w:bottom w:w="0" w:type="dxa"/>
              <w:right w:w="0" w:type="dxa"/>
            </w:tcMar>
            <w:vAlign w:val="bottom"/>
            <w:hideMark/>
          </w:tcPr>
          <w:p w14:paraId="5E009BDD"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14:paraId="586861A6" w14:textId="77777777" w:rsidR="00000000" w:rsidRDefault="00097612">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noWrap/>
            <w:tcMar>
              <w:top w:w="0" w:type="dxa"/>
              <w:left w:w="0" w:type="dxa"/>
              <w:bottom w:w="0" w:type="dxa"/>
              <w:right w:w="0" w:type="dxa"/>
            </w:tcMar>
            <w:vAlign w:val="bottom"/>
            <w:hideMark/>
          </w:tcPr>
          <w:p w14:paraId="3776FA84" w14:textId="77777777" w:rsidR="00000000" w:rsidRDefault="00097612">
            <w:pPr>
              <w:pStyle w:val="a3"/>
              <w:spacing w:before="0" w:beforeAutospacing="0" w:after="0" w:afterAutospacing="0"/>
              <w:jc w:val="right"/>
              <w:rPr>
                <w:sz w:val="16"/>
                <w:szCs w:val="16"/>
              </w:rPr>
            </w:pPr>
            <w:r>
              <w:rPr>
                <w:sz w:val="16"/>
                <w:szCs w:val="16"/>
              </w:rPr>
              <w:t>(5,288)</w:t>
            </w:r>
          </w:p>
        </w:tc>
        <w:tc>
          <w:tcPr>
            <w:tcW w:w="124" w:type="pct"/>
            <w:noWrap/>
            <w:tcMar>
              <w:top w:w="0" w:type="dxa"/>
              <w:left w:w="0" w:type="dxa"/>
              <w:bottom w:w="0" w:type="dxa"/>
              <w:right w:w="0" w:type="dxa"/>
            </w:tcMar>
            <w:vAlign w:val="bottom"/>
            <w:hideMark/>
          </w:tcPr>
          <w:p w14:paraId="6A75724B"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14:paraId="36AE8701" w14:textId="77777777" w:rsidR="00000000" w:rsidRDefault="00097612">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noWrap/>
            <w:tcMar>
              <w:top w:w="0" w:type="dxa"/>
              <w:left w:w="0" w:type="dxa"/>
              <w:bottom w:w="0" w:type="dxa"/>
              <w:right w:w="0" w:type="dxa"/>
            </w:tcMar>
            <w:vAlign w:val="bottom"/>
            <w:hideMark/>
          </w:tcPr>
          <w:p w14:paraId="607E1072" w14:textId="77777777" w:rsidR="00000000" w:rsidRDefault="00097612">
            <w:pPr>
              <w:pStyle w:val="a3"/>
              <w:spacing w:before="0" w:beforeAutospacing="0" w:after="0" w:afterAutospacing="0"/>
              <w:jc w:val="right"/>
              <w:rPr>
                <w:sz w:val="16"/>
                <w:szCs w:val="16"/>
              </w:rPr>
            </w:pPr>
            <w:r>
              <w:rPr>
                <w:sz w:val="16"/>
                <w:szCs w:val="16"/>
              </w:rPr>
              <w:t>(5,147)</w:t>
            </w:r>
          </w:p>
        </w:tc>
        <w:tc>
          <w:tcPr>
            <w:tcW w:w="79" w:type="pct"/>
            <w:noWrap/>
            <w:tcMar>
              <w:top w:w="0" w:type="dxa"/>
              <w:left w:w="0" w:type="dxa"/>
              <w:bottom w:w="0" w:type="dxa"/>
              <w:right w:w="0" w:type="dxa"/>
            </w:tcMar>
            <w:vAlign w:val="bottom"/>
            <w:hideMark/>
          </w:tcPr>
          <w:p w14:paraId="5F49D282" w14:textId="77777777" w:rsidR="00000000" w:rsidRDefault="00097612">
            <w:pPr>
              <w:pStyle w:val="a3"/>
              <w:spacing w:before="0" w:beforeAutospacing="0" w:after="0" w:afterAutospacing="0"/>
              <w:rPr>
                <w:sz w:val="20"/>
                <w:szCs w:val="20"/>
              </w:rPr>
            </w:pPr>
            <w:r>
              <w:rPr>
                <w:sz w:val="16"/>
                <w:szCs w:val="16"/>
              </w:rPr>
              <w:t>​</w:t>
            </w:r>
          </w:p>
        </w:tc>
      </w:tr>
      <w:tr w:rsidR="00000000" w14:paraId="592A6A7B" w14:textId="77777777">
        <w:trPr>
          <w:divId w:val="1082946914"/>
        </w:trPr>
        <w:tc>
          <w:tcPr>
            <w:tcW w:w="3448" w:type="pct"/>
            <w:shd w:val="clear" w:color="auto" w:fill="CCEEFF"/>
            <w:tcMar>
              <w:top w:w="0" w:type="dxa"/>
              <w:left w:w="0" w:type="dxa"/>
              <w:bottom w:w="0" w:type="dxa"/>
              <w:right w:w="0" w:type="dxa"/>
            </w:tcMar>
            <w:hideMark/>
          </w:tcPr>
          <w:p w14:paraId="441E01CF" w14:textId="77777777" w:rsidR="00000000" w:rsidRDefault="00097612">
            <w:pPr>
              <w:pStyle w:val="a3"/>
              <w:spacing w:before="0" w:beforeAutospacing="0" w:after="0" w:afterAutospacing="0"/>
              <w:ind w:left="480"/>
              <w:rPr>
                <w:sz w:val="16"/>
                <w:szCs w:val="16"/>
              </w:rPr>
            </w:pPr>
            <w:r>
              <w:rPr>
                <w:sz w:val="16"/>
                <w:szCs w:val="16"/>
              </w:rPr>
              <w:t xml:space="preserve">Net cash used in operating activities </w:t>
            </w:r>
          </w:p>
        </w:tc>
        <w:tc>
          <w:tcPr>
            <w:tcW w:w="124" w:type="pct"/>
            <w:shd w:val="clear" w:color="auto" w:fill="CCEEFF"/>
            <w:noWrap/>
            <w:tcMar>
              <w:top w:w="0" w:type="dxa"/>
              <w:left w:w="0" w:type="dxa"/>
              <w:bottom w:w="0" w:type="dxa"/>
              <w:right w:w="0" w:type="dxa"/>
            </w:tcMar>
            <w:vAlign w:val="bottom"/>
            <w:hideMark/>
          </w:tcPr>
          <w:p w14:paraId="4E3843FB"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14:paraId="5F94CF98" w14:textId="77777777" w:rsidR="00000000" w:rsidRDefault="00097612">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14:paraId="6AECEB22" w14:textId="77777777" w:rsidR="00000000" w:rsidRDefault="00097612">
            <w:pPr>
              <w:pStyle w:val="a3"/>
              <w:spacing w:before="0" w:beforeAutospacing="0" w:after="0" w:afterAutospacing="0"/>
              <w:jc w:val="right"/>
              <w:rPr>
                <w:sz w:val="16"/>
                <w:szCs w:val="16"/>
              </w:rPr>
            </w:pPr>
            <w:r>
              <w:rPr>
                <w:sz w:val="16"/>
                <w:szCs w:val="16"/>
              </w:rPr>
              <w:t>(173,845)</w:t>
            </w:r>
          </w:p>
        </w:tc>
        <w:tc>
          <w:tcPr>
            <w:tcW w:w="124" w:type="pct"/>
            <w:shd w:val="clear" w:color="auto" w:fill="CCEEFF"/>
            <w:noWrap/>
            <w:tcMar>
              <w:top w:w="0" w:type="dxa"/>
              <w:left w:w="0" w:type="dxa"/>
              <w:bottom w:w="0" w:type="dxa"/>
              <w:right w:w="0" w:type="dxa"/>
            </w:tcMar>
            <w:vAlign w:val="bottom"/>
            <w:hideMark/>
          </w:tcPr>
          <w:p w14:paraId="1E056D4B"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14:paraId="513E8620" w14:textId="77777777" w:rsidR="00000000" w:rsidRDefault="00097612">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14:paraId="66AC5616" w14:textId="77777777" w:rsidR="00000000" w:rsidRDefault="00097612">
            <w:pPr>
              <w:pStyle w:val="a3"/>
              <w:spacing w:before="0" w:beforeAutospacing="0" w:after="0" w:afterAutospacing="0"/>
              <w:jc w:val="right"/>
              <w:rPr>
                <w:sz w:val="16"/>
                <w:szCs w:val="16"/>
              </w:rPr>
            </w:pPr>
            <w:r>
              <w:rPr>
                <w:sz w:val="16"/>
                <w:szCs w:val="16"/>
              </w:rPr>
              <w:t>(60,689)</w:t>
            </w:r>
          </w:p>
        </w:tc>
        <w:tc>
          <w:tcPr>
            <w:tcW w:w="79" w:type="pct"/>
            <w:shd w:val="clear" w:color="auto" w:fill="CCEEFF"/>
            <w:noWrap/>
            <w:tcMar>
              <w:top w:w="0" w:type="dxa"/>
              <w:left w:w="0" w:type="dxa"/>
              <w:bottom w:w="0" w:type="dxa"/>
              <w:right w:w="0" w:type="dxa"/>
            </w:tcMar>
            <w:vAlign w:val="bottom"/>
            <w:hideMark/>
          </w:tcPr>
          <w:p w14:paraId="7C6F695F" w14:textId="77777777" w:rsidR="00000000" w:rsidRDefault="00097612">
            <w:pPr>
              <w:pStyle w:val="a3"/>
              <w:spacing w:before="0" w:beforeAutospacing="0" w:after="0" w:afterAutospacing="0"/>
              <w:rPr>
                <w:sz w:val="20"/>
                <w:szCs w:val="20"/>
              </w:rPr>
            </w:pPr>
            <w:r>
              <w:rPr>
                <w:sz w:val="16"/>
                <w:szCs w:val="16"/>
              </w:rPr>
              <w:t>​</w:t>
            </w:r>
          </w:p>
        </w:tc>
      </w:tr>
      <w:tr w:rsidR="00000000" w14:paraId="7501A932" w14:textId="77777777">
        <w:trPr>
          <w:divId w:val="1082946914"/>
        </w:trPr>
        <w:tc>
          <w:tcPr>
            <w:tcW w:w="3448" w:type="pct"/>
            <w:tcMar>
              <w:top w:w="0" w:type="dxa"/>
              <w:left w:w="0" w:type="dxa"/>
              <w:bottom w:w="0" w:type="dxa"/>
              <w:right w:w="0" w:type="dxa"/>
            </w:tcMar>
            <w:hideMark/>
          </w:tcPr>
          <w:p w14:paraId="4B43CC05"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02F6C5C5"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500DC3E6"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3B212447" w14:textId="77777777" w:rsidR="00000000" w:rsidRDefault="00097612">
            <w:pPr>
              <w:pStyle w:val="a3"/>
              <w:spacing w:before="0" w:beforeAutospacing="0" w:after="0" w:afterAutospacing="0"/>
              <w:jc w:val="right"/>
              <w:rPr>
                <w:sz w:val="20"/>
                <w:szCs w:val="20"/>
              </w:rPr>
            </w:pPr>
            <w:r>
              <w:rPr>
                <w:sz w:val="16"/>
                <w:szCs w:val="16"/>
              </w:rPr>
              <w:t>​</w:t>
            </w:r>
          </w:p>
        </w:tc>
        <w:tc>
          <w:tcPr>
            <w:tcW w:w="124" w:type="pct"/>
            <w:noWrap/>
            <w:tcMar>
              <w:top w:w="0" w:type="dxa"/>
              <w:left w:w="0" w:type="dxa"/>
              <w:bottom w:w="0" w:type="dxa"/>
              <w:right w:w="0" w:type="dxa"/>
            </w:tcMar>
            <w:vAlign w:val="bottom"/>
            <w:hideMark/>
          </w:tcPr>
          <w:p w14:paraId="01797A7C"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2C5C8D7D"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75ACAEDA" w14:textId="77777777" w:rsidR="00000000" w:rsidRDefault="00097612">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14:paraId="7CBCE09C" w14:textId="77777777" w:rsidR="00000000" w:rsidRDefault="00097612">
            <w:pPr>
              <w:pStyle w:val="a3"/>
              <w:spacing w:before="0" w:beforeAutospacing="0" w:after="0" w:afterAutospacing="0"/>
              <w:rPr>
                <w:sz w:val="20"/>
                <w:szCs w:val="20"/>
              </w:rPr>
            </w:pPr>
            <w:r>
              <w:rPr>
                <w:sz w:val="16"/>
                <w:szCs w:val="16"/>
              </w:rPr>
              <w:t>​</w:t>
            </w:r>
          </w:p>
        </w:tc>
      </w:tr>
      <w:tr w:rsidR="00000000" w14:paraId="4C3AAE8B" w14:textId="77777777">
        <w:trPr>
          <w:divId w:val="1082946914"/>
        </w:trPr>
        <w:tc>
          <w:tcPr>
            <w:tcW w:w="3448" w:type="pct"/>
            <w:shd w:val="clear" w:color="auto" w:fill="CCEEFF"/>
            <w:tcMar>
              <w:top w:w="0" w:type="dxa"/>
              <w:left w:w="0" w:type="dxa"/>
              <w:bottom w:w="0" w:type="dxa"/>
              <w:right w:w="0" w:type="dxa"/>
            </w:tcMar>
            <w:hideMark/>
          </w:tcPr>
          <w:p w14:paraId="5BC4CBFD" w14:textId="77777777" w:rsidR="00000000" w:rsidRDefault="00097612">
            <w:pPr>
              <w:pStyle w:val="a3"/>
              <w:spacing w:before="0" w:beforeAutospacing="0" w:after="0" w:afterAutospacing="0"/>
              <w:rPr>
                <w:sz w:val="16"/>
                <w:szCs w:val="16"/>
              </w:rPr>
            </w:pPr>
            <w:r>
              <w:rPr>
                <w:b/>
                <w:bCs/>
                <w:sz w:val="16"/>
                <w:szCs w:val="16"/>
              </w:rPr>
              <w:t>Investing activities</w:t>
            </w:r>
          </w:p>
        </w:tc>
        <w:tc>
          <w:tcPr>
            <w:tcW w:w="124" w:type="pct"/>
            <w:shd w:val="clear" w:color="auto" w:fill="CCEEFF"/>
            <w:noWrap/>
            <w:tcMar>
              <w:top w:w="0" w:type="dxa"/>
              <w:left w:w="0" w:type="dxa"/>
              <w:bottom w:w="0" w:type="dxa"/>
              <w:right w:w="0" w:type="dxa"/>
            </w:tcMar>
            <w:vAlign w:val="bottom"/>
            <w:hideMark/>
          </w:tcPr>
          <w:p w14:paraId="27D2873F"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529B49A9"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2A65C711" w14:textId="77777777" w:rsidR="00000000" w:rsidRDefault="00097612">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1D929585"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1B7EC797"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69BBAF24" w14:textId="77777777" w:rsidR="00000000" w:rsidRDefault="00097612">
            <w:pPr>
              <w:pStyle w:val="a3"/>
              <w:spacing w:before="0" w:beforeAutospacing="0" w:after="0" w:afterAutospacing="0"/>
              <w:jc w:val="right"/>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603AD643" w14:textId="77777777" w:rsidR="00000000" w:rsidRDefault="00097612">
            <w:pPr>
              <w:pStyle w:val="a3"/>
              <w:spacing w:before="0" w:beforeAutospacing="0" w:after="0" w:afterAutospacing="0"/>
              <w:rPr>
                <w:sz w:val="20"/>
                <w:szCs w:val="20"/>
              </w:rPr>
            </w:pPr>
            <w:r>
              <w:rPr>
                <w:sz w:val="16"/>
                <w:szCs w:val="16"/>
              </w:rPr>
              <w:t>​</w:t>
            </w:r>
          </w:p>
        </w:tc>
      </w:tr>
      <w:tr w:rsidR="00000000" w14:paraId="7ED1DBEE" w14:textId="77777777">
        <w:trPr>
          <w:divId w:val="1082946914"/>
        </w:trPr>
        <w:tc>
          <w:tcPr>
            <w:tcW w:w="3448" w:type="pct"/>
            <w:tcMar>
              <w:top w:w="0" w:type="dxa"/>
              <w:left w:w="0" w:type="dxa"/>
              <w:bottom w:w="0" w:type="dxa"/>
              <w:right w:w="0" w:type="dxa"/>
            </w:tcMar>
            <w:hideMark/>
          </w:tcPr>
          <w:p w14:paraId="0246DB0C" w14:textId="77777777" w:rsidR="00000000" w:rsidRDefault="00097612">
            <w:pPr>
              <w:pStyle w:val="a3"/>
              <w:spacing w:before="0" w:beforeAutospacing="0" w:after="0" w:afterAutospacing="0"/>
              <w:rPr>
                <w:sz w:val="16"/>
                <w:szCs w:val="16"/>
              </w:rPr>
            </w:pPr>
            <w:r>
              <w:rPr>
                <w:sz w:val="16"/>
                <w:szCs w:val="16"/>
              </w:rPr>
              <w:t>Purchases of property and equipment</w:t>
            </w:r>
          </w:p>
        </w:tc>
        <w:tc>
          <w:tcPr>
            <w:tcW w:w="124" w:type="pct"/>
            <w:noWrap/>
            <w:tcMar>
              <w:top w:w="0" w:type="dxa"/>
              <w:left w:w="0" w:type="dxa"/>
              <w:bottom w:w="0" w:type="dxa"/>
              <w:right w:w="0" w:type="dxa"/>
            </w:tcMar>
            <w:vAlign w:val="bottom"/>
            <w:hideMark/>
          </w:tcPr>
          <w:p w14:paraId="734E18F3"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162007F6"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65DE1F23" w14:textId="77777777" w:rsidR="00000000" w:rsidRDefault="00097612">
            <w:pPr>
              <w:pStyle w:val="a3"/>
              <w:spacing w:before="0" w:beforeAutospacing="0" w:after="0" w:afterAutospacing="0"/>
              <w:jc w:val="right"/>
              <w:rPr>
                <w:sz w:val="16"/>
                <w:szCs w:val="16"/>
              </w:rPr>
            </w:pPr>
            <w:r>
              <w:rPr>
                <w:sz w:val="16"/>
                <w:szCs w:val="16"/>
              </w:rPr>
              <w:t>(1,873)</w:t>
            </w:r>
          </w:p>
        </w:tc>
        <w:tc>
          <w:tcPr>
            <w:tcW w:w="124" w:type="pct"/>
            <w:noWrap/>
            <w:tcMar>
              <w:top w:w="0" w:type="dxa"/>
              <w:left w:w="0" w:type="dxa"/>
              <w:bottom w:w="0" w:type="dxa"/>
              <w:right w:w="0" w:type="dxa"/>
            </w:tcMar>
            <w:vAlign w:val="bottom"/>
            <w:hideMark/>
          </w:tcPr>
          <w:p w14:paraId="155D7974"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3E0914A8"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7D6A4FBD" w14:textId="77777777" w:rsidR="00000000" w:rsidRDefault="00097612">
            <w:pPr>
              <w:pStyle w:val="a3"/>
              <w:spacing w:before="0" w:beforeAutospacing="0" w:after="0" w:afterAutospacing="0"/>
              <w:jc w:val="right"/>
              <w:rPr>
                <w:sz w:val="16"/>
                <w:szCs w:val="16"/>
              </w:rPr>
            </w:pPr>
            <w:r>
              <w:rPr>
                <w:sz w:val="16"/>
                <w:szCs w:val="16"/>
              </w:rPr>
              <w:t>(5,740)</w:t>
            </w:r>
          </w:p>
        </w:tc>
        <w:tc>
          <w:tcPr>
            <w:tcW w:w="79" w:type="pct"/>
            <w:noWrap/>
            <w:tcMar>
              <w:top w:w="0" w:type="dxa"/>
              <w:left w:w="0" w:type="dxa"/>
              <w:bottom w:w="0" w:type="dxa"/>
              <w:right w:w="0" w:type="dxa"/>
            </w:tcMar>
            <w:vAlign w:val="bottom"/>
            <w:hideMark/>
          </w:tcPr>
          <w:p w14:paraId="7281F646" w14:textId="77777777" w:rsidR="00000000" w:rsidRDefault="00097612">
            <w:pPr>
              <w:pStyle w:val="a3"/>
              <w:spacing w:before="0" w:beforeAutospacing="0" w:after="0" w:afterAutospacing="0"/>
              <w:rPr>
                <w:sz w:val="20"/>
                <w:szCs w:val="20"/>
              </w:rPr>
            </w:pPr>
            <w:r>
              <w:rPr>
                <w:sz w:val="16"/>
                <w:szCs w:val="16"/>
              </w:rPr>
              <w:t>​</w:t>
            </w:r>
          </w:p>
        </w:tc>
      </w:tr>
      <w:tr w:rsidR="00000000" w14:paraId="5199D129" w14:textId="77777777">
        <w:trPr>
          <w:divId w:val="1082946914"/>
        </w:trPr>
        <w:tc>
          <w:tcPr>
            <w:tcW w:w="3448" w:type="pct"/>
            <w:shd w:val="clear" w:color="auto" w:fill="CCEEFF"/>
            <w:tcMar>
              <w:top w:w="0" w:type="dxa"/>
              <w:left w:w="0" w:type="dxa"/>
              <w:bottom w:w="0" w:type="dxa"/>
              <w:right w:w="0" w:type="dxa"/>
            </w:tcMar>
            <w:hideMark/>
          </w:tcPr>
          <w:p w14:paraId="53EF2715" w14:textId="77777777" w:rsidR="00000000" w:rsidRDefault="00097612">
            <w:pPr>
              <w:pStyle w:val="a3"/>
              <w:spacing w:before="0" w:beforeAutospacing="0" w:after="0" w:afterAutospacing="0"/>
              <w:rPr>
                <w:sz w:val="16"/>
                <w:szCs w:val="16"/>
              </w:rPr>
            </w:pPr>
            <w:r>
              <w:rPr>
                <w:sz w:val="16"/>
                <w:szCs w:val="16"/>
              </w:rPr>
              <w:t xml:space="preserve">Purchases of marketable securities </w:t>
            </w:r>
          </w:p>
        </w:tc>
        <w:tc>
          <w:tcPr>
            <w:tcW w:w="124" w:type="pct"/>
            <w:shd w:val="clear" w:color="auto" w:fill="CCEEFF"/>
            <w:noWrap/>
            <w:tcMar>
              <w:top w:w="0" w:type="dxa"/>
              <w:left w:w="0" w:type="dxa"/>
              <w:bottom w:w="0" w:type="dxa"/>
              <w:right w:w="0" w:type="dxa"/>
            </w:tcMar>
            <w:vAlign w:val="bottom"/>
            <w:hideMark/>
          </w:tcPr>
          <w:p w14:paraId="18BB2095"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5DDDA056"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1A5CE387" w14:textId="77777777" w:rsidR="00000000" w:rsidRDefault="00097612">
            <w:pPr>
              <w:pStyle w:val="a3"/>
              <w:spacing w:before="0" w:beforeAutospacing="0" w:after="0" w:afterAutospacing="0"/>
              <w:jc w:val="right"/>
              <w:rPr>
                <w:sz w:val="16"/>
                <w:szCs w:val="16"/>
              </w:rPr>
            </w:pPr>
            <w:r>
              <w:rPr>
                <w:sz w:val="16"/>
                <w:szCs w:val="16"/>
              </w:rPr>
              <w:t>(366,412)</w:t>
            </w:r>
          </w:p>
        </w:tc>
        <w:tc>
          <w:tcPr>
            <w:tcW w:w="124" w:type="pct"/>
            <w:shd w:val="clear" w:color="auto" w:fill="CCEEFF"/>
            <w:noWrap/>
            <w:tcMar>
              <w:top w:w="0" w:type="dxa"/>
              <w:left w:w="0" w:type="dxa"/>
              <w:bottom w:w="0" w:type="dxa"/>
              <w:right w:w="0" w:type="dxa"/>
            </w:tcMar>
            <w:vAlign w:val="bottom"/>
            <w:hideMark/>
          </w:tcPr>
          <w:p w14:paraId="7891752D"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7F4935F5"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36A7E686" w14:textId="77777777" w:rsidR="00000000" w:rsidRDefault="00097612">
            <w:pPr>
              <w:pStyle w:val="a3"/>
              <w:spacing w:before="0" w:beforeAutospacing="0" w:after="0" w:afterAutospacing="0"/>
              <w:jc w:val="right"/>
              <w:rPr>
                <w:sz w:val="16"/>
                <w:szCs w:val="16"/>
              </w:rPr>
            </w:pPr>
            <w:r>
              <w:rPr>
                <w:sz w:val="16"/>
                <w:szCs w:val="16"/>
              </w:rPr>
              <w:t>(166,412)</w:t>
            </w:r>
          </w:p>
        </w:tc>
        <w:tc>
          <w:tcPr>
            <w:tcW w:w="79" w:type="pct"/>
            <w:shd w:val="clear" w:color="auto" w:fill="CCEEFF"/>
            <w:noWrap/>
            <w:tcMar>
              <w:top w:w="0" w:type="dxa"/>
              <w:left w:w="0" w:type="dxa"/>
              <w:bottom w:w="0" w:type="dxa"/>
              <w:right w:w="0" w:type="dxa"/>
            </w:tcMar>
            <w:vAlign w:val="bottom"/>
            <w:hideMark/>
          </w:tcPr>
          <w:p w14:paraId="62437985" w14:textId="77777777" w:rsidR="00000000" w:rsidRDefault="00097612">
            <w:pPr>
              <w:pStyle w:val="a3"/>
              <w:spacing w:before="0" w:beforeAutospacing="0" w:after="0" w:afterAutospacing="0"/>
              <w:rPr>
                <w:sz w:val="20"/>
                <w:szCs w:val="20"/>
              </w:rPr>
            </w:pPr>
            <w:r>
              <w:rPr>
                <w:sz w:val="16"/>
                <w:szCs w:val="16"/>
              </w:rPr>
              <w:t>​</w:t>
            </w:r>
          </w:p>
        </w:tc>
      </w:tr>
      <w:tr w:rsidR="00000000" w14:paraId="1EC20459" w14:textId="77777777">
        <w:trPr>
          <w:divId w:val="1082946914"/>
        </w:trPr>
        <w:tc>
          <w:tcPr>
            <w:tcW w:w="3448" w:type="pct"/>
            <w:tcMar>
              <w:top w:w="0" w:type="dxa"/>
              <w:left w:w="0" w:type="dxa"/>
              <w:bottom w:w="0" w:type="dxa"/>
              <w:right w:w="0" w:type="dxa"/>
            </w:tcMar>
            <w:hideMark/>
          </w:tcPr>
          <w:p w14:paraId="14F9F6AD" w14:textId="77777777" w:rsidR="00000000" w:rsidRDefault="00097612">
            <w:pPr>
              <w:pStyle w:val="a3"/>
              <w:spacing w:before="0" w:beforeAutospacing="0" w:after="0" w:afterAutospacing="0"/>
              <w:rPr>
                <w:sz w:val="16"/>
                <w:szCs w:val="16"/>
              </w:rPr>
            </w:pPr>
            <w:r>
              <w:rPr>
                <w:sz w:val="16"/>
                <w:szCs w:val="16"/>
              </w:rPr>
              <w:t xml:space="preserve">Maturities of marketable securities </w:t>
            </w:r>
          </w:p>
        </w:tc>
        <w:tc>
          <w:tcPr>
            <w:tcW w:w="124" w:type="pct"/>
            <w:noWrap/>
            <w:tcMar>
              <w:top w:w="0" w:type="dxa"/>
              <w:left w:w="0" w:type="dxa"/>
              <w:bottom w:w="0" w:type="dxa"/>
              <w:right w:w="0" w:type="dxa"/>
            </w:tcMar>
            <w:vAlign w:val="bottom"/>
            <w:hideMark/>
          </w:tcPr>
          <w:p w14:paraId="54790A16"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4284D385"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7CB373DF" w14:textId="77777777" w:rsidR="00000000" w:rsidRDefault="00097612">
            <w:pPr>
              <w:pStyle w:val="a3"/>
              <w:spacing w:before="0" w:beforeAutospacing="0" w:after="0" w:afterAutospacing="0"/>
              <w:ind w:right="60"/>
              <w:jc w:val="right"/>
              <w:rPr>
                <w:sz w:val="16"/>
                <w:szCs w:val="16"/>
              </w:rPr>
            </w:pPr>
            <w:r>
              <w:rPr>
                <w:sz w:val="16"/>
                <w:szCs w:val="16"/>
              </w:rPr>
              <w:t>266,168</w:t>
            </w:r>
          </w:p>
        </w:tc>
        <w:tc>
          <w:tcPr>
            <w:tcW w:w="124" w:type="pct"/>
            <w:noWrap/>
            <w:tcMar>
              <w:top w:w="0" w:type="dxa"/>
              <w:left w:w="0" w:type="dxa"/>
              <w:bottom w:w="0" w:type="dxa"/>
              <w:right w:w="0" w:type="dxa"/>
            </w:tcMar>
            <w:vAlign w:val="bottom"/>
            <w:hideMark/>
          </w:tcPr>
          <w:p w14:paraId="0B713B0F"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11F36A78" w14:textId="77777777" w:rsidR="00000000" w:rsidRDefault="00097612">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14:paraId="42484407" w14:textId="77777777" w:rsidR="00000000" w:rsidRDefault="00097612">
            <w:pPr>
              <w:pStyle w:val="a3"/>
              <w:spacing w:before="0" w:beforeAutospacing="0" w:after="0" w:afterAutospacing="0"/>
              <w:ind w:right="60"/>
              <w:jc w:val="right"/>
              <w:rPr>
                <w:sz w:val="16"/>
                <w:szCs w:val="16"/>
              </w:rPr>
            </w:pPr>
            <w:r>
              <w:rPr>
                <w:sz w:val="16"/>
                <w:szCs w:val="16"/>
              </w:rPr>
              <w:t>249,450</w:t>
            </w:r>
          </w:p>
        </w:tc>
        <w:tc>
          <w:tcPr>
            <w:tcW w:w="79" w:type="pct"/>
            <w:noWrap/>
            <w:tcMar>
              <w:top w:w="0" w:type="dxa"/>
              <w:left w:w="0" w:type="dxa"/>
              <w:bottom w:w="0" w:type="dxa"/>
              <w:right w:w="0" w:type="dxa"/>
            </w:tcMar>
            <w:vAlign w:val="bottom"/>
            <w:hideMark/>
          </w:tcPr>
          <w:p w14:paraId="6966907D" w14:textId="77777777" w:rsidR="00000000" w:rsidRDefault="00097612">
            <w:pPr>
              <w:pStyle w:val="a3"/>
              <w:spacing w:before="0" w:beforeAutospacing="0" w:after="0" w:afterAutospacing="0"/>
              <w:rPr>
                <w:sz w:val="20"/>
                <w:szCs w:val="20"/>
              </w:rPr>
            </w:pPr>
            <w:r>
              <w:rPr>
                <w:sz w:val="16"/>
                <w:szCs w:val="16"/>
              </w:rPr>
              <w:t>​</w:t>
            </w:r>
          </w:p>
        </w:tc>
      </w:tr>
      <w:tr w:rsidR="00000000" w14:paraId="7DF9BE38" w14:textId="77777777">
        <w:trPr>
          <w:divId w:val="1082946914"/>
        </w:trPr>
        <w:tc>
          <w:tcPr>
            <w:tcW w:w="3448" w:type="pct"/>
            <w:shd w:val="clear" w:color="auto" w:fill="CCEEFF"/>
            <w:tcMar>
              <w:top w:w="0" w:type="dxa"/>
              <w:left w:w="0" w:type="dxa"/>
              <w:bottom w:w="0" w:type="dxa"/>
              <w:right w:w="0" w:type="dxa"/>
            </w:tcMar>
            <w:hideMark/>
          </w:tcPr>
          <w:p w14:paraId="142D8441" w14:textId="77777777" w:rsidR="00000000" w:rsidRDefault="00097612">
            <w:pPr>
              <w:pStyle w:val="a3"/>
              <w:spacing w:before="0" w:beforeAutospacing="0" w:after="0" w:afterAutospacing="0"/>
              <w:rPr>
                <w:sz w:val="16"/>
                <w:szCs w:val="16"/>
              </w:rPr>
            </w:pPr>
            <w:r>
              <w:rPr>
                <w:sz w:val="16"/>
                <w:szCs w:val="16"/>
              </w:rPr>
              <w:t>Proceeds from the sale of VIBATIV business, net</w:t>
            </w:r>
          </w:p>
        </w:tc>
        <w:tc>
          <w:tcPr>
            <w:tcW w:w="124" w:type="pct"/>
            <w:shd w:val="clear" w:color="auto" w:fill="CCEEFF"/>
            <w:noWrap/>
            <w:tcMar>
              <w:top w:w="0" w:type="dxa"/>
              <w:left w:w="0" w:type="dxa"/>
              <w:bottom w:w="0" w:type="dxa"/>
              <w:right w:w="0" w:type="dxa"/>
            </w:tcMar>
            <w:vAlign w:val="bottom"/>
            <w:hideMark/>
          </w:tcPr>
          <w:p w14:paraId="313774C0"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3786BA00"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469A5A15" w14:textId="77777777" w:rsidR="00000000" w:rsidRDefault="00097612">
            <w:pPr>
              <w:pStyle w:val="a3"/>
              <w:spacing w:before="0" w:beforeAutospacing="0" w:after="0" w:afterAutospacing="0"/>
              <w:ind w:right="60"/>
              <w:jc w:val="right"/>
              <w:rPr>
                <w:sz w:val="16"/>
                <w:szCs w:val="16"/>
              </w:rPr>
            </w:pPr>
            <w:r>
              <w:rPr>
                <w:sz w:val="16"/>
                <w:szCs w:val="16"/>
              </w:rPr>
              <w:t>5,000</w:t>
            </w:r>
          </w:p>
        </w:tc>
        <w:tc>
          <w:tcPr>
            <w:tcW w:w="124" w:type="pct"/>
            <w:shd w:val="clear" w:color="auto" w:fill="CCEEFF"/>
            <w:noWrap/>
            <w:tcMar>
              <w:top w:w="0" w:type="dxa"/>
              <w:left w:w="0" w:type="dxa"/>
              <w:bottom w:w="0" w:type="dxa"/>
              <w:right w:w="0" w:type="dxa"/>
            </w:tcMar>
            <w:vAlign w:val="bottom"/>
            <w:hideMark/>
          </w:tcPr>
          <w:p w14:paraId="2A7EA76E"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57E9EB98"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44000EBE" w14:textId="77777777" w:rsidR="00000000" w:rsidRDefault="00097612">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514277C6" w14:textId="77777777" w:rsidR="00000000" w:rsidRDefault="00097612">
            <w:pPr>
              <w:pStyle w:val="a3"/>
              <w:spacing w:before="0" w:beforeAutospacing="0" w:after="0" w:afterAutospacing="0"/>
              <w:rPr>
                <w:sz w:val="20"/>
                <w:szCs w:val="20"/>
              </w:rPr>
            </w:pPr>
            <w:r>
              <w:rPr>
                <w:sz w:val="16"/>
                <w:szCs w:val="16"/>
              </w:rPr>
              <w:t>​</w:t>
            </w:r>
          </w:p>
        </w:tc>
      </w:tr>
      <w:tr w:rsidR="00000000" w14:paraId="6CA104DB" w14:textId="77777777">
        <w:trPr>
          <w:divId w:val="1082946914"/>
        </w:trPr>
        <w:tc>
          <w:tcPr>
            <w:tcW w:w="3448" w:type="pct"/>
            <w:tcMar>
              <w:top w:w="0" w:type="dxa"/>
              <w:left w:w="0" w:type="dxa"/>
              <w:bottom w:w="0" w:type="dxa"/>
              <w:right w:w="0" w:type="dxa"/>
            </w:tcMar>
            <w:hideMark/>
          </w:tcPr>
          <w:p w14:paraId="71035BA2" w14:textId="77777777" w:rsidR="00000000" w:rsidRDefault="00097612">
            <w:pPr>
              <w:pStyle w:val="a3"/>
              <w:spacing w:before="0" w:beforeAutospacing="0" w:after="0" w:afterAutospacing="0"/>
              <w:rPr>
                <w:sz w:val="16"/>
                <w:szCs w:val="16"/>
              </w:rPr>
            </w:pPr>
            <w:r>
              <w:rPr>
                <w:sz w:val="16"/>
                <w:szCs w:val="16"/>
              </w:rPr>
              <w:t>Proceeds from the sale of fixed assets</w:t>
            </w:r>
          </w:p>
        </w:tc>
        <w:tc>
          <w:tcPr>
            <w:tcW w:w="124" w:type="pct"/>
            <w:noWrap/>
            <w:tcMar>
              <w:top w:w="0" w:type="dxa"/>
              <w:left w:w="0" w:type="dxa"/>
              <w:bottom w:w="0" w:type="dxa"/>
              <w:right w:w="0" w:type="dxa"/>
            </w:tcMar>
            <w:vAlign w:val="bottom"/>
            <w:hideMark/>
          </w:tcPr>
          <w:p w14:paraId="28DF4845"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14:paraId="18E440A2" w14:textId="77777777" w:rsidR="00000000" w:rsidRDefault="00097612">
            <w:pPr>
              <w:pStyle w:val="a3"/>
              <w:spacing w:before="0" w:beforeAutospacing="0" w:after="0" w:afterAutospacing="0"/>
              <w:jc w:val="center"/>
              <w:rPr>
                <w:sz w:val="20"/>
                <w:szCs w:val="20"/>
              </w:rPr>
            </w:pPr>
            <w:r>
              <w:rPr>
                <w:sz w:val="16"/>
                <w:szCs w:val="16"/>
              </w:rPr>
              <w:t>​</w:t>
            </w:r>
          </w:p>
        </w:tc>
        <w:tc>
          <w:tcPr>
            <w:tcW w:w="488" w:type="pct"/>
            <w:tcBorders>
              <w:bottom w:val="single" w:sz="6" w:space="0" w:color="000000"/>
            </w:tcBorders>
            <w:noWrap/>
            <w:tcMar>
              <w:top w:w="0" w:type="dxa"/>
              <w:left w:w="0" w:type="dxa"/>
              <w:bottom w:w="0" w:type="dxa"/>
              <w:right w:w="0" w:type="dxa"/>
            </w:tcMar>
            <w:vAlign w:val="bottom"/>
            <w:hideMark/>
          </w:tcPr>
          <w:p w14:paraId="079037DC" w14:textId="77777777" w:rsidR="00000000" w:rsidRDefault="00097612">
            <w:pPr>
              <w:pStyle w:val="a3"/>
              <w:spacing w:before="0" w:beforeAutospacing="0" w:after="0" w:afterAutospacing="0"/>
              <w:ind w:right="60"/>
              <w:jc w:val="right"/>
              <w:rPr>
                <w:sz w:val="16"/>
                <w:szCs w:val="16"/>
              </w:rPr>
            </w:pPr>
            <w:r>
              <w:rPr>
                <w:sz w:val="16"/>
                <w:szCs w:val="16"/>
              </w:rPr>
              <w:t>5</w:t>
            </w:r>
          </w:p>
        </w:tc>
        <w:tc>
          <w:tcPr>
            <w:tcW w:w="124" w:type="pct"/>
            <w:noWrap/>
            <w:tcMar>
              <w:top w:w="0" w:type="dxa"/>
              <w:left w:w="0" w:type="dxa"/>
              <w:bottom w:w="0" w:type="dxa"/>
              <w:right w:w="0" w:type="dxa"/>
            </w:tcMar>
            <w:vAlign w:val="bottom"/>
            <w:hideMark/>
          </w:tcPr>
          <w:p w14:paraId="42BB9E75"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14:paraId="32BAB670" w14:textId="77777777" w:rsidR="00000000" w:rsidRDefault="00097612">
            <w:pPr>
              <w:pStyle w:val="a3"/>
              <w:spacing w:before="0" w:beforeAutospacing="0" w:after="0" w:afterAutospacing="0"/>
              <w:jc w:val="center"/>
              <w:rPr>
                <w:sz w:val="20"/>
                <w:szCs w:val="20"/>
              </w:rPr>
            </w:pPr>
            <w:r>
              <w:rPr>
                <w:sz w:val="16"/>
                <w:szCs w:val="16"/>
              </w:rPr>
              <w:t>​</w:t>
            </w:r>
          </w:p>
        </w:tc>
        <w:tc>
          <w:tcPr>
            <w:tcW w:w="488" w:type="pct"/>
            <w:tcBorders>
              <w:bottom w:val="single" w:sz="6" w:space="0" w:color="000000"/>
            </w:tcBorders>
            <w:noWrap/>
            <w:tcMar>
              <w:top w:w="0" w:type="dxa"/>
              <w:left w:w="0" w:type="dxa"/>
              <w:bottom w:w="0" w:type="dxa"/>
              <w:right w:w="0" w:type="dxa"/>
            </w:tcMar>
            <w:vAlign w:val="bottom"/>
            <w:hideMark/>
          </w:tcPr>
          <w:p w14:paraId="3FF5A88D" w14:textId="77777777" w:rsidR="00000000" w:rsidRDefault="00097612">
            <w:pPr>
              <w:pStyle w:val="a3"/>
              <w:spacing w:before="0" w:beforeAutospacing="0" w:after="0" w:afterAutospacing="0"/>
              <w:ind w:right="60"/>
              <w:jc w:val="right"/>
              <w:rPr>
                <w:sz w:val="16"/>
                <w:szCs w:val="16"/>
              </w:rPr>
            </w:pPr>
            <w:r>
              <w:rPr>
                <w:sz w:val="16"/>
                <w:szCs w:val="16"/>
              </w:rPr>
              <w:t>17</w:t>
            </w:r>
          </w:p>
        </w:tc>
        <w:tc>
          <w:tcPr>
            <w:tcW w:w="79" w:type="pct"/>
            <w:noWrap/>
            <w:tcMar>
              <w:top w:w="0" w:type="dxa"/>
              <w:left w:w="0" w:type="dxa"/>
              <w:bottom w:w="0" w:type="dxa"/>
              <w:right w:w="0" w:type="dxa"/>
            </w:tcMar>
            <w:vAlign w:val="bottom"/>
            <w:hideMark/>
          </w:tcPr>
          <w:p w14:paraId="4E4FF619" w14:textId="77777777" w:rsidR="00000000" w:rsidRDefault="00097612">
            <w:pPr>
              <w:pStyle w:val="a3"/>
              <w:spacing w:before="0" w:beforeAutospacing="0" w:after="0" w:afterAutospacing="0"/>
              <w:rPr>
                <w:sz w:val="20"/>
                <w:szCs w:val="20"/>
              </w:rPr>
            </w:pPr>
            <w:r>
              <w:rPr>
                <w:sz w:val="16"/>
                <w:szCs w:val="16"/>
              </w:rPr>
              <w:t>​</w:t>
            </w:r>
          </w:p>
        </w:tc>
      </w:tr>
      <w:tr w:rsidR="00000000" w14:paraId="63EB0349" w14:textId="77777777">
        <w:trPr>
          <w:divId w:val="1082946914"/>
        </w:trPr>
        <w:tc>
          <w:tcPr>
            <w:tcW w:w="3448" w:type="pct"/>
            <w:shd w:val="clear" w:color="auto" w:fill="CCEEFF"/>
            <w:tcMar>
              <w:top w:w="0" w:type="dxa"/>
              <w:left w:w="0" w:type="dxa"/>
              <w:bottom w:w="0" w:type="dxa"/>
              <w:right w:w="0" w:type="dxa"/>
            </w:tcMar>
            <w:hideMark/>
          </w:tcPr>
          <w:p w14:paraId="78443559" w14:textId="77777777" w:rsidR="00000000" w:rsidRDefault="00097612">
            <w:pPr>
              <w:pStyle w:val="a3"/>
              <w:spacing w:before="0" w:beforeAutospacing="0" w:after="0" w:afterAutospacing="0"/>
              <w:ind w:left="480"/>
              <w:rPr>
                <w:sz w:val="16"/>
                <w:szCs w:val="16"/>
              </w:rPr>
            </w:pPr>
            <w:r>
              <w:rPr>
                <w:sz w:val="16"/>
                <w:szCs w:val="16"/>
              </w:rPr>
              <w:t xml:space="preserve">Net cash (used in) provided by investing activities </w:t>
            </w:r>
          </w:p>
        </w:tc>
        <w:tc>
          <w:tcPr>
            <w:tcW w:w="124" w:type="pct"/>
            <w:shd w:val="clear" w:color="auto" w:fill="CCEEFF"/>
            <w:noWrap/>
            <w:tcMar>
              <w:top w:w="0" w:type="dxa"/>
              <w:left w:w="0" w:type="dxa"/>
              <w:bottom w:w="0" w:type="dxa"/>
              <w:right w:w="0" w:type="dxa"/>
            </w:tcMar>
            <w:vAlign w:val="bottom"/>
            <w:hideMark/>
          </w:tcPr>
          <w:p w14:paraId="6BBF97D5"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14:paraId="3030B400" w14:textId="77777777" w:rsidR="00000000" w:rsidRDefault="00097612">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14:paraId="577633F3" w14:textId="77777777" w:rsidR="00000000" w:rsidRDefault="00097612">
            <w:pPr>
              <w:pStyle w:val="a3"/>
              <w:spacing w:before="0" w:beforeAutospacing="0" w:after="0" w:afterAutospacing="0"/>
              <w:jc w:val="right"/>
              <w:rPr>
                <w:sz w:val="16"/>
                <w:szCs w:val="16"/>
              </w:rPr>
            </w:pPr>
            <w:r>
              <w:rPr>
                <w:sz w:val="16"/>
                <w:szCs w:val="16"/>
              </w:rPr>
              <w:t>(97,112)</w:t>
            </w:r>
          </w:p>
        </w:tc>
        <w:tc>
          <w:tcPr>
            <w:tcW w:w="124" w:type="pct"/>
            <w:shd w:val="clear" w:color="auto" w:fill="CCEEFF"/>
            <w:noWrap/>
            <w:tcMar>
              <w:top w:w="0" w:type="dxa"/>
              <w:left w:w="0" w:type="dxa"/>
              <w:bottom w:w="0" w:type="dxa"/>
              <w:right w:w="0" w:type="dxa"/>
            </w:tcMar>
            <w:vAlign w:val="bottom"/>
            <w:hideMark/>
          </w:tcPr>
          <w:p w14:paraId="6CB3C3D9"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14:paraId="476D3C1D" w14:textId="77777777" w:rsidR="00000000" w:rsidRDefault="00097612">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14:paraId="44A80E1C" w14:textId="77777777" w:rsidR="00000000" w:rsidRDefault="00097612">
            <w:pPr>
              <w:pStyle w:val="a3"/>
              <w:spacing w:before="0" w:beforeAutospacing="0" w:after="0" w:afterAutospacing="0"/>
              <w:ind w:right="60"/>
              <w:jc w:val="right"/>
              <w:rPr>
                <w:sz w:val="16"/>
                <w:szCs w:val="16"/>
              </w:rPr>
            </w:pPr>
            <w:r>
              <w:rPr>
                <w:sz w:val="16"/>
                <w:szCs w:val="16"/>
              </w:rPr>
              <w:t>77,315</w:t>
            </w:r>
          </w:p>
        </w:tc>
        <w:tc>
          <w:tcPr>
            <w:tcW w:w="79" w:type="pct"/>
            <w:shd w:val="clear" w:color="auto" w:fill="CCEEFF"/>
            <w:noWrap/>
            <w:tcMar>
              <w:top w:w="0" w:type="dxa"/>
              <w:left w:w="0" w:type="dxa"/>
              <w:bottom w:w="0" w:type="dxa"/>
              <w:right w:w="0" w:type="dxa"/>
            </w:tcMar>
            <w:vAlign w:val="bottom"/>
            <w:hideMark/>
          </w:tcPr>
          <w:p w14:paraId="7E321F63" w14:textId="77777777" w:rsidR="00000000" w:rsidRDefault="00097612">
            <w:pPr>
              <w:pStyle w:val="a3"/>
              <w:spacing w:before="0" w:beforeAutospacing="0" w:after="0" w:afterAutospacing="0"/>
              <w:rPr>
                <w:sz w:val="20"/>
                <w:szCs w:val="20"/>
              </w:rPr>
            </w:pPr>
            <w:r>
              <w:rPr>
                <w:sz w:val="16"/>
                <w:szCs w:val="16"/>
              </w:rPr>
              <w:t>​</w:t>
            </w:r>
          </w:p>
        </w:tc>
      </w:tr>
      <w:tr w:rsidR="00000000" w14:paraId="1EF784F7" w14:textId="77777777">
        <w:trPr>
          <w:divId w:val="1082946914"/>
        </w:trPr>
        <w:tc>
          <w:tcPr>
            <w:tcW w:w="3448" w:type="pct"/>
            <w:tcMar>
              <w:top w:w="0" w:type="dxa"/>
              <w:left w:w="0" w:type="dxa"/>
              <w:bottom w:w="0" w:type="dxa"/>
              <w:right w:w="0" w:type="dxa"/>
            </w:tcMar>
            <w:hideMark/>
          </w:tcPr>
          <w:p w14:paraId="49E9FE21"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30C7266F"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631A401F"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011AD043" w14:textId="77777777" w:rsidR="00000000" w:rsidRDefault="00097612">
            <w:pPr>
              <w:pStyle w:val="a3"/>
              <w:spacing w:before="0" w:beforeAutospacing="0" w:after="0" w:afterAutospacing="0"/>
              <w:jc w:val="right"/>
              <w:rPr>
                <w:sz w:val="20"/>
                <w:szCs w:val="20"/>
              </w:rPr>
            </w:pPr>
            <w:r>
              <w:rPr>
                <w:sz w:val="16"/>
                <w:szCs w:val="16"/>
              </w:rPr>
              <w:t>​</w:t>
            </w:r>
          </w:p>
        </w:tc>
        <w:tc>
          <w:tcPr>
            <w:tcW w:w="124" w:type="pct"/>
            <w:noWrap/>
            <w:tcMar>
              <w:top w:w="0" w:type="dxa"/>
              <w:left w:w="0" w:type="dxa"/>
              <w:bottom w:w="0" w:type="dxa"/>
              <w:right w:w="0" w:type="dxa"/>
            </w:tcMar>
            <w:vAlign w:val="bottom"/>
            <w:hideMark/>
          </w:tcPr>
          <w:p w14:paraId="7CB45C80"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2E4D8341"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6EB11114" w14:textId="77777777" w:rsidR="00000000" w:rsidRDefault="00097612">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14:paraId="19E91C83" w14:textId="77777777" w:rsidR="00000000" w:rsidRDefault="00097612">
            <w:pPr>
              <w:pStyle w:val="a3"/>
              <w:spacing w:before="0" w:beforeAutospacing="0" w:after="0" w:afterAutospacing="0"/>
              <w:rPr>
                <w:sz w:val="20"/>
                <w:szCs w:val="20"/>
              </w:rPr>
            </w:pPr>
            <w:r>
              <w:rPr>
                <w:sz w:val="16"/>
                <w:szCs w:val="16"/>
              </w:rPr>
              <w:t>​</w:t>
            </w:r>
          </w:p>
        </w:tc>
      </w:tr>
      <w:tr w:rsidR="00000000" w14:paraId="2BBAFAB3" w14:textId="77777777">
        <w:trPr>
          <w:divId w:val="1082946914"/>
        </w:trPr>
        <w:tc>
          <w:tcPr>
            <w:tcW w:w="3448" w:type="pct"/>
            <w:shd w:val="clear" w:color="auto" w:fill="CCEEFF"/>
            <w:tcMar>
              <w:top w:w="0" w:type="dxa"/>
              <w:left w:w="0" w:type="dxa"/>
              <w:bottom w:w="0" w:type="dxa"/>
              <w:right w:w="0" w:type="dxa"/>
            </w:tcMar>
            <w:hideMark/>
          </w:tcPr>
          <w:p w14:paraId="18B4B420" w14:textId="77777777" w:rsidR="00000000" w:rsidRDefault="00097612">
            <w:pPr>
              <w:pStyle w:val="a3"/>
              <w:spacing w:before="0" w:beforeAutospacing="0" w:after="0" w:afterAutospacing="0"/>
              <w:rPr>
                <w:sz w:val="16"/>
                <w:szCs w:val="16"/>
              </w:rPr>
            </w:pPr>
            <w:r>
              <w:rPr>
                <w:b/>
                <w:bCs/>
                <w:sz w:val="16"/>
                <w:szCs w:val="16"/>
              </w:rPr>
              <w:t>Financing activities</w:t>
            </w:r>
          </w:p>
        </w:tc>
        <w:tc>
          <w:tcPr>
            <w:tcW w:w="124" w:type="pct"/>
            <w:shd w:val="clear" w:color="auto" w:fill="CCEEFF"/>
            <w:noWrap/>
            <w:tcMar>
              <w:top w:w="0" w:type="dxa"/>
              <w:left w:w="0" w:type="dxa"/>
              <w:bottom w:w="0" w:type="dxa"/>
              <w:right w:w="0" w:type="dxa"/>
            </w:tcMar>
            <w:vAlign w:val="bottom"/>
            <w:hideMark/>
          </w:tcPr>
          <w:p w14:paraId="676EF289"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265B537A"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189E43C4" w14:textId="77777777" w:rsidR="00000000" w:rsidRDefault="00097612">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0A9A84E2"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64E87AF0"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45C122CD" w14:textId="77777777" w:rsidR="00000000" w:rsidRDefault="00097612">
            <w:pPr>
              <w:pStyle w:val="a3"/>
              <w:spacing w:before="0" w:beforeAutospacing="0" w:after="0" w:afterAutospacing="0"/>
              <w:jc w:val="right"/>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1D60F59B" w14:textId="77777777" w:rsidR="00000000" w:rsidRDefault="00097612">
            <w:pPr>
              <w:pStyle w:val="a3"/>
              <w:spacing w:before="0" w:beforeAutospacing="0" w:after="0" w:afterAutospacing="0"/>
              <w:rPr>
                <w:sz w:val="20"/>
                <w:szCs w:val="20"/>
              </w:rPr>
            </w:pPr>
            <w:r>
              <w:rPr>
                <w:sz w:val="16"/>
                <w:szCs w:val="16"/>
              </w:rPr>
              <w:t>​</w:t>
            </w:r>
          </w:p>
        </w:tc>
      </w:tr>
      <w:tr w:rsidR="00000000" w14:paraId="66162447" w14:textId="77777777">
        <w:trPr>
          <w:divId w:val="1082946914"/>
        </w:trPr>
        <w:tc>
          <w:tcPr>
            <w:tcW w:w="3448" w:type="pct"/>
            <w:tcMar>
              <w:top w:w="0" w:type="dxa"/>
              <w:left w:w="0" w:type="dxa"/>
              <w:bottom w:w="0" w:type="dxa"/>
              <w:right w:w="0" w:type="dxa"/>
            </w:tcMar>
            <w:vAlign w:val="bottom"/>
            <w:hideMark/>
          </w:tcPr>
          <w:p w14:paraId="3F307221" w14:textId="77777777" w:rsidR="00000000" w:rsidRDefault="00097612">
            <w:pPr>
              <w:pStyle w:val="a3"/>
              <w:spacing w:before="0" w:beforeAutospacing="0" w:after="0" w:afterAutospacing="0"/>
              <w:rPr>
                <w:sz w:val="16"/>
                <w:szCs w:val="16"/>
              </w:rPr>
            </w:pPr>
            <w:r>
              <w:rPr>
                <w:sz w:val="16"/>
                <w:szCs w:val="16"/>
              </w:rPr>
              <w:t>Proceeds from ESPP purchases</w:t>
            </w:r>
          </w:p>
        </w:tc>
        <w:tc>
          <w:tcPr>
            <w:tcW w:w="124" w:type="pct"/>
            <w:noWrap/>
            <w:tcMar>
              <w:top w:w="0" w:type="dxa"/>
              <w:left w:w="0" w:type="dxa"/>
              <w:bottom w:w="0" w:type="dxa"/>
              <w:right w:w="0" w:type="dxa"/>
            </w:tcMar>
            <w:vAlign w:val="bottom"/>
            <w:hideMark/>
          </w:tcPr>
          <w:p w14:paraId="4097324E"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0371BDC5"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3D89E377" w14:textId="77777777" w:rsidR="00000000" w:rsidRDefault="00097612">
            <w:pPr>
              <w:pStyle w:val="a3"/>
              <w:spacing w:before="0" w:beforeAutospacing="0" w:after="0" w:afterAutospacing="0"/>
              <w:ind w:right="60"/>
              <w:jc w:val="right"/>
              <w:rPr>
                <w:sz w:val="16"/>
                <w:szCs w:val="16"/>
              </w:rPr>
            </w:pPr>
            <w:r>
              <w:rPr>
                <w:sz w:val="16"/>
                <w:szCs w:val="16"/>
              </w:rPr>
              <w:t>2,605</w:t>
            </w:r>
          </w:p>
        </w:tc>
        <w:tc>
          <w:tcPr>
            <w:tcW w:w="124" w:type="pct"/>
            <w:noWrap/>
            <w:tcMar>
              <w:top w:w="0" w:type="dxa"/>
              <w:left w:w="0" w:type="dxa"/>
              <w:bottom w:w="0" w:type="dxa"/>
              <w:right w:w="0" w:type="dxa"/>
            </w:tcMar>
            <w:vAlign w:val="bottom"/>
            <w:hideMark/>
          </w:tcPr>
          <w:p w14:paraId="6DE82F35"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7F68026E"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543231AB" w14:textId="77777777" w:rsidR="00000000" w:rsidRDefault="00097612">
            <w:pPr>
              <w:pStyle w:val="a3"/>
              <w:spacing w:before="0" w:beforeAutospacing="0" w:after="0" w:afterAutospacing="0"/>
              <w:ind w:right="60"/>
              <w:jc w:val="right"/>
              <w:rPr>
                <w:sz w:val="16"/>
                <w:szCs w:val="16"/>
              </w:rPr>
            </w:pPr>
            <w:r>
              <w:rPr>
                <w:sz w:val="16"/>
                <w:szCs w:val="16"/>
              </w:rPr>
              <w:t>2,742</w:t>
            </w:r>
          </w:p>
        </w:tc>
        <w:tc>
          <w:tcPr>
            <w:tcW w:w="79" w:type="pct"/>
            <w:noWrap/>
            <w:tcMar>
              <w:top w:w="0" w:type="dxa"/>
              <w:left w:w="0" w:type="dxa"/>
              <w:bottom w:w="0" w:type="dxa"/>
              <w:right w:w="0" w:type="dxa"/>
            </w:tcMar>
            <w:vAlign w:val="bottom"/>
            <w:hideMark/>
          </w:tcPr>
          <w:p w14:paraId="24A842C4" w14:textId="77777777" w:rsidR="00000000" w:rsidRDefault="00097612">
            <w:pPr>
              <w:pStyle w:val="a3"/>
              <w:spacing w:before="0" w:beforeAutospacing="0" w:after="0" w:afterAutospacing="0"/>
              <w:rPr>
                <w:sz w:val="20"/>
                <w:szCs w:val="20"/>
              </w:rPr>
            </w:pPr>
            <w:r>
              <w:rPr>
                <w:sz w:val="16"/>
                <w:szCs w:val="16"/>
              </w:rPr>
              <w:t>​</w:t>
            </w:r>
          </w:p>
        </w:tc>
      </w:tr>
      <w:tr w:rsidR="00000000" w14:paraId="09D86F65" w14:textId="77777777">
        <w:trPr>
          <w:divId w:val="1082946914"/>
        </w:trPr>
        <w:tc>
          <w:tcPr>
            <w:tcW w:w="3448" w:type="pct"/>
            <w:shd w:val="clear" w:color="auto" w:fill="CCEEFF"/>
            <w:tcMar>
              <w:top w:w="0" w:type="dxa"/>
              <w:left w:w="0" w:type="dxa"/>
              <w:bottom w:w="0" w:type="dxa"/>
              <w:right w:w="0" w:type="dxa"/>
            </w:tcMar>
            <w:hideMark/>
          </w:tcPr>
          <w:p w14:paraId="7A7AB824" w14:textId="77777777" w:rsidR="00000000" w:rsidRDefault="00097612">
            <w:pPr>
              <w:pStyle w:val="a3"/>
              <w:spacing w:before="0" w:beforeAutospacing="0" w:after="0" w:afterAutospacing="0"/>
              <w:rPr>
                <w:sz w:val="16"/>
                <w:szCs w:val="16"/>
              </w:rPr>
            </w:pPr>
            <w:r>
              <w:rPr>
                <w:sz w:val="16"/>
                <w:szCs w:val="16"/>
              </w:rPr>
              <w:t>Proceeds from option exercises</w:t>
            </w:r>
          </w:p>
        </w:tc>
        <w:tc>
          <w:tcPr>
            <w:tcW w:w="124" w:type="pct"/>
            <w:shd w:val="clear" w:color="auto" w:fill="CCEEFF"/>
            <w:noWrap/>
            <w:tcMar>
              <w:top w:w="0" w:type="dxa"/>
              <w:left w:w="0" w:type="dxa"/>
              <w:bottom w:w="0" w:type="dxa"/>
              <w:right w:w="0" w:type="dxa"/>
            </w:tcMar>
            <w:vAlign w:val="bottom"/>
            <w:hideMark/>
          </w:tcPr>
          <w:p w14:paraId="50F7430D"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38D41ADF"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3C17ABFD" w14:textId="77777777" w:rsidR="00000000" w:rsidRDefault="00097612">
            <w:pPr>
              <w:pStyle w:val="a3"/>
              <w:spacing w:before="0" w:beforeAutospacing="0" w:after="0" w:afterAutospacing="0"/>
              <w:ind w:right="60"/>
              <w:jc w:val="right"/>
              <w:rPr>
                <w:sz w:val="16"/>
                <w:szCs w:val="16"/>
              </w:rPr>
            </w:pPr>
            <w:r>
              <w:rPr>
                <w:sz w:val="16"/>
                <w:szCs w:val="16"/>
              </w:rPr>
              <w:t>2,973</w:t>
            </w:r>
          </w:p>
        </w:tc>
        <w:tc>
          <w:tcPr>
            <w:tcW w:w="124" w:type="pct"/>
            <w:shd w:val="clear" w:color="auto" w:fill="CCEEFF"/>
            <w:noWrap/>
            <w:tcMar>
              <w:top w:w="0" w:type="dxa"/>
              <w:left w:w="0" w:type="dxa"/>
              <w:bottom w:w="0" w:type="dxa"/>
              <w:right w:w="0" w:type="dxa"/>
            </w:tcMar>
            <w:vAlign w:val="bottom"/>
            <w:hideMark/>
          </w:tcPr>
          <w:p w14:paraId="732DCD9E"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3F3615E4"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18F2B076" w14:textId="77777777" w:rsidR="00000000" w:rsidRDefault="00097612">
            <w:pPr>
              <w:pStyle w:val="a3"/>
              <w:spacing w:before="0" w:beforeAutospacing="0" w:after="0" w:afterAutospacing="0"/>
              <w:ind w:right="60"/>
              <w:jc w:val="right"/>
              <w:rPr>
                <w:sz w:val="16"/>
                <w:szCs w:val="16"/>
              </w:rPr>
            </w:pPr>
            <w:r>
              <w:rPr>
                <w:sz w:val="16"/>
                <w:szCs w:val="16"/>
              </w:rPr>
              <w:t>1,306</w:t>
            </w:r>
          </w:p>
        </w:tc>
        <w:tc>
          <w:tcPr>
            <w:tcW w:w="79" w:type="pct"/>
            <w:shd w:val="clear" w:color="auto" w:fill="CCEEFF"/>
            <w:noWrap/>
            <w:tcMar>
              <w:top w:w="0" w:type="dxa"/>
              <w:left w:w="0" w:type="dxa"/>
              <w:bottom w:w="0" w:type="dxa"/>
              <w:right w:w="0" w:type="dxa"/>
            </w:tcMar>
            <w:vAlign w:val="bottom"/>
            <w:hideMark/>
          </w:tcPr>
          <w:p w14:paraId="3168502C" w14:textId="77777777" w:rsidR="00000000" w:rsidRDefault="00097612">
            <w:pPr>
              <w:pStyle w:val="a3"/>
              <w:spacing w:before="0" w:beforeAutospacing="0" w:after="0" w:afterAutospacing="0"/>
              <w:rPr>
                <w:sz w:val="20"/>
                <w:szCs w:val="20"/>
              </w:rPr>
            </w:pPr>
            <w:r>
              <w:rPr>
                <w:sz w:val="16"/>
                <w:szCs w:val="16"/>
              </w:rPr>
              <w:t>​</w:t>
            </w:r>
          </w:p>
        </w:tc>
      </w:tr>
      <w:tr w:rsidR="00000000" w14:paraId="12D20991" w14:textId="77777777">
        <w:trPr>
          <w:divId w:val="1082946914"/>
        </w:trPr>
        <w:tc>
          <w:tcPr>
            <w:tcW w:w="3448" w:type="pct"/>
            <w:tcMar>
              <w:top w:w="0" w:type="dxa"/>
              <w:left w:w="0" w:type="dxa"/>
              <w:bottom w:w="0" w:type="dxa"/>
              <w:right w:w="0" w:type="dxa"/>
            </w:tcMar>
            <w:hideMark/>
          </w:tcPr>
          <w:p w14:paraId="4F362D23" w14:textId="77777777" w:rsidR="00000000" w:rsidRDefault="00097612">
            <w:pPr>
              <w:pStyle w:val="a3"/>
              <w:spacing w:before="0" w:beforeAutospacing="0" w:after="0" w:afterAutospacing="0"/>
              <w:rPr>
                <w:sz w:val="16"/>
                <w:szCs w:val="16"/>
              </w:rPr>
            </w:pPr>
            <w:r>
              <w:rPr>
                <w:sz w:val="16"/>
                <w:szCs w:val="16"/>
              </w:rPr>
              <w:t>Repurchase of shares to satisfy tax withholding</w:t>
            </w:r>
          </w:p>
        </w:tc>
        <w:tc>
          <w:tcPr>
            <w:tcW w:w="124" w:type="pct"/>
            <w:noWrap/>
            <w:tcMar>
              <w:top w:w="0" w:type="dxa"/>
              <w:left w:w="0" w:type="dxa"/>
              <w:bottom w:w="0" w:type="dxa"/>
              <w:right w:w="0" w:type="dxa"/>
            </w:tcMar>
            <w:vAlign w:val="bottom"/>
            <w:hideMark/>
          </w:tcPr>
          <w:p w14:paraId="6C6E8170"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14:paraId="66688AD7" w14:textId="77777777" w:rsidR="00000000" w:rsidRDefault="00097612">
            <w:pPr>
              <w:pStyle w:val="a3"/>
              <w:spacing w:before="0" w:beforeAutospacing="0" w:after="0" w:afterAutospacing="0"/>
              <w:jc w:val="center"/>
              <w:rPr>
                <w:sz w:val="20"/>
                <w:szCs w:val="20"/>
              </w:rPr>
            </w:pPr>
            <w:r>
              <w:rPr>
                <w:sz w:val="16"/>
                <w:szCs w:val="16"/>
              </w:rPr>
              <w:t>​</w:t>
            </w:r>
          </w:p>
        </w:tc>
        <w:tc>
          <w:tcPr>
            <w:tcW w:w="488" w:type="pct"/>
            <w:tcBorders>
              <w:bottom w:val="single" w:sz="6" w:space="0" w:color="000000"/>
            </w:tcBorders>
            <w:noWrap/>
            <w:tcMar>
              <w:top w:w="0" w:type="dxa"/>
              <w:left w:w="0" w:type="dxa"/>
              <w:bottom w:w="0" w:type="dxa"/>
              <w:right w:w="0" w:type="dxa"/>
            </w:tcMar>
            <w:vAlign w:val="bottom"/>
            <w:hideMark/>
          </w:tcPr>
          <w:p w14:paraId="53A33C56" w14:textId="77777777" w:rsidR="00000000" w:rsidRDefault="00097612">
            <w:pPr>
              <w:pStyle w:val="a3"/>
              <w:spacing w:before="0" w:beforeAutospacing="0" w:after="0" w:afterAutospacing="0"/>
              <w:jc w:val="right"/>
              <w:rPr>
                <w:sz w:val="16"/>
                <w:szCs w:val="16"/>
              </w:rPr>
            </w:pPr>
            <w:r>
              <w:rPr>
                <w:sz w:val="16"/>
                <w:szCs w:val="16"/>
              </w:rPr>
              <w:t>(2,743)</w:t>
            </w:r>
          </w:p>
        </w:tc>
        <w:tc>
          <w:tcPr>
            <w:tcW w:w="124" w:type="pct"/>
            <w:noWrap/>
            <w:tcMar>
              <w:top w:w="0" w:type="dxa"/>
              <w:left w:w="0" w:type="dxa"/>
              <w:bottom w:w="0" w:type="dxa"/>
              <w:right w:w="0" w:type="dxa"/>
            </w:tcMar>
            <w:vAlign w:val="bottom"/>
            <w:hideMark/>
          </w:tcPr>
          <w:p w14:paraId="384E8E1A"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14:paraId="38AE53A3" w14:textId="77777777" w:rsidR="00000000" w:rsidRDefault="00097612">
            <w:pPr>
              <w:pStyle w:val="a3"/>
              <w:spacing w:before="0" w:beforeAutospacing="0" w:after="0" w:afterAutospacing="0"/>
              <w:jc w:val="center"/>
              <w:rPr>
                <w:sz w:val="20"/>
                <w:szCs w:val="20"/>
              </w:rPr>
            </w:pPr>
            <w:r>
              <w:rPr>
                <w:sz w:val="16"/>
                <w:szCs w:val="16"/>
              </w:rPr>
              <w:t>​</w:t>
            </w:r>
          </w:p>
        </w:tc>
        <w:tc>
          <w:tcPr>
            <w:tcW w:w="488" w:type="pct"/>
            <w:tcBorders>
              <w:bottom w:val="single" w:sz="6" w:space="0" w:color="000000"/>
            </w:tcBorders>
            <w:noWrap/>
            <w:tcMar>
              <w:top w:w="0" w:type="dxa"/>
              <w:left w:w="0" w:type="dxa"/>
              <w:bottom w:w="0" w:type="dxa"/>
              <w:right w:w="0" w:type="dxa"/>
            </w:tcMar>
            <w:vAlign w:val="bottom"/>
            <w:hideMark/>
          </w:tcPr>
          <w:p w14:paraId="12CB660A" w14:textId="77777777" w:rsidR="00000000" w:rsidRDefault="00097612">
            <w:pPr>
              <w:pStyle w:val="a3"/>
              <w:spacing w:before="0" w:beforeAutospacing="0" w:after="0" w:afterAutospacing="0"/>
              <w:jc w:val="right"/>
              <w:rPr>
                <w:sz w:val="16"/>
                <w:szCs w:val="16"/>
              </w:rPr>
            </w:pPr>
            <w:r>
              <w:rPr>
                <w:sz w:val="16"/>
                <w:szCs w:val="16"/>
              </w:rPr>
              <w:t>(8,452)</w:t>
            </w:r>
          </w:p>
        </w:tc>
        <w:tc>
          <w:tcPr>
            <w:tcW w:w="79" w:type="pct"/>
            <w:noWrap/>
            <w:tcMar>
              <w:top w:w="0" w:type="dxa"/>
              <w:left w:w="0" w:type="dxa"/>
              <w:bottom w:w="0" w:type="dxa"/>
              <w:right w:w="0" w:type="dxa"/>
            </w:tcMar>
            <w:vAlign w:val="bottom"/>
            <w:hideMark/>
          </w:tcPr>
          <w:p w14:paraId="20164E99" w14:textId="77777777" w:rsidR="00000000" w:rsidRDefault="00097612">
            <w:pPr>
              <w:pStyle w:val="a3"/>
              <w:spacing w:before="0" w:beforeAutospacing="0" w:after="0" w:afterAutospacing="0"/>
              <w:rPr>
                <w:sz w:val="20"/>
                <w:szCs w:val="20"/>
              </w:rPr>
            </w:pPr>
            <w:r>
              <w:rPr>
                <w:sz w:val="16"/>
                <w:szCs w:val="16"/>
              </w:rPr>
              <w:t>​</w:t>
            </w:r>
          </w:p>
        </w:tc>
      </w:tr>
      <w:tr w:rsidR="00000000" w14:paraId="624C286D" w14:textId="77777777">
        <w:trPr>
          <w:divId w:val="1082946914"/>
        </w:trPr>
        <w:tc>
          <w:tcPr>
            <w:tcW w:w="3448" w:type="pct"/>
            <w:shd w:val="clear" w:color="auto" w:fill="CCEEFF"/>
            <w:tcMar>
              <w:top w:w="0" w:type="dxa"/>
              <w:left w:w="0" w:type="dxa"/>
              <w:bottom w:w="0" w:type="dxa"/>
              <w:right w:w="0" w:type="dxa"/>
            </w:tcMar>
            <w:hideMark/>
          </w:tcPr>
          <w:p w14:paraId="1EC5CC2E" w14:textId="77777777" w:rsidR="00000000" w:rsidRDefault="00097612">
            <w:pPr>
              <w:pStyle w:val="a3"/>
              <w:spacing w:before="0" w:beforeAutospacing="0" w:after="0" w:afterAutospacing="0"/>
              <w:ind w:left="480"/>
              <w:rPr>
                <w:sz w:val="16"/>
                <w:szCs w:val="16"/>
              </w:rPr>
            </w:pPr>
            <w:r>
              <w:rPr>
                <w:sz w:val="16"/>
                <w:szCs w:val="16"/>
              </w:rPr>
              <w:t>Net cash provided by (used in) financing activities</w:t>
            </w:r>
          </w:p>
        </w:tc>
        <w:tc>
          <w:tcPr>
            <w:tcW w:w="124" w:type="pct"/>
            <w:shd w:val="clear" w:color="auto" w:fill="CCEEFF"/>
            <w:noWrap/>
            <w:tcMar>
              <w:top w:w="0" w:type="dxa"/>
              <w:left w:w="0" w:type="dxa"/>
              <w:bottom w:w="0" w:type="dxa"/>
              <w:right w:w="0" w:type="dxa"/>
            </w:tcMar>
            <w:vAlign w:val="bottom"/>
            <w:hideMark/>
          </w:tcPr>
          <w:p w14:paraId="2536C5A6"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14:paraId="414928FA" w14:textId="77777777" w:rsidR="00000000" w:rsidRDefault="00097612">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14:paraId="2EB5D716" w14:textId="77777777" w:rsidR="00000000" w:rsidRDefault="00097612">
            <w:pPr>
              <w:pStyle w:val="a3"/>
              <w:spacing w:before="0" w:beforeAutospacing="0" w:after="0" w:afterAutospacing="0"/>
              <w:ind w:right="60"/>
              <w:jc w:val="right"/>
              <w:rPr>
                <w:sz w:val="16"/>
                <w:szCs w:val="16"/>
              </w:rPr>
            </w:pPr>
            <w:r>
              <w:rPr>
                <w:sz w:val="16"/>
                <w:szCs w:val="16"/>
              </w:rPr>
              <w:t>2,835</w:t>
            </w:r>
          </w:p>
        </w:tc>
        <w:tc>
          <w:tcPr>
            <w:tcW w:w="124" w:type="pct"/>
            <w:shd w:val="clear" w:color="auto" w:fill="CCEEFF"/>
            <w:noWrap/>
            <w:tcMar>
              <w:top w:w="0" w:type="dxa"/>
              <w:left w:w="0" w:type="dxa"/>
              <w:bottom w:w="0" w:type="dxa"/>
              <w:right w:w="0" w:type="dxa"/>
            </w:tcMar>
            <w:vAlign w:val="bottom"/>
            <w:hideMark/>
          </w:tcPr>
          <w:p w14:paraId="11093FC9"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14:paraId="2AE0BEDD" w14:textId="77777777" w:rsidR="00000000" w:rsidRDefault="00097612">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14:paraId="0B06EAA5" w14:textId="77777777" w:rsidR="00000000" w:rsidRDefault="00097612">
            <w:pPr>
              <w:pStyle w:val="a3"/>
              <w:spacing w:before="0" w:beforeAutospacing="0" w:after="0" w:afterAutospacing="0"/>
              <w:jc w:val="right"/>
              <w:rPr>
                <w:sz w:val="16"/>
                <w:szCs w:val="16"/>
              </w:rPr>
            </w:pPr>
            <w:r>
              <w:rPr>
                <w:sz w:val="16"/>
                <w:szCs w:val="16"/>
              </w:rPr>
              <w:t>(4,404)</w:t>
            </w:r>
          </w:p>
        </w:tc>
        <w:tc>
          <w:tcPr>
            <w:tcW w:w="79" w:type="pct"/>
            <w:shd w:val="clear" w:color="auto" w:fill="CCEEFF"/>
            <w:noWrap/>
            <w:tcMar>
              <w:top w:w="0" w:type="dxa"/>
              <w:left w:w="0" w:type="dxa"/>
              <w:bottom w:w="0" w:type="dxa"/>
              <w:right w:w="0" w:type="dxa"/>
            </w:tcMar>
            <w:vAlign w:val="bottom"/>
            <w:hideMark/>
          </w:tcPr>
          <w:p w14:paraId="236484EC" w14:textId="77777777" w:rsidR="00000000" w:rsidRDefault="00097612">
            <w:pPr>
              <w:pStyle w:val="a3"/>
              <w:spacing w:before="0" w:beforeAutospacing="0" w:after="0" w:afterAutospacing="0"/>
              <w:rPr>
                <w:sz w:val="20"/>
                <w:szCs w:val="20"/>
              </w:rPr>
            </w:pPr>
            <w:r>
              <w:rPr>
                <w:sz w:val="16"/>
                <w:szCs w:val="16"/>
              </w:rPr>
              <w:t>​</w:t>
            </w:r>
          </w:p>
        </w:tc>
      </w:tr>
      <w:tr w:rsidR="00000000" w14:paraId="4DB0578F" w14:textId="77777777">
        <w:trPr>
          <w:divId w:val="1082946914"/>
        </w:trPr>
        <w:tc>
          <w:tcPr>
            <w:tcW w:w="3448" w:type="pct"/>
            <w:tcMar>
              <w:top w:w="0" w:type="dxa"/>
              <w:left w:w="0" w:type="dxa"/>
              <w:bottom w:w="0" w:type="dxa"/>
              <w:right w:w="0" w:type="dxa"/>
            </w:tcMar>
            <w:hideMark/>
          </w:tcPr>
          <w:p w14:paraId="1EB7BD82"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09EDEAE3"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0758C4F5"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7388B135" w14:textId="77777777" w:rsidR="00000000" w:rsidRDefault="00097612">
            <w:pPr>
              <w:pStyle w:val="a3"/>
              <w:spacing w:before="0" w:beforeAutospacing="0" w:after="0" w:afterAutospacing="0"/>
              <w:jc w:val="right"/>
              <w:rPr>
                <w:sz w:val="20"/>
                <w:szCs w:val="20"/>
              </w:rPr>
            </w:pPr>
            <w:r>
              <w:rPr>
                <w:sz w:val="16"/>
                <w:szCs w:val="16"/>
              </w:rPr>
              <w:t>​</w:t>
            </w:r>
          </w:p>
        </w:tc>
        <w:tc>
          <w:tcPr>
            <w:tcW w:w="124" w:type="pct"/>
            <w:noWrap/>
            <w:tcMar>
              <w:top w:w="0" w:type="dxa"/>
              <w:left w:w="0" w:type="dxa"/>
              <w:bottom w:w="0" w:type="dxa"/>
              <w:right w:w="0" w:type="dxa"/>
            </w:tcMar>
            <w:vAlign w:val="bottom"/>
            <w:hideMark/>
          </w:tcPr>
          <w:p w14:paraId="5E034606"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3EA2331D"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6F8FBEB1" w14:textId="77777777" w:rsidR="00000000" w:rsidRDefault="00097612">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14:paraId="7893805D" w14:textId="77777777" w:rsidR="00000000" w:rsidRDefault="00097612">
            <w:pPr>
              <w:pStyle w:val="a3"/>
              <w:spacing w:before="0" w:beforeAutospacing="0" w:after="0" w:afterAutospacing="0"/>
              <w:rPr>
                <w:sz w:val="20"/>
                <w:szCs w:val="20"/>
              </w:rPr>
            </w:pPr>
            <w:r>
              <w:rPr>
                <w:sz w:val="16"/>
                <w:szCs w:val="16"/>
              </w:rPr>
              <w:t>​</w:t>
            </w:r>
          </w:p>
        </w:tc>
      </w:tr>
      <w:tr w:rsidR="00000000" w14:paraId="1BD00444" w14:textId="77777777">
        <w:trPr>
          <w:divId w:val="1082946914"/>
        </w:trPr>
        <w:tc>
          <w:tcPr>
            <w:tcW w:w="3448" w:type="pct"/>
            <w:shd w:val="clear" w:color="auto" w:fill="CCEEFF"/>
            <w:tcMar>
              <w:top w:w="0" w:type="dxa"/>
              <w:left w:w="0" w:type="dxa"/>
              <w:bottom w:w="0" w:type="dxa"/>
              <w:right w:w="0" w:type="dxa"/>
            </w:tcMar>
            <w:hideMark/>
          </w:tcPr>
          <w:p w14:paraId="011BF8D2" w14:textId="77777777" w:rsidR="00000000" w:rsidRDefault="00097612">
            <w:pPr>
              <w:pStyle w:val="a3"/>
              <w:spacing w:before="0" w:beforeAutospacing="0" w:after="0" w:afterAutospacing="0"/>
              <w:rPr>
                <w:sz w:val="16"/>
                <w:szCs w:val="16"/>
              </w:rPr>
            </w:pPr>
            <w:r>
              <w:rPr>
                <w:b/>
                <w:bCs/>
                <w:sz w:val="16"/>
                <w:szCs w:val="16"/>
              </w:rPr>
              <w:t>Net (decrease) increase in cash, cash equivalents, and restricted cash</w:t>
            </w:r>
            <w:r>
              <w:rPr>
                <w:sz w:val="16"/>
                <w:szCs w:val="16"/>
              </w:rPr>
              <w:t xml:space="preserve"> </w:t>
            </w:r>
          </w:p>
        </w:tc>
        <w:tc>
          <w:tcPr>
            <w:tcW w:w="124" w:type="pct"/>
            <w:shd w:val="clear" w:color="auto" w:fill="CCEEFF"/>
            <w:noWrap/>
            <w:tcMar>
              <w:top w:w="0" w:type="dxa"/>
              <w:left w:w="0" w:type="dxa"/>
              <w:bottom w:w="0" w:type="dxa"/>
              <w:right w:w="0" w:type="dxa"/>
            </w:tcMar>
            <w:vAlign w:val="bottom"/>
            <w:hideMark/>
          </w:tcPr>
          <w:p w14:paraId="29254B09"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16BC5B56"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5308A0A9" w14:textId="77777777" w:rsidR="00000000" w:rsidRDefault="00097612">
            <w:pPr>
              <w:pStyle w:val="a3"/>
              <w:spacing w:before="0" w:beforeAutospacing="0" w:after="0" w:afterAutospacing="0"/>
              <w:jc w:val="right"/>
              <w:rPr>
                <w:sz w:val="16"/>
                <w:szCs w:val="16"/>
              </w:rPr>
            </w:pPr>
            <w:r>
              <w:rPr>
                <w:sz w:val="16"/>
                <w:szCs w:val="16"/>
              </w:rPr>
              <w:t>(268,122)</w:t>
            </w:r>
          </w:p>
        </w:tc>
        <w:tc>
          <w:tcPr>
            <w:tcW w:w="124" w:type="pct"/>
            <w:shd w:val="clear" w:color="auto" w:fill="CCEEFF"/>
            <w:noWrap/>
            <w:tcMar>
              <w:top w:w="0" w:type="dxa"/>
              <w:left w:w="0" w:type="dxa"/>
              <w:bottom w:w="0" w:type="dxa"/>
              <w:right w:w="0" w:type="dxa"/>
            </w:tcMar>
            <w:vAlign w:val="bottom"/>
            <w:hideMark/>
          </w:tcPr>
          <w:p w14:paraId="0D084E40"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12AE96C3" w14:textId="77777777" w:rsidR="00000000" w:rsidRDefault="00097612">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14:paraId="4EDA8271" w14:textId="77777777" w:rsidR="00000000" w:rsidRDefault="00097612">
            <w:pPr>
              <w:pStyle w:val="a3"/>
              <w:spacing w:before="0" w:beforeAutospacing="0" w:after="0" w:afterAutospacing="0"/>
              <w:ind w:right="60"/>
              <w:jc w:val="right"/>
              <w:rPr>
                <w:sz w:val="16"/>
                <w:szCs w:val="16"/>
              </w:rPr>
            </w:pPr>
            <w:r>
              <w:rPr>
                <w:sz w:val="16"/>
                <w:szCs w:val="16"/>
              </w:rPr>
              <w:t>12,222</w:t>
            </w:r>
          </w:p>
        </w:tc>
        <w:tc>
          <w:tcPr>
            <w:tcW w:w="79" w:type="pct"/>
            <w:shd w:val="clear" w:color="auto" w:fill="CCEEFF"/>
            <w:noWrap/>
            <w:tcMar>
              <w:top w:w="0" w:type="dxa"/>
              <w:left w:w="0" w:type="dxa"/>
              <w:bottom w:w="0" w:type="dxa"/>
              <w:right w:w="0" w:type="dxa"/>
            </w:tcMar>
            <w:vAlign w:val="bottom"/>
            <w:hideMark/>
          </w:tcPr>
          <w:p w14:paraId="2FCB0D75" w14:textId="77777777" w:rsidR="00000000" w:rsidRDefault="00097612">
            <w:pPr>
              <w:pStyle w:val="a3"/>
              <w:spacing w:before="0" w:beforeAutospacing="0" w:after="0" w:afterAutospacing="0"/>
              <w:rPr>
                <w:sz w:val="20"/>
                <w:szCs w:val="20"/>
              </w:rPr>
            </w:pPr>
            <w:r>
              <w:rPr>
                <w:sz w:val="16"/>
                <w:szCs w:val="16"/>
              </w:rPr>
              <w:t>​</w:t>
            </w:r>
          </w:p>
        </w:tc>
      </w:tr>
      <w:tr w:rsidR="00000000" w14:paraId="7BE68C9F" w14:textId="77777777">
        <w:trPr>
          <w:divId w:val="1082946914"/>
        </w:trPr>
        <w:tc>
          <w:tcPr>
            <w:tcW w:w="3448" w:type="pct"/>
            <w:tcMar>
              <w:top w:w="0" w:type="dxa"/>
              <w:left w:w="0" w:type="dxa"/>
              <w:bottom w:w="0" w:type="dxa"/>
              <w:right w:w="0" w:type="dxa"/>
            </w:tcMar>
            <w:hideMark/>
          </w:tcPr>
          <w:p w14:paraId="1640787A" w14:textId="77777777" w:rsidR="00000000" w:rsidRDefault="00097612">
            <w:pPr>
              <w:pStyle w:val="a3"/>
              <w:spacing w:before="0" w:beforeAutospacing="0" w:after="0" w:afterAutospacing="0"/>
              <w:rPr>
                <w:sz w:val="16"/>
                <w:szCs w:val="16"/>
              </w:rPr>
            </w:pPr>
            <w:r>
              <w:rPr>
                <w:b/>
                <w:bCs/>
                <w:sz w:val="16"/>
                <w:szCs w:val="16"/>
              </w:rPr>
              <w:t>Cash, cash equivalents, and restricted cash at beginning of period</w:t>
            </w:r>
          </w:p>
        </w:tc>
        <w:tc>
          <w:tcPr>
            <w:tcW w:w="124" w:type="pct"/>
            <w:noWrap/>
            <w:tcMar>
              <w:top w:w="0" w:type="dxa"/>
              <w:left w:w="0" w:type="dxa"/>
              <w:bottom w:w="0" w:type="dxa"/>
              <w:right w:w="0" w:type="dxa"/>
            </w:tcMar>
            <w:vAlign w:val="bottom"/>
            <w:hideMark/>
          </w:tcPr>
          <w:p w14:paraId="425A96A5"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14:paraId="285205DE" w14:textId="77777777" w:rsidR="00000000" w:rsidRDefault="00097612">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noWrap/>
            <w:tcMar>
              <w:top w:w="0" w:type="dxa"/>
              <w:left w:w="0" w:type="dxa"/>
              <w:bottom w:w="0" w:type="dxa"/>
              <w:right w:w="0" w:type="dxa"/>
            </w:tcMar>
            <w:vAlign w:val="bottom"/>
            <w:hideMark/>
          </w:tcPr>
          <w:p w14:paraId="6DB7EBE3" w14:textId="77777777" w:rsidR="00000000" w:rsidRDefault="00097612">
            <w:pPr>
              <w:pStyle w:val="a3"/>
              <w:spacing w:before="0" w:beforeAutospacing="0" w:after="0" w:afterAutospacing="0"/>
              <w:ind w:right="60"/>
              <w:jc w:val="right"/>
              <w:rPr>
                <w:sz w:val="16"/>
                <w:szCs w:val="16"/>
              </w:rPr>
            </w:pPr>
            <w:r>
              <w:rPr>
                <w:sz w:val="16"/>
                <w:szCs w:val="16"/>
              </w:rPr>
              <w:t>378,854</w:t>
            </w:r>
          </w:p>
        </w:tc>
        <w:tc>
          <w:tcPr>
            <w:tcW w:w="124" w:type="pct"/>
            <w:noWrap/>
            <w:tcMar>
              <w:top w:w="0" w:type="dxa"/>
              <w:left w:w="0" w:type="dxa"/>
              <w:bottom w:w="0" w:type="dxa"/>
              <w:right w:w="0" w:type="dxa"/>
            </w:tcMar>
            <w:vAlign w:val="bottom"/>
            <w:hideMark/>
          </w:tcPr>
          <w:p w14:paraId="43E1664A"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14:paraId="391E046B" w14:textId="77777777" w:rsidR="00000000" w:rsidRDefault="00097612">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noWrap/>
            <w:tcMar>
              <w:top w:w="0" w:type="dxa"/>
              <w:left w:w="0" w:type="dxa"/>
              <w:bottom w:w="0" w:type="dxa"/>
              <w:right w:w="0" w:type="dxa"/>
            </w:tcMar>
            <w:vAlign w:val="bottom"/>
            <w:hideMark/>
          </w:tcPr>
          <w:p w14:paraId="4F9C470D" w14:textId="77777777" w:rsidR="00000000" w:rsidRDefault="00097612">
            <w:pPr>
              <w:pStyle w:val="a3"/>
              <w:spacing w:before="0" w:beforeAutospacing="0" w:after="0" w:afterAutospacing="0"/>
              <w:ind w:right="60"/>
              <w:jc w:val="right"/>
              <w:rPr>
                <w:sz w:val="16"/>
                <w:szCs w:val="16"/>
              </w:rPr>
            </w:pPr>
            <w:r>
              <w:rPr>
                <w:sz w:val="16"/>
                <w:szCs w:val="16"/>
              </w:rPr>
              <w:t>89,813</w:t>
            </w:r>
          </w:p>
        </w:tc>
        <w:tc>
          <w:tcPr>
            <w:tcW w:w="79" w:type="pct"/>
            <w:noWrap/>
            <w:tcMar>
              <w:top w:w="0" w:type="dxa"/>
              <w:left w:w="0" w:type="dxa"/>
              <w:bottom w:w="0" w:type="dxa"/>
              <w:right w:w="0" w:type="dxa"/>
            </w:tcMar>
            <w:vAlign w:val="bottom"/>
            <w:hideMark/>
          </w:tcPr>
          <w:p w14:paraId="395E90D2" w14:textId="77777777" w:rsidR="00000000" w:rsidRDefault="00097612">
            <w:pPr>
              <w:pStyle w:val="a3"/>
              <w:spacing w:before="0" w:beforeAutospacing="0" w:after="0" w:afterAutospacing="0"/>
              <w:rPr>
                <w:sz w:val="20"/>
                <w:szCs w:val="20"/>
              </w:rPr>
            </w:pPr>
            <w:r>
              <w:rPr>
                <w:sz w:val="16"/>
                <w:szCs w:val="16"/>
              </w:rPr>
              <w:t>​</w:t>
            </w:r>
          </w:p>
        </w:tc>
      </w:tr>
      <w:tr w:rsidR="00000000" w14:paraId="28BCAED8" w14:textId="77777777">
        <w:trPr>
          <w:divId w:val="1082946914"/>
        </w:trPr>
        <w:tc>
          <w:tcPr>
            <w:tcW w:w="3448" w:type="pct"/>
            <w:shd w:val="clear" w:color="auto" w:fill="CCEEFF"/>
            <w:tcMar>
              <w:top w:w="0" w:type="dxa"/>
              <w:left w:w="0" w:type="dxa"/>
              <w:bottom w:w="0" w:type="dxa"/>
              <w:right w:w="0" w:type="dxa"/>
            </w:tcMar>
            <w:hideMark/>
          </w:tcPr>
          <w:p w14:paraId="56ADA2C7" w14:textId="77777777" w:rsidR="00000000" w:rsidRDefault="00097612">
            <w:pPr>
              <w:pStyle w:val="a3"/>
              <w:spacing w:before="0" w:beforeAutospacing="0" w:after="0" w:afterAutospacing="0"/>
              <w:rPr>
                <w:sz w:val="16"/>
                <w:szCs w:val="16"/>
              </w:rPr>
            </w:pPr>
            <w:r>
              <w:rPr>
                <w:b/>
                <w:bCs/>
                <w:sz w:val="16"/>
                <w:szCs w:val="16"/>
              </w:rPr>
              <w:t>Cash, cash equivalents, and restricted cash at end of period</w:t>
            </w:r>
            <w:r>
              <w:rPr>
                <w:sz w:val="16"/>
                <w:szCs w:val="16"/>
              </w:rPr>
              <w:t xml:space="preserve"> </w:t>
            </w:r>
          </w:p>
        </w:tc>
        <w:tc>
          <w:tcPr>
            <w:tcW w:w="124" w:type="pct"/>
            <w:shd w:val="clear" w:color="auto" w:fill="CCEEFF"/>
            <w:noWrap/>
            <w:tcMar>
              <w:top w:w="0" w:type="dxa"/>
              <w:left w:w="0" w:type="dxa"/>
              <w:bottom w:w="0" w:type="dxa"/>
              <w:right w:w="0" w:type="dxa"/>
            </w:tcMar>
            <w:vAlign w:val="bottom"/>
            <w:hideMark/>
          </w:tcPr>
          <w:p w14:paraId="5E4A7F3D"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double" w:sz="6" w:space="0" w:color="000000"/>
            </w:tcBorders>
            <w:shd w:val="clear" w:color="auto" w:fill="CCEEFF"/>
            <w:noWrap/>
            <w:tcMar>
              <w:top w:w="0" w:type="dxa"/>
              <w:left w:w="0" w:type="dxa"/>
              <w:bottom w:w="0" w:type="dxa"/>
              <w:right w:w="0" w:type="dxa"/>
            </w:tcMar>
            <w:vAlign w:val="bottom"/>
            <w:hideMark/>
          </w:tcPr>
          <w:p w14:paraId="6B0023EB" w14:textId="77777777" w:rsidR="00000000" w:rsidRDefault="00097612">
            <w:pPr>
              <w:pStyle w:val="a3"/>
              <w:spacing w:before="0" w:beforeAutospacing="0" w:after="0" w:afterAutospacing="0"/>
              <w:jc w:val="center"/>
              <w:rPr>
                <w:sz w:val="16"/>
                <w:szCs w:val="16"/>
              </w:rPr>
            </w:pPr>
            <w:r>
              <w:rPr>
                <w:sz w:val="16"/>
                <w:szCs w:val="16"/>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14:paraId="7F6EE9A0" w14:textId="77777777" w:rsidR="00000000" w:rsidRDefault="00097612">
            <w:pPr>
              <w:pStyle w:val="a3"/>
              <w:spacing w:before="0" w:beforeAutospacing="0" w:after="0" w:afterAutospacing="0"/>
              <w:ind w:right="60"/>
              <w:jc w:val="right"/>
              <w:rPr>
                <w:sz w:val="16"/>
                <w:szCs w:val="16"/>
              </w:rPr>
            </w:pPr>
            <w:r>
              <w:rPr>
                <w:sz w:val="16"/>
                <w:szCs w:val="16"/>
              </w:rPr>
              <w:t>110,732</w:t>
            </w:r>
          </w:p>
        </w:tc>
        <w:tc>
          <w:tcPr>
            <w:tcW w:w="124" w:type="pct"/>
            <w:shd w:val="clear" w:color="auto" w:fill="CCEEFF"/>
            <w:noWrap/>
            <w:tcMar>
              <w:top w:w="0" w:type="dxa"/>
              <w:left w:w="0" w:type="dxa"/>
              <w:bottom w:w="0" w:type="dxa"/>
              <w:right w:w="0" w:type="dxa"/>
            </w:tcMar>
            <w:vAlign w:val="bottom"/>
            <w:hideMark/>
          </w:tcPr>
          <w:p w14:paraId="5D0597AF" w14:textId="77777777" w:rsidR="00000000" w:rsidRDefault="00097612">
            <w:pPr>
              <w:pStyle w:val="a3"/>
              <w:spacing w:before="0" w:beforeAutospacing="0" w:after="0" w:afterAutospacing="0"/>
              <w:rPr>
                <w:sz w:val="20"/>
                <w:szCs w:val="20"/>
              </w:rPr>
            </w:pPr>
            <w:r>
              <w:rPr>
                <w:sz w:val="16"/>
                <w:szCs w:val="16"/>
              </w:rPr>
              <w:t>​</w:t>
            </w:r>
          </w:p>
        </w:tc>
        <w:tc>
          <w:tcPr>
            <w:tcW w:w="124" w:type="pct"/>
            <w:tcBorders>
              <w:bottom w:val="double" w:sz="6" w:space="0" w:color="000000"/>
            </w:tcBorders>
            <w:shd w:val="clear" w:color="auto" w:fill="CCEEFF"/>
            <w:noWrap/>
            <w:tcMar>
              <w:top w:w="0" w:type="dxa"/>
              <w:left w:w="0" w:type="dxa"/>
              <w:bottom w:w="0" w:type="dxa"/>
              <w:right w:w="0" w:type="dxa"/>
            </w:tcMar>
            <w:vAlign w:val="bottom"/>
            <w:hideMark/>
          </w:tcPr>
          <w:p w14:paraId="3A98F874" w14:textId="77777777" w:rsidR="00000000" w:rsidRDefault="00097612">
            <w:pPr>
              <w:pStyle w:val="a3"/>
              <w:spacing w:before="0" w:beforeAutospacing="0" w:after="0" w:afterAutospacing="0"/>
              <w:jc w:val="center"/>
              <w:rPr>
                <w:sz w:val="16"/>
                <w:szCs w:val="16"/>
              </w:rPr>
            </w:pPr>
            <w:r>
              <w:rPr>
                <w:sz w:val="16"/>
                <w:szCs w:val="16"/>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14:paraId="198058DA" w14:textId="77777777" w:rsidR="00000000" w:rsidRDefault="00097612">
            <w:pPr>
              <w:pStyle w:val="a3"/>
              <w:spacing w:before="0" w:beforeAutospacing="0" w:after="0" w:afterAutospacing="0"/>
              <w:ind w:right="60"/>
              <w:jc w:val="right"/>
              <w:rPr>
                <w:sz w:val="16"/>
                <w:szCs w:val="16"/>
              </w:rPr>
            </w:pPr>
            <w:r>
              <w:rPr>
                <w:sz w:val="16"/>
                <w:szCs w:val="16"/>
              </w:rPr>
              <w:t>102,035</w:t>
            </w:r>
          </w:p>
        </w:tc>
        <w:tc>
          <w:tcPr>
            <w:tcW w:w="79" w:type="pct"/>
            <w:shd w:val="clear" w:color="auto" w:fill="CCEEFF"/>
            <w:noWrap/>
            <w:tcMar>
              <w:top w:w="0" w:type="dxa"/>
              <w:left w:w="0" w:type="dxa"/>
              <w:bottom w:w="0" w:type="dxa"/>
              <w:right w:w="0" w:type="dxa"/>
            </w:tcMar>
            <w:vAlign w:val="bottom"/>
            <w:hideMark/>
          </w:tcPr>
          <w:p w14:paraId="6BDD6D72" w14:textId="77777777" w:rsidR="00000000" w:rsidRDefault="00097612">
            <w:pPr>
              <w:pStyle w:val="a3"/>
              <w:spacing w:before="0" w:beforeAutospacing="0" w:after="0" w:afterAutospacing="0"/>
              <w:rPr>
                <w:sz w:val="20"/>
                <w:szCs w:val="20"/>
              </w:rPr>
            </w:pPr>
            <w:r>
              <w:rPr>
                <w:sz w:val="16"/>
                <w:szCs w:val="16"/>
              </w:rPr>
              <w:t>​</w:t>
            </w:r>
          </w:p>
        </w:tc>
      </w:tr>
      <w:tr w:rsidR="00000000" w14:paraId="5B8498D8" w14:textId="77777777">
        <w:trPr>
          <w:divId w:val="1082946914"/>
        </w:trPr>
        <w:tc>
          <w:tcPr>
            <w:tcW w:w="3448" w:type="pct"/>
            <w:tcMar>
              <w:top w:w="0" w:type="dxa"/>
              <w:left w:w="0" w:type="dxa"/>
              <w:bottom w:w="0" w:type="dxa"/>
              <w:right w:w="0" w:type="dxa"/>
            </w:tcMar>
            <w:hideMark/>
          </w:tcPr>
          <w:p w14:paraId="698C54D4" w14:textId="77777777" w:rsidR="00000000" w:rsidRDefault="00097612">
            <w:pPr>
              <w:pStyle w:val="a3"/>
              <w:spacing w:before="0" w:beforeAutospacing="0" w:after="0" w:afterAutospacing="0"/>
              <w:rPr>
                <w:sz w:val="20"/>
                <w:szCs w:val="20"/>
              </w:rPr>
            </w:pPr>
            <w:r>
              <w:rPr>
                <w:b/>
                <w:bCs/>
                <w:sz w:val="16"/>
                <w:szCs w:val="16"/>
              </w:rPr>
              <w:t>​</w:t>
            </w:r>
          </w:p>
        </w:tc>
        <w:tc>
          <w:tcPr>
            <w:tcW w:w="124" w:type="pct"/>
            <w:noWrap/>
            <w:tcMar>
              <w:top w:w="0" w:type="dxa"/>
              <w:left w:w="0" w:type="dxa"/>
              <w:bottom w:w="0" w:type="dxa"/>
              <w:right w:w="0" w:type="dxa"/>
            </w:tcMar>
            <w:vAlign w:val="bottom"/>
            <w:hideMark/>
          </w:tcPr>
          <w:p w14:paraId="479F4A57"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44F3D913"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59DB9634" w14:textId="77777777" w:rsidR="00000000" w:rsidRDefault="00097612">
            <w:pPr>
              <w:pStyle w:val="a3"/>
              <w:spacing w:before="0" w:beforeAutospacing="0" w:after="0" w:afterAutospacing="0"/>
              <w:jc w:val="right"/>
              <w:rPr>
                <w:sz w:val="20"/>
                <w:szCs w:val="20"/>
              </w:rPr>
            </w:pPr>
            <w:r>
              <w:rPr>
                <w:sz w:val="16"/>
                <w:szCs w:val="16"/>
              </w:rPr>
              <w:t>​</w:t>
            </w:r>
          </w:p>
        </w:tc>
        <w:tc>
          <w:tcPr>
            <w:tcW w:w="124" w:type="pct"/>
            <w:noWrap/>
            <w:tcMar>
              <w:top w:w="0" w:type="dxa"/>
              <w:left w:w="0" w:type="dxa"/>
              <w:bottom w:w="0" w:type="dxa"/>
              <w:right w:w="0" w:type="dxa"/>
            </w:tcMar>
            <w:vAlign w:val="bottom"/>
            <w:hideMark/>
          </w:tcPr>
          <w:p w14:paraId="581E1CBC"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16413BF4" w14:textId="77777777" w:rsidR="00000000" w:rsidRDefault="00097612">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14:paraId="5FA5C972" w14:textId="77777777" w:rsidR="00000000" w:rsidRDefault="00097612">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14:paraId="762DF107" w14:textId="77777777" w:rsidR="00000000" w:rsidRDefault="00097612">
            <w:pPr>
              <w:pStyle w:val="a3"/>
              <w:spacing w:before="0" w:beforeAutospacing="0" w:after="0" w:afterAutospacing="0"/>
              <w:rPr>
                <w:sz w:val="20"/>
                <w:szCs w:val="20"/>
              </w:rPr>
            </w:pPr>
            <w:r>
              <w:rPr>
                <w:sz w:val="16"/>
                <w:szCs w:val="16"/>
              </w:rPr>
              <w:t>​</w:t>
            </w:r>
          </w:p>
        </w:tc>
      </w:tr>
      <w:tr w:rsidR="00000000" w14:paraId="74ADFEE6" w14:textId="77777777">
        <w:trPr>
          <w:divId w:val="1082946914"/>
        </w:trPr>
        <w:tc>
          <w:tcPr>
            <w:tcW w:w="3448" w:type="pct"/>
            <w:shd w:val="clear" w:color="auto" w:fill="CCEEFF"/>
            <w:tcMar>
              <w:top w:w="0" w:type="dxa"/>
              <w:left w:w="0" w:type="dxa"/>
              <w:bottom w:w="0" w:type="dxa"/>
              <w:right w:w="0" w:type="dxa"/>
            </w:tcMar>
            <w:hideMark/>
          </w:tcPr>
          <w:p w14:paraId="08E887B0" w14:textId="77777777" w:rsidR="00000000" w:rsidRDefault="00097612">
            <w:pPr>
              <w:pStyle w:val="a3"/>
              <w:spacing w:before="0" w:beforeAutospacing="0" w:after="0" w:afterAutospacing="0"/>
              <w:rPr>
                <w:sz w:val="16"/>
                <w:szCs w:val="16"/>
              </w:rPr>
            </w:pPr>
            <w:r>
              <w:rPr>
                <w:b/>
                <w:bCs/>
                <w:sz w:val="16"/>
                <w:szCs w:val="16"/>
              </w:rPr>
              <w:t>Supplemental disclosure of cash flow information</w:t>
            </w:r>
          </w:p>
        </w:tc>
        <w:tc>
          <w:tcPr>
            <w:tcW w:w="124" w:type="pct"/>
            <w:shd w:val="clear" w:color="auto" w:fill="CCEEFF"/>
            <w:noWrap/>
            <w:tcMar>
              <w:top w:w="0" w:type="dxa"/>
              <w:left w:w="0" w:type="dxa"/>
              <w:bottom w:w="0" w:type="dxa"/>
              <w:right w:w="0" w:type="dxa"/>
            </w:tcMar>
            <w:vAlign w:val="bottom"/>
            <w:hideMark/>
          </w:tcPr>
          <w:p w14:paraId="5BAA3005"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2B011BCA"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6493E468" w14:textId="77777777" w:rsidR="00000000" w:rsidRDefault="00097612">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18AE4353"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70597CF3" w14:textId="77777777" w:rsidR="00000000" w:rsidRDefault="00097612">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14:paraId="341B6027" w14:textId="77777777" w:rsidR="00000000" w:rsidRDefault="00097612">
            <w:pPr>
              <w:pStyle w:val="a3"/>
              <w:spacing w:before="0" w:beforeAutospacing="0" w:after="0" w:afterAutospacing="0"/>
              <w:jc w:val="right"/>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194484F9" w14:textId="77777777" w:rsidR="00000000" w:rsidRDefault="00097612">
            <w:pPr>
              <w:pStyle w:val="a3"/>
              <w:spacing w:before="0" w:beforeAutospacing="0" w:after="0" w:afterAutospacing="0"/>
              <w:rPr>
                <w:sz w:val="20"/>
                <w:szCs w:val="20"/>
              </w:rPr>
            </w:pPr>
            <w:r>
              <w:rPr>
                <w:sz w:val="16"/>
                <w:szCs w:val="16"/>
              </w:rPr>
              <w:t>​</w:t>
            </w:r>
          </w:p>
        </w:tc>
      </w:tr>
      <w:tr w:rsidR="00000000" w14:paraId="15B44184" w14:textId="77777777">
        <w:trPr>
          <w:divId w:val="1082946914"/>
        </w:trPr>
        <w:tc>
          <w:tcPr>
            <w:tcW w:w="3448" w:type="pct"/>
            <w:tcMar>
              <w:top w:w="0" w:type="dxa"/>
              <w:left w:w="0" w:type="dxa"/>
              <w:bottom w:w="0" w:type="dxa"/>
              <w:right w:w="0" w:type="dxa"/>
            </w:tcMar>
            <w:hideMark/>
          </w:tcPr>
          <w:p w14:paraId="5218B178" w14:textId="77777777" w:rsidR="00000000" w:rsidRDefault="00097612">
            <w:pPr>
              <w:pStyle w:val="a3"/>
              <w:spacing w:before="0" w:beforeAutospacing="0" w:after="0" w:afterAutospacing="0"/>
              <w:rPr>
                <w:sz w:val="16"/>
                <w:szCs w:val="16"/>
              </w:rPr>
            </w:pPr>
            <w:r>
              <w:rPr>
                <w:sz w:val="16"/>
                <w:szCs w:val="16"/>
              </w:rPr>
              <w:t>Cash paid for interest</w:t>
            </w:r>
          </w:p>
        </w:tc>
        <w:tc>
          <w:tcPr>
            <w:tcW w:w="124" w:type="pct"/>
            <w:noWrap/>
            <w:tcMar>
              <w:top w:w="0" w:type="dxa"/>
              <w:left w:w="0" w:type="dxa"/>
              <w:bottom w:w="0" w:type="dxa"/>
              <w:right w:w="0" w:type="dxa"/>
            </w:tcMar>
            <w:vAlign w:val="bottom"/>
            <w:hideMark/>
          </w:tcPr>
          <w:p w14:paraId="185D226F"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47FECDFF" w14:textId="77777777" w:rsidR="00000000" w:rsidRDefault="00097612">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14:paraId="15318907" w14:textId="77777777" w:rsidR="00000000" w:rsidRDefault="00097612">
            <w:pPr>
              <w:pStyle w:val="a3"/>
              <w:spacing w:before="0" w:beforeAutospacing="0" w:after="0" w:afterAutospacing="0"/>
              <w:ind w:right="60"/>
              <w:jc w:val="right"/>
              <w:rPr>
                <w:sz w:val="16"/>
                <w:szCs w:val="16"/>
              </w:rPr>
            </w:pPr>
            <w:r>
              <w:rPr>
                <w:sz w:val="16"/>
                <w:szCs w:val="16"/>
              </w:rPr>
              <w:t>17,097</w:t>
            </w:r>
          </w:p>
        </w:tc>
        <w:tc>
          <w:tcPr>
            <w:tcW w:w="124" w:type="pct"/>
            <w:noWrap/>
            <w:tcMar>
              <w:top w:w="0" w:type="dxa"/>
              <w:left w:w="0" w:type="dxa"/>
              <w:bottom w:w="0" w:type="dxa"/>
              <w:right w:w="0" w:type="dxa"/>
            </w:tcMar>
            <w:vAlign w:val="bottom"/>
            <w:hideMark/>
          </w:tcPr>
          <w:p w14:paraId="28629FC5"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6A981451" w14:textId="77777777" w:rsidR="00000000" w:rsidRDefault="00097612">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14:paraId="675059C4" w14:textId="77777777" w:rsidR="00000000" w:rsidRDefault="00097612">
            <w:pPr>
              <w:pStyle w:val="a3"/>
              <w:spacing w:before="0" w:beforeAutospacing="0" w:after="0" w:afterAutospacing="0"/>
              <w:ind w:right="60"/>
              <w:jc w:val="right"/>
              <w:rPr>
                <w:sz w:val="16"/>
                <w:szCs w:val="16"/>
              </w:rPr>
            </w:pPr>
            <w:r>
              <w:rPr>
                <w:sz w:val="16"/>
                <w:szCs w:val="16"/>
              </w:rPr>
              <w:t>3,738</w:t>
            </w:r>
          </w:p>
        </w:tc>
        <w:tc>
          <w:tcPr>
            <w:tcW w:w="79" w:type="pct"/>
            <w:noWrap/>
            <w:tcMar>
              <w:top w:w="0" w:type="dxa"/>
              <w:left w:w="0" w:type="dxa"/>
              <w:bottom w:w="0" w:type="dxa"/>
              <w:right w:w="0" w:type="dxa"/>
            </w:tcMar>
            <w:vAlign w:val="bottom"/>
            <w:hideMark/>
          </w:tcPr>
          <w:p w14:paraId="10909517" w14:textId="77777777" w:rsidR="00000000" w:rsidRDefault="00097612">
            <w:pPr>
              <w:pStyle w:val="a3"/>
              <w:spacing w:before="0" w:beforeAutospacing="0" w:after="0" w:afterAutospacing="0"/>
              <w:rPr>
                <w:sz w:val="20"/>
                <w:szCs w:val="20"/>
              </w:rPr>
            </w:pPr>
            <w:r>
              <w:rPr>
                <w:sz w:val="16"/>
                <w:szCs w:val="16"/>
              </w:rPr>
              <w:t>​</w:t>
            </w:r>
          </w:p>
        </w:tc>
      </w:tr>
      <w:tr w:rsidR="00000000" w14:paraId="53B180DB" w14:textId="77777777">
        <w:trPr>
          <w:divId w:val="1082946914"/>
        </w:trPr>
        <w:tc>
          <w:tcPr>
            <w:tcW w:w="3448" w:type="pct"/>
            <w:shd w:val="clear" w:color="auto" w:fill="CCEEFF"/>
            <w:tcMar>
              <w:top w:w="0" w:type="dxa"/>
              <w:left w:w="0" w:type="dxa"/>
              <w:bottom w:w="0" w:type="dxa"/>
              <w:right w:w="0" w:type="dxa"/>
            </w:tcMar>
            <w:hideMark/>
          </w:tcPr>
          <w:p w14:paraId="3F42143C" w14:textId="77777777" w:rsidR="00000000" w:rsidRDefault="00097612">
            <w:pPr>
              <w:pStyle w:val="a3"/>
              <w:spacing w:before="0" w:beforeAutospacing="0" w:after="0" w:afterAutospacing="0"/>
              <w:rPr>
                <w:sz w:val="16"/>
                <w:szCs w:val="16"/>
              </w:rPr>
            </w:pPr>
            <w:r>
              <w:rPr>
                <w:sz w:val="16"/>
                <w:szCs w:val="16"/>
              </w:rPr>
              <w:t>Cash paid (received) for income taxes, net</w:t>
            </w:r>
          </w:p>
        </w:tc>
        <w:tc>
          <w:tcPr>
            <w:tcW w:w="124" w:type="pct"/>
            <w:shd w:val="clear" w:color="auto" w:fill="CCEEFF"/>
            <w:noWrap/>
            <w:tcMar>
              <w:top w:w="0" w:type="dxa"/>
              <w:left w:w="0" w:type="dxa"/>
              <w:bottom w:w="0" w:type="dxa"/>
              <w:right w:w="0" w:type="dxa"/>
            </w:tcMar>
            <w:vAlign w:val="bottom"/>
            <w:hideMark/>
          </w:tcPr>
          <w:p w14:paraId="650F0CE0"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0D6DC75E" w14:textId="77777777" w:rsidR="00000000" w:rsidRDefault="00097612">
            <w:pPr>
              <w:pStyle w:val="a3"/>
              <w:spacing w:before="0" w:beforeAutospacing="0" w:after="0" w:afterAutospacing="0"/>
              <w:jc w:val="center"/>
              <w:rPr>
                <w:sz w:val="16"/>
                <w:szCs w:val="16"/>
              </w:rPr>
            </w:pPr>
            <w:r>
              <w:rPr>
                <w:sz w:val="16"/>
                <w:szCs w:val="16"/>
              </w:rPr>
              <w:t>$</w:t>
            </w:r>
          </w:p>
        </w:tc>
        <w:tc>
          <w:tcPr>
            <w:tcW w:w="488" w:type="pct"/>
            <w:shd w:val="clear" w:color="auto" w:fill="CCEEFF"/>
            <w:noWrap/>
            <w:tcMar>
              <w:top w:w="0" w:type="dxa"/>
              <w:left w:w="0" w:type="dxa"/>
              <w:bottom w:w="0" w:type="dxa"/>
              <w:right w:w="0" w:type="dxa"/>
            </w:tcMar>
            <w:vAlign w:val="bottom"/>
            <w:hideMark/>
          </w:tcPr>
          <w:p w14:paraId="47861A65" w14:textId="77777777" w:rsidR="00000000" w:rsidRDefault="00097612">
            <w:pPr>
              <w:pStyle w:val="a3"/>
              <w:spacing w:before="0" w:beforeAutospacing="0" w:after="0" w:afterAutospacing="0"/>
              <w:ind w:right="60"/>
              <w:jc w:val="right"/>
              <w:rPr>
                <w:sz w:val="16"/>
                <w:szCs w:val="16"/>
              </w:rPr>
            </w:pPr>
            <w:r>
              <w:rPr>
                <w:sz w:val="16"/>
                <w:szCs w:val="16"/>
              </w:rPr>
              <w:t>22</w:t>
            </w:r>
          </w:p>
        </w:tc>
        <w:tc>
          <w:tcPr>
            <w:tcW w:w="124" w:type="pct"/>
            <w:shd w:val="clear" w:color="auto" w:fill="CCEEFF"/>
            <w:noWrap/>
            <w:tcMar>
              <w:top w:w="0" w:type="dxa"/>
              <w:left w:w="0" w:type="dxa"/>
              <w:bottom w:w="0" w:type="dxa"/>
              <w:right w:w="0" w:type="dxa"/>
            </w:tcMar>
            <w:vAlign w:val="bottom"/>
            <w:hideMark/>
          </w:tcPr>
          <w:p w14:paraId="7EAF65D6" w14:textId="77777777" w:rsidR="00000000" w:rsidRDefault="00097612">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14:paraId="29E2B815" w14:textId="77777777" w:rsidR="00000000" w:rsidRDefault="00097612">
            <w:pPr>
              <w:pStyle w:val="a3"/>
              <w:spacing w:before="0" w:beforeAutospacing="0" w:after="0" w:afterAutospacing="0"/>
              <w:jc w:val="center"/>
              <w:rPr>
                <w:sz w:val="16"/>
                <w:szCs w:val="16"/>
              </w:rPr>
            </w:pPr>
            <w:r>
              <w:rPr>
                <w:sz w:val="16"/>
                <w:szCs w:val="16"/>
              </w:rPr>
              <w:t>$</w:t>
            </w:r>
          </w:p>
        </w:tc>
        <w:tc>
          <w:tcPr>
            <w:tcW w:w="488" w:type="pct"/>
            <w:shd w:val="clear" w:color="auto" w:fill="CCEEFF"/>
            <w:noWrap/>
            <w:tcMar>
              <w:top w:w="0" w:type="dxa"/>
              <w:left w:w="0" w:type="dxa"/>
              <w:bottom w:w="0" w:type="dxa"/>
              <w:right w:w="0" w:type="dxa"/>
            </w:tcMar>
            <w:vAlign w:val="bottom"/>
            <w:hideMark/>
          </w:tcPr>
          <w:p w14:paraId="79BCC27C" w14:textId="77777777" w:rsidR="00000000" w:rsidRDefault="00097612">
            <w:pPr>
              <w:pStyle w:val="a3"/>
              <w:spacing w:before="0" w:beforeAutospacing="0" w:after="0" w:afterAutospacing="0"/>
              <w:jc w:val="right"/>
              <w:rPr>
                <w:sz w:val="16"/>
                <w:szCs w:val="16"/>
              </w:rPr>
            </w:pPr>
            <w:r>
              <w:rPr>
                <w:sz w:val="16"/>
                <w:szCs w:val="16"/>
              </w:rPr>
              <w:t>(5,027)</w:t>
            </w:r>
          </w:p>
        </w:tc>
        <w:tc>
          <w:tcPr>
            <w:tcW w:w="79" w:type="pct"/>
            <w:shd w:val="clear" w:color="auto" w:fill="CCEEFF"/>
            <w:noWrap/>
            <w:tcMar>
              <w:top w:w="0" w:type="dxa"/>
              <w:left w:w="0" w:type="dxa"/>
              <w:bottom w:w="0" w:type="dxa"/>
              <w:right w:w="0" w:type="dxa"/>
            </w:tcMar>
            <w:vAlign w:val="bottom"/>
            <w:hideMark/>
          </w:tcPr>
          <w:p w14:paraId="597E0C7A" w14:textId="77777777" w:rsidR="00000000" w:rsidRDefault="00097612">
            <w:pPr>
              <w:pStyle w:val="a3"/>
              <w:spacing w:before="0" w:beforeAutospacing="0" w:after="0" w:afterAutospacing="0"/>
              <w:rPr>
                <w:sz w:val="20"/>
                <w:szCs w:val="20"/>
              </w:rPr>
            </w:pPr>
            <w:r>
              <w:rPr>
                <w:sz w:val="16"/>
                <w:szCs w:val="16"/>
              </w:rPr>
              <w:t>​</w:t>
            </w:r>
          </w:p>
        </w:tc>
      </w:tr>
      <w:tr w:rsidR="00000000" w14:paraId="1CED8644" w14:textId="77777777">
        <w:trPr>
          <w:divId w:val="1082946914"/>
        </w:trPr>
        <w:tc>
          <w:tcPr>
            <w:tcW w:w="3448" w:type="pct"/>
            <w:tcMar>
              <w:top w:w="0" w:type="dxa"/>
              <w:left w:w="0" w:type="dxa"/>
              <w:bottom w:w="0" w:type="dxa"/>
              <w:right w:w="0" w:type="dxa"/>
            </w:tcMar>
            <w:hideMark/>
          </w:tcPr>
          <w:p w14:paraId="5BA937E9" w14:textId="77777777" w:rsidR="00000000" w:rsidRDefault="00097612">
            <w:pPr>
              <w:pStyle w:val="a3"/>
              <w:spacing w:before="0" w:beforeAutospacing="0" w:after="0" w:afterAutospacing="0"/>
              <w:rPr>
                <w:sz w:val="16"/>
                <w:szCs w:val="16"/>
              </w:rPr>
            </w:pPr>
            <w:r>
              <w:rPr>
                <w:sz w:val="16"/>
                <w:szCs w:val="16"/>
              </w:rPr>
              <w:t>Right-of-use assets obtained in exchange for lease obligations (1)</w:t>
            </w:r>
          </w:p>
        </w:tc>
        <w:tc>
          <w:tcPr>
            <w:tcW w:w="124" w:type="pct"/>
            <w:noWrap/>
            <w:tcMar>
              <w:top w:w="0" w:type="dxa"/>
              <w:left w:w="0" w:type="dxa"/>
              <w:bottom w:w="0" w:type="dxa"/>
              <w:right w:w="0" w:type="dxa"/>
            </w:tcMar>
            <w:vAlign w:val="bottom"/>
            <w:hideMark/>
          </w:tcPr>
          <w:p w14:paraId="05D2C422"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01BB01B4" w14:textId="77777777" w:rsidR="00000000" w:rsidRDefault="00097612">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14:paraId="7E3D1673" w14:textId="77777777" w:rsidR="00000000" w:rsidRDefault="00097612">
            <w:pPr>
              <w:pStyle w:val="a3"/>
              <w:spacing w:before="0" w:beforeAutospacing="0" w:after="0" w:afterAutospacing="0"/>
              <w:ind w:right="60"/>
              <w:jc w:val="right"/>
              <w:rPr>
                <w:sz w:val="16"/>
                <w:szCs w:val="16"/>
              </w:rPr>
            </w:pPr>
            <w:r>
              <w:rPr>
                <w:sz w:val="16"/>
                <w:szCs w:val="16"/>
              </w:rPr>
              <w:t>49,847</w:t>
            </w:r>
          </w:p>
        </w:tc>
        <w:tc>
          <w:tcPr>
            <w:tcW w:w="124" w:type="pct"/>
            <w:noWrap/>
            <w:tcMar>
              <w:top w:w="0" w:type="dxa"/>
              <w:left w:w="0" w:type="dxa"/>
              <w:bottom w:w="0" w:type="dxa"/>
              <w:right w:w="0" w:type="dxa"/>
            </w:tcMar>
            <w:vAlign w:val="bottom"/>
            <w:hideMark/>
          </w:tcPr>
          <w:p w14:paraId="08934599" w14:textId="77777777" w:rsidR="00000000" w:rsidRDefault="00097612">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14:paraId="14E1C6E4" w14:textId="77777777" w:rsidR="00000000" w:rsidRDefault="00097612">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14:paraId="3497D72B" w14:textId="77777777" w:rsidR="00000000" w:rsidRDefault="00097612">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40266B41" w14:textId="77777777" w:rsidR="00000000" w:rsidRDefault="00097612">
            <w:pPr>
              <w:pStyle w:val="a3"/>
              <w:spacing w:before="0" w:beforeAutospacing="0" w:after="0" w:afterAutospacing="0"/>
              <w:rPr>
                <w:sz w:val="20"/>
                <w:szCs w:val="20"/>
              </w:rPr>
            </w:pPr>
            <w:r>
              <w:rPr>
                <w:sz w:val="16"/>
                <w:szCs w:val="16"/>
              </w:rPr>
              <w:t>​</w:t>
            </w:r>
          </w:p>
        </w:tc>
      </w:tr>
    </w:tbl>
    <w:p w14:paraId="5F449686" w14:textId="77777777" w:rsidR="00000000" w:rsidRDefault="00097612">
      <w:pPr>
        <w:divId w:val="1416324785"/>
        <w:rPr>
          <w:rFonts w:eastAsia="Times New Roman"/>
          <w:sz w:val="20"/>
          <w:szCs w:val="20"/>
        </w:rPr>
      </w:pPr>
      <w:r>
        <w:rPr>
          <w:rFonts w:eastAsia="Times New Roman"/>
          <w:sz w:val="20"/>
          <w:szCs w:val="20"/>
        </w:rPr>
        <w:t>(1</w:t>
      </w:r>
      <w:r>
        <w:rPr>
          <w:rFonts w:eastAsia="Times New Roman"/>
          <w:sz w:val="20"/>
          <w:szCs w:val="20"/>
        </w:rPr>
        <w:t>)</w:t>
      </w:r>
      <w:r>
        <w:rPr>
          <w:rFonts w:eastAsia="Times New Roman"/>
          <w:sz w:val="20"/>
          <w:szCs w:val="20"/>
        </w:rPr>
        <w:t>Amounts for the nine months ended September 30, 2019 include the transition adjustment for the adoption of ASC 842.</w:t>
      </w:r>
    </w:p>
    <w:p w14:paraId="654F78E1" w14:textId="77777777" w:rsidR="00000000" w:rsidRDefault="00097612">
      <w:pPr>
        <w:pStyle w:val="a3"/>
        <w:spacing w:before="0" w:beforeAutospacing="0" w:after="0" w:afterAutospacing="0"/>
        <w:jc w:val="center"/>
        <w:divId w:val="1082946914"/>
        <w:rPr>
          <w:sz w:val="20"/>
          <w:szCs w:val="20"/>
        </w:rPr>
      </w:pPr>
      <w:r>
        <w:rPr>
          <w:i/>
          <w:iCs/>
          <w:sz w:val="20"/>
          <w:szCs w:val="20"/>
        </w:rPr>
        <w:t>See accompanying notes to condensed consolidated financial statements</w:t>
      </w:r>
      <w:r>
        <w:rPr>
          <w:sz w:val="20"/>
          <w:szCs w:val="20"/>
        </w:rPr>
        <w:t>.</w:t>
      </w:r>
    </w:p>
    <w:p w14:paraId="34DD46A7" w14:textId="77777777" w:rsidR="00000000" w:rsidRDefault="00097612">
      <w:pPr>
        <w:pStyle w:val="a3"/>
        <w:spacing w:before="0" w:beforeAutospacing="0" w:after="0" w:afterAutospacing="0"/>
        <w:divId w:val="1082946914"/>
        <w:rPr>
          <w:sz w:val="20"/>
          <w:szCs w:val="20"/>
        </w:rPr>
      </w:pPr>
      <w:r>
        <w:rPr>
          <w:sz w:val="20"/>
          <w:szCs w:val="20"/>
        </w:rPr>
        <w:t>​</w:t>
      </w:r>
    </w:p>
    <w:p w14:paraId="27EC3243" w14:textId="77777777" w:rsidR="00000000" w:rsidRDefault="00097612">
      <w:pPr>
        <w:pStyle w:val="a3"/>
        <w:spacing w:before="360" w:beforeAutospacing="0" w:after="0" w:afterAutospacing="0"/>
        <w:jc w:val="center"/>
        <w:divId w:val="1263104582"/>
        <w:rPr>
          <w:sz w:val="20"/>
          <w:szCs w:val="20"/>
        </w:rPr>
      </w:pPr>
      <w:r>
        <w:rPr>
          <w:sz w:val="20"/>
          <w:szCs w:val="20"/>
        </w:rPr>
        <w:t>6</w:t>
      </w:r>
    </w:p>
    <w:p w14:paraId="2B50F3A8" w14:textId="77777777" w:rsidR="00000000" w:rsidRDefault="00097612">
      <w:pPr>
        <w:pStyle w:val="a3"/>
        <w:spacing w:before="0" w:beforeAutospacing="0" w:after="600" w:afterAutospacing="0"/>
        <w:divId w:val="714475580"/>
        <w:rPr>
          <w:sz w:val="20"/>
          <w:szCs w:val="20"/>
        </w:rPr>
      </w:pPr>
      <w:hyperlink w:anchor="TOC" w:history="1">
        <w:r>
          <w:rPr>
            <w:rStyle w:val="a4"/>
            <w:sz w:val="20"/>
            <w:szCs w:val="20"/>
          </w:rPr>
          <w:t>Table of Contents</w:t>
        </w:r>
      </w:hyperlink>
    </w:p>
    <w:p w14:paraId="5BA03A2A" w14:textId="77777777" w:rsidR="00000000" w:rsidRDefault="00097612">
      <w:pPr>
        <w:pStyle w:val="a3"/>
        <w:spacing w:before="0" w:beforeAutospacing="0" w:after="0" w:afterAutospacing="0"/>
        <w:jc w:val="center"/>
        <w:divId w:val="1711296745"/>
        <w:rPr>
          <w:sz w:val="20"/>
          <w:szCs w:val="20"/>
        </w:rPr>
      </w:pPr>
      <w:r>
        <w:rPr>
          <w:b/>
          <w:bCs/>
          <w:sz w:val="20"/>
          <w:szCs w:val="20"/>
        </w:rPr>
        <w:t>THERAVANCE BIOPHARMA, INC.</w:t>
      </w:r>
    </w:p>
    <w:p w14:paraId="2CE437B3" w14:textId="77777777" w:rsidR="00000000" w:rsidRDefault="00097612">
      <w:pPr>
        <w:pStyle w:val="a3"/>
        <w:spacing w:before="0" w:beforeAutospacing="0" w:after="0" w:afterAutospacing="0"/>
        <w:jc w:val="center"/>
        <w:divId w:val="1711296745"/>
        <w:rPr>
          <w:sz w:val="20"/>
          <w:szCs w:val="20"/>
        </w:rPr>
      </w:pPr>
      <w:r>
        <w:rPr>
          <w:b/>
          <w:bCs/>
          <w:sz w:val="20"/>
          <w:szCs w:val="20"/>
        </w:rPr>
        <w:t>NOTES TO CONDENSED CONSOLIDATED FINANCIAL STATEMENTS</w:t>
      </w:r>
    </w:p>
    <w:p w14:paraId="4A398AB8" w14:textId="77777777" w:rsidR="00000000" w:rsidRDefault="00097612">
      <w:pPr>
        <w:pStyle w:val="a3"/>
        <w:spacing w:before="0" w:beforeAutospacing="0" w:after="0" w:afterAutospacing="0"/>
        <w:jc w:val="center"/>
        <w:divId w:val="1711296745"/>
        <w:rPr>
          <w:sz w:val="20"/>
          <w:szCs w:val="20"/>
        </w:rPr>
      </w:pPr>
      <w:r>
        <w:rPr>
          <w:b/>
          <w:bCs/>
          <w:sz w:val="20"/>
          <w:szCs w:val="20"/>
        </w:rPr>
        <w:t>(Unaudited)</w:t>
      </w:r>
    </w:p>
    <w:p w14:paraId="1C8B93A1" w14:textId="77777777" w:rsidR="00000000" w:rsidRDefault="00097612">
      <w:pPr>
        <w:pStyle w:val="a3"/>
        <w:spacing w:before="0" w:beforeAutospacing="0" w:after="0" w:afterAutospacing="0"/>
        <w:jc w:val="center"/>
        <w:divId w:val="1711296745"/>
        <w:rPr>
          <w:sz w:val="20"/>
          <w:szCs w:val="20"/>
        </w:rPr>
      </w:pPr>
      <w:r>
        <w:rPr>
          <w:sz w:val="20"/>
          <w:szCs w:val="20"/>
        </w:rPr>
        <w:t>​</w:t>
      </w:r>
    </w:p>
    <w:p w14:paraId="31AB58B6" w14:textId="77777777" w:rsidR="00000000" w:rsidRDefault="00097612">
      <w:pPr>
        <w:pStyle w:val="a3"/>
        <w:spacing w:before="0" w:beforeAutospacing="0" w:after="0" w:afterAutospacing="0"/>
        <w:divId w:val="1711296745"/>
        <w:rPr>
          <w:sz w:val="20"/>
          <w:szCs w:val="20"/>
        </w:rPr>
      </w:pPr>
      <w:r>
        <w:rPr>
          <w:sz w:val="20"/>
          <w:szCs w:val="20"/>
        </w:rPr>
        <w:t>​</w:t>
      </w:r>
    </w:p>
    <w:p w14:paraId="15771410" w14:textId="77777777" w:rsidR="00000000" w:rsidRDefault="00097612">
      <w:pPr>
        <w:pStyle w:val="a3"/>
        <w:spacing w:before="0" w:beforeAutospacing="0" w:after="0" w:afterAutospacing="0"/>
        <w:divId w:val="1711296745"/>
        <w:rPr>
          <w:sz w:val="20"/>
          <w:szCs w:val="20"/>
        </w:rPr>
      </w:pPr>
      <w:r>
        <w:rPr>
          <w:b/>
          <w:bCs/>
          <w:sz w:val="20"/>
          <w:szCs w:val="20"/>
        </w:rPr>
        <w:t>1. Organization and Summary of Significant Accounting Policies</w:t>
      </w:r>
    </w:p>
    <w:p w14:paraId="14496A67" w14:textId="77777777" w:rsidR="00000000" w:rsidRDefault="00097612">
      <w:pPr>
        <w:pStyle w:val="a3"/>
        <w:spacing w:before="0" w:beforeAutospacing="0" w:after="0" w:afterAutospacing="0"/>
        <w:divId w:val="1711296745"/>
        <w:rPr>
          <w:sz w:val="20"/>
          <w:szCs w:val="20"/>
        </w:rPr>
      </w:pPr>
      <w:r>
        <w:rPr>
          <w:sz w:val="10"/>
          <w:szCs w:val="10"/>
        </w:rPr>
        <w:t>​</w:t>
      </w:r>
    </w:p>
    <w:p w14:paraId="5F83BAEC" w14:textId="77777777" w:rsidR="00000000" w:rsidRDefault="00097612">
      <w:pPr>
        <w:pStyle w:val="a3"/>
        <w:spacing w:before="0" w:beforeAutospacing="0" w:after="0" w:afterAutospacing="0"/>
        <w:ind w:firstLine="720"/>
        <w:divId w:val="1711296745"/>
        <w:rPr>
          <w:sz w:val="20"/>
          <w:szCs w:val="20"/>
        </w:rPr>
      </w:pPr>
      <w:r>
        <w:rPr>
          <w:sz w:val="20"/>
          <w:szCs w:val="20"/>
        </w:rPr>
        <w:t>Theravance Biopharma, Inc. (“Theravance Biopharma” or the “Company”) is a diversified biopharma</w:t>
      </w:r>
      <w:r>
        <w:rPr>
          <w:sz w:val="20"/>
          <w:szCs w:val="20"/>
        </w:rPr>
        <w:t>ceutical company primarily focused on the discovery, development and commercialization of organ-selective medicines. The Company’s purpose is to create transformational medicines to improve the lives of patients suffering from serious illnesses. The Compan</w:t>
      </w:r>
      <w:r>
        <w:rPr>
          <w:sz w:val="20"/>
          <w:szCs w:val="20"/>
        </w:rPr>
        <w:t>y’s research is focused in the areas of inflammation and immunology.</w:t>
      </w:r>
    </w:p>
    <w:p w14:paraId="5BA6D0D7" w14:textId="77777777" w:rsidR="00000000" w:rsidRDefault="00097612">
      <w:pPr>
        <w:pStyle w:val="a3"/>
        <w:spacing w:before="0" w:beforeAutospacing="0" w:after="0" w:afterAutospacing="0"/>
        <w:ind w:firstLine="720"/>
        <w:divId w:val="1711296745"/>
        <w:rPr>
          <w:sz w:val="20"/>
          <w:szCs w:val="20"/>
        </w:rPr>
      </w:pPr>
      <w:r>
        <w:rPr>
          <w:sz w:val="20"/>
          <w:szCs w:val="20"/>
        </w:rPr>
        <w:t>​</w:t>
      </w:r>
    </w:p>
    <w:p w14:paraId="29A6B188" w14:textId="77777777" w:rsidR="00000000" w:rsidRDefault="00097612">
      <w:pPr>
        <w:pStyle w:val="a3"/>
        <w:spacing w:before="0" w:beforeAutospacing="0" w:after="0" w:afterAutospacing="0"/>
        <w:divId w:val="1711296745"/>
        <w:rPr>
          <w:sz w:val="20"/>
          <w:szCs w:val="20"/>
        </w:rPr>
      </w:pPr>
      <w:r>
        <w:rPr>
          <w:b/>
          <w:bCs/>
          <w:i/>
          <w:iCs/>
          <w:sz w:val="20"/>
          <w:szCs w:val="20"/>
        </w:rPr>
        <w:t>Basis of Presentation</w:t>
      </w:r>
    </w:p>
    <w:p w14:paraId="7AF577AF" w14:textId="77777777" w:rsidR="00000000" w:rsidRDefault="00097612">
      <w:pPr>
        <w:pStyle w:val="a3"/>
        <w:spacing w:before="0" w:beforeAutospacing="0" w:after="0" w:afterAutospacing="0"/>
        <w:divId w:val="1711296745"/>
        <w:rPr>
          <w:sz w:val="20"/>
          <w:szCs w:val="20"/>
        </w:rPr>
      </w:pPr>
      <w:r>
        <w:rPr>
          <w:sz w:val="10"/>
          <w:szCs w:val="10"/>
        </w:rPr>
        <w:t>​</w:t>
      </w:r>
    </w:p>
    <w:p w14:paraId="35FD6724" w14:textId="77777777" w:rsidR="00000000" w:rsidRDefault="00097612">
      <w:pPr>
        <w:pStyle w:val="a3"/>
        <w:spacing w:before="0" w:beforeAutospacing="0" w:after="0" w:afterAutospacing="0"/>
        <w:ind w:firstLine="720"/>
        <w:divId w:val="1711296745"/>
        <w:rPr>
          <w:sz w:val="20"/>
          <w:szCs w:val="20"/>
        </w:rPr>
      </w:pPr>
      <w:r>
        <w:rPr>
          <w:sz w:val="20"/>
          <w:szCs w:val="20"/>
        </w:rPr>
        <w:t>The Company’s condensed consolidated financial information as of September 30, 2019, and the three and nine months ended September 30, 2019 and 2018 is unaudited</w:t>
      </w:r>
      <w:r>
        <w:rPr>
          <w:sz w:val="20"/>
          <w:szCs w:val="20"/>
        </w:rPr>
        <w:t xml:space="preserve"> but includes all adjustments (consisting only of normal recurring adjustments), which are considered necessary for a fair presentation of the financial position at such date and of the operating results and cash flows for those periods, and have been prep</w:t>
      </w:r>
      <w:r>
        <w:rPr>
          <w:sz w:val="20"/>
          <w:szCs w:val="20"/>
        </w:rPr>
        <w:t>ared in accordance with United States generally accepted accounting principles (“GAAP”) for interim financial information. Accordingly, they do not include all of the information and notes required by GAAP for complete financial statements. The accompanyin</w:t>
      </w:r>
      <w:r>
        <w:rPr>
          <w:sz w:val="20"/>
          <w:szCs w:val="20"/>
        </w:rPr>
        <w:t>g unaudited condensed consolidated financial statements should be read in conjunction with the audited consolidated December 31, 2018 financial statements and notes thereto included in the Company’s Annual Report on Form 10-K for the year ended December 31</w:t>
      </w:r>
      <w:r>
        <w:rPr>
          <w:sz w:val="20"/>
          <w:szCs w:val="20"/>
        </w:rPr>
        <w:t>, 2018, filed with the Securities and Exchange Commission (“SEC”) on February 28, 2019.</w:t>
      </w:r>
    </w:p>
    <w:p w14:paraId="556A9F93" w14:textId="77777777" w:rsidR="00000000" w:rsidRDefault="00097612">
      <w:pPr>
        <w:pStyle w:val="a3"/>
        <w:spacing w:before="0" w:beforeAutospacing="0" w:after="0" w:afterAutospacing="0"/>
        <w:ind w:firstLine="720"/>
        <w:divId w:val="1711296745"/>
        <w:rPr>
          <w:sz w:val="20"/>
          <w:szCs w:val="20"/>
        </w:rPr>
      </w:pPr>
      <w:r>
        <w:rPr>
          <w:sz w:val="20"/>
          <w:szCs w:val="20"/>
        </w:rPr>
        <w:t>​</w:t>
      </w:r>
    </w:p>
    <w:p w14:paraId="7678BFE3" w14:textId="77777777" w:rsidR="00000000" w:rsidRDefault="00097612">
      <w:pPr>
        <w:pStyle w:val="a3"/>
        <w:spacing w:before="0" w:beforeAutospacing="0" w:after="0" w:afterAutospacing="0"/>
        <w:ind w:firstLine="720"/>
        <w:divId w:val="1711296745"/>
        <w:rPr>
          <w:sz w:val="20"/>
          <w:szCs w:val="20"/>
        </w:rPr>
      </w:pPr>
      <w:r>
        <w:rPr>
          <w:rFonts w:ascii="inherit" w:hAnsi="inherit"/>
          <w:sz w:val="20"/>
          <w:szCs w:val="20"/>
        </w:rPr>
        <w:t>The results for the three and nine months ended September 30, 2019 are not necessarily indicative of the results to be expected for the year ending December 31, 2019,</w:t>
      </w:r>
      <w:r>
        <w:rPr>
          <w:rFonts w:ascii="inherit" w:hAnsi="inherit"/>
          <w:sz w:val="20"/>
          <w:szCs w:val="20"/>
        </w:rPr>
        <w:t xml:space="preserve"> or for any other interim period or for any future period. These condensed consolidated financial statements include the accounts of the Company and its subsidiaries, and intercompany transactions and balances have been eliminated.</w:t>
      </w:r>
    </w:p>
    <w:p w14:paraId="1166607A" w14:textId="77777777" w:rsidR="00000000" w:rsidRDefault="00097612">
      <w:pPr>
        <w:pStyle w:val="a3"/>
        <w:spacing w:before="0" w:beforeAutospacing="0" w:after="0" w:afterAutospacing="0"/>
        <w:ind w:firstLine="720"/>
        <w:divId w:val="1711296745"/>
        <w:rPr>
          <w:sz w:val="20"/>
          <w:szCs w:val="20"/>
        </w:rPr>
      </w:pPr>
      <w:r>
        <w:rPr>
          <w:sz w:val="20"/>
          <w:szCs w:val="20"/>
        </w:rPr>
        <w:t>​</w:t>
      </w:r>
    </w:p>
    <w:p w14:paraId="1F8FE949" w14:textId="77777777" w:rsidR="00000000" w:rsidRDefault="00097612">
      <w:pPr>
        <w:pStyle w:val="a3"/>
        <w:spacing w:before="0" w:beforeAutospacing="0" w:after="0" w:afterAutospacing="0"/>
        <w:divId w:val="1711296745"/>
        <w:rPr>
          <w:sz w:val="20"/>
          <w:szCs w:val="20"/>
        </w:rPr>
      </w:pPr>
      <w:r>
        <w:rPr>
          <w:rFonts w:ascii="inherit" w:hAnsi="inherit"/>
          <w:b/>
          <w:bCs/>
          <w:i/>
          <w:iCs/>
          <w:sz w:val="20"/>
          <w:szCs w:val="20"/>
        </w:rPr>
        <w:t>Use of Estimates</w:t>
      </w:r>
    </w:p>
    <w:p w14:paraId="6EF55B80" w14:textId="77777777" w:rsidR="00000000" w:rsidRDefault="00097612">
      <w:pPr>
        <w:pStyle w:val="a3"/>
        <w:spacing w:before="0" w:beforeAutospacing="0" w:after="0" w:afterAutospacing="0"/>
        <w:divId w:val="1711296745"/>
        <w:rPr>
          <w:sz w:val="20"/>
          <w:szCs w:val="20"/>
        </w:rPr>
      </w:pPr>
      <w:r>
        <w:rPr>
          <w:sz w:val="10"/>
          <w:szCs w:val="10"/>
        </w:rPr>
        <w:t>​</w:t>
      </w:r>
    </w:p>
    <w:p w14:paraId="55C4305D" w14:textId="77777777" w:rsidR="00000000" w:rsidRDefault="00097612">
      <w:pPr>
        <w:pStyle w:val="a3"/>
        <w:spacing w:before="0" w:beforeAutospacing="0" w:after="0" w:afterAutospacing="0"/>
        <w:ind w:firstLine="720"/>
        <w:divId w:val="1711296745"/>
        <w:rPr>
          <w:sz w:val="20"/>
          <w:szCs w:val="20"/>
        </w:rPr>
      </w:pPr>
      <w:r>
        <w:rPr>
          <w:rFonts w:ascii="inherit" w:hAnsi="inherit"/>
          <w:sz w:val="20"/>
          <w:szCs w:val="20"/>
        </w:rPr>
        <w:t>The preparation of financial statements in conformity with GAAP requires management to make estimates and assumptions that affect the reported amounts of assets, liabilities, revenues and expenses, and related disclosures in the condense</w:t>
      </w:r>
      <w:r>
        <w:rPr>
          <w:rFonts w:ascii="inherit" w:hAnsi="inherit"/>
          <w:sz w:val="20"/>
          <w:szCs w:val="20"/>
        </w:rPr>
        <w:t>d consolidated financial statements and accompanying notes. Management bases its estimates on historical experience and on assumptions believed to be reasonable under the circumstances. Actual results could differ materially from those estimates.</w:t>
      </w:r>
    </w:p>
    <w:p w14:paraId="62804B28" w14:textId="77777777" w:rsidR="00000000" w:rsidRDefault="00097612">
      <w:pPr>
        <w:pStyle w:val="a3"/>
        <w:spacing w:before="0" w:beforeAutospacing="0" w:after="0" w:afterAutospacing="0"/>
        <w:divId w:val="1711296745"/>
        <w:rPr>
          <w:sz w:val="20"/>
          <w:szCs w:val="20"/>
        </w:rPr>
      </w:pPr>
      <w:r>
        <w:rPr>
          <w:sz w:val="20"/>
          <w:szCs w:val="20"/>
        </w:rPr>
        <w:t>​</w:t>
      </w:r>
    </w:p>
    <w:p w14:paraId="6ED02288" w14:textId="77777777" w:rsidR="00000000" w:rsidRDefault="00097612">
      <w:pPr>
        <w:pStyle w:val="a3"/>
        <w:spacing w:before="0" w:beforeAutospacing="0" w:after="0" w:afterAutospacing="0"/>
        <w:divId w:val="1711296745"/>
        <w:rPr>
          <w:sz w:val="20"/>
          <w:szCs w:val="20"/>
        </w:rPr>
      </w:pPr>
      <w:r>
        <w:rPr>
          <w:rFonts w:ascii="inherit" w:hAnsi="inherit"/>
          <w:b/>
          <w:bCs/>
          <w:i/>
          <w:iCs/>
          <w:sz w:val="20"/>
          <w:szCs w:val="20"/>
        </w:rPr>
        <w:t>Significant Accounting Policies</w:t>
      </w:r>
    </w:p>
    <w:p w14:paraId="41C9B5EA" w14:textId="77777777" w:rsidR="00000000" w:rsidRDefault="00097612">
      <w:pPr>
        <w:pStyle w:val="a3"/>
        <w:spacing w:before="0" w:beforeAutospacing="0" w:after="0" w:afterAutospacing="0"/>
        <w:divId w:val="1711296745"/>
        <w:rPr>
          <w:sz w:val="20"/>
          <w:szCs w:val="20"/>
        </w:rPr>
      </w:pPr>
      <w:r>
        <w:rPr>
          <w:rFonts w:ascii="inherit" w:hAnsi="inherit"/>
          <w:sz w:val="10"/>
          <w:szCs w:val="10"/>
        </w:rPr>
        <w:t>​</w:t>
      </w:r>
    </w:p>
    <w:p w14:paraId="7254AB3F" w14:textId="77777777" w:rsidR="00000000" w:rsidRDefault="00097612">
      <w:pPr>
        <w:pStyle w:val="a3"/>
        <w:spacing w:before="0" w:beforeAutospacing="0" w:after="0" w:afterAutospacing="0"/>
        <w:ind w:firstLine="720"/>
        <w:divId w:val="1711296745"/>
        <w:rPr>
          <w:sz w:val="20"/>
          <w:szCs w:val="20"/>
        </w:rPr>
      </w:pPr>
      <w:r>
        <w:rPr>
          <w:rFonts w:ascii="inherit" w:hAnsi="inherit"/>
          <w:sz w:val="20"/>
          <w:szCs w:val="20"/>
        </w:rPr>
        <w:t xml:space="preserve">Other than the recently adopted accounting pronouncements below, there have been no material revisions in the Company’s significant accounting policies described in Note 1 to the consolidated financial statements included </w:t>
      </w:r>
      <w:r>
        <w:rPr>
          <w:rFonts w:ascii="inherit" w:hAnsi="inherit"/>
          <w:sz w:val="20"/>
          <w:szCs w:val="20"/>
        </w:rPr>
        <w:t>in its Annual Report on Form 10-K for the year ended December 31, 2018.</w:t>
      </w:r>
    </w:p>
    <w:p w14:paraId="353A768A" w14:textId="77777777" w:rsidR="00000000" w:rsidRDefault="00097612">
      <w:pPr>
        <w:pStyle w:val="a3"/>
        <w:spacing w:before="0" w:beforeAutospacing="0" w:after="0" w:afterAutospacing="0"/>
        <w:divId w:val="1711296745"/>
        <w:rPr>
          <w:sz w:val="20"/>
          <w:szCs w:val="20"/>
        </w:rPr>
      </w:pPr>
      <w:r>
        <w:rPr>
          <w:rFonts w:ascii="inherit" w:hAnsi="inherit"/>
          <w:sz w:val="20"/>
          <w:szCs w:val="20"/>
        </w:rPr>
        <w:t>​</w:t>
      </w:r>
    </w:p>
    <w:p w14:paraId="1EE26048" w14:textId="77777777" w:rsidR="00000000" w:rsidRDefault="00097612">
      <w:pPr>
        <w:pStyle w:val="a3"/>
        <w:spacing w:before="0" w:beforeAutospacing="0" w:after="0" w:afterAutospacing="0"/>
        <w:divId w:val="1711296745"/>
        <w:rPr>
          <w:sz w:val="20"/>
          <w:szCs w:val="20"/>
        </w:rPr>
      </w:pPr>
      <w:r>
        <w:rPr>
          <w:b/>
          <w:bCs/>
          <w:i/>
          <w:iCs/>
          <w:sz w:val="20"/>
          <w:szCs w:val="20"/>
        </w:rPr>
        <w:t>Recently Adopted Accounting Pronouncements</w:t>
      </w:r>
    </w:p>
    <w:p w14:paraId="6D945CF5" w14:textId="77777777" w:rsidR="00000000" w:rsidRDefault="00097612">
      <w:pPr>
        <w:pStyle w:val="a3"/>
        <w:spacing w:before="0" w:beforeAutospacing="0" w:after="0" w:afterAutospacing="0"/>
        <w:divId w:val="1711296745"/>
        <w:rPr>
          <w:sz w:val="20"/>
          <w:szCs w:val="20"/>
        </w:rPr>
      </w:pPr>
      <w:r>
        <w:rPr>
          <w:sz w:val="10"/>
          <w:szCs w:val="10"/>
        </w:rPr>
        <w:t>​</w:t>
      </w:r>
    </w:p>
    <w:p w14:paraId="6FBF02AF" w14:textId="77777777" w:rsidR="00000000" w:rsidRDefault="00097612">
      <w:pPr>
        <w:pStyle w:val="a3"/>
        <w:spacing w:before="0" w:beforeAutospacing="0" w:after="0" w:afterAutospacing="0"/>
        <w:ind w:firstLine="720"/>
        <w:divId w:val="1711296745"/>
        <w:rPr>
          <w:sz w:val="20"/>
          <w:szCs w:val="20"/>
        </w:rPr>
      </w:pPr>
      <w:r>
        <w:rPr>
          <w:sz w:val="20"/>
          <w:szCs w:val="20"/>
        </w:rPr>
        <w:t xml:space="preserve">Effective January 1, 2019, the Company adopted Accounting Standards Update (“ASU”) 2016-02, </w:t>
      </w:r>
      <w:r>
        <w:rPr>
          <w:i/>
          <w:iCs/>
          <w:sz w:val="20"/>
          <w:szCs w:val="20"/>
        </w:rPr>
        <w:t>Leases</w:t>
      </w:r>
      <w:r>
        <w:rPr>
          <w:sz w:val="20"/>
          <w:szCs w:val="20"/>
        </w:rPr>
        <w:t xml:space="preserve"> (</w:t>
      </w:r>
      <w:r>
        <w:rPr>
          <w:i/>
          <w:iCs/>
          <w:sz w:val="20"/>
          <w:szCs w:val="20"/>
        </w:rPr>
        <w:t>Topic 842</w:t>
      </w:r>
      <w:r>
        <w:rPr>
          <w:sz w:val="20"/>
          <w:szCs w:val="20"/>
        </w:rPr>
        <w:t xml:space="preserve">) (“ASU 2016-02”) under the </w:t>
      </w:r>
      <w:r>
        <w:rPr>
          <w:sz w:val="20"/>
          <w:szCs w:val="20"/>
        </w:rPr>
        <w:t>required modified retrospective approach. ASU 2016-02 was aimed at making leasing activities more transparent and comparable, and requires leases with terms greater than one year to be recognized by lessees on their balance sheet as a right-of-use asset an</w:t>
      </w:r>
      <w:r>
        <w:rPr>
          <w:sz w:val="20"/>
          <w:szCs w:val="20"/>
        </w:rPr>
        <w:t xml:space="preserve">d corresponding lease liability. </w:t>
      </w:r>
    </w:p>
    <w:p w14:paraId="0DD6F222" w14:textId="77777777" w:rsidR="00000000" w:rsidRDefault="00097612">
      <w:pPr>
        <w:pStyle w:val="a3"/>
        <w:spacing w:before="0" w:beforeAutospacing="0" w:after="0" w:afterAutospacing="0"/>
        <w:ind w:firstLine="720"/>
        <w:divId w:val="1711296745"/>
        <w:rPr>
          <w:sz w:val="20"/>
          <w:szCs w:val="20"/>
        </w:rPr>
      </w:pPr>
      <w:r>
        <w:rPr>
          <w:sz w:val="20"/>
          <w:szCs w:val="20"/>
        </w:rPr>
        <w:t>​</w:t>
      </w:r>
    </w:p>
    <w:p w14:paraId="0A13ADE3" w14:textId="77777777" w:rsidR="00000000" w:rsidRDefault="00097612">
      <w:pPr>
        <w:pStyle w:val="a3"/>
        <w:spacing w:before="0" w:beforeAutospacing="0" w:after="0" w:afterAutospacing="0"/>
        <w:ind w:firstLine="720"/>
        <w:divId w:val="1711296745"/>
        <w:rPr>
          <w:sz w:val="20"/>
          <w:szCs w:val="20"/>
        </w:rPr>
      </w:pPr>
      <w:r>
        <w:rPr>
          <w:sz w:val="20"/>
          <w:szCs w:val="20"/>
        </w:rPr>
        <w:t>The Company elected the optional transition method to initially account for the impact of the adoption with a cumulative adjustment to accumulated deficit, if any, on the effective date of ASU 2016-02 of January 1, 2019,</w:t>
      </w:r>
      <w:r>
        <w:rPr>
          <w:sz w:val="20"/>
          <w:szCs w:val="20"/>
        </w:rPr>
        <w:t xml:space="preserve"> rather than applying the transition provisions in the earliest period presented, and the Company elected a package of practical expedients that allowed entities to not: (i) reassess whether any expired or existing contracts are considered or contain lease</w:t>
      </w:r>
      <w:r>
        <w:rPr>
          <w:sz w:val="20"/>
          <w:szCs w:val="20"/>
        </w:rPr>
        <w:t>s; (ii) reassess the lease classification for any expired or existing leases; and (iii) reassess initial direct costs for any existing leases. In addition, the Company elected other practical expedients that allowed entities to: (i) use hindsight in determ</w:t>
      </w:r>
      <w:r>
        <w:rPr>
          <w:sz w:val="20"/>
          <w:szCs w:val="20"/>
        </w:rPr>
        <w:t xml:space="preserve">ining the term </w:t>
      </w:r>
    </w:p>
    <w:p w14:paraId="3002A566" w14:textId="77777777" w:rsidR="00000000" w:rsidRDefault="00097612">
      <w:pPr>
        <w:pStyle w:val="a3"/>
        <w:spacing w:before="360" w:beforeAutospacing="0" w:after="0" w:afterAutospacing="0"/>
        <w:jc w:val="center"/>
        <w:divId w:val="338436658"/>
        <w:rPr>
          <w:sz w:val="20"/>
          <w:szCs w:val="20"/>
        </w:rPr>
      </w:pPr>
      <w:r>
        <w:rPr>
          <w:sz w:val="20"/>
          <w:szCs w:val="20"/>
        </w:rPr>
        <w:t>7</w:t>
      </w:r>
    </w:p>
    <w:p w14:paraId="708FFBEA" w14:textId="77777777" w:rsidR="00000000" w:rsidRDefault="00097612">
      <w:pPr>
        <w:pStyle w:val="a3"/>
        <w:spacing w:before="0" w:beforeAutospacing="0" w:after="600" w:afterAutospacing="0"/>
        <w:divId w:val="1432046855"/>
        <w:rPr>
          <w:sz w:val="20"/>
          <w:szCs w:val="20"/>
        </w:rPr>
      </w:pPr>
      <w:hyperlink w:anchor="TOC" w:history="1">
        <w:r>
          <w:rPr>
            <w:rStyle w:val="a4"/>
            <w:sz w:val="20"/>
            <w:szCs w:val="20"/>
          </w:rPr>
          <w:t>Table of Contents</w:t>
        </w:r>
      </w:hyperlink>
    </w:p>
    <w:p w14:paraId="5EC0333F" w14:textId="77777777" w:rsidR="00000000" w:rsidRDefault="00097612">
      <w:pPr>
        <w:pStyle w:val="a3"/>
        <w:spacing w:before="0" w:beforeAutospacing="0" w:after="0" w:afterAutospacing="0"/>
        <w:divId w:val="295256725"/>
        <w:rPr>
          <w:sz w:val="20"/>
          <w:szCs w:val="20"/>
        </w:rPr>
      </w:pPr>
      <w:r>
        <w:rPr>
          <w:sz w:val="20"/>
          <w:szCs w:val="20"/>
        </w:rPr>
        <w:t>of a lease when the lease includes an option to extend the lease term; (ii) exclude all leases, on a go forward basis, that have a lease term of 12-months or less; and (iii) combine lease and no</w:t>
      </w:r>
      <w:r>
        <w:rPr>
          <w:sz w:val="20"/>
          <w:szCs w:val="20"/>
        </w:rPr>
        <w:t>n-lease components (e.g., office common area maintenance expenses) when recognizing a lease on an entity’s balance sheet on a go forward basis.</w:t>
      </w:r>
    </w:p>
    <w:p w14:paraId="0E7ADFD1" w14:textId="77777777" w:rsidR="00000000" w:rsidRDefault="00097612">
      <w:pPr>
        <w:pStyle w:val="a3"/>
        <w:spacing w:before="0" w:beforeAutospacing="0" w:after="0" w:afterAutospacing="0"/>
        <w:ind w:firstLine="720"/>
        <w:divId w:val="295256725"/>
        <w:rPr>
          <w:sz w:val="20"/>
          <w:szCs w:val="20"/>
        </w:rPr>
      </w:pPr>
      <w:r>
        <w:rPr>
          <w:sz w:val="20"/>
          <w:szCs w:val="20"/>
        </w:rPr>
        <w:t>​</w:t>
      </w:r>
    </w:p>
    <w:p w14:paraId="1AE905EE" w14:textId="77777777" w:rsidR="00000000" w:rsidRDefault="00097612">
      <w:pPr>
        <w:pStyle w:val="a3"/>
        <w:spacing w:before="0" w:beforeAutospacing="0" w:after="0" w:afterAutospacing="0"/>
        <w:ind w:firstLine="720"/>
        <w:divId w:val="295256725"/>
        <w:rPr>
          <w:sz w:val="20"/>
          <w:szCs w:val="20"/>
        </w:rPr>
      </w:pPr>
      <w:r>
        <w:rPr>
          <w:sz w:val="20"/>
          <w:szCs w:val="20"/>
        </w:rPr>
        <w:t xml:space="preserve">As a result of the adoption of ASU 2016-02, on January 1, 2019, the Company recorded a right-of-use operating </w:t>
      </w:r>
      <w:r>
        <w:rPr>
          <w:sz w:val="20"/>
          <w:szCs w:val="20"/>
        </w:rPr>
        <w:t>lease asset</w:t>
      </w:r>
      <w:r>
        <w:rPr>
          <w:color w:val="FF0000"/>
          <w:sz w:val="20"/>
          <w:szCs w:val="20"/>
        </w:rPr>
        <w:t xml:space="preserve"> </w:t>
      </w:r>
      <w:r>
        <w:rPr>
          <w:sz w:val="20"/>
          <w:szCs w:val="20"/>
        </w:rPr>
        <w:t>of $48.3 million and an operating lease liability of $56.3 million related to its office leases in South San Francisco, California and Dublin, Ireland. The lease liability included $8.0 million related to deferred rent liabilities. The adoption</w:t>
      </w:r>
      <w:r>
        <w:rPr>
          <w:sz w:val="20"/>
          <w:szCs w:val="20"/>
        </w:rPr>
        <w:t xml:space="preserve"> of ASU 2016-02 did not have an impact on the Company’s consolidated results of operations, lease expense, or cash flows.</w:t>
      </w:r>
    </w:p>
    <w:p w14:paraId="78954D5B" w14:textId="77777777" w:rsidR="00000000" w:rsidRDefault="00097612">
      <w:pPr>
        <w:pStyle w:val="a3"/>
        <w:spacing w:before="0" w:beforeAutospacing="0" w:after="0" w:afterAutospacing="0"/>
        <w:divId w:val="295256725"/>
        <w:rPr>
          <w:sz w:val="20"/>
          <w:szCs w:val="20"/>
        </w:rPr>
      </w:pPr>
      <w:r>
        <w:rPr>
          <w:sz w:val="20"/>
          <w:szCs w:val="20"/>
        </w:rPr>
        <w:t>​</w:t>
      </w:r>
    </w:p>
    <w:p w14:paraId="12C58A5B" w14:textId="77777777" w:rsidR="00000000" w:rsidRDefault="00097612">
      <w:pPr>
        <w:pStyle w:val="a3"/>
        <w:spacing w:before="0" w:beforeAutospacing="0" w:after="0" w:afterAutospacing="0"/>
        <w:ind w:firstLine="720"/>
        <w:divId w:val="295256725"/>
        <w:rPr>
          <w:sz w:val="20"/>
          <w:szCs w:val="20"/>
        </w:rPr>
      </w:pPr>
      <w:r>
        <w:rPr>
          <w:sz w:val="20"/>
          <w:szCs w:val="20"/>
        </w:rPr>
        <w:t xml:space="preserve">Effective January 1, 2019, the Company adopted ASU 2017-09, </w:t>
      </w:r>
      <w:r>
        <w:rPr>
          <w:i/>
          <w:iCs/>
          <w:sz w:val="20"/>
          <w:szCs w:val="20"/>
        </w:rPr>
        <w:t>Compensation – Stock Compensation (Topic 718): Scope of Modification Acc</w:t>
      </w:r>
      <w:r>
        <w:rPr>
          <w:i/>
          <w:iCs/>
          <w:sz w:val="20"/>
          <w:szCs w:val="20"/>
        </w:rPr>
        <w:t>ounting</w:t>
      </w:r>
      <w:r>
        <w:rPr>
          <w:sz w:val="20"/>
          <w:szCs w:val="20"/>
        </w:rPr>
        <w:t xml:space="preserve"> (“ASU 2017-09”). ASU 2017-09 was issued to provide clarity and reduce both (i) diversity in practice and (ii) cost and complexity when applying the guidance in Topic 718, Compensation—Stock Compensation, to a change to the terms or conditions of a </w:t>
      </w:r>
      <w:r>
        <w:rPr>
          <w:sz w:val="20"/>
          <w:szCs w:val="20"/>
        </w:rPr>
        <w:t>share-based payment award. The amendments in ASU 2017-09 provided guidance about which changes to the terms or conditions of a share-based payment award require an entity to apply modification accounting in Topic 718. Essentially, an entity will not have t</w:t>
      </w:r>
      <w:r>
        <w:rPr>
          <w:sz w:val="20"/>
          <w:szCs w:val="20"/>
        </w:rPr>
        <w:t>o account for the effects of a modification if: (i) the fair value of the modified award is the same immediately before and after the modification; (ii) the vesting conditions of the modified award are the same immediately before and after the modification</w:t>
      </w:r>
      <w:r>
        <w:rPr>
          <w:sz w:val="20"/>
          <w:szCs w:val="20"/>
        </w:rPr>
        <w:t xml:space="preserve">; and (iii) the classification of the modified award as either an equity instrument or liability instrument is the same immediately before and after the modification. The adoption of ASU 2017-09 did not have a material impact on the Company’s consolidated </w:t>
      </w:r>
      <w:r>
        <w:rPr>
          <w:sz w:val="20"/>
          <w:szCs w:val="20"/>
        </w:rPr>
        <w:t>financial statements and related disclosures as of January 1, 2019.</w:t>
      </w:r>
    </w:p>
    <w:p w14:paraId="3F5986EC" w14:textId="77777777" w:rsidR="00000000" w:rsidRDefault="00097612">
      <w:pPr>
        <w:pStyle w:val="a3"/>
        <w:spacing w:before="0" w:beforeAutospacing="0" w:after="0" w:afterAutospacing="0"/>
        <w:divId w:val="295256725"/>
        <w:rPr>
          <w:sz w:val="20"/>
          <w:szCs w:val="20"/>
        </w:rPr>
      </w:pPr>
      <w:r>
        <w:rPr>
          <w:sz w:val="20"/>
          <w:szCs w:val="20"/>
        </w:rPr>
        <w:t>​</w:t>
      </w:r>
    </w:p>
    <w:p w14:paraId="6899D89C" w14:textId="77777777" w:rsidR="00000000" w:rsidRDefault="00097612">
      <w:pPr>
        <w:pStyle w:val="a3"/>
        <w:spacing w:before="0" w:beforeAutospacing="0" w:after="0" w:afterAutospacing="0"/>
        <w:ind w:firstLine="720"/>
        <w:divId w:val="295256725"/>
        <w:rPr>
          <w:sz w:val="20"/>
          <w:szCs w:val="20"/>
        </w:rPr>
      </w:pPr>
      <w:r>
        <w:rPr>
          <w:sz w:val="20"/>
          <w:szCs w:val="20"/>
        </w:rPr>
        <w:t>Effective January 1, 2019, the Company adopted the new final rule under SEC Release No. 33-10532, Disclosure Update and Simplification, amending certain disclosure requirements that were</w:t>
      </w:r>
      <w:r>
        <w:rPr>
          <w:sz w:val="20"/>
          <w:szCs w:val="20"/>
        </w:rPr>
        <w:t xml:space="preserve"> redundant, duplicative, overlapping, outdated or superseded. In addition, the amendments expanded the disclosure requirements on the analysis of stockholders’ equity for interim financial statements. Under the amendments, an analysis of changes in each ca</w:t>
      </w:r>
      <w:r>
        <w:rPr>
          <w:sz w:val="20"/>
          <w:szCs w:val="20"/>
        </w:rPr>
        <w:t>ption of stockholders’ equity presented in the balance sheet must be provided in a note or separate statement. The analysis should present a reconciliation of the beginning balance to the ending balance of each period for which a statement of comprehensive</w:t>
      </w:r>
      <w:r>
        <w:rPr>
          <w:sz w:val="20"/>
          <w:szCs w:val="20"/>
        </w:rPr>
        <w:t xml:space="preserve"> income is required to be filed. The Company has included condensed consolidated statements of shareholders’ equity (deficit) in this Form 10-Q for the three and nine months ended September 30, 2019 and 2018.</w:t>
      </w:r>
    </w:p>
    <w:p w14:paraId="7117C072" w14:textId="77777777" w:rsidR="00000000" w:rsidRDefault="00097612">
      <w:pPr>
        <w:pStyle w:val="a3"/>
        <w:spacing w:before="0" w:beforeAutospacing="0" w:after="0" w:afterAutospacing="0"/>
        <w:divId w:val="295256725"/>
        <w:rPr>
          <w:sz w:val="20"/>
          <w:szCs w:val="20"/>
        </w:rPr>
      </w:pPr>
      <w:r>
        <w:rPr>
          <w:sz w:val="20"/>
          <w:szCs w:val="20"/>
        </w:rPr>
        <w:t>​</w:t>
      </w:r>
    </w:p>
    <w:p w14:paraId="373EC535" w14:textId="77777777" w:rsidR="00000000" w:rsidRDefault="00097612">
      <w:pPr>
        <w:pStyle w:val="a3"/>
        <w:spacing w:before="0" w:beforeAutospacing="0" w:after="0" w:afterAutospacing="0"/>
        <w:divId w:val="295256725"/>
        <w:rPr>
          <w:sz w:val="20"/>
          <w:szCs w:val="20"/>
        </w:rPr>
      </w:pPr>
      <w:r>
        <w:rPr>
          <w:b/>
          <w:bCs/>
          <w:i/>
          <w:iCs/>
          <w:sz w:val="20"/>
          <w:szCs w:val="20"/>
        </w:rPr>
        <w:t>Recently Issued Accounting Pronouncements Not</w:t>
      </w:r>
      <w:r>
        <w:rPr>
          <w:b/>
          <w:bCs/>
          <w:i/>
          <w:iCs/>
          <w:sz w:val="20"/>
          <w:szCs w:val="20"/>
        </w:rPr>
        <w:t xml:space="preserve"> Yet Adopted </w:t>
      </w:r>
    </w:p>
    <w:p w14:paraId="7E205C64" w14:textId="77777777" w:rsidR="00000000" w:rsidRDefault="00097612">
      <w:pPr>
        <w:pStyle w:val="a3"/>
        <w:spacing w:before="0" w:beforeAutospacing="0" w:after="0" w:afterAutospacing="0"/>
        <w:divId w:val="295256725"/>
        <w:rPr>
          <w:sz w:val="20"/>
          <w:szCs w:val="20"/>
        </w:rPr>
      </w:pPr>
      <w:r>
        <w:rPr>
          <w:b/>
          <w:bCs/>
          <w:i/>
          <w:iCs/>
          <w:sz w:val="10"/>
          <w:szCs w:val="10"/>
        </w:rPr>
        <w:t>​</w:t>
      </w:r>
    </w:p>
    <w:p w14:paraId="3A8555E0" w14:textId="77777777" w:rsidR="00000000" w:rsidRDefault="00097612">
      <w:pPr>
        <w:pStyle w:val="a3"/>
        <w:spacing w:before="0" w:beforeAutospacing="0" w:after="0" w:afterAutospacing="0"/>
        <w:ind w:firstLine="720"/>
        <w:divId w:val="295256725"/>
        <w:rPr>
          <w:sz w:val="20"/>
          <w:szCs w:val="20"/>
        </w:rPr>
      </w:pPr>
      <w:r>
        <w:rPr>
          <w:sz w:val="20"/>
          <w:szCs w:val="20"/>
          <w:shd w:val="clear" w:color="auto" w:fill="FFFFFF"/>
        </w:rPr>
        <w:t>In June 2016, the Financial Accounting Standards Board (“FASB”) issued ASU 2016-13, </w:t>
      </w:r>
      <w:r>
        <w:rPr>
          <w:i/>
          <w:iCs/>
          <w:sz w:val="20"/>
          <w:szCs w:val="20"/>
          <w:shd w:val="clear" w:color="auto" w:fill="FFFFFF"/>
        </w:rPr>
        <w:t>Financial Instruments - Credit Losses (Topic 326): Measurement of Credit Losses on Financial Instruments</w:t>
      </w:r>
      <w:r>
        <w:rPr>
          <w:sz w:val="20"/>
          <w:szCs w:val="20"/>
          <w:shd w:val="clear" w:color="auto" w:fill="FFFFFF"/>
        </w:rPr>
        <w:t> (“ASU 2016-13"). This guidance requires that financ</w:t>
      </w:r>
      <w:r>
        <w:rPr>
          <w:sz w:val="20"/>
          <w:szCs w:val="20"/>
          <w:shd w:val="clear" w:color="auto" w:fill="FFFFFF"/>
        </w:rPr>
        <w:t>ial assets measured at amortized cost be presented at the net amount expected to be collected. The measurement of expected credit losses is based on historical experience, current conditions, and reasonable and supportable forecasts that affect collectabil</w:t>
      </w:r>
      <w:r>
        <w:rPr>
          <w:sz w:val="20"/>
          <w:szCs w:val="20"/>
          <w:shd w:val="clear" w:color="auto" w:fill="FFFFFF"/>
        </w:rPr>
        <w:t xml:space="preserve">ity. </w:t>
      </w:r>
      <w:r>
        <w:rPr>
          <w:sz w:val="20"/>
          <w:szCs w:val="20"/>
        </w:rPr>
        <w:t>ASU 2016-13 also eliminates the concept of “other-than-temporary” impairment when evaluating available-for-sale debt securities and instead focuses on determining whether any impairment is a result of a credit loss or other factors. An entity will rec</w:t>
      </w:r>
      <w:r>
        <w:rPr>
          <w:sz w:val="20"/>
          <w:szCs w:val="20"/>
        </w:rPr>
        <w:t xml:space="preserve">ognize an allowance for credit losses on available-for-sale debt securities rather than an other-than-temporary impairment that reduces the cost basis of the investment. </w:t>
      </w:r>
      <w:r>
        <w:rPr>
          <w:sz w:val="20"/>
          <w:szCs w:val="20"/>
          <w:shd w:val="clear" w:color="auto" w:fill="FFFFFF"/>
        </w:rPr>
        <w:t>ASU 2016-13 is effective for annual reporting periods and interim periods within those</w:t>
      </w:r>
      <w:r>
        <w:rPr>
          <w:sz w:val="20"/>
          <w:szCs w:val="20"/>
          <w:shd w:val="clear" w:color="auto" w:fill="FFFFFF"/>
        </w:rPr>
        <w:t xml:space="preserve"> years beginning after December 15, 2019. The Company does not currently expect ASU 2016-13 to have a material impact on its consolidated financial statements and related disclosures based on the historically high credit quality of the Company’s financial </w:t>
      </w:r>
      <w:r>
        <w:rPr>
          <w:sz w:val="20"/>
          <w:szCs w:val="20"/>
          <w:shd w:val="clear" w:color="auto" w:fill="FFFFFF"/>
        </w:rPr>
        <w:t>instruments.</w:t>
      </w:r>
    </w:p>
    <w:p w14:paraId="283C3B6F" w14:textId="77777777" w:rsidR="00000000" w:rsidRDefault="00097612">
      <w:pPr>
        <w:pStyle w:val="a3"/>
        <w:spacing w:before="0" w:beforeAutospacing="0" w:after="0" w:afterAutospacing="0"/>
        <w:ind w:firstLine="720"/>
        <w:divId w:val="295256725"/>
        <w:rPr>
          <w:sz w:val="20"/>
          <w:szCs w:val="20"/>
        </w:rPr>
      </w:pPr>
      <w:r>
        <w:rPr>
          <w:sz w:val="20"/>
          <w:szCs w:val="20"/>
          <w:shd w:val="clear" w:color="auto" w:fill="FFFFFF"/>
        </w:rPr>
        <w:t>​</w:t>
      </w:r>
    </w:p>
    <w:p w14:paraId="29C0C89F" w14:textId="77777777" w:rsidR="00000000" w:rsidRDefault="00097612">
      <w:pPr>
        <w:pStyle w:val="a3"/>
        <w:spacing w:before="0" w:beforeAutospacing="0" w:after="0" w:afterAutospacing="0"/>
        <w:ind w:firstLine="720"/>
        <w:divId w:val="295256725"/>
        <w:rPr>
          <w:sz w:val="20"/>
          <w:szCs w:val="20"/>
        </w:rPr>
      </w:pPr>
      <w:r>
        <w:rPr>
          <w:sz w:val="20"/>
          <w:szCs w:val="20"/>
          <w:shd w:val="clear" w:color="auto" w:fill="FFFFFF"/>
        </w:rPr>
        <w:t>In August 2018, the FASB issued ASU 2018-15, </w:t>
      </w:r>
      <w:r>
        <w:rPr>
          <w:i/>
          <w:iCs/>
          <w:sz w:val="20"/>
          <w:szCs w:val="20"/>
          <w:shd w:val="clear" w:color="auto" w:fill="FFFFFF"/>
        </w:rPr>
        <w:t>Intangibles-Goodwill and Other-Internal-Use Software (Subtopic 350-40): Customer's Accounting for Implementation Costs Incurred in a Cloud Computing Arrangement That Is a Service Contract</w:t>
      </w:r>
      <w:r>
        <w:rPr>
          <w:sz w:val="20"/>
          <w:szCs w:val="20"/>
          <w:shd w:val="clear" w:color="auto" w:fill="FFFFFF"/>
        </w:rPr>
        <w:t xml:space="preserve"> (“ASU 20</w:t>
      </w:r>
      <w:r>
        <w:rPr>
          <w:sz w:val="20"/>
          <w:szCs w:val="20"/>
          <w:shd w:val="clear" w:color="auto" w:fill="FFFFFF"/>
        </w:rPr>
        <w:t>18-15”). ASU 2018-15 aligns the requirements for capitalizing implementation costs incurred in a hosting arrangement that is a service contract with the requirements for capitalizing implementation costs incurred to develop or obtain internal-use software.</w:t>
      </w:r>
      <w:r>
        <w:rPr>
          <w:sz w:val="20"/>
          <w:szCs w:val="20"/>
          <w:shd w:val="clear" w:color="auto" w:fill="FFFFFF"/>
        </w:rPr>
        <w:t xml:space="preserve"> Accordingly, ASU 2018-15 requires a customer in a hosting arrangement that is a service contract to follow the guidance in Subtopic 350-40 to determine which implementation costs to capitalize as an asset related to the service contract and which costs to</w:t>
      </w:r>
      <w:r>
        <w:rPr>
          <w:sz w:val="20"/>
          <w:szCs w:val="20"/>
          <w:shd w:val="clear" w:color="auto" w:fill="FFFFFF"/>
        </w:rPr>
        <w:t xml:space="preserve"> expense. ASU 2018-15 is effective for annual reporting periods and interim periods within those years beginning after December 15, 2019. The Company is currently evaluating the impact of adopting ASU 2018-15 on its consolidated financial statements and re</w:t>
      </w:r>
      <w:r>
        <w:rPr>
          <w:sz w:val="20"/>
          <w:szCs w:val="20"/>
          <w:shd w:val="clear" w:color="auto" w:fill="FFFFFF"/>
        </w:rPr>
        <w:t>lated disclosures.</w:t>
      </w:r>
    </w:p>
    <w:p w14:paraId="63DD578C" w14:textId="77777777" w:rsidR="00000000" w:rsidRDefault="00097612">
      <w:pPr>
        <w:pStyle w:val="a3"/>
        <w:spacing w:before="0" w:beforeAutospacing="0" w:after="0" w:afterAutospacing="0"/>
        <w:ind w:firstLine="720"/>
        <w:divId w:val="295256725"/>
        <w:rPr>
          <w:sz w:val="20"/>
          <w:szCs w:val="20"/>
        </w:rPr>
      </w:pPr>
      <w:r>
        <w:rPr>
          <w:sz w:val="20"/>
          <w:szCs w:val="20"/>
          <w:shd w:val="clear" w:color="auto" w:fill="FFFFFF"/>
        </w:rPr>
        <w:t>​</w:t>
      </w:r>
    </w:p>
    <w:p w14:paraId="3D748341" w14:textId="77777777" w:rsidR="00000000" w:rsidRDefault="00097612">
      <w:pPr>
        <w:pStyle w:val="a3"/>
        <w:spacing w:before="360" w:beforeAutospacing="0" w:after="0" w:afterAutospacing="0"/>
        <w:jc w:val="center"/>
        <w:divId w:val="2006737761"/>
        <w:rPr>
          <w:sz w:val="20"/>
          <w:szCs w:val="20"/>
        </w:rPr>
      </w:pPr>
      <w:r>
        <w:rPr>
          <w:sz w:val="20"/>
          <w:szCs w:val="20"/>
        </w:rPr>
        <w:t>8</w:t>
      </w:r>
    </w:p>
    <w:p w14:paraId="39DC35F2" w14:textId="77777777" w:rsidR="00000000" w:rsidRDefault="00097612">
      <w:pPr>
        <w:pStyle w:val="a3"/>
        <w:spacing w:before="0" w:beforeAutospacing="0" w:after="600" w:afterAutospacing="0"/>
        <w:divId w:val="1859392495"/>
        <w:rPr>
          <w:sz w:val="20"/>
          <w:szCs w:val="20"/>
        </w:rPr>
      </w:pPr>
      <w:hyperlink w:anchor="TOC" w:history="1">
        <w:r>
          <w:rPr>
            <w:rStyle w:val="a4"/>
            <w:sz w:val="20"/>
            <w:szCs w:val="20"/>
          </w:rPr>
          <w:t>Table of Contents</w:t>
        </w:r>
      </w:hyperlink>
    </w:p>
    <w:p w14:paraId="500E5CE1" w14:textId="77777777" w:rsidR="00000000" w:rsidRDefault="00097612">
      <w:pPr>
        <w:pStyle w:val="a3"/>
        <w:spacing w:before="0" w:beforeAutospacing="0" w:after="0" w:afterAutospacing="0"/>
        <w:ind w:firstLine="720"/>
        <w:divId w:val="137379467"/>
        <w:rPr>
          <w:sz w:val="20"/>
          <w:szCs w:val="20"/>
        </w:rPr>
      </w:pPr>
      <w:r>
        <w:rPr>
          <w:sz w:val="20"/>
          <w:szCs w:val="20"/>
          <w:shd w:val="clear" w:color="auto" w:fill="FFFFFF"/>
        </w:rPr>
        <w:t xml:space="preserve">In November 2018, the FASB issued ASU 2018-18, </w:t>
      </w:r>
      <w:r>
        <w:rPr>
          <w:i/>
          <w:iCs/>
          <w:sz w:val="20"/>
          <w:szCs w:val="20"/>
          <w:shd w:val="clear" w:color="auto" w:fill="FFFFFF"/>
        </w:rPr>
        <w:t xml:space="preserve">Collaboration Arrangements: Clarifying the Interaction between Topic 808 and Topic 606 </w:t>
      </w:r>
      <w:r>
        <w:rPr>
          <w:sz w:val="20"/>
          <w:szCs w:val="20"/>
          <w:shd w:val="clear" w:color="auto" w:fill="FFFFFF"/>
        </w:rPr>
        <w:t>(“ASU 2018-18”). The issuance of Topic 606 raised questions about the interaction between the guidance on collaborative arrangements and revenue recognition. </w:t>
      </w:r>
      <w:r>
        <w:rPr>
          <w:sz w:val="20"/>
          <w:szCs w:val="20"/>
        </w:rPr>
        <w:t>ASU 2018-18</w:t>
      </w:r>
      <w:r>
        <w:rPr>
          <w:sz w:val="20"/>
          <w:szCs w:val="20"/>
        </w:rPr>
        <w:t> </w:t>
      </w:r>
      <w:r>
        <w:rPr>
          <w:sz w:val="20"/>
          <w:szCs w:val="20"/>
          <w:shd w:val="clear" w:color="auto" w:fill="FFFFFF"/>
        </w:rPr>
        <w:t>addresses this uncertainty by: (i) clarifying that certain transactions between collaborative arrangement participants should be accounted for as revenue under ASC 606 when the collaboration arrangement participant is a customer; (ii) adding unit of accou</w:t>
      </w:r>
      <w:r>
        <w:rPr>
          <w:sz w:val="20"/>
          <w:szCs w:val="20"/>
          <w:shd w:val="clear" w:color="auto" w:fill="FFFFFF"/>
        </w:rPr>
        <w:t>nt guidance to assess whether the collaboration arrangement or a part of the arrangement is with a customer; and (iii) precluding a company from presenting transactions with collaboration arrangement participants that are not directly related to sales to t</w:t>
      </w:r>
      <w:r>
        <w:rPr>
          <w:sz w:val="20"/>
          <w:szCs w:val="20"/>
          <w:shd w:val="clear" w:color="auto" w:fill="FFFFFF"/>
        </w:rPr>
        <w:t>hird parties together with revenue from contracts with customers. ASU 2018-18 is effective for annual reporting periods and interim periods within those years beginning after December 15, 2019. Early adoption is permitted. The Company is currently evaluati</w:t>
      </w:r>
      <w:r>
        <w:rPr>
          <w:sz w:val="20"/>
          <w:szCs w:val="20"/>
          <w:shd w:val="clear" w:color="auto" w:fill="FFFFFF"/>
        </w:rPr>
        <w:t>ng the impact of adopting ASU 2018-18 on its consolidated financial statements and related disclosures.</w:t>
      </w:r>
    </w:p>
    <w:p w14:paraId="520E0704" w14:textId="77777777" w:rsidR="00000000" w:rsidRDefault="00097612">
      <w:pPr>
        <w:pStyle w:val="a3"/>
        <w:spacing w:before="0" w:beforeAutospacing="0" w:after="0" w:afterAutospacing="0"/>
        <w:divId w:val="137379467"/>
        <w:rPr>
          <w:sz w:val="20"/>
          <w:szCs w:val="20"/>
        </w:rPr>
      </w:pPr>
      <w:r>
        <w:rPr>
          <w:sz w:val="20"/>
          <w:szCs w:val="20"/>
        </w:rPr>
        <w:t>​</w:t>
      </w:r>
    </w:p>
    <w:p w14:paraId="7F301824" w14:textId="77777777" w:rsidR="00000000" w:rsidRDefault="00097612">
      <w:pPr>
        <w:pStyle w:val="a3"/>
        <w:spacing w:before="0" w:beforeAutospacing="0" w:after="0" w:afterAutospacing="0"/>
        <w:ind w:firstLine="720"/>
        <w:divId w:val="137379467"/>
        <w:rPr>
          <w:sz w:val="20"/>
          <w:szCs w:val="20"/>
        </w:rPr>
      </w:pPr>
      <w:r>
        <w:rPr>
          <w:sz w:val="20"/>
          <w:szCs w:val="20"/>
        </w:rPr>
        <w:t>The Company is currently evaluating other recently issued accounting pronouncements and does not currently believe that any of those pronouncements wi</w:t>
      </w:r>
      <w:r>
        <w:rPr>
          <w:sz w:val="20"/>
          <w:szCs w:val="20"/>
        </w:rPr>
        <w:t>ll have a material impact on its consolidated financial statements and related disclosures.</w:t>
      </w:r>
    </w:p>
    <w:p w14:paraId="731B084C" w14:textId="77777777" w:rsidR="00000000" w:rsidRDefault="00097612">
      <w:pPr>
        <w:pStyle w:val="a3"/>
        <w:spacing w:before="0" w:beforeAutospacing="0" w:after="0" w:afterAutospacing="0"/>
        <w:ind w:firstLine="720"/>
        <w:jc w:val="both"/>
        <w:divId w:val="137379467"/>
        <w:rPr>
          <w:sz w:val="20"/>
          <w:szCs w:val="20"/>
        </w:rPr>
      </w:pPr>
      <w:r>
        <w:rPr>
          <w:sz w:val="20"/>
          <w:szCs w:val="20"/>
        </w:rPr>
        <w:t>​</w:t>
      </w:r>
    </w:p>
    <w:p w14:paraId="6F1A491D" w14:textId="77777777" w:rsidR="00000000" w:rsidRDefault="00097612">
      <w:pPr>
        <w:pStyle w:val="a3"/>
        <w:spacing w:before="0" w:beforeAutospacing="0" w:after="0" w:afterAutospacing="0"/>
        <w:divId w:val="137379467"/>
        <w:rPr>
          <w:sz w:val="20"/>
          <w:szCs w:val="20"/>
        </w:rPr>
      </w:pPr>
      <w:r>
        <w:rPr>
          <w:sz w:val="2"/>
          <w:szCs w:val="2"/>
        </w:rPr>
        <w:t>​</w:t>
      </w:r>
    </w:p>
    <w:p w14:paraId="5E73C0F7" w14:textId="77777777" w:rsidR="00000000" w:rsidRDefault="00097612">
      <w:pPr>
        <w:pStyle w:val="a3"/>
        <w:spacing w:before="0" w:beforeAutospacing="0" w:after="0" w:afterAutospacing="0"/>
        <w:divId w:val="137379467"/>
        <w:rPr>
          <w:sz w:val="20"/>
          <w:szCs w:val="20"/>
        </w:rPr>
      </w:pPr>
      <w:r>
        <w:rPr>
          <w:b/>
          <w:bCs/>
          <w:sz w:val="20"/>
          <w:szCs w:val="20"/>
        </w:rPr>
        <w:t>2. Net Loss per Share</w:t>
      </w:r>
    </w:p>
    <w:p w14:paraId="19BE9F12" w14:textId="77777777" w:rsidR="00000000" w:rsidRDefault="00097612">
      <w:pPr>
        <w:pStyle w:val="a3"/>
        <w:spacing w:before="0" w:beforeAutospacing="0" w:after="0" w:afterAutospacing="0"/>
        <w:divId w:val="137379467"/>
        <w:rPr>
          <w:sz w:val="20"/>
          <w:szCs w:val="20"/>
        </w:rPr>
      </w:pPr>
      <w:r>
        <w:rPr>
          <w:sz w:val="10"/>
          <w:szCs w:val="10"/>
        </w:rPr>
        <w:t>​</w:t>
      </w:r>
    </w:p>
    <w:p w14:paraId="40E93920" w14:textId="77777777" w:rsidR="00000000" w:rsidRDefault="00097612">
      <w:pPr>
        <w:pStyle w:val="a3"/>
        <w:spacing w:before="0" w:beforeAutospacing="0" w:after="0" w:afterAutospacing="0"/>
        <w:ind w:firstLine="720"/>
        <w:divId w:val="137379467"/>
        <w:rPr>
          <w:sz w:val="20"/>
          <w:szCs w:val="20"/>
        </w:rPr>
      </w:pPr>
      <w:r>
        <w:rPr>
          <w:sz w:val="20"/>
          <w:szCs w:val="20"/>
        </w:rPr>
        <w:t xml:space="preserve">Basic net loss per share is computed by dividing net loss by the weighted-average number of shares of outstanding, less ordinary shares </w:t>
      </w:r>
      <w:r>
        <w:rPr>
          <w:sz w:val="20"/>
          <w:szCs w:val="20"/>
        </w:rPr>
        <w:t>subject to forfeiture. Diluted net loss per share is computed by dividing net loss by the weighted-average number of shares outstanding, less ordinary shares subject to forfeiture, plus all additional ordinary shares that would have been outstanding, assum</w:t>
      </w:r>
      <w:r>
        <w:rPr>
          <w:sz w:val="20"/>
          <w:szCs w:val="20"/>
        </w:rPr>
        <w:t>ing dilutive potential ordinary shares had been issued for other dilutive securities.</w:t>
      </w:r>
    </w:p>
    <w:p w14:paraId="4E415452" w14:textId="77777777" w:rsidR="00000000" w:rsidRDefault="00097612">
      <w:pPr>
        <w:pStyle w:val="a3"/>
        <w:spacing w:before="0" w:beforeAutospacing="0" w:after="0" w:afterAutospacing="0"/>
        <w:ind w:firstLine="720"/>
        <w:divId w:val="13737946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30"/>
        <w:gridCol w:w="160"/>
        <w:gridCol w:w="100"/>
        <w:gridCol w:w="684"/>
        <w:gridCol w:w="160"/>
        <w:gridCol w:w="100"/>
        <w:gridCol w:w="684"/>
        <w:gridCol w:w="160"/>
        <w:gridCol w:w="100"/>
        <w:gridCol w:w="784"/>
        <w:gridCol w:w="160"/>
        <w:gridCol w:w="100"/>
        <w:gridCol w:w="784"/>
      </w:tblGrid>
      <w:tr w:rsidR="00000000" w14:paraId="5F3E0171" w14:textId="77777777">
        <w:trPr>
          <w:divId w:val="137379467"/>
          <w:trHeight w:val="20"/>
        </w:trPr>
        <w:tc>
          <w:tcPr>
            <w:tcW w:w="2836" w:type="pct"/>
            <w:tcMar>
              <w:top w:w="0" w:type="dxa"/>
              <w:left w:w="0" w:type="dxa"/>
              <w:bottom w:w="0" w:type="dxa"/>
              <w:right w:w="0" w:type="dxa"/>
            </w:tcMar>
            <w:hideMark/>
          </w:tcPr>
          <w:p w14:paraId="3B4CA382" w14:textId="77777777" w:rsidR="00000000" w:rsidRDefault="00097612">
            <w:pPr>
              <w:pStyle w:val="a3"/>
              <w:spacing w:before="0" w:beforeAutospacing="0" w:after="0" w:afterAutospacing="0"/>
              <w:divId w:val="1384404448"/>
              <w:rPr>
                <w:sz w:val="20"/>
                <w:szCs w:val="20"/>
              </w:rPr>
            </w:pPr>
            <w:r>
              <w:rPr>
                <w:sz w:val="2"/>
                <w:szCs w:val="2"/>
              </w:rPr>
              <w:t>​</w:t>
            </w:r>
          </w:p>
        </w:tc>
        <w:tc>
          <w:tcPr>
            <w:tcW w:w="79" w:type="pct"/>
            <w:noWrap/>
            <w:tcMar>
              <w:top w:w="0" w:type="dxa"/>
              <w:left w:w="0" w:type="dxa"/>
              <w:bottom w:w="0" w:type="dxa"/>
              <w:right w:w="0" w:type="dxa"/>
            </w:tcMar>
            <w:vAlign w:val="bottom"/>
            <w:hideMark/>
          </w:tcPr>
          <w:p w14:paraId="06298447" w14:textId="77777777" w:rsidR="00000000" w:rsidRDefault="00097612">
            <w:pPr>
              <w:pStyle w:val="a3"/>
              <w:spacing w:before="0" w:beforeAutospacing="0" w:after="0" w:afterAutospacing="0"/>
              <w:divId w:val="461771391"/>
              <w:rPr>
                <w:sz w:val="20"/>
                <w:szCs w:val="20"/>
              </w:rPr>
            </w:pPr>
            <w:r>
              <w:rPr>
                <w:sz w:val="2"/>
                <w:szCs w:val="2"/>
              </w:rPr>
              <w:t>​</w:t>
            </w:r>
          </w:p>
        </w:tc>
        <w:tc>
          <w:tcPr>
            <w:tcW w:w="62" w:type="pct"/>
            <w:noWrap/>
            <w:tcMar>
              <w:top w:w="0" w:type="dxa"/>
              <w:left w:w="0" w:type="dxa"/>
              <w:bottom w:w="0" w:type="dxa"/>
              <w:right w:w="0" w:type="dxa"/>
            </w:tcMar>
            <w:vAlign w:val="bottom"/>
            <w:hideMark/>
          </w:tcPr>
          <w:p w14:paraId="01C4474D" w14:textId="77777777" w:rsidR="00000000" w:rsidRDefault="00097612">
            <w:pPr>
              <w:pStyle w:val="a3"/>
              <w:spacing w:before="0" w:beforeAutospacing="0" w:after="0" w:afterAutospacing="0"/>
              <w:divId w:val="1401371109"/>
              <w:rPr>
                <w:sz w:val="20"/>
                <w:szCs w:val="20"/>
              </w:rPr>
            </w:pPr>
            <w:r>
              <w:rPr>
                <w:sz w:val="2"/>
                <w:szCs w:val="2"/>
              </w:rPr>
              <w:t>​</w:t>
            </w:r>
          </w:p>
        </w:tc>
        <w:tc>
          <w:tcPr>
            <w:tcW w:w="364" w:type="pct"/>
            <w:noWrap/>
            <w:tcMar>
              <w:top w:w="0" w:type="dxa"/>
              <w:left w:w="0" w:type="dxa"/>
              <w:bottom w:w="0" w:type="dxa"/>
              <w:right w:w="0" w:type="dxa"/>
            </w:tcMar>
            <w:vAlign w:val="bottom"/>
            <w:hideMark/>
          </w:tcPr>
          <w:p w14:paraId="61F00E97" w14:textId="77777777" w:rsidR="00000000" w:rsidRDefault="00097612">
            <w:pPr>
              <w:pStyle w:val="a3"/>
              <w:spacing w:before="0" w:beforeAutospacing="0" w:after="0" w:afterAutospacing="0"/>
              <w:divId w:val="545609532"/>
              <w:rPr>
                <w:sz w:val="20"/>
                <w:szCs w:val="20"/>
              </w:rPr>
            </w:pPr>
            <w:r>
              <w:rPr>
                <w:sz w:val="2"/>
                <w:szCs w:val="2"/>
              </w:rPr>
              <w:t>​</w:t>
            </w:r>
          </w:p>
        </w:tc>
        <w:tc>
          <w:tcPr>
            <w:tcW w:w="79" w:type="pct"/>
            <w:noWrap/>
            <w:tcMar>
              <w:top w:w="0" w:type="dxa"/>
              <w:left w:w="0" w:type="dxa"/>
              <w:bottom w:w="0" w:type="dxa"/>
              <w:right w:w="0" w:type="dxa"/>
            </w:tcMar>
            <w:vAlign w:val="bottom"/>
            <w:hideMark/>
          </w:tcPr>
          <w:p w14:paraId="516CAAD9" w14:textId="77777777" w:rsidR="00000000" w:rsidRDefault="00097612">
            <w:pPr>
              <w:pStyle w:val="a3"/>
              <w:spacing w:before="0" w:beforeAutospacing="0" w:after="0" w:afterAutospacing="0"/>
              <w:divId w:val="85074325"/>
              <w:rPr>
                <w:sz w:val="20"/>
                <w:szCs w:val="20"/>
              </w:rPr>
            </w:pPr>
            <w:r>
              <w:rPr>
                <w:sz w:val="2"/>
                <w:szCs w:val="2"/>
              </w:rPr>
              <w:t>​</w:t>
            </w:r>
          </w:p>
        </w:tc>
        <w:tc>
          <w:tcPr>
            <w:tcW w:w="70" w:type="pct"/>
            <w:noWrap/>
            <w:tcMar>
              <w:top w:w="0" w:type="dxa"/>
              <w:left w:w="0" w:type="dxa"/>
              <w:bottom w:w="0" w:type="dxa"/>
              <w:right w:w="0" w:type="dxa"/>
            </w:tcMar>
            <w:vAlign w:val="bottom"/>
            <w:hideMark/>
          </w:tcPr>
          <w:p w14:paraId="50E31834" w14:textId="77777777" w:rsidR="00000000" w:rsidRDefault="00097612">
            <w:pPr>
              <w:pStyle w:val="a3"/>
              <w:spacing w:before="0" w:beforeAutospacing="0" w:after="0" w:afterAutospacing="0"/>
              <w:divId w:val="1751272594"/>
              <w:rPr>
                <w:sz w:val="20"/>
                <w:szCs w:val="20"/>
              </w:rPr>
            </w:pPr>
            <w:r>
              <w:rPr>
                <w:sz w:val="2"/>
                <w:szCs w:val="2"/>
              </w:rPr>
              <w:t>​</w:t>
            </w:r>
          </w:p>
        </w:tc>
        <w:tc>
          <w:tcPr>
            <w:tcW w:w="366" w:type="pct"/>
            <w:noWrap/>
            <w:tcMar>
              <w:top w:w="0" w:type="dxa"/>
              <w:left w:w="0" w:type="dxa"/>
              <w:bottom w:w="0" w:type="dxa"/>
              <w:right w:w="0" w:type="dxa"/>
            </w:tcMar>
            <w:vAlign w:val="bottom"/>
            <w:hideMark/>
          </w:tcPr>
          <w:p w14:paraId="332466C5" w14:textId="77777777" w:rsidR="00000000" w:rsidRDefault="00097612">
            <w:pPr>
              <w:pStyle w:val="a3"/>
              <w:spacing w:before="0" w:beforeAutospacing="0" w:after="0" w:afterAutospacing="0"/>
              <w:divId w:val="1678576703"/>
              <w:rPr>
                <w:sz w:val="20"/>
                <w:szCs w:val="20"/>
              </w:rPr>
            </w:pPr>
            <w:r>
              <w:rPr>
                <w:sz w:val="2"/>
                <w:szCs w:val="2"/>
              </w:rPr>
              <w:t>​</w:t>
            </w:r>
          </w:p>
        </w:tc>
        <w:tc>
          <w:tcPr>
            <w:tcW w:w="79" w:type="pct"/>
            <w:noWrap/>
            <w:tcMar>
              <w:top w:w="0" w:type="dxa"/>
              <w:left w:w="0" w:type="dxa"/>
              <w:bottom w:w="0" w:type="dxa"/>
              <w:right w:w="0" w:type="dxa"/>
            </w:tcMar>
            <w:vAlign w:val="bottom"/>
            <w:hideMark/>
          </w:tcPr>
          <w:p w14:paraId="16877247" w14:textId="77777777" w:rsidR="00000000" w:rsidRDefault="00097612">
            <w:pPr>
              <w:pStyle w:val="a3"/>
              <w:spacing w:before="0" w:beforeAutospacing="0" w:after="0" w:afterAutospacing="0"/>
              <w:divId w:val="2067147434"/>
              <w:rPr>
                <w:sz w:val="20"/>
                <w:szCs w:val="20"/>
              </w:rPr>
            </w:pPr>
            <w:r>
              <w:rPr>
                <w:sz w:val="2"/>
                <w:szCs w:val="2"/>
              </w:rPr>
              <w:t>​</w:t>
            </w:r>
          </w:p>
        </w:tc>
        <w:tc>
          <w:tcPr>
            <w:tcW w:w="71" w:type="pct"/>
            <w:noWrap/>
            <w:tcMar>
              <w:top w:w="0" w:type="dxa"/>
              <w:left w:w="0" w:type="dxa"/>
              <w:bottom w:w="0" w:type="dxa"/>
              <w:right w:w="0" w:type="dxa"/>
            </w:tcMar>
            <w:vAlign w:val="bottom"/>
            <w:hideMark/>
          </w:tcPr>
          <w:p w14:paraId="6537D80C" w14:textId="77777777" w:rsidR="00000000" w:rsidRDefault="00097612">
            <w:pPr>
              <w:pStyle w:val="a3"/>
              <w:spacing w:before="0" w:beforeAutospacing="0" w:after="0" w:afterAutospacing="0"/>
              <w:divId w:val="918951964"/>
              <w:rPr>
                <w:sz w:val="20"/>
                <w:szCs w:val="20"/>
              </w:rPr>
            </w:pPr>
            <w:r>
              <w:rPr>
                <w:sz w:val="2"/>
                <w:szCs w:val="2"/>
              </w:rPr>
              <w:t>​</w:t>
            </w:r>
          </w:p>
        </w:tc>
        <w:tc>
          <w:tcPr>
            <w:tcW w:w="414" w:type="pct"/>
            <w:noWrap/>
            <w:tcMar>
              <w:top w:w="0" w:type="dxa"/>
              <w:left w:w="0" w:type="dxa"/>
              <w:bottom w:w="0" w:type="dxa"/>
              <w:right w:w="0" w:type="dxa"/>
            </w:tcMar>
            <w:vAlign w:val="bottom"/>
            <w:hideMark/>
          </w:tcPr>
          <w:p w14:paraId="2A681E6D" w14:textId="77777777" w:rsidR="00000000" w:rsidRDefault="00097612">
            <w:pPr>
              <w:pStyle w:val="a3"/>
              <w:spacing w:before="0" w:beforeAutospacing="0" w:after="0" w:afterAutospacing="0"/>
              <w:divId w:val="1478181927"/>
              <w:rPr>
                <w:sz w:val="20"/>
                <w:szCs w:val="20"/>
              </w:rPr>
            </w:pPr>
            <w:r>
              <w:rPr>
                <w:sz w:val="2"/>
                <w:szCs w:val="2"/>
              </w:rPr>
              <w:t>​</w:t>
            </w:r>
          </w:p>
        </w:tc>
        <w:tc>
          <w:tcPr>
            <w:tcW w:w="79" w:type="pct"/>
            <w:noWrap/>
            <w:tcMar>
              <w:top w:w="0" w:type="dxa"/>
              <w:left w:w="0" w:type="dxa"/>
              <w:bottom w:w="0" w:type="dxa"/>
              <w:right w:w="0" w:type="dxa"/>
            </w:tcMar>
            <w:vAlign w:val="bottom"/>
            <w:hideMark/>
          </w:tcPr>
          <w:p w14:paraId="7763FBCF" w14:textId="77777777" w:rsidR="00000000" w:rsidRDefault="00097612">
            <w:pPr>
              <w:pStyle w:val="a3"/>
              <w:spacing w:before="0" w:beforeAutospacing="0" w:after="0" w:afterAutospacing="0"/>
              <w:divId w:val="293678194"/>
              <w:rPr>
                <w:sz w:val="20"/>
                <w:szCs w:val="20"/>
              </w:rPr>
            </w:pPr>
            <w:r>
              <w:rPr>
                <w:sz w:val="2"/>
                <w:szCs w:val="2"/>
              </w:rPr>
              <w:t>​</w:t>
            </w:r>
          </w:p>
        </w:tc>
        <w:tc>
          <w:tcPr>
            <w:tcW w:w="71" w:type="pct"/>
            <w:noWrap/>
            <w:tcMar>
              <w:top w:w="0" w:type="dxa"/>
              <w:left w:w="0" w:type="dxa"/>
              <w:bottom w:w="0" w:type="dxa"/>
              <w:right w:w="0" w:type="dxa"/>
            </w:tcMar>
            <w:vAlign w:val="bottom"/>
            <w:hideMark/>
          </w:tcPr>
          <w:p w14:paraId="51C02797" w14:textId="77777777" w:rsidR="00000000" w:rsidRDefault="00097612">
            <w:pPr>
              <w:pStyle w:val="a3"/>
              <w:spacing w:before="0" w:beforeAutospacing="0" w:after="0" w:afterAutospacing="0"/>
              <w:divId w:val="384303791"/>
              <w:rPr>
                <w:sz w:val="20"/>
                <w:szCs w:val="20"/>
              </w:rPr>
            </w:pPr>
            <w:r>
              <w:rPr>
                <w:sz w:val="2"/>
                <w:szCs w:val="2"/>
              </w:rPr>
              <w:t>​</w:t>
            </w:r>
          </w:p>
        </w:tc>
        <w:tc>
          <w:tcPr>
            <w:tcW w:w="424" w:type="pct"/>
            <w:noWrap/>
            <w:tcMar>
              <w:top w:w="0" w:type="dxa"/>
              <w:left w:w="0" w:type="dxa"/>
              <w:bottom w:w="0" w:type="dxa"/>
              <w:right w:w="0" w:type="dxa"/>
            </w:tcMar>
            <w:vAlign w:val="bottom"/>
            <w:hideMark/>
          </w:tcPr>
          <w:p w14:paraId="53BB9B34" w14:textId="77777777" w:rsidR="00000000" w:rsidRDefault="00097612">
            <w:pPr>
              <w:pStyle w:val="a3"/>
              <w:spacing w:before="0" w:beforeAutospacing="0" w:after="0" w:afterAutospacing="0"/>
              <w:divId w:val="842235448"/>
              <w:rPr>
                <w:sz w:val="20"/>
                <w:szCs w:val="20"/>
              </w:rPr>
            </w:pPr>
            <w:r>
              <w:rPr>
                <w:sz w:val="2"/>
                <w:szCs w:val="2"/>
              </w:rPr>
              <w:t>​</w:t>
            </w:r>
          </w:p>
        </w:tc>
      </w:tr>
      <w:tr w:rsidR="00000000" w14:paraId="6EE421C5" w14:textId="77777777">
        <w:trPr>
          <w:divId w:val="137379467"/>
        </w:trPr>
        <w:tc>
          <w:tcPr>
            <w:tcW w:w="2836" w:type="pct"/>
            <w:shd w:val="clear" w:color="auto" w:fill="auto"/>
            <w:tcMar>
              <w:top w:w="0" w:type="dxa"/>
              <w:left w:w="0" w:type="dxa"/>
              <w:bottom w:w="0" w:type="dxa"/>
              <w:right w:w="0" w:type="dxa"/>
            </w:tcMar>
            <w:vAlign w:val="bottom"/>
            <w:hideMark/>
          </w:tcPr>
          <w:p w14:paraId="68CA26F0" w14:textId="77777777" w:rsidR="00000000" w:rsidRDefault="00097612">
            <w:pPr>
              <w:pStyle w:val="a3"/>
              <w:spacing w:before="0" w:beforeAutospacing="0" w:after="0" w:afterAutospacing="0"/>
              <w:rPr>
                <w:sz w:val="20"/>
                <w:szCs w:val="20"/>
              </w:rPr>
            </w:pPr>
            <w:r>
              <w:rPr>
                <w:b/>
                <w:bCs/>
                <w:color w:val="FF0000"/>
                <w:sz w:val="20"/>
                <w:szCs w:val="20"/>
              </w:rPr>
              <w:t>​</w:t>
            </w:r>
          </w:p>
        </w:tc>
        <w:tc>
          <w:tcPr>
            <w:tcW w:w="79" w:type="pct"/>
            <w:shd w:val="clear" w:color="auto" w:fill="auto"/>
            <w:noWrap/>
            <w:tcMar>
              <w:top w:w="0" w:type="dxa"/>
              <w:left w:w="0" w:type="dxa"/>
              <w:bottom w:w="0" w:type="dxa"/>
              <w:right w:w="0" w:type="dxa"/>
            </w:tcMar>
            <w:vAlign w:val="bottom"/>
            <w:hideMark/>
          </w:tcPr>
          <w:p w14:paraId="2E44ABB1" w14:textId="77777777" w:rsidR="00000000" w:rsidRDefault="00097612">
            <w:pPr>
              <w:pStyle w:val="a3"/>
              <w:spacing w:before="0" w:beforeAutospacing="0" w:after="0" w:afterAutospacing="0"/>
              <w:rPr>
                <w:sz w:val="20"/>
                <w:szCs w:val="20"/>
              </w:rPr>
            </w:pPr>
            <w:r>
              <w:rPr>
                <w:b/>
                <w:bCs/>
                <w:sz w:val="16"/>
                <w:szCs w:val="16"/>
              </w:rPr>
              <w:t>​</w:t>
            </w:r>
          </w:p>
        </w:tc>
        <w:tc>
          <w:tcPr>
            <w:tcW w:w="943" w:type="pct"/>
            <w:gridSpan w:val="5"/>
            <w:shd w:val="clear" w:color="auto" w:fill="auto"/>
            <w:tcMar>
              <w:top w:w="0" w:type="dxa"/>
              <w:left w:w="0" w:type="dxa"/>
              <w:bottom w:w="0" w:type="dxa"/>
              <w:right w:w="0" w:type="dxa"/>
            </w:tcMar>
            <w:vAlign w:val="bottom"/>
            <w:hideMark/>
          </w:tcPr>
          <w:p w14:paraId="1B7B6B5C"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79" w:type="pct"/>
            <w:shd w:val="clear" w:color="auto" w:fill="auto"/>
            <w:noWrap/>
            <w:tcMar>
              <w:top w:w="0" w:type="dxa"/>
              <w:left w:w="0" w:type="dxa"/>
              <w:bottom w:w="0" w:type="dxa"/>
              <w:right w:w="0" w:type="dxa"/>
            </w:tcMar>
            <w:vAlign w:val="bottom"/>
            <w:hideMark/>
          </w:tcPr>
          <w:p w14:paraId="68D27BE4" w14:textId="77777777" w:rsidR="00000000" w:rsidRDefault="00097612">
            <w:pPr>
              <w:pStyle w:val="a3"/>
              <w:spacing w:before="0" w:beforeAutospacing="0" w:after="0" w:afterAutospacing="0"/>
              <w:rPr>
                <w:sz w:val="20"/>
                <w:szCs w:val="20"/>
              </w:rPr>
            </w:pPr>
            <w:r>
              <w:rPr>
                <w:b/>
                <w:bCs/>
                <w:sz w:val="16"/>
                <w:szCs w:val="16"/>
              </w:rPr>
              <w:t>​</w:t>
            </w:r>
          </w:p>
        </w:tc>
        <w:tc>
          <w:tcPr>
            <w:tcW w:w="1061" w:type="pct"/>
            <w:gridSpan w:val="5"/>
            <w:shd w:val="clear" w:color="auto" w:fill="auto"/>
            <w:tcMar>
              <w:top w:w="0" w:type="dxa"/>
              <w:left w:w="0" w:type="dxa"/>
              <w:bottom w:w="0" w:type="dxa"/>
              <w:right w:w="0" w:type="dxa"/>
            </w:tcMar>
            <w:vAlign w:val="bottom"/>
            <w:hideMark/>
          </w:tcPr>
          <w:p w14:paraId="6DE7C100"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r>
      <w:tr w:rsidR="00000000" w14:paraId="4E6ADA1E" w14:textId="77777777">
        <w:trPr>
          <w:divId w:val="137379467"/>
        </w:trPr>
        <w:tc>
          <w:tcPr>
            <w:tcW w:w="2836" w:type="pct"/>
            <w:shd w:val="clear" w:color="auto" w:fill="auto"/>
            <w:tcMar>
              <w:top w:w="0" w:type="dxa"/>
              <w:left w:w="0" w:type="dxa"/>
              <w:bottom w:w="0" w:type="dxa"/>
              <w:right w:w="0" w:type="dxa"/>
            </w:tcMar>
            <w:vAlign w:val="bottom"/>
            <w:hideMark/>
          </w:tcPr>
          <w:p w14:paraId="40F07DAD"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65121A1B" w14:textId="77777777" w:rsidR="00000000" w:rsidRDefault="00097612">
            <w:pPr>
              <w:pStyle w:val="a3"/>
              <w:spacing w:before="0" w:beforeAutospacing="0" w:after="0" w:afterAutospacing="0"/>
              <w:rPr>
                <w:sz w:val="20"/>
                <w:szCs w:val="20"/>
              </w:rPr>
            </w:pPr>
            <w:r>
              <w:rPr>
                <w:b/>
                <w:bCs/>
                <w:sz w:val="16"/>
                <w:szCs w:val="16"/>
              </w:rPr>
              <w:t>​</w:t>
            </w:r>
          </w:p>
        </w:tc>
        <w:tc>
          <w:tcPr>
            <w:tcW w:w="943" w:type="pct"/>
            <w:gridSpan w:val="5"/>
            <w:tcBorders>
              <w:bottom w:val="single" w:sz="6" w:space="0" w:color="000000"/>
            </w:tcBorders>
            <w:shd w:val="clear" w:color="auto" w:fill="auto"/>
            <w:tcMar>
              <w:top w:w="0" w:type="dxa"/>
              <w:left w:w="0" w:type="dxa"/>
              <w:bottom w:w="0" w:type="dxa"/>
              <w:right w:w="0" w:type="dxa"/>
            </w:tcMar>
            <w:vAlign w:val="bottom"/>
            <w:hideMark/>
          </w:tcPr>
          <w:p w14:paraId="028069DC"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1369CD8E" w14:textId="77777777" w:rsidR="00000000" w:rsidRDefault="00097612">
            <w:pPr>
              <w:pStyle w:val="a3"/>
              <w:spacing w:before="0" w:beforeAutospacing="0" w:after="0" w:afterAutospacing="0"/>
              <w:rPr>
                <w:sz w:val="20"/>
                <w:szCs w:val="20"/>
              </w:rPr>
            </w:pPr>
            <w:r>
              <w:rPr>
                <w:b/>
                <w:bCs/>
                <w:sz w:val="16"/>
                <w:szCs w:val="16"/>
              </w:rPr>
              <w:t>​</w:t>
            </w:r>
          </w:p>
        </w:tc>
        <w:tc>
          <w:tcPr>
            <w:tcW w:w="1061" w:type="pct"/>
            <w:gridSpan w:val="5"/>
            <w:tcBorders>
              <w:bottom w:val="single" w:sz="6" w:space="0" w:color="000000"/>
            </w:tcBorders>
            <w:shd w:val="clear" w:color="auto" w:fill="auto"/>
            <w:tcMar>
              <w:top w:w="0" w:type="dxa"/>
              <w:left w:w="0" w:type="dxa"/>
              <w:bottom w:w="0" w:type="dxa"/>
              <w:right w:w="0" w:type="dxa"/>
            </w:tcMar>
            <w:vAlign w:val="bottom"/>
            <w:hideMark/>
          </w:tcPr>
          <w:p w14:paraId="5CFF6FA4" w14:textId="77777777" w:rsidR="00000000" w:rsidRDefault="00097612">
            <w:pPr>
              <w:pStyle w:val="a3"/>
              <w:spacing w:before="0" w:beforeAutospacing="0" w:after="0" w:afterAutospacing="0"/>
              <w:jc w:val="center"/>
              <w:rPr>
                <w:sz w:val="16"/>
                <w:szCs w:val="16"/>
              </w:rPr>
            </w:pPr>
            <w:r>
              <w:rPr>
                <w:b/>
                <w:bCs/>
                <w:sz w:val="16"/>
                <w:szCs w:val="16"/>
              </w:rPr>
              <w:t>September 30, </w:t>
            </w:r>
          </w:p>
        </w:tc>
      </w:tr>
      <w:tr w:rsidR="00000000" w14:paraId="1D6608D5" w14:textId="77777777">
        <w:trPr>
          <w:divId w:val="137379467"/>
        </w:trPr>
        <w:tc>
          <w:tcPr>
            <w:tcW w:w="2836" w:type="pct"/>
            <w:tcBorders>
              <w:bottom w:val="single" w:sz="6" w:space="0" w:color="000000"/>
            </w:tcBorders>
            <w:shd w:val="clear" w:color="auto" w:fill="auto"/>
            <w:tcMar>
              <w:top w:w="0" w:type="dxa"/>
              <w:left w:w="0" w:type="dxa"/>
              <w:bottom w:w="0" w:type="dxa"/>
              <w:right w:w="0" w:type="dxa"/>
            </w:tcMar>
            <w:vAlign w:val="bottom"/>
            <w:hideMark/>
          </w:tcPr>
          <w:p w14:paraId="743E8E2E" w14:textId="77777777" w:rsidR="00000000" w:rsidRDefault="00097612">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14:paraId="1EE18063" w14:textId="77777777" w:rsidR="00000000" w:rsidRDefault="00097612">
            <w:pPr>
              <w:pStyle w:val="a3"/>
              <w:spacing w:before="0" w:beforeAutospacing="0" w:after="0" w:afterAutospacing="0"/>
              <w:rPr>
                <w:sz w:val="16"/>
                <w:szCs w:val="16"/>
              </w:rPr>
            </w:pPr>
            <w:r>
              <w:rPr>
                <w:b/>
                <w:bCs/>
                <w:sz w:val="16"/>
                <w:szCs w:val="16"/>
              </w:rPr>
              <w:t>    </w:t>
            </w:r>
          </w:p>
        </w:tc>
        <w:tc>
          <w:tcPr>
            <w:tcW w:w="427" w:type="pct"/>
            <w:gridSpan w:val="2"/>
            <w:tcBorders>
              <w:bottom w:val="single" w:sz="6" w:space="0" w:color="000000"/>
            </w:tcBorders>
            <w:shd w:val="clear" w:color="auto" w:fill="auto"/>
            <w:noWrap/>
            <w:tcMar>
              <w:top w:w="0" w:type="dxa"/>
              <w:left w:w="0" w:type="dxa"/>
              <w:bottom w:w="0" w:type="dxa"/>
              <w:right w:w="0" w:type="dxa"/>
            </w:tcMar>
            <w:vAlign w:val="bottom"/>
            <w:hideMark/>
          </w:tcPr>
          <w:p w14:paraId="4C070B3D" w14:textId="77777777" w:rsidR="00000000" w:rsidRDefault="00097612">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14:paraId="4547029E" w14:textId="77777777" w:rsidR="00000000" w:rsidRDefault="00097612">
            <w:pPr>
              <w:pStyle w:val="a3"/>
              <w:spacing w:before="0" w:beforeAutospacing="0" w:after="0" w:afterAutospacing="0"/>
              <w:rPr>
                <w:sz w:val="16"/>
                <w:szCs w:val="16"/>
              </w:rPr>
            </w:pPr>
            <w:r>
              <w:rPr>
                <w:b/>
                <w:bCs/>
                <w:sz w:val="16"/>
                <w:szCs w:val="16"/>
              </w:rPr>
              <w:t>    </w:t>
            </w:r>
          </w:p>
        </w:tc>
        <w:tc>
          <w:tcPr>
            <w:tcW w:w="437" w:type="pct"/>
            <w:gridSpan w:val="2"/>
            <w:tcBorders>
              <w:bottom w:val="single" w:sz="6" w:space="0" w:color="000000"/>
            </w:tcBorders>
            <w:shd w:val="clear" w:color="auto" w:fill="auto"/>
            <w:noWrap/>
            <w:tcMar>
              <w:top w:w="0" w:type="dxa"/>
              <w:left w:w="0" w:type="dxa"/>
              <w:bottom w:w="0" w:type="dxa"/>
              <w:right w:w="0" w:type="dxa"/>
            </w:tcMar>
            <w:vAlign w:val="bottom"/>
            <w:hideMark/>
          </w:tcPr>
          <w:p w14:paraId="503C50F9"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34FB37AD" w14:textId="77777777" w:rsidR="00000000" w:rsidRDefault="00097612">
            <w:pPr>
              <w:pStyle w:val="a3"/>
              <w:spacing w:before="0" w:beforeAutospacing="0" w:after="0" w:afterAutospacing="0"/>
              <w:rPr>
                <w:sz w:val="16"/>
                <w:szCs w:val="16"/>
              </w:rPr>
            </w:pPr>
            <w:r>
              <w:rPr>
                <w:b/>
                <w:bCs/>
                <w:sz w:val="16"/>
                <w:szCs w:val="16"/>
              </w:rPr>
              <w:t>    </w:t>
            </w:r>
          </w:p>
        </w:tc>
        <w:tc>
          <w:tcPr>
            <w:tcW w:w="486" w:type="pct"/>
            <w:gridSpan w:val="2"/>
            <w:tcBorders>
              <w:bottom w:val="single" w:sz="6" w:space="0" w:color="000000"/>
            </w:tcBorders>
            <w:shd w:val="clear" w:color="auto" w:fill="auto"/>
            <w:noWrap/>
            <w:tcMar>
              <w:top w:w="0" w:type="dxa"/>
              <w:left w:w="0" w:type="dxa"/>
              <w:bottom w:w="0" w:type="dxa"/>
              <w:right w:w="0" w:type="dxa"/>
            </w:tcMar>
            <w:vAlign w:val="bottom"/>
            <w:hideMark/>
          </w:tcPr>
          <w:p w14:paraId="2493ABCF" w14:textId="77777777" w:rsidR="00000000" w:rsidRDefault="00097612">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14:paraId="5032F45F" w14:textId="77777777" w:rsidR="00000000" w:rsidRDefault="00097612">
            <w:pPr>
              <w:pStyle w:val="a3"/>
              <w:spacing w:before="0" w:beforeAutospacing="0" w:after="0" w:afterAutospacing="0"/>
              <w:rPr>
                <w:sz w:val="16"/>
                <w:szCs w:val="16"/>
              </w:rPr>
            </w:pPr>
            <w:r>
              <w:rPr>
                <w:b/>
                <w:bCs/>
                <w:sz w:val="16"/>
                <w:szCs w:val="16"/>
              </w:rPr>
              <w:t>    </w:t>
            </w:r>
          </w:p>
        </w:tc>
        <w:tc>
          <w:tcPr>
            <w:tcW w:w="496" w:type="pct"/>
            <w:gridSpan w:val="2"/>
            <w:tcBorders>
              <w:bottom w:val="single" w:sz="6" w:space="0" w:color="000000"/>
            </w:tcBorders>
            <w:shd w:val="clear" w:color="auto" w:fill="auto"/>
            <w:noWrap/>
            <w:tcMar>
              <w:top w:w="0" w:type="dxa"/>
              <w:left w:w="0" w:type="dxa"/>
              <w:bottom w:w="0" w:type="dxa"/>
              <w:right w:w="0" w:type="dxa"/>
            </w:tcMar>
            <w:vAlign w:val="bottom"/>
            <w:hideMark/>
          </w:tcPr>
          <w:p w14:paraId="4DD5C7FD" w14:textId="77777777" w:rsidR="00000000" w:rsidRDefault="00097612">
            <w:pPr>
              <w:pStyle w:val="a3"/>
              <w:spacing w:before="0" w:beforeAutospacing="0" w:after="0" w:afterAutospacing="0"/>
              <w:jc w:val="center"/>
              <w:rPr>
                <w:sz w:val="16"/>
                <w:szCs w:val="16"/>
              </w:rPr>
            </w:pPr>
            <w:r>
              <w:rPr>
                <w:b/>
                <w:bCs/>
                <w:sz w:val="16"/>
                <w:szCs w:val="16"/>
              </w:rPr>
              <w:t>2018</w:t>
            </w:r>
          </w:p>
        </w:tc>
      </w:tr>
      <w:tr w:rsidR="00000000" w14:paraId="4DACE452" w14:textId="77777777">
        <w:trPr>
          <w:divId w:val="137379467"/>
        </w:trPr>
        <w:tc>
          <w:tcPr>
            <w:tcW w:w="2836" w:type="pct"/>
            <w:shd w:val="clear" w:color="auto" w:fill="CCEEFF"/>
            <w:tcMar>
              <w:top w:w="0" w:type="dxa"/>
              <w:left w:w="0" w:type="dxa"/>
              <w:bottom w:w="0" w:type="dxa"/>
              <w:right w:w="0" w:type="dxa"/>
            </w:tcMar>
            <w:hideMark/>
          </w:tcPr>
          <w:p w14:paraId="6E6D97A3" w14:textId="77777777" w:rsidR="00000000" w:rsidRDefault="00097612">
            <w:pPr>
              <w:pStyle w:val="a3"/>
              <w:spacing w:before="0" w:beforeAutospacing="0" w:after="0" w:afterAutospacing="0"/>
              <w:rPr>
                <w:sz w:val="20"/>
                <w:szCs w:val="20"/>
              </w:rPr>
            </w:pPr>
            <w:r>
              <w:rPr>
                <w:b/>
                <w:bCs/>
                <w:sz w:val="20"/>
                <w:szCs w:val="20"/>
              </w:rPr>
              <w:t>Numerator:</w:t>
            </w:r>
          </w:p>
        </w:tc>
        <w:tc>
          <w:tcPr>
            <w:tcW w:w="79" w:type="pct"/>
            <w:shd w:val="clear" w:color="auto" w:fill="CCEEFF"/>
            <w:noWrap/>
            <w:tcMar>
              <w:top w:w="0" w:type="dxa"/>
              <w:left w:w="0" w:type="dxa"/>
              <w:bottom w:w="0" w:type="dxa"/>
              <w:right w:w="0" w:type="dxa"/>
            </w:tcMar>
            <w:vAlign w:val="bottom"/>
            <w:hideMark/>
          </w:tcPr>
          <w:p w14:paraId="7D5F3442" w14:textId="77777777" w:rsidR="00000000" w:rsidRDefault="00097612">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4864C57B" w14:textId="77777777" w:rsidR="00000000" w:rsidRDefault="00097612">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14:paraId="5CF8E31D" w14:textId="77777777" w:rsidR="00000000" w:rsidRDefault="00097612">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532DAACC" w14:textId="77777777" w:rsidR="00000000" w:rsidRDefault="00097612">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19FE3718" w14:textId="77777777" w:rsidR="00000000" w:rsidRDefault="00097612">
            <w:pPr>
              <w:pStyle w:val="a3"/>
              <w:spacing w:before="0" w:beforeAutospacing="0" w:after="0"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14:paraId="4894452C" w14:textId="77777777" w:rsidR="00000000" w:rsidRDefault="00097612">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7B2E7E53" w14:textId="77777777" w:rsidR="00000000" w:rsidRDefault="00097612">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14:paraId="41B13215" w14:textId="77777777" w:rsidR="00000000" w:rsidRDefault="00097612">
            <w:pPr>
              <w:pStyle w:val="a3"/>
              <w:spacing w:before="0" w:beforeAutospacing="0" w:after="0" w:afterAutospacing="0"/>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14:paraId="45DB3A40" w14:textId="77777777" w:rsidR="00000000" w:rsidRDefault="00097612">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0656954D" w14:textId="77777777" w:rsidR="00000000" w:rsidRDefault="00097612">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14:paraId="42AA5B9A" w14:textId="77777777" w:rsidR="00000000" w:rsidRDefault="00097612">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1C88F85E" w14:textId="77777777" w:rsidR="00000000" w:rsidRDefault="00097612">
            <w:pPr>
              <w:pStyle w:val="a3"/>
              <w:spacing w:before="0" w:beforeAutospacing="0" w:after="0" w:afterAutospacing="0"/>
              <w:rPr>
                <w:sz w:val="20"/>
                <w:szCs w:val="20"/>
              </w:rPr>
            </w:pPr>
            <w:r>
              <w:rPr>
                <w:sz w:val="20"/>
                <w:szCs w:val="20"/>
              </w:rPr>
              <w:t>​</w:t>
            </w:r>
          </w:p>
        </w:tc>
      </w:tr>
      <w:tr w:rsidR="00000000" w14:paraId="2A77EA2D" w14:textId="77777777">
        <w:trPr>
          <w:divId w:val="137379467"/>
        </w:trPr>
        <w:tc>
          <w:tcPr>
            <w:tcW w:w="2836" w:type="pct"/>
            <w:tcMar>
              <w:top w:w="0" w:type="dxa"/>
              <w:left w:w="0" w:type="dxa"/>
              <w:bottom w:w="0" w:type="dxa"/>
              <w:right w:w="0" w:type="dxa"/>
            </w:tcMar>
            <w:vAlign w:val="center"/>
            <w:hideMark/>
          </w:tcPr>
          <w:p w14:paraId="7CC00423" w14:textId="77777777" w:rsidR="00000000" w:rsidRDefault="00097612">
            <w:pPr>
              <w:pStyle w:val="a3"/>
              <w:spacing w:before="0" w:beforeAutospacing="0" w:after="0" w:afterAutospacing="0"/>
              <w:rPr>
                <w:sz w:val="20"/>
                <w:szCs w:val="20"/>
              </w:rPr>
            </w:pPr>
            <w:r>
              <w:rPr>
                <w:sz w:val="20"/>
                <w:szCs w:val="20"/>
              </w:rPr>
              <w:t>Net loss</w:t>
            </w:r>
          </w:p>
        </w:tc>
        <w:tc>
          <w:tcPr>
            <w:tcW w:w="79" w:type="pct"/>
            <w:noWrap/>
            <w:tcMar>
              <w:top w:w="0" w:type="dxa"/>
              <w:left w:w="0" w:type="dxa"/>
              <w:bottom w:w="0" w:type="dxa"/>
              <w:right w:w="0" w:type="dxa"/>
            </w:tcMar>
            <w:vAlign w:val="bottom"/>
            <w:hideMark/>
          </w:tcPr>
          <w:p w14:paraId="6D6BB78F" w14:textId="77777777" w:rsidR="00000000" w:rsidRDefault="00097612">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586DEB19" w14:textId="77777777" w:rsidR="00000000" w:rsidRDefault="00097612">
            <w:pPr>
              <w:pStyle w:val="a3"/>
              <w:spacing w:before="0" w:beforeAutospacing="0" w:after="0" w:afterAutospacing="0"/>
              <w:jc w:val="center"/>
              <w:rPr>
                <w:sz w:val="20"/>
                <w:szCs w:val="20"/>
              </w:rPr>
            </w:pPr>
            <w:r>
              <w:rPr>
                <w:sz w:val="20"/>
                <w:szCs w:val="20"/>
              </w:rPr>
              <w:t>$</w:t>
            </w:r>
          </w:p>
        </w:tc>
        <w:tc>
          <w:tcPr>
            <w:tcW w:w="364" w:type="pct"/>
            <w:noWrap/>
            <w:tcMar>
              <w:top w:w="0" w:type="dxa"/>
              <w:left w:w="0" w:type="dxa"/>
              <w:bottom w:w="0" w:type="dxa"/>
              <w:right w:w="0" w:type="dxa"/>
            </w:tcMar>
            <w:vAlign w:val="bottom"/>
            <w:hideMark/>
          </w:tcPr>
          <w:p w14:paraId="0BE10B8E" w14:textId="77777777" w:rsidR="00000000" w:rsidRDefault="00097612">
            <w:pPr>
              <w:pStyle w:val="a3"/>
              <w:spacing w:before="0" w:beforeAutospacing="0" w:after="0" w:afterAutospacing="0"/>
              <w:jc w:val="right"/>
              <w:rPr>
                <w:sz w:val="20"/>
                <w:szCs w:val="20"/>
              </w:rPr>
            </w:pPr>
            <w:r>
              <w:rPr>
                <w:sz w:val="20"/>
                <w:szCs w:val="20"/>
              </w:rPr>
              <w:t>(58,431)</w:t>
            </w:r>
          </w:p>
        </w:tc>
        <w:tc>
          <w:tcPr>
            <w:tcW w:w="79" w:type="pct"/>
            <w:noWrap/>
            <w:tcMar>
              <w:top w:w="0" w:type="dxa"/>
              <w:left w:w="0" w:type="dxa"/>
              <w:bottom w:w="0" w:type="dxa"/>
              <w:right w:w="0" w:type="dxa"/>
            </w:tcMar>
            <w:vAlign w:val="bottom"/>
            <w:hideMark/>
          </w:tcPr>
          <w:p w14:paraId="53850886" w14:textId="77777777" w:rsidR="00000000" w:rsidRDefault="00097612">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31A4D087" w14:textId="77777777" w:rsidR="00000000" w:rsidRDefault="00097612">
            <w:pPr>
              <w:pStyle w:val="a3"/>
              <w:spacing w:before="0" w:beforeAutospacing="0" w:after="0" w:afterAutospacing="0"/>
              <w:jc w:val="center"/>
              <w:rPr>
                <w:sz w:val="20"/>
                <w:szCs w:val="20"/>
              </w:rPr>
            </w:pPr>
            <w:r>
              <w:rPr>
                <w:sz w:val="20"/>
                <w:szCs w:val="20"/>
              </w:rPr>
              <w:t>$</w:t>
            </w:r>
          </w:p>
        </w:tc>
        <w:tc>
          <w:tcPr>
            <w:tcW w:w="366" w:type="pct"/>
            <w:noWrap/>
            <w:tcMar>
              <w:top w:w="0" w:type="dxa"/>
              <w:left w:w="0" w:type="dxa"/>
              <w:bottom w:w="0" w:type="dxa"/>
              <w:right w:w="0" w:type="dxa"/>
            </w:tcMar>
            <w:vAlign w:val="bottom"/>
            <w:hideMark/>
          </w:tcPr>
          <w:p w14:paraId="1AE08856" w14:textId="77777777" w:rsidR="00000000" w:rsidRDefault="00097612">
            <w:pPr>
              <w:pStyle w:val="a3"/>
              <w:spacing w:before="0" w:beforeAutospacing="0" w:after="0" w:afterAutospacing="0"/>
              <w:jc w:val="right"/>
              <w:rPr>
                <w:sz w:val="20"/>
                <w:szCs w:val="20"/>
              </w:rPr>
            </w:pPr>
            <w:r>
              <w:rPr>
                <w:sz w:val="20"/>
                <w:szCs w:val="20"/>
              </w:rPr>
              <w:t>(59,433)</w:t>
            </w:r>
          </w:p>
        </w:tc>
        <w:tc>
          <w:tcPr>
            <w:tcW w:w="79" w:type="pct"/>
            <w:noWrap/>
            <w:tcMar>
              <w:top w:w="0" w:type="dxa"/>
              <w:left w:w="0" w:type="dxa"/>
              <w:bottom w:w="0" w:type="dxa"/>
              <w:right w:w="0" w:type="dxa"/>
            </w:tcMar>
            <w:vAlign w:val="bottom"/>
            <w:hideMark/>
          </w:tcPr>
          <w:p w14:paraId="32DB150C" w14:textId="77777777" w:rsidR="00000000" w:rsidRDefault="00097612">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14:paraId="19C343FB" w14:textId="77777777" w:rsidR="00000000" w:rsidRDefault="00097612">
            <w:pPr>
              <w:pStyle w:val="a3"/>
              <w:spacing w:before="0" w:beforeAutospacing="0" w:after="0" w:afterAutospacing="0"/>
              <w:jc w:val="center"/>
              <w:rPr>
                <w:sz w:val="20"/>
                <w:szCs w:val="20"/>
              </w:rPr>
            </w:pPr>
            <w:r>
              <w:rPr>
                <w:sz w:val="20"/>
                <w:szCs w:val="20"/>
              </w:rPr>
              <w:t>$</w:t>
            </w:r>
          </w:p>
        </w:tc>
        <w:tc>
          <w:tcPr>
            <w:tcW w:w="414" w:type="pct"/>
            <w:noWrap/>
            <w:tcMar>
              <w:top w:w="0" w:type="dxa"/>
              <w:left w:w="0" w:type="dxa"/>
              <w:bottom w:w="0" w:type="dxa"/>
              <w:right w:w="0" w:type="dxa"/>
            </w:tcMar>
            <w:vAlign w:val="bottom"/>
            <w:hideMark/>
          </w:tcPr>
          <w:p w14:paraId="7313A6C2" w14:textId="77777777" w:rsidR="00000000" w:rsidRDefault="00097612">
            <w:pPr>
              <w:pStyle w:val="a3"/>
              <w:spacing w:before="0" w:beforeAutospacing="0" w:after="0" w:afterAutospacing="0"/>
              <w:jc w:val="right"/>
              <w:rPr>
                <w:sz w:val="20"/>
                <w:szCs w:val="20"/>
              </w:rPr>
            </w:pPr>
            <w:r>
              <w:rPr>
                <w:sz w:val="20"/>
                <w:szCs w:val="20"/>
              </w:rPr>
              <w:t>(170,849)</w:t>
            </w:r>
          </w:p>
        </w:tc>
        <w:tc>
          <w:tcPr>
            <w:tcW w:w="79" w:type="pct"/>
            <w:noWrap/>
            <w:tcMar>
              <w:top w:w="0" w:type="dxa"/>
              <w:left w:w="0" w:type="dxa"/>
              <w:bottom w:w="0" w:type="dxa"/>
              <w:right w:w="0" w:type="dxa"/>
            </w:tcMar>
            <w:vAlign w:val="bottom"/>
            <w:hideMark/>
          </w:tcPr>
          <w:p w14:paraId="53F1519E" w14:textId="77777777" w:rsidR="00000000" w:rsidRDefault="00097612">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14:paraId="6BD4FF06" w14:textId="77777777" w:rsidR="00000000" w:rsidRDefault="00097612">
            <w:pPr>
              <w:pStyle w:val="a3"/>
              <w:spacing w:before="0" w:beforeAutospacing="0" w:after="0" w:afterAutospacing="0"/>
              <w:jc w:val="center"/>
              <w:rPr>
                <w:sz w:val="20"/>
                <w:szCs w:val="20"/>
              </w:rPr>
            </w:pPr>
            <w:r>
              <w:rPr>
                <w:sz w:val="20"/>
                <w:szCs w:val="20"/>
              </w:rPr>
              <w:t>$</w:t>
            </w:r>
          </w:p>
        </w:tc>
        <w:tc>
          <w:tcPr>
            <w:tcW w:w="424" w:type="pct"/>
            <w:noWrap/>
            <w:tcMar>
              <w:top w:w="0" w:type="dxa"/>
              <w:left w:w="0" w:type="dxa"/>
              <w:bottom w:w="0" w:type="dxa"/>
              <w:right w:w="0" w:type="dxa"/>
            </w:tcMar>
            <w:vAlign w:val="bottom"/>
            <w:hideMark/>
          </w:tcPr>
          <w:p w14:paraId="65488735" w14:textId="77777777" w:rsidR="00000000" w:rsidRDefault="00097612">
            <w:pPr>
              <w:pStyle w:val="a3"/>
              <w:spacing w:before="0" w:beforeAutospacing="0" w:after="0" w:afterAutospacing="0"/>
              <w:jc w:val="right"/>
              <w:rPr>
                <w:sz w:val="20"/>
                <w:szCs w:val="20"/>
              </w:rPr>
            </w:pPr>
            <w:r>
              <w:rPr>
                <w:sz w:val="20"/>
                <w:szCs w:val="20"/>
              </w:rPr>
              <w:t>(165,338)</w:t>
            </w:r>
          </w:p>
        </w:tc>
      </w:tr>
      <w:tr w:rsidR="00000000" w14:paraId="6F6092AF" w14:textId="77777777">
        <w:trPr>
          <w:divId w:val="137379467"/>
        </w:trPr>
        <w:tc>
          <w:tcPr>
            <w:tcW w:w="2836" w:type="pct"/>
            <w:shd w:val="clear" w:color="auto" w:fill="CCEEFF"/>
            <w:tcMar>
              <w:top w:w="0" w:type="dxa"/>
              <w:left w:w="0" w:type="dxa"/>
              <w:bottom w:w="0" w:type="dxa"/>
              <w:right w:w="0" w:type="dxa"/>
            </w:tcMar>
            <w:hideMark/>
          </w:tcPr>
          <w:p w14:paraId="555F85BB" w14:textId="77777777" w:rsidR="00000000" w:rsidRDefault="00097612">
            <w:pPr>
              <w:pStyle w:val="a3"/>
              <w:spacing w:before="0" w:beforeAutospacing="0" w:after="0" w:afterAutospacing="0"/>
              <w:rPr>
                <w:sz w:val="20"/>
                <w:szCs w:val="20"/>
              </w:rPr>
            </w:pPr>
            <w:r>
              <w:rPr>
                <w:b/>
                <w:bCs/>
                <w:sz w:val="20"/>
                <w:szCs w:val="20"/>
              </w:rPr>
              <w:t>Denominator:</w:t>
            </w:r>
          </w:p>
        </w:tc>
        <w:tc>
          <w:tcPr>
            <w:tcW w:w="79" w:type="pct"/>
            <w:shd w:val="clear" w:color="auto" w:fill="CCEEFF"/>
            <w:noWrap/>
            <w:tcMar>
              <w:top w:w="0" w:type="dxa"/>
              <w:left w:w="0" w:type="dxa"/>
              <w:bottom w:w="0" w:type="dxa"/>
              <w:right w:w="0" w:type="dxa"/>
            </w:tcMar>
            <w:vAlign w:val="bottom"/>
            <w:hideMark/>
          </w:tcPr>
          <w:p w14:paraId="4C9A386A" w14:textId="77777777" w:rsidR="00000000" w:rsidRDefault="00097612">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53732069" w14:textId="77777777" w:rsidR="00000000" w:rsidRDefault="00097612">
            <w:pPr>
              <w:pStyle w:val="a3"/>
              <w:spacing w:before="0" w:beforeAutospacing="0" w:after="0" w:afterAutospacing="0"/>
              <w:jc w:val="center"/>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14:paraId="02AF3730" w14:textId="77777777" w:rsidR="00000000" w:rsidRDefault="00097612">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16E4D427" w14:textId="77777777" w:rsidR="00000000" w:rsidRDefault="00097612">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63AB99FC" w14:textId="77777777" w:rsidR="00000000" w:rsidRDefault="00097612">
            <w:pPr>
              <w:pStyle w:val="a3"/>
              <w:spacing w:before="0" w:beforeAutospacing="0" w:after="0" w:afterAutospacing="0"/>
              <w:jc w:val="center"/>
              <w:rPr>
                <w:sz w:val="20"/>
                <w:szCs w:val="20"/>
              </w:rPr>
            </w:pPr>
            <w:r>
              <w:rPr>
                <w:sz w:val="20"/>
                <w:szCs w:val="20"/>
              </w:rPr>
              <w:t> </w:t>
            </w:r>
          </w:p>
        </w:tc>
        <w:tc>
          <w:tcPr>
            <w:tcW w:w="366" w:type="pct"/>
            <w:shd w:val="clear" w:color="auto" w:fill="CCEEFF"/>
            <w:noWrap/>
            <w:tcMar>
              <w:top w:w="0" w:type="dxa"/>
              <w:left w:w="0" w:type="dxa"/>
              <w:bottom w:w="0" w:type="dxa"/>
              <w:right w:w="0" w:type="dxa"/>
            </w:tcMar>
            <w:vAlign w:val="bottom"/>
            <w:hideMark/>
          </w:tcPr>
          <w:p w14:paraId="493F43C5" w14:textId="77777777" w:rsidR="00000000" w:rsidRDefault="00097612">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1B17B3A3" w14:textId="77777777" w:rsidR="00000000" w:rsidRDefault="00097612">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14:paraId="77532A3C" w14:textId="77777777" w:rsidR="00000000" w:rsidRDefault="00097612">
            <w:pPr>
              <w:pStyle w:val="a3"/>
              <w:spacing w:before="0" w:beforeAutospacing="0" w:after="0" w:afterAutospacing="0"/>
              <w:jc w:val="center"/>
              <w:rPr>
                <w:sz w:val="20"/>
                <w:szCs w:val="20"/>
              </w:rPr>
            </w:pPr>
            <w:r>
              <w:rPr>
                <w:sz w:val="20"/>
                <w:szCs w:val="20"/>
              </w:rPr>
              <w:t> </w:t>
            </w:r>
          </w:p>
        </w:tc>
        <w:tc>
          <w:tcPr>
            <w:tcW w:w="414" w:type="pct"/>
            <w:shd w:val="clear" w:color="auto" w:fill="CCEEFF"/>
            <w:noWrap/>
            <w:tcMar>
              <w:top w:w="0" w:type="dxa"/>
              <w:left w:w="0" w:type="dxa"/>
              <w:bottom w:w="0" w:type="dxa"/>
              <w:right w:w="0" w:type="dxa"/>
            </w:tcMar>
            <w:vAlign w:val="bottom"/>
            <w:hideMark/>
          </w:tcPr>
          <w:p w14:paraId="4C883E93" w14:textId="77777777" w:rsidR="00000000" w:rsidRDefault="00097612">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21D57422" w14:textId="77777777" w:rsidR="00000000" w:rsidRDefault="00097612">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14:paraId="14D4F0F4" w14:textId="77777777" w:rsidR="00000000" w:rsidRDefault="00097612">
            <w:pPr>
              <w:pStyle w:val="a3"/>
              <w:spacing w:before="0" w:beforeAutospacing="0" w:after="0" w:afterAutospacing="0"/>
              <w:jc w:val="center"/>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14:paraId="482C87BF" w14:textId="77777777" w:rsidR="00000000" w:rsidRDefault="00097612">
            <w:pPr>
              <w:pStyle w:val="a3"/>
              <w:spacing w:before="0" w:beforeAutospacing="0" w:after="0" w:afterAutospacing="0"/>
              <w:rPr>
                <w:sz w:val="20"/>
                <w:szCs w:val="20"/>
              </w:rPr>
            </w:pPr>
            <w:r>
              <w:rPr>
                <w:sz w:val="20"/>
                <w:szCs w:val="20"/>
              </w:rPr>
              <w:t>​</w:t>
            </w:r>
          </w:p>
        </w:tc>
      </w:tr>
      <w:tr w:rsidR="00000000" w14:paraId="0C46F4C1" w14:textId="77777777">
        <w:trPr>
          <w:divId w:val="137379467"/>
        </w:trPr>
        <w:tc>
          <w:tcPr>
            <w:tcW w:w="2836" w:type="pct"/>
            <w:tcMar>
              <w:top w:w="0" w:type="dxa"/>
              <w:left w:w="0" w:type="dxa"/>
              <w:bottom w:w="0" w:type="dxa"/>
              <w:right w:w="0" w:type="dxa"/>
            </w:tcMar>
            <w:vAlign w:val="center"/>
            <w:hideMark/>
          </w:tcPr>
          <w:p w14:paraId="66E83DC8" w14:textId="77777777" w:rsidR="00000000" w:rsidRDefault="00097612">
            <w:pPr>
              <w:pStyle w:val="a3"/>
              <w:spacing w:before="0" w:beforeAutospacing="0" w:after="0" w:afterAutospacing="0"/>
              <w:rPr>
                <w:sz w:val="20"/>
                <w:szCs w:val="20"/>
              </w:rPr>
            </w:pPr>
            <w:r>
              <w:rPr>
                <w:sz w:val="20"/>
                <w:szCs w:val="20"/>
              </w:rPr>
              <w:t>Weighted-average common shares outstanding</w:t>
            </w:r>
          </w:p>
        </w:tc>
        <w:tc>
          <w:tcPr>
            <w:tcW w:w="79" w:type="pct"/>
            <w:noWrap/>
            <w:tcMar>
              <w:top w:w="0" w:type="dxa"/>
              <w:left w:w="0" w:type="dxa"/>
              <w:bottom w:w="0" w:type="dxa"/>
              <w:right w:w="0" w:type="dxa"/>
            </w:tcMar>
            <w:vAlign w:val="bottom"/>
            <w:hideMark/>
          </w:tcPr>
          <w:p w14:paraId="76970562" w14:textId="77777777" w:rsidR="00000000" w:rsidRDefault="00097612">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1AB677BD" w14:textId="77777777" w:rsidR="00000000" w:rsidRDefault="00097612">
            <w:pPr>
              <w:pStyle w:val="a3"/>
              <w:spacing w:before="0" w:beforeAutospacing="0" w:after="0" w:afterAutospacing="0"/>
              <w:jc w:val="center"/>
              <w:rPr>
                <w:sz w:val="20"/>
                <w:szCs w:val="20"/>
              </w:rPr>
            </w:pPr>
            <w:r>
              <w:rPr>
                <w:sz w:val="20"/>
                <w:szCs w:val="20"/>
              </w:rPr>
              <w:t>​</w:t>
            </w:r>
          </w:p>
        </w:tc>
        <w:tc>
          <w:tcPr>
            <w:tcW w:w="364" w:type="pct"/>
            <w:noWrap/>
            <w:tcMar>
              <w:top w:w="0" w:type="dxa"/>
              <w:left w:w="0" w:type="dxa"/>
              <w:bottom w:w="0" w:type="dxa"/>
              <w:right w:w="0" w:type="dxa"/>
            </w:tcMar>
            <w:vAlign w:val="bottom"/>
            <w:hideMark/>
          </w:tcPr>
          <w:p w14:paraId="651C604E" w14:textId="77777777" w:rsidR="00000000" w:rsidRDefault="00097612">
            <w:pPr>
              <w:pStyle w:val="a3"/>
              <w:spacing w:before="0" w:beforeAutospacing="0" w:after="0" w:afterAutospacing="0"/>
              <w:ind w:right="60"/>
              <w:jc w:val="right"/>
              <w:rPr>
                <w:sz w:val="20"/>
                <w:szCs w:val="20"/>
              </w:rPr>
            </w:pPr>
            <w:r>
              <w:rPr>
                <w:sz w:val="20"/>
                <w:szCs w:val="20"/>
              </w:rPr>
              <w:t>56,690</w:t>
            </w:r>
          </w:p>
        </w:tc>
        <w:tc>
          <w:tcPr>
            <w:tcW w:w="79" w:type="pct"/>
            <w:noWrap/>
            <w:tcMar>
              <w:top w:w="0" w:type="dxa"/>
              <w:left w:w="0" w:type="dxa"/>
              <w:bottom w:w="0" w:type="dxa"/>
              <w:right w:w="0" w:type="dxa"/>
            </w:tcMar>
            <w:vAlign w:val="bottom"/>
            <w:hideMark/>
          </w:tcPr>
          <w:p w14:paraId="0CA77797" w14:textId="77777777" w:rsidR="00000000" w:rsidRDefault="00097612">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0FA39AE0" w14:textId="77777777" w:rsidR="00000000" w:rsidRDefault="00097612">
            <w:pPr>
              <w:pStyle w:val="a3"/>
              <w:spacing w:before="0" w:beforeAutospacing="0" w:after="0" w:afterAutospacing="0"/>
              <w:jc w:val="center"/>
              <w:rPr>
                <w:sz w:val="20"/>
                <w:szCs w:val="20"/>
              </w:rPr>
            </w:pPr>
            <w:r>
              <w:rPr>
                <w:sz w:val="20"/>
                <w:szCs w:val="20"/>
              </w:rPr>
              <w:t>​</w:t>
            </w:r>
          </w:p>
        </w:tc>
        <w:tc>
          <w:tcPr>
            <w:tcW w:w="366" w:type="pct"/>
            <w:noWrap/>
            <w:tcMar>
              <w:top w:w="0" w:type="dxa"/>
              <w:left w:w="0" w:type="dxa"/>
              <w:bottom w:w="0" w:type="dxa"/>
              <w:right w:w="0" w:type="dxa"/>
            </w:tcMar>
            <w:vAlign w:val="bottom"/>
            <w:hideMark/>
          </w:tcPr>
          <w:p w14:paraId="12792DA3" w14:textId="77777777" w:rsidR="00000000" w:rsidRDefault="00097612">
            <w:pPr>
              <w:pStyle w:val="a3"/>
              <w:spacing w:before="0" w:beforeAutospacing="0" w:after="0" w:afterAutospacing="0"/>
              <w:ind w:right="60"/>
              <w:jc w:val="right"/>
              <w:rPr>
                <w:sz w:val="20"/>
                <w:szCs w:val="20"/>
              </w:rPr>
            </w:pPr>
            <w:r>
              <w:rPr>
                <w:sz w:val="20"/>
                <w:szCs w:val="20"/>
              </w:rPr>
              <w:t>55,230</w:t>
            </w:r>
          </w:p>
        </w:tc>
        <w:tc>
          <w:tcPr>
            <w:tcW w:w="79" w:type="pct"/>
            <w:noWrap/>
            <w:tcMar>
              <w:top w:w="0" w:type="dxa"/>
              <w:left w:w="0" w:type="dxa"/>
              <w:bottom w:w="0" w:type="dxa"/>
              <w:right w:w="0" w:type="dxa"/>
            </w:tcMar>
            <w:vAlign w:val="bottom"/>
            <w:hideMark/>
          </w:tcPr>
          <w:p w14:paraId="4DD88AC6" w14:textId="77777777" w:rsidR="00000000" w:rsidRDefault="00097612">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14:paraId="0750AF7D" w14:textId="77777777" w:rsidR="00000000" w:rsidRDefault="00097612">
            <w:pPr>
              <w:pStyle w:val="a3"/>
              <w:spacing w:before="0" w:beforeAutospacing="0" w:after="0" w:afterAutospacing="0"/>
              <w:jc w:val="center"/>
              <w:rPr>
                <w:sz w:val="20"/>
                <w:szCs w:val="20"/>
              </w:rPr>
            </w:pPr>
            <w:r>
              <w:rPr>
                <w:sz w:val="20"/>
                <w:szCs w:val="20"/>
              </w:rPr>
              <w:t>​</w:t>
            </w:r>
          </w:p>
        </w:tc>
        <w:tc>
          <w:tcPr>
            <w:tcW w:w="414" w:type="pct"/>
            <w:noWrap/>
            <w:tcMar>
              <w:top w:w="0" w:type="dxa"/>
              <w:left w:w="0" w:type="dxa"/>
              <w:bottom w:w="0" w:type="dxa"/>
              <w:right w:w="0" w:type="dxa"/>
            </w:tcMar>
            <w:vAlign w:val="bottom"/>
            <w:hideMark/>
          </w:tcPr>
          <w:p w14:paraId="3D6914EB" w14:textId="77777777" w:rsidR="00000000" w:rsidRDefault="00097612">
            <w:pPr>
              <w:pStyle w:val="a3"/>
              <w:spacing w:before="0" w:beforeAutospacing="0" w:after="0" w:afterAutospacing="0"/>
              <w:ind w:right="60"/>
              <w:jc w:val="right"/>
              <w:rPr>
                <w:sz w:val="20"/>
                <w:szCs w:val="20"/>
              </w:rPr>
            </w:pPr>
            <w:r>
              <w:rPr>
                <w:sz w:val="20"/>
                <w:szCs w:val="20"/>
              </w:rPr>
              <w:t>56,308</w:t>
            </w:r>
          </w:p>
        </w:tc>
        <w:tc>
          <w:tcPr>
            <w:tcW w:w="79" w:type="pct"/>
            <w:noWrap/>
            <w:tcMar>
              <w:top w:w="0" w:type="dxa"/>
              <w:left w:w="0" w:type="dxa"/>
              <w:bottom w:w="0" w:type="dxa"/>
              <w:right w:w="0" w:type="dxa"/>
            </w:tcMar>
            <w:vAlign w:val="bottom"/>
            <w:hideMark/>
          </w:tcPr>
          <w:p w14:paraId="0354524B" w14:textId="77777777" w:rsidR="00000000" w:rsidRDefault="00097612">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14:paraId="54E5AF55" w14:textId="77777777" w:rsidR="00000000" w:rsidRDefault="00097612">
            <w:pPr>
              <w:pStyle w:val="a3"/>
              <w:spacing w:before="0" w:beforeAutospacing="0" w:after="0" w:afterAutospacing="0"/>
              <w:jc w:val="center"/>
              <w:rPr>
                <w:sz w:val="20"/>
                <w:szCs w:val="20"/>
              </w:rPr>
            </w:pPr>
            <w:r>
              <w:rPr>
                <w:sz w:val="20"/>
                <w:szCs w:val="20"/>
              </w:rPr>
              <w:t>​</w:t>
            </w:r>
          </w:p>
        </w:tc>
        <w:tc>
          <w:tcPr>
            <w:tcW w:w="424" w:type="pct"/>
            <w:noWrap/>
            <w:tcMar>
              <w:top w:w="0" w:type="dxa"/>
              <w:left w:w="0" w:type="dxa"/>
              <w:bottom w:w="0" w:type="dxa"/>
              <w:right w:w="0" w:type="dxa"/>
            </w:tcMar>
            <w:vAlign w:val="bottom"/>
            <w:hideMark/>
          </w:tcPr>
          <w:p w14:paraId="0A84308B" w14:textId="77777777" w:rsidR="00000000" w:rsidRDefault="00097612">
            <w:pPr>
              <w:pStyle w:val="a3"/>
              <w:spacing w:before="0" w:beforeAutospacing="0" w:after="0" w:afterAutospacing="0"/>
              <w:ind w:right="60"/>
              <w:jc w:val="right"/>
              <w:rPr>
                <w:sz w:val="20"/>
                <w:szCs w:val="20"/>
              </w:rPr>
            </w:pPr>
            <w:r>
              <w:rPr>
                <w:sz w:val="20"/>
                <w:szCs w:val="20"/>
              </w:rPr>
              <w:t>54,920</w:t>
            </w:r>
          </w:p>
        </w:tc>
      </w:tr>
      <w:tr w:rsidR="00000000" w14:paraId="7ADCFF30" w14:textId="77777777">
        <w:trPr>
          <w:divId w:val="137379467"/>
        </w:trPr>
        <w:tc>
          <w:tcPr>
            <w:tcW w:w="2836" w:type="pct"/>
            <w:shd w:val="clear" w:color="auto" w:fill="CCEEFF"/>
            <w:tcMar>
              <w:top w:w="0" w:type="dxa"/>
              <w:left w:w="0" w:type="dxa"/>
              <w:bottom w:w="0" w:type="dxa"/>
              <w:right w:w="0" w:type="dxa"/>
            </w:tcMar>
            <w:vAlign w:val="center"/>
            <w:hideMark/>
          </w:tcPr>
          <w:p w14:paraId="192842B1" w14:textId="77777777" w:rsidR="00000000" w:rsidRDefault="00097612">
            <w:pPr>
              <w:pStyle w:val="a3"/>
              <w:spacing w:before="0" w:beforeAutospacing="0" w:after="0" w:afterAutospacing="0"/>
              <w:rPr>
                <w:sz w:val="20"/>
                <w:szCs w:val="20"/>
              </w:rPr>
            </w:pPr>
            <w:r>
              <w:rPr>
                <w:sz w:val="20"/>
                <w:szCs w:val="20"/>
              </w:rPr>
              <w:t>Less: weighted-average common shares subject to forfeiture</w:t>
            </w:r>
          </w:p>
        </w:tc>
        <w:tc>
          <w:tcPr>
            <w:tcW w:w="79" w:type="pct"/>
            <w:shd w:val="clear" w:color="auto" w:fill="CCEEFF"/>
            <w:noWrap/>
            <w:tcMar>
              <w:top w:w="0" w:type="dxa"/>
              <w:left w:w="0" w:type="dxa"/>
              <w:bottom w:w="0" w:type="dxa"/>
              <w:right w:w="0" w:type="dxa"/>
            </w:tcMar>
            <w:vAlign w:val="bottom"/>
            <w:hideMark/>
          </w:tcPr>
          <w:p w14:paraId="38934B14" w14:textId="77777777" w:rsidR="00000000" w:rsidRDefault="00097612">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05B422C0" w14:textId="77777777" w:rsidR="00000000" w:rsidRDefault="00097612">
            <w:pPr>
              <w:pStyle w:val="a3"/>
              <w:spacing w:before="0" w:beforeAutospacing="0" w:after="0" w:afterAutospacing="0"/>
              <w:jc w:val="center"/>
              <w:rPr>
                <w:sz w:val="20"/>
                <w:szCs w:val="20"/>
              </w:rPr>
            </w:pPr>
            <w:r>
              <w:rPr>
                <w:sz w:val="20"/>
                <w:szCs w:val="20"/>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14:paraId="6AA5C31D" w14:textId="77777777" w:rsidR="00000000" w:rsidRDefault="00097612">
            <w:pPr>
              <w:pStyle w:val="a3"/>
              <w:spacing w:before="0" w:beforeAutospacing="0" w:after="0" w:afterAutospacing="0"/>
              <w:jc w:val="right"/>
              <w:rPr>
                <w:sz w:val="20"/>
                <w:szCs w:val="20"/>
              </w:rPr>
            </w:pPr>
            <w:r>
              <w:rPr>
                <w:sz w:val="20"/>
                <w:szCs w:val="20"/>
              </w:rPr>
              <w:t>(832)</w:t>
            </w:r>
          </w:p>
        </w:tc>
        <w:tc>
          <w:tcPr>
            <w:tcW w:w="79" w:type="pct"/>
            <w:shd w:val="clear" w:color="auto" w:fill="CCEEFF"/>
            <w:noWrap/>
            <w:tcMar>
              <w:top w:w="0" w:type="dxa"/>
              <w:left w:w="0" w:type="dxa"/>
              <w:bottom w:w="0" w:type="dxa"/>
              <w:right w:w="0" w:type="dxa"/>
            </w:tcMar>
            <w:vAlign w:val="bottom"/>
            <w:hideMark/>
          </w:tcPr>
          <w:p w14:paraId="743B258B" w14:textId="77777777" w:rsidR="00000000" w:rsidRDefault="00097612">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1C1C48EC" w14:textId="77777777" w:rsidR="00000000" w:rsidRDefault="00097612">
            <w:pPr>
              <w:pStyle w:val="a3"/>
              <w:spacing w:before="0" w:beforeAutospacing="0" w:after="0" w:afterAutospacing="0"/>
              <w:jc w:val="center"/>
              <w:rPr>
                <w:sz w:val="20"/>
                <w:szCs w:val="20"/>
              </w:rPr>
            </w:pPr>
            <w:r>
              <w:rPr>
                <w:sz w:val="20"/>
                <w:szCs w:val="20"/>
              </w:rPr>
              <w:t>​</w:t>
            </w:r>
          </w:p>
        </w:tc>
        <w:tc>
          <w:tcPr>
            <w:tcW w:w="366" w:type="pct"/>
            <w:tcBorders>
              <w:bottom w:val="single" w:sz="6" w:space="0" w:color="000000"/>
            </w:tcBorders>
            <w:shd w:val="clear" w:color="auto" w:fill="CCEEFF"/>
            <w:noWrap/>
            <w:tcMar>
              <w:top w:w="0" w:type="dxa"/>
              <w:left w:w="0" w:type="dxa"/>
              <w:bottom w:w="0" w:type="dxa"/>
              <w:right w:w="0" w:type="dxa"/>
            </w:tcMar>
            <w:vAlign w:val="bottom"/>
            <w:hideMark/>
          </w:tcPr>
          <w:p w14:paraId="0426504B" w14:textId="77777777" w:rsidR="00000000" w:rsidRDefault="00097612">
            <w:pPr>
              <w:pStyle w:val="a3"/>
              <w:spacing w:before="0" w:beforeAutospacing="0" w:after="0" w:afterAutospacing="0"/>
              <w:jc w:val="right"/>
              <w:rPr>
                <w:sz w:val="20"/>
                <w:szCs w:val="20"/>
              </w:rPr>
            </w:pPr>
            <w:r>
              <w:rPr>
                <w:sz w:val="20"/>
                <w:szCs w:val="20"/>
              </w:rPr>
              <w:t>(982)</w:t>
            </w:r>
          </w:p>
        </w:tc>
        <w:tc>
          <w:tcPr>
            <w:tcW w:w="79" w:type="pct"/>
            <w:shd w:val="clear" w:color="auto" w:fill="CCEEFF"/>
            <w:noWrap/>
            <w:tcMar>
              <w:top w:w="0" w:type="dxa"/>
              <w:left w:w="0" w:type="dxa"/>
              <w:bottom w:w="0" w:type="dxa"/>
              <w:right w:w="0" w:type="dxa"/>
            </w:tcMar>
            <w:vAlign w:val="bottom"/>
            <w:hideMark/>
          </w:tcPr>
          <w:p w14:paraId="4CE2F675" w14:textId="77777777" w:rsidR="00000000" w:rsidRDefault="00097612">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14:paraId="3A15BC99" w14:textId="77777777" w:rsidR="00000000" w:rsidRDefault="00097612">
            <w:pPr>
              <w:pStyle w:val="a3"/>
              <w:spacing w:before="0" w:beforeAutospacing="0" w:after="0" w:afterAutospacing="0"/>
              <w:jc w:val="center"/>
              <w:rPr>
                <w:sz w:val="20"/>
                <w:szCs w:val="20"/>
              </w:rPr>
            </w:pPr>
            <w:r>
              <w:rPr>
                <w:sz w:val="20"/>
                <w:szCs w:val="20"/>
              </w:rPr>
              <w:t>​</w:t>
            </w:r>
          </w:p>
        </w:tc>
        <w:tc>
          <w:tcPr>
            <w:tcW w:w="414" w:type="pct"/>
            <w:tcBorders>
              <w:bottom w:val="single" w:sz="6" w:space="0" w:color="000000"/>
            </w:tcBorders>
            <w:shd w:val="clear" w:color="auto" w:fill="CCEEFF"/>
            <w:noWrap/>
            <w:tcMar>
              <w:top w:w="0" w:type="dxa"/>
              <w:left w:w="0" w:type="dxa"/>
              <w:bottom w:w="0" w:type="dxa"/>
              <w:right w:w="0" w:type="dxa"/>
            </w:tcMar>
            <w:vAlign w:val="bottom"/>
            <w:hideMark/>
          </w:tcPr>
          <w:p w14:paraId="6EF1081B" w14:textId="77777777" w:rsidR="00000000" w:rsidRDefault="00097612">
            <w:pPr>
              <w:pStyle w:val="a3"/>
              <w:spacing w:before="0" w:beforeAutospacing="0" w:after="0" w:afterAutospacing="0"/>
              <w:jc w:val="right"/>
              <w:rPr>
                <w:sz w:val="20"/>
                <w:szCs w:val="20"/>
              </w:rPr>
            </w:pPr>
            <w:r>
              <w:rPr>
                <w:sz w:val="20"/>
                <w:szCs w:val="20"/>
              </w:rPr>
              <w:t>(863)</w:t>
            </w:r>
          </w:p>
        </w:tc>
        <w:tc>
          <w:tcPr>
            <w:tcW w:w="79" w:type="pct"/>
            <w:shd w:val="clear" w:color="auto" w:fill="CCEEFF"/>
            <w:noWrap/>
            <w:tcMar>
              <w:top w:w="0" w:type="dxa"/>
              <w:left w:w="0" w:type="dxa"/>
              <w:bottom w:w="0" w:type="dxa"/>
              <w:right w:w="0" w:type="dxa"/>
            </w:tcMar>
            <w:vAlign w:val="bottom"/>
            <w:hideMark/>
          </w:tcPr>
          <w:p w14:paraId="2FD0DB70" w14:textId="77777777" w:rsidR="00000000" w:rsidRDefault="00097612">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14:paraId="7A7F1341" w14:textId="77777777" w:rsidR="00000000" w:rsidRDefault="00097612">
            <w:pPr>
              <w:pStyle w:val="a3"/>
              <w:spacing w:before="0" w:beforeAutospacing="0" w:after="0" w:afterAutospacing="0"/>
              <w:jc w:val="center"/>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78128DF6" w14:textId="77777777" w:rsidR="00000000" w:rsidRDefault="00097612">
            <w:pPr>
              <w:pStyle w:val="a3"/>
              <w:spacing w:before="0" w:beforeAutospacing="0" w:after="0" w:afterAutospacing="0"/>
              <w:jc w:val="right"/>
              <w:rPr>
                <w:sz w:val="20"/>
                <w:szCs w:val="20"/>
              </w:rPr>
            </w:pPr>
            <w:r>
              <w:rPr>
                <w:sz w:val="20"/>
                <w:szCs w:val="20"/>
              </w:rPr>
              <w:t>(1,149)</w:t>
            </w:r>
          </w:p>
        </w:tc>
      </w:tr>
      <w:tr w:rsidR="00000000" w14:paraId="2AB01DB2" w14:textId="77777777">
        <w:trPr>
          <w:divId w:val="137379467"/>
        </w:trPr>
        <w:tc>
          <w:tcPr>
            <w:tcW w:w="2836" w:type="pct"/>
            <w:tcMar>
              <w:top w:w="0" w:type="dxa"/>
              <w:left w:w="0" w:type="dxa"/>
              <w:bottom w:w="0" w:type="dxa"/>
              <w:right w:w="0" w:type="dxa"/>
            </w:tcMar>
            <w:vAlign w:val="center"/>
            <w:hideMark/>
          </w:tcPr>
          <w:p w14:paraId="0B36D924" w14:textId="77777777" w:rsidR="00000000" w:rsidRDefault="00097612">
            <w:pPr>
              <w:pStyle w:val="a3"/>
              <w:spacing w:before="0" w:beforeAutospacing="0" w:after="0" w:afterAutospacing="0"/>
              <w:rPr>
                <w:sz w:val="20"/>
                <w:szCs w:val="20"/>
              </w:rPr>
            </w:pPr>
            <w:r>
              <w:rPr>
                <w:sz w:val="20"/>
                <w:szCs w:val="20"/>
              </w:rPr>
              <w:t>Weighted-average common shares used to compute basic and diluted net loss per share</w:t>
            </w:r>
          </w:p>
        </w:tc>
        <w:tc>
          <w:tcPr>
            <w:tcW w:w="79" w:type="pct"/>
            <w:noWrap/>
            <w:tcMar>
              <w:top w:w="0" w:type="dxa"/>
              <w:left w:w="0" w:type="dxa"/>
              <w:bottom w:w="0" w:type="dxa"/>
              <w:right w:w="0" w:type="dxa"/>
            </w:tcMar>
            <w:vAlign w:val="bottom"/>
            <w:hideMark/>
          </w:tcPr>
          <w:p w14:paraId="5234E191" w14:textId="77777777" w:rsidR="00000000" w:rsidRDefault="00097612">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14:paraId="51BE46F3" w14:textId="77777777" w:rsidR="00000000" w:rsidRDefault="00097612">
            <w:pPr>
              <w:pStyle w:val="a3"/>
              <w:spacing w:before="0" w:beforeAutospacing="0" w:after="0" w:afterAutospacing="0"/>
              <w:jc w:val="center"/>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14:paraId="0BB4B8DD" w14:textId="77777777" w:rsidR="00000000" w:rsidRDefault="00097612">
            <w:pPr>
              <w:pStyle w:val="a3"/>
              <w:spacing w:before="0" w:beforeAutospacing="0" w:after="0" w:afterAutospacing="0"/>
              <w:ind w:right="60"/>
              <w:jc w:val="right"/>
              <w:rPr>
                <w:sz w:val="20"/>
                <w:szCs w:val="20"/>
              </w:rPr>
            </w:pPr>
            <w:r>
              <w:rPr>
                <w:sz w:val="20"/>
                <w:szCs w:val="20"/>
              </w:rPr>
              <w:t>55,858</w:t>
            </w:r>
          </w:p>
        </w:tc>
        <w:tc>
          <w:tcPr>
            <w:tcW w:w="79" w:type="pct"/>
            <w:noWrap/>
            <w:tcMar>
              <w:top w:w="0" w:type="dxa"/>
              <w:left w:w="0" w:type="dxa"/>
              <w:bottom w:w="0" w:type="dxa"/>
              <w:right w:w="0" w:type="dxa"/>
            </w:tcMar>
            <w:vAlign w:val="bottom"/>
            <w:hideMark/>
          </w:tcPr>
          <w:p w14:paraId="2F24AEEF" w14:textId="77777777" w:rsidR="00000000" w:rsidRDefault="00097612">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2D57C697" w14:textId="77777777" w:rsidR="00000000" w:rsidRDefault="00097612">
            <w:pPr>
              <w:pStyle w:val="a3"/>
              <w:spacing w:before="0" w:beforeAutospacing="0" w:after="0" w:afterAutospacing="0"/>
              <w:jc w:val="center"/>
              <w:rPr>
                <w:sz w:val="20"/>
                <w:szCs w:val="20"/>
              </w:rPr>
            </w:pPr>
            <w:r>
              <w:rPr>
                <w:sz w:val="20"/>
                <w:szCs w:val="20"/>
              </w:rPr>
              <w:t>​</w:t>
            </w:r>
          </w:p>
        </w:tc>
        <w:tc>
          <w:tcPr>
            <w:tcW w:w="366" w:type="pct"/>
            <w:tcBorders>
              <w:bottom w:val="double" w:sz="6" w:space="0" w:color="000000"/>
            </w:tcBorders>
            <w:noWrap/>
            <w:tcMar>
              <w:top w:w="0" w:type="dxa"/>
              <w:left w:w="0" w:type="dxa"/>
              <w:bottom w:w="0" w:type="dxa"/>
              <w:right w:w="0" w:type="dxa"/>
            </w:tcMar>
            <w:vAlign w:val="bottom"/>
            <w:hideMark/>
          </w:tcPr>
          <w:p w14:paraId="1B6A5870" w14:textId="77777777" w:rsidR="00000000" w:rsidRDefault="00097612">
            <w:pPr>
              <w:pStyle w:val="a3"/>
              <w:spacing w:before="0" w:beforeAutospacing="0" w:after="0" w:afterAutospacing="0"/>
              <w:ind w:right="60"/>
              <w:jc w:val="right"/>
              <w:rPr>
                <w:sz w:val="20"/>
                <w:szCs w:val="20"/>
              </w:rPr>
            </w:pPr>
            <w:r>
              <w:rPr>
                <w:sz w:val="20"/>
                <w:szCs w:val="20"/>
              </w:rPr>
              <w:t>54,248</w:t>
            </w:r>
          </w:p>
        </w:tc>
        <w:tc>
          <w:tcPr>
            <w:tcW w:w="79" w:type="pct"/>
            <w:noWrap/>
            <w:tcMar>
              <w:top w:w="0" w:type="dxa"/>
              <w:left w:w="0" w:type="dxa"/>
              <w:bottom w:w="0" w:type="dxa"/>
              <w:right w:w="0" w:type="dxa"/>
            </w:tcMar>
            <w:vAlign w:val="bottom"/>
            <w:hideMark/>
          </w:tcPr>
          <w:p w14:paraId="59CF8266" w14:textId="77777777" w:rsidR="00000000" w:rsidRDefault="00097612">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14:paraId="08CA685D" w14:textId="77777777" w:rsidR="00000000" w:rsidRDefault="00097612">
            <w:pPr>
              <w:pStyle w:val="a3"/>
              <w:spacing w:before="0" w:beforeAutospacing="0" w:after="0" w:afterAutospacing="0"/>
              <w:jc w:val="center"/>
              <w:rPr>
                <w:sz w:val="20"/>
                <w:szCs w:val="20"/>
              </w:rPr>
            </w:pPr>
            <w:r>
              <w:rPr>
                <w:sz w:val="20"/>
                <w:szCs w:val="20"/>
              </w:rPr>
              <w:t>​</w:t>
            </w:r>
          </w:p>
        </w:tc>
        <w:tc>
          <w:tcPr>
            <w:tcW w:w="414" w:type="pct"/>
            <w:tcBorders>
              <w:bottom w:val="double" w:sz="6" w:space="0" w:color="000000"/>
            </w:tcBorders>
            <w:noWrap/>
            <w:tcMar>
              <w:top w:w="0" w:type="dxa"/>
              <w:left w:w="0" w:type="dxa"/>
              <w:bottom w:w="0" w:type="dxa"/>
              <w:right w:w="0" w:type="dxa"/>
            </w:tcMar>
            <w:vAlign w:val="bottom"/>
            <w:hideMark/>
          </w:tcPr>
          <w:p w14:paraId="58125B13" w14:textId="77777777" w:rsidR="00000000" w:rsidRDefault="00097612">
            <w:pPr>
              <w:pStyle w:val="a3"/>
              <w:spacing w:before="0" w:beforeAutospacing="0" w:after="0" w:afterAutospacing="0"/>
              <w:ind w:right="60"/>
              <w:jc w:val="right"/>
              <w:rPr>
                <w:sz w:val="20"/>
                <w:szCs w:val="20"/>
              </w:rPr>
            </w:pPr>
            <w:r>
              <w:rPr>
                <w:sz w:val="20"/>
                <w:szCs w:val="20"/>
              </w:rPr>
              <w:t>55,445</w:t>
            </w:r>
          </w:p>
        </w:tc>
        <w:tc>
          <w:tcPr>
            <w:tcW w:w="79" w:type="pct"/>
            <w:noWrap/>
            <w:tcMar>
              <w:top w:w="0" w:type="dxa"/>
              <w:left w:w="0" w:type="dxa"/>
              <w:bottom w:w="0" w:type="dxa"/>
              <w:right w:w="0" w:type="dxa"/>
            </w:tcMar>
            <w:vAlign w:val="bottom"/>
            <w:hideMark/>
          </w:tcPr>
          <w:p w14:paraId="533CD6F2" w14:textId="77777777" w:rsidR="00000000" w:rsidRDefault="00097612">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14:paraId="600EE318" w14:textId="77777777" w:rsidR="00000000" w:rsidRDefault="00097612">
            <w:pPr>
              <w:pStyle w:val="a3"/>
              <w:spacing w:before="0" w:beforeAutospacing="0" w:after="0" w:afterAutospacing="0"/>
              <w:jc w:val="center"/>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362B001D" w14:textId="77777777" w:rsidR="00000000" w:rsidRDefault="00097612">
            <w:pPr>
              <w:pStyle w:val="a3"/>
              <w:spacing w:before="0" w:beforeAutospacing="0" w:after="0" w:afterAutospacing="0"/>
              <w:ind w:right="60"/>
              <w:jc w:val="right"/>
              <w:rPr>
                <w:sz w:val="20"/>
                <w:szCs w:val="20"/>
              </w:rPr>
            </w:pPr>
            <w:r>
              <w:rPr>
                <w:sz w:val="20"/>
                <w:szCs w:val="20"/>
              </w:rPr>
              <w:t>53,771</w:t>
            </w:r>
          </w:p>
        </w:tc>
      </w:tr>
      <w:tr w:rsidR="00000000" w14:paraId="2561349F" w14:textId="77777777">
        <w:trPr>
          <w:divId w:val="137379467"/>
        </w:trPr>
        <w:tc>
          <w:tcPr>
            <w:tcW w:w="2836" w:type="pct"/>
            <w:shd w:val="clear" w:color="auto" w:fill="CCEEFF"/>
            <w:tcMar>
              <w:top w:w="0" w:type="dxa"/>
              <w:left w:w="0" w:type="dxa"/>
              <w:bottom w:w="0" w:type="dxa"/>
              <w:right w:w="0" w:type="dxa"/>
            </w:tcMar>
            <w:hideMark/>
          </w:tcPr>
          <w:p w14:paraId="4170023E" w14:textId="77777777" w:rsidR="00000000" w:rsidRDefault="00097612">
            <w:pPr>
              <w:pStyle w:val="a3"/>
              <w:spacing w:before="0" w:beforeAutospacing="0" w:after="0" w:afterAutospacing="0"/>
              <w:ind w:left="240"/>
              <w:rPr>
                <w:sz w:val="20"/>
                <w:szCs w:val="20"/>
              </w:rPr>
            </w:pPr>
            <w:r>
              <w:rPr>
                <w:sz w:val="20"/>
                <w:szCs w:val="20"/>
              </w:rPr>
              <w:t>Basic and diluted net loss per share</w:t>
            </w:r>
          </w:p>
        </w:tc>
        <w:tc>
          <w:tcPr>
            <w:tcW w:w="79" w:type="pct"/>
            <w:shd w:val="clear" w:color="auto" w:fill="CCEEFF"/>
            <w:noWrap/>
            <w:tcMar>
              <w:top w:w="0" w:type="dxa"/>
              <w:left w:w="0" w:type="dxa"/>
              <w:bottom w:w="0" w:type="dxa"/>
              <w:right w:w="0" w:type="dxa"/>
            </w:tcMar>
            <w:vAlign w:val="bottom"/>
            <w:hideMark/>
          </w:tcPr>
          <w:p w14:paraId="0112D06E" w14:textId="77777777" w:rsidR="00000000" w:rsidRDefault="00097612">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14:paraId="49D2BF83" w14:textId="77777777" w:rsidR="00000000" w:rsidRDefault="00097612">
            <w:pPr>
              <w:pStyle w:val="a3"/>
              <w:spacing w:before="0" w:beforeAutospacing="0" w:after="0" w:afterAutospacing="0"/>
              <w:jc w:val="center"/>
              <w:rPr>
                <w:sz w:val="20"/>
                <w:szCs w:val="20"/>
              </w:rPr>
            </w:pPr>
            <w:r>
              <w:rPr>
                <w:sz w:val="20"/>
                <w:szCs w:val="20"/>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14:paraId="3509DD3B" w14:textId="77777777" w:rsidR="00000000" w:rsidRDefault="00097612">
            <w:pPr>
              <w:pStyle w:val="a3"/>
              <w:spacing w:before="0" w:beforeAutospacing="0" w:after="0" w:afterAutospacing="0"/>
              <w:jc w:val="right"/>
              <w:rPr>
                <w:sz w:val="20"/>
                <w:szCs w:val="20"/>
              </w:rPr>
            </w:pPr>
            <w:r>
              <w:rPr>
                <w:sz w:val="20"/>
                <w:szCs w:val="20"/>
              </w:rPr>
              <w:t>(1.05)</w:t>
            </w:r>
          </w:p>
        </w:tc>
        <w:tc>
          <w:tcPr>
            <w:tcW w:w="79" w:type="pct"/>
            <w:shd w:val="clear" w:color="auto" w:fill="CCEEFF"/>
            <w:noWrap/>
            <w:tcMar>
              <w:top w:w="0" w:type="dxa"/>
              <w:left w:w="0" w:type="dxa"/>
              <w:bottom w:w="0" w:type="dxa"/>
              <w:right w:w="0" w:type="dxa"/>
            </w:tcMar>
            <w:vAlign w:val="bottom"/>
            <w:hideMark/>
          </w:tcPr>
          <w:p w14:paraId="5679012A" w14:textId="77777777" w:rsidR="00000000" w:rsidRDefault="00097612">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7B2E9533" w14:textId="77777777" w:rsidR="00000000" w:rsidRDefault="00097612">
            <w:pPr>
              <w:pStyle w:val="a3"/>
              <w:spacing w:before="0" w:beforeAutospacing="0" w:after="0" w:afterAutospacing="0"/>
              <w:jc w:val="center"/>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14:paraId="451EC9C7" w14:textId="77777777" w:rsidR="00000000" w:rsidRDefault="00097612">
            <w:pPr>
              <w:pStyle w:val="a3"/>
              <w:spacing w:before="0" w:beforeAutospacing="0" w:after="0" w:afterAutospacing="0"/>
              <w:jc w:val="right"/>
              <w:rPr>
                <w:sz w:val="20"/>
                <w:szCs w:val="20"/>
              </w:rPr>
            </w:pPr>
            <w:r>
              <w:rPr>
                <w:sz w:val="20"/>
                <w:szCs w:val="20"/>
              </w:rPr>
              <w:t>(1.10)</w:t>
            </w:r>
          </w:p>
        </w:tc>
        <w:tc>
          <w:tcPr>
            <w:tcW w:w="79" w:type="pct"/>
            <w:shd w:val="clear" w:color="auto" w:fill="CCEEFF"/>
            <w:noWrap/>
            <w:tcMar>
              <w:top w:w="0" w:type="dxa"/>
              <w:left w:w="0" w:type="dxa"/>
              <w:bottom w:w="0" w:type="dxa"/>
              <w:right w:w="0" w:type="dxa"/>
            </w:tcMar>
            <w:vAlign w:val="bottom"/>
            <w:hideMark/>
          </w:tcPr>
          <w:p w14:paraId="492FA1B2" w14:textId="77777777" w:rsidR="00000000" w:rsidRDefault="00097612">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14:paraId="435B11AA" w14:textId="77777777" w:rsidR="00000000" w:rsidRDefault="00097612">
            <w:pPr>
              <w:pStyle w:val="a3"/>
              <w:spacing w:before="0" w:beforeAutospacing="0" w:after="0" w:afterAutospacing="0"/>
              <w:jc w:val="center"/>
              <w:rPr>
                <w:sz w:val="20"/>
                <w:szCs w:val="20"/>
              </w:rPr>
            </w:pPr>
            <w:r>
              <w:rPr>
                <w:sz w:val="20"/>
                <w:szCs w:val="20"/>
              </w:rPr>
              <w:t>$</w:t>
            </w:r>
          </w:p>
        </w:tc>
        <w:tc>
          <w:tcPr>
            <w:tcW w:w="414" w:type="pct"/>
            <w:tcBorders>
              <w:bottom w:val="double" w:sz="6" w:space="0" w:color="000000"/>
            </w:tcBorders>
            <w:shd w:val="clear" w:color="auto" w:fill="CCEEFF"/>
            <w:noWrap/>
            <w:tcMar>
              <w:top w:w="0" w:type="dxa"/>
              <w:left w:w="0" w:type="dxa"/>
              <w:bottom w:w="0" w:type="dxa"/>
              <w:right w:w="0" w:type="dxa"/>
            </w:tcMar>
            <w:vAlign w:val="bottom"/>
            <w:hideMark/>
          </w:tcPr>
          <w:p w14:paraId="17C18518" w14:textId="77777777" w:rsidR="00000000" w:rsidRDefault="00097612">
            <w:pPr>
              <w:pStyle w:val="a3"/>
              <w:spacing w:before="0" w:beforeAutospacing="0" w:after="0" w:afterAutospacing="0"/>
              <w:jc w:val="right"/>
              <w:rPr>
                <w:sz w:val="20"/>
                <w:szCs w:val="20"/>
              </w:rPr>
            </w:pPr>
            <w:r>
              <w:rPr>
                <w:sz w:val="20"/>
                <w:szCs w:val="20"/>
              </w:rPr>
              <w:t>(3.08)</w:t>
            </w:r>
          </w:p>
        </w:tc>
        <w:tc>
          <w:tcPr>
            <w:tcW w:w="79" w:type="pct"/>
            <w:shd w:val="clear" w:color="auto" w:fill="CCEEFF"/>
            <w:noWrap/>
            <w:tcMar>
              <w:top w:w="0" w:type="dxa"/>
              <w:left w:w="0" w:type="dxa"/>
              <w:bottom w:w="0" w:type="dxa"/>
              <w:right w:w="0" w:type="dxa"/>
            </w:tcMar>
            <w:vAlign w:val="bottom"/>
            <w:hideMark/>
          </w:tcPr>
          <w:p w14:paraId="761BB77E" w14:textId="77777777" w:rsidR="00000000" w:rsidRDefault="00097612">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14:paraId="205B4B72" w14:textId="77777777" w:rsidR="00000000" w:rsidRDefault="00097612">
            <w:pPr>
              <w:pStyle w:val="a3"/>
              <w:spacing w:before="0" w:beforeAutospacing="0" w:after="0" w:afterAutospacing="0"/>
              <w:jc w:val="center"/>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14:paraId="696A12D4" w14:textId="77777777" w:rsidR="00000000" w:rsidRDefault="00097612">
            <w:pPr>
              <w:pStyle w:val="a3"/>
              <w:spacing w:before="0" w:beforeAutospacing="0" w:after="0" w:afterAutospacing="0"/>
              <w:jc w:val="right"/>
              <w:rPr>
                <w:sz w:val="20"/>
                <w:szCs w:val="20"/>
              </w:rPr>
            </w:pPr>
            <w:r>
              <w:rPr>
                <w:sz w:val="20"/>
                <w:szCs w:val="20"/>
              </w:rPr>
              <w:t>(3.07)</w:t>
            </w:r>
          </w:p>
        </w:tc>
      </w:tr>
    </w:tbl>
    <w:p w14:paraId="1D2C76EE" w14:textId="77777777" w:rsidR="00000000" w:rsidRDefault="00097612">
      <w:pPr>
        <w:pStyle w:val="a3"/>
        <w:spacing w:before="0" w:beforeAutospacing="0" w:after="0" w:afterAutospacing="0"/>
        <w:divId w:val="137379467"/>
        <w:rPr>
          <w:sz w:val="20"/>
          <w:szCs w:val="20"/>
        </w:rPr>
      </w:pPr>
      <w:r>
        <w:rPr>
          <w:sz w:val="20"/>
          <w:szCs w:val="20"/>
        </w:rPr>
        <w:t>​</w:t>
      </w:r>
    </w:p>
    <w:p w14:paraId="4DDB40A8" w14:textId="77777777" w:rsidR="00000000" w:rsidRDefault="00097612">
      <w:pPr>
        <w:pStyle w:val="a3"/>
        <w:spacing w:before="0" w:beforeAutospacing="0" w:after="0" w:afterAutospacing="0"/>
        <w:ind w:firstLine="720"/>
        <w:divId w:val="137379467"/>
        <w:rPr>
          <w:sz w:val="20"/>
          <w:szCs w:val="20"/>
        </w:rPr>
      </w:pPr>
      <w:r>
        <w:rPr>
          <w:sz w:val="20"/>
          <w:szCs w:val="20"/>
        </w:rPr>
        <w:t xml:space="preserve">For the three and nine months ended September 30, 2019 and 2018, diluted and basic net loss per share was identical since potential ordinary shares were excluded from the calculation, as their effect was anti-dilutive. </w:t>
      </w:r>
    </w:p>
    <w:p w14:paraId="6F4C4FB6" w14:textId="77777777" w:rsidR="00000000" w:rsidRDefault="00097612">
      <w:pPr>
        <w:pStyle w:val="a3"/>
        <w:spacing w:before="0" w:beforeAutospacing="0" w:after="0" w:afterAutospacing="0"/>
        <w:ind w:firstLine="720"/>
        <w:divId w:val="137379467"/>
        <w:rPr>
          <w:sz w:val="20"/>
          <w:szCs w:val="20"/>
        </w:rPr>
      </w:pPr>
      <w:r>
        <w:rPr>
          <w:sz w:val="20"/>
          <w:szCs w:val="20"/>
        </w:rPr>
        <w:t>​</w:t>
      </w:r>
    </w:p>
    <w:p w14:paraId="5D9ADB6C" w14:textId="77777777" w:rsidR="00000000" w:rsidRDefault="00097612">
      <w:pPr>
        <w:pStyle w:val="a3"/>
        <w:spacing w:before="0" w:beforeAutospacing="0" w:after="0" w:afterAutospacing="0"/>
        <w:divId w:val="137379467"/>
        <w:rPr>
          <w:sz w:val="20"/>
          <w:szCs w:val="20"/>
        </w:rPr>
      </w:pPr>
      <w:r>
        <w:rPr>
          <w:b/>
          <w:bCs/>
          <w:i/>
          <w:iCs/>
          <w:sz w:val="20"/>
          <w:szCs w:val="20"/>
        </w:rPr>
        <w:t>Anti-dilutive Securities</w:t>
      </w:r>
    </w:p>
    <w:p w14:paraId="18E0A411" w14:textId="77777777" w:rsidR="00000000" w:rsidRDefault="00097612">
      <w:pPr>
        <w:pStyle w:val="a3"/>
        <w:spacing w:before="0" w:beforeAutospacing="0" w:after="0" w:afterAutospacing="0"/>
        <w:divId w:val="137379467"/>
        <w:rPr>
          <w:sz w:val="20"/>
          <w:szCs w:val="20"/>
        </w:rPr>
      </w:pPr>
      <w:r>
        <w:rPr>
          <w:sz w:val="10"/>
          <w:szCs w:val="10"/>
        </w:rPr>
        <w:t>​</w:t>
      </w:r>
    </w:p>
    <w:p w14:paraId="7D02CDE1" w14:textId="77777777" w:rsidR="00000000" w:rsidRDefault="00097612">
      <w:pPr>
        <w:pStyle w:val="a3"/>
        <w:spacing w:before="0" w:beforeAutospacing="0" w:after="0" w:afterAutospacing="0"/>
        <w:ind w:firstLine="720"/>
        <w:divId w:val="137379467"/>
        <w:rPr>
          <w:sz w:val="20"/>
          <w:szCs w:val="20"/>
        </w:rPr>
      </w:pPr>
      <w:r>
        <w:rPr>
          <w:sz w:val="20"/>
          <w:szCs w:val="20"/>
        </w:rPr>
        <w:t>The following ordinary equivalent shares were not included in the computation of diluted net loss per share because their effect was anti-dilutive:</w:t>
      </w:r>
    </w:p>
    <w:p w14:paraId="6FA1294C" w14:textId="77777777" w:rsidR="00000000" w:rsidRDefault="00097612">
      <w:pPr>
        <w:pStyle w:val="a3"/>
        <w:spacing w:before="0" w:beforeAutospacing="0" w:after="0" w:afterAutospacing="0"/>
        <w:ind w:firstLine="720"/>
        <w:divId w:val="137379467"/>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5110"/>
        <w:gridCol w:w="160"/>
        <w:gridCol w:w="635"/>
        <w:gridCol w:w="161"/>
        <w:gridCol w:w="641"/>
        <w:gridCol w:w="161"/>
        <w:gridCol w:w="636"/>
        <w:gridCol w:w="161"/>
        <w:gridCol w:w="641"/>
      </w:tblGrid>
      <w:tr w:rsidR="00000000" w14:paraId="1B105C55" w14:textId="77777777">
        <w:trPr>
          <w:divId w:val="137379467"/>
          <w:trHeight w:val="20"/>
        </w:trPr>
        <w:tc>
          <w:tcPr>
            <w:tcW w:w="3073" w:type="pct"/>
            <w:tcMar>
              <w:top w:w="0" w:type="dxa"/>
              <w:left w:w="0" w:type="dxa"/>
              <w:bottom w:w="0" w:type="dxa"/>
              <w:right w:w="0" w:type="dxa"/>
            </w:tcMar>
            <w:vAlign w:val="bottom"/>
            <w:hideMark/>
          </w:tcPr>
          <w:p w14:paraId="14BA2C7E" w14:textId="77777777" w:rsidR="00000000" w:rsidRDefault="00097612">
            <w:pPr>
              <w:pStyle w:val="a3"/>
              <w:spacing w:before="0" w:beforeAutospacing="0" w:after="0" w:afterAutospacing="0"/>
              <w:divId w:val="427193277"/>
              <w:rPr>
                <w:sz w:val="20"/>
                <w:szCs w:val="20"/>
              </w:rPr>
            </w:pPr>
            <w:r>
              <w:rPr>
                <w:sz w:val="2"/>
                <w:szCs w:val="2"/>
              </w:rPr>
              <w:t>​</w:t>
            </w:r>
          </w:p>
        </w:tc>
        <w:tc>
          <w:tcPr>
            <w:tcW w:w="97" w:type="pct"/>
            <w:noWrap/>
            <w:tcMar>
              <w:top w:w="0" w:type="dxa"/>
              <w:left w:w="0" w:type="dxa"/>
              <w:bottom w:w="0" w:type="dxa"/>
              <w:right w:w="0" w:type="dxa"/>
            </w:tcMar>
            <w:vAlign w:val="bottom"/>
            <w:hideMark/>
          </w:tcPr>
          <w:p w14:paraId="45499632" w14:textId="77777777" w:rsidR="00000000" w:rsidRDefault="00097612">
            <w:pPr>
              <w:pStyle w:val="a3"/>
              <w:spacing w:before="0" w:beforeAutospacing="0" w:after="0" w:afterAutospacing="0"/>
              <w:divId w:val="557327339"/>
              <w:rPr>
                <w:sz w:val="20"/>
                <w:szCs w:val="20"/>
              </w:rPr>
            </w:pPr>
            <w:r>
              <w:rPr>
                <w:sz w:val="2"/>
                <w:szCs w:val="2"/>
              </w:rPr>
              <w:t>​</w:t>
            </w:r>
          </w:p>
        </w:tc>
        <w:tc>
          <w:tcPr>
            <w:tcW w:w="383" w:type="pct"/>
            <w:noWrap/>
            <w:tcMar>
              <w:top w:w="0" w:type="dxa"/>
              <w:left w:w="0" w:type="dxa"/>
              <w:bottom w:w="0" w:type="dxa"/>
              <w:right w:w="0" w:type="dxa"/>
            </w:tcMar>
            <w:vAlign w:val="bottom"/>
            <w:hideMark/>
          </w:tcPr>
          <w:p w14:paraId="3313CD63" w14:textId="77777777" w:rsidR="00000000" w:rsidRDefault="00097612">
            <w:pPr>
              <w:pStyle w:val="a3"/>
              <w:spacing w:before="0" w:beforeAutospacing="0" w:after="0" w:afterAutospacing="0"/>
              <w:divId w:val="503516462"/>
              <w:rPr>
                <w:sz w:val="20"/>
                <w:szCs w:val="20"/>
              </w:rPr>
            </w:pPr>
            <w:r>
              <w:rPr>
                <w:sz w:val="2"/>
                <w:szCs w:val="2"/>
              </w:rPr>
              <w:t>​</w:t>
            </w:r>
          </w:p>
        </w:tc>
        <w:tc>
          <w:tcPr>
            <w:tcW w:w="97" w:type="pct"/>
            <w:noWrap/>
            <w:tcMar>
              <w:top w:w="0" w:type="dxa"/>
              <w:left w:w="0" w:type="dxa"/>
              <w:bottom w:w="0" w:type="dxa"/>
              <w:right w:w="0" w:type="dxa"/>
            </w:tcMar>
            <w:vAlign w:val="bottom"/>
            <w:hideMark/>
          </w:tcPr>
          <w:p w14:paraId="19BB24E9" w14:textId="77777777" w:rsidR="00000000" w:rsidRDefault="00097612">
            <w:pPr>
              <w:pStyle w:val="a3"/>
              <w:spacing w:before="0" w:beforeAutospacing="0" w:after="0" w:afterAutospacing="0"/>
              <w:divId w:val="1095444411"/>
              <w:rPr>
                <w:sz w:val="20"/>
                <w:szCs w:val="20"/>
              </w:rPr>
            </w:pPr>
            <w:r>
              <w:rPr>
                <w:sz w:val="2"/>
                <w:szCs w:val="2"/>
              </w:rPr>
              <w:t>​</w:t>
            </w:r>
          </w:p>
        </w:tc>
        <w:tc>
          <w:tcPr>
            <w:tcW w:w="384" w:type="pct"/>
            <w:noWrap/>
            <w:tcMar>
              <w:top w:w="0" w:type="dxa"/>
              <w:left w:w="0" w:type="dxa"/>
              <w:bottom w:w="0" w:type="dxa"/>
              <w:right w:w="0" w:type="dxa"/>
            </w:tcMar>
            <w:vAlign w:val="bottom"/>
            <w:hideMark/>
          </w:tcPr>
          <w:p w14:paraId="3B83BF3C" w14:textId="77777777" w:rsidR="00000000" w:rsidRDefault="00097612">
            <w:pPr>
              <w:pStyle w:val="a3"/>
              <w:spacing w:before="0" w:beforeAutospacing="0" w:after="0" w:afterAutospacing="0"/>
              <w:divId w:val="1515338092"/>
              <w:rPr>
                <w:sz w:val="20"/>
                <w:szCs w:val="20"/>
              </w:rPr>
            </w:pPr>
            <w:r>
              <w:rPr>
                <w:sz w:val="2"/>
                <w:szCs w:val="2"/>
              </w:rPr>
              <w:t>​</w:t>
            </w:r>
          </w:p>
        </w:tc>
        <w:tc>
          <w:tcPr>
            <w:tcW w:w="97" w:type="pct"/>
            <w:noWrap/>
            <w:tcMar>
              <w:top w:w="0" w:type="dxa"/>
              <w:left w:w="0" w:type="dxa"/>
              <w:bottom w:w="0" w:type="dxa"/>
              <w:right w:w="0" w:type="dxa"/>
            </w:tcMar>
            <w:vAlign w:val="bottom"/>
            <w:hideMark/>
          </w:tcPr>
          <w:p w14:paraId="484C2A4D" w14:textId="77777777" w:rsidR="00000000" w:rsidRDefault="00097612">
            <w:pPr>
              <w:pStyle w:val="a3"/>
              <w:spacing w:before="0" w:beforeAutospacing="0" w:after="0" w:afterAutospacing="0"/>
              <w:divId w:val="2128237431"/>
              <w:rPr>
                <w:sz w:val="20"/>
                <w:szCs w:val="20"/>
              </w:rPr>
            </w:pPr>
            <w:r>
              <w:rPr>
                <w:sz w:val="2"/>
                <w:szCs w:val="2"/>
              </w:rPr>
              <w:t>​</w:t>
            </w:r>
          </w:p>
        </w:tc>
        <w:tc>
          <w:tcPr>
            <w:tcW w:w="383" w:type="pct"/>
            <w:noWrap/>
            <w:tcMar>
              <w:top w:w="0" w:type="dxa"/>
              <w:left w:w="0" w:type="dxa"/>
              <w:bottom w:w="0" w:type="dxa"/>
              <w:right w:w="0" w:type="dxa"/>
            </w:tcMar>
            <w:vAlign w:val="bottom"/>
            <w:hideMark/>
          </w:tcPr>
          <w:p w14:paraId="2CFFAD15" w14:textId="77777777" w:rsidR="00000000" w:rsidRDefault="00097612">
            <w:pPr>
              <w:pStyle w:val="a3"/>
              <w:spacing w:before="0" w:beforeAutospacing="0" w:after="0" w:afterAutospacing="0"/>
              <w:divId w:val="1086463105"/>
              <w:rPr>
                <w:sz w:val="20"/>
                <w:szCs w:val="20"/>
              </w:rPr>
            </w:pPr>
            <w:r>
              <w:rPr>
                <w:sz w:val="2"/>
                <w:szCs w:val="2"/>
              </w:rPr>
              <w:t>​</w:t>
            </w:r>
          </w:p>
        </w:tc>
        <w:tc>
          <w:tcPr>
            <w:tcW w:w="97" w:type="pct"/>
            <w:noWrap/>
            <w:tcMar>
              <w:top w:w="0" w:type="dxa"/>
              <w:left w:w="0" w:type="dxa"/>
              <w:bottom w:w="0" w:type="dxa"/>
              <w:right w:w="0" w:type="dxa"/>
            </w:tcMar>
            <w:vAlign w:val="bottom"/>
            <w:hideMark/>
          </w:tcPr>
          <w:p w14:paraId="679FC1B0" w14:textId="77777777" w:rsidR="00000000" w:rsidRDefault="00097612">
            <w:pPr>
              <w:pStyle w:val="a3"/>
              <w:spacing w:before="0" w:beforeAutospacing="0" w:after="0" w:afterAutospacing="0"/>
              <w:divId w:val="534584737"/>
              <w:rPr>
                <w:sz w:val="20"/>
                <w:szCs w:val="20"/>
              </w:rPr>
            </w:pPr>
            <w:r>
              <w:rPr>
                <w:sz w:val="2"/>
                <w:szCs w:val="2"/>
              </w:rPr>
              <w:t>​</w:t>
            </w:r>
          </w:p>
        </w:tc>
        <w:tc>
          <w:tcPr>
            <w:tcW w:w="384" w:type="pct"/>
            <w:noWrap/>
            <w:tcMar>
              <w:top w:w="0" w:type="dxa"/>
              <w:left w:w="0" w:type="dxa"/>
              <w:bottom w:w="0" w:type="dxa"/>
              <w:right w:w="0" w:type="dxa"/>
            </w:tcMar>
            <w:vAlign w:val="bottom"/>
            <w:hideMark/>
          </w:tcPr>
          <w:p w14:paraId="76D66C94" w14:textId="77777777" w:rsidR="00000000" w:rsidRDefault="00097612">
            <w:pPr>
              <w:pStyle w:val="a3"/>
              <w:spacing w:before="0" w:beforeAutospacing="0" w:after="0" w:afterAutospacing="0"/>
              <w:divId w:val="1805611143"/>
              <w:rPr>
                <w:sz w:val="20"/>
                <w:szCs w:val="20"/>
              </w:rPr>
            </w:pPr>
            <w:r>
              <w:rPr>
                <w:sz w:val="2"/>
                <w:szCs w:val="2"/>
              </w:rPr>
              <w:t>​</w:t>
            </w:r>
          </w:p>
        </w:tc>
      </w:tr>
      <w:tr w:rsidR="00000000" w14:paraId="1C048843" w14:textId="77777777">
        <w:trPr>
          <w:divId w:val="137379467"/>
        </w:trPr>
        <w:tc>
          <w:tcPr>
            <w:tcW w:w="3073" w:type="pct"/>
            <w:shd w:val="clear" w:color="auto" w:fill="auto"/>
            <w:tcMar>
              <w:top w:w="0" w:type="dxa"/>
              <w:left w:w="0" w:type="dxa"/>
              <w:bottom w:w="0" w:type="dxa"/>
              <w:right w:w="0" w:type="dxa"/>
            </w:tcMar>
            <w:vAlign w:val="bottom"/>
            <w:hideMark/>
          </w:tcPr>
          <w:p w14:paraId="5DB2F860" w14:textId="77777777" w:rsidR="00000000" w:rsidRDefault="00097612">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35EF705D" w14:textId="77777777" w:rsidR="00000000" w:rsidRDefault="00097612">
            <w:pPr>
              <w:pStyle w:val="a3"/>
              <w:spacing w:before="0" w:beforeAutospacing="0" w:after="0" w:afterAutospacing="0"/>
              <w:rPr>
                <w:sz w:val="20"/>
                <w:szCs w:val="20"/>
              </w:rPr>
            </w:pPr>
            <w:r>
              <w:rPr>
                <w:b/>
                <w:bCs/>
                <w:sz w:val="16"/>
                <w:szCs w:val="16"/>
              </w:rPr>
              <w:t>​</w:t>
            </w:r>
          </w:p>
        </w:tc>
        <w:tc>
          <w:tcPr>
            <w:tcW w:w="866" w:type="pct"/>
            <w:gridSpan w:val="3"/>
            <w:shd w:val="clear" w:color="auto" w:fill="auto"/>
            <w:tcMar>
              <w:top w:w="0" w:type="dxa"/>
              <w:left w:w="0" w:type="dxa"/>
              <w:bottom w:w="0" w:type="dxa"/>
              <w:right w:w="0" w:type="dxa"/>
            </w:tcMar>
            <w:vAlign w:val="bottom"/>
            <w:hideMark/>
          </w:tcPr>
          <w:p w14:paraId="3DB6726E"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97" w:type="pct"/>
            <w:shd w:val="clear" w:color="auto" w:fill="auto"/>
            <w:noWrap/>
            <w:tcMar>
              <w:top w:w="0" w:type="dxa"/>
              <w:left w:w="0" w:type="dxa"/>
              <w:bottom w:w="0" w:type="dxa"/>
              <w:right w:w="0" w:type="dxa"/>
            </w:tcMar>
            <w:vAlign w:val="bottom"/>
            <w:hideMark/>
          </w:tcPr>
          <w:p w14:paraId="1B50CD37" w14:textId="77777777" w:rsidR="00000000" w:rsidRDefault="00097612">
            <w:pPr>
              <w:pStyle w:val="a3"/>
              <w:spacing w:before="0" w:beforeAutospacing="0" w:after="0" w:afterAutospacing="0"/>
              <w:rPr>
                <w:sz w:val="20"/>
                <w:szCs w:val="20"/>
              </w:rPr>
            </w:pPr>
            <w:r>
              <w:rPr>
                <w:b/>
                <w:bCs/>
                <w:sz w:val="16"/>
                <w:szCs w:val="16"/>
              </w:rPr>
              <w:t>​</w:t>
            </w:r>
          </w:p>
        </w:tc>
        <w:tc>
          <w:tcPr>
            <w:tcW w:w="866" w:type="pct"/>
            <w:gridSpan w:val="3"/>
            <w:shd w:val="clear" w:color="auto" w:fill="auto"/>
            <w:noWrap/>
            <w:tcMar>
              <w:top w:w="0" w:type="dxa"/>
              <w:left w:w="0" w:type="dxa"/>
              <w:bottom w:w="0" w:type="dxa"/>
              <w:right w:w="0" w:type="dxa"/>
            </w:tcMar>
            <w:vAlign w:val="bottom"/>
            <w:hideMark/>
          </w:tcPr>
          <w:p w14:paraId="05DD7600"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r>
      <w:tr w:rsidR="00000000" w14:paraId="4E806A4F" w14:textId="77777777">
        <w:trPr>
          <w:divId w:val="137379467"/>
        </w:trPr>
        <w:tc>
          <w:tcPr>
            <w:tcW w:w="3073" w:type="pct"/>
            <w:shd w:val="clear" w:color="auto" w:fill="auto"/>
            <w:tcMar>
              <w:top w:w="0" w:type="dxa"/>
              <w:left w:w="0" w:type="dxa"/>
              <w:bottom w:w="0" w:type="dxa"/>
              <w:right w:w="0" w:type="dxa"/>
            </w:tcMar>
            <w:vAlign w:val="bottom"/>
            <w:hideMark/>
          </w:tcPr>
          <w:p w14:paraId="74EC36E5" w14:textId="77777777" w:rsidR="00000000" w:rsidRDefault="00097612">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2502F71D" w14:textId="77777777" w:rsidR="00000000" w:rsidRDefault="00097612">
            <w:pPr>
              <w:pStyle w:val="a3"/>
              <w:spacing w:before="0" w:beforeAutospacing="0" w:after="0" w:afterAutospacing="0"/>
              <w:rPr>
                <w:sz w:val="20"/>
                <w:szCs w:val="20"/>
              </w:rPr>
            </w:pPr>
            <w:r>
              <w:rPr>
                <w:b/>
                <w:bCs/>
                <w:sz w:val="16"/>
                <w:szCs w:val="16"/>
              </w:rPr>
              <w:t>​</w:t>
            </w:r>
          </w:p>
        </w:tc>
        <w:tc>
          <w:tcPr>
            <w:tcW w:w="866" w:type="pct"/>
            <w:gridSpan w:val="3"/>
            <w:tcBorders>
              <w:bottom w:val="single" w:sz="6" w:space="0" w:color="000000"/>
            </w:tcBorders>
            <w:shd w:val="clear" w:color="auto" w:fill="auto"/>
            <w:tcMar>
              <w:top w:w="0" w:type="dxa"/>
              <w:left w:w="0" w:type="dxa"/>
              <w:bottom w:w="0" w:type="dxa"/>
              <w:right w:w="0" w:type="dxa"/>
            </w:tcMar>
            <w:vAlign w:val="bottom"/>
            <w:hideMark/>
          </w:tcPr>
          <w:p w14:paraId="7DCEDA30"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97" w:type="pct"/>
            <w:shd w:val="clear" w:color="auto" w:fill="auto"/>
            <w:noWrap/>
            <w:tcMar>
              <w:top w:w="0" w:type="dxa"/>
              <w:left w:w="0" w:type="dxa"/>
              <w:bottom w:w="0" w:type="dxa"/>
              <w:right w:w="0" w:type="dxa"/>
            </w:tcMar>
            <w:vAlign w:val="bottom"/>
            <w:hideMark/>
          </w:tcPr>
          <w:p w14:paraId="03956EA9" w14:textId="77777777" w:rsidR="00000000" w:rsidRDefault="00097612">
            <w:pPr>
              <w:pStyle w:val="a3"/>
              <w:spacing w:before="0" w:beforeAutospacing="0" w:after="0" w:afterAutospacing="0"/>
              <w:rPr>
                <w:sz w:val="20"/>
                <w:szCs w:val="20"/>
              </w:rPr>
            </w:pPr>
            <w:r>
              <w:rPr>
                <w:b/>
                <w:bCs/>
                <w:sz w:val="16"/>
                <w:szCs w:val="16"/>
              </w:rPr>
              <w:t>​</w:t>
            </w:r>
          </w:p>
        </w:tc>
        <w:tc>
          <w:tcPr>
            <w:tcW w:w="866" w:type="pct"/>
            <w:gridSpan w:val="3"/>
            <w:tcBorders>
              <w:bottom w:val="single" w:sz="6" w:space="0" w:color="000000"/>
            </w:tcBorders>
            <w:shd w:val="clear" w:color="auto" w:fill="auto"/>
            <w:noWrap/>
            <w:tcMar>
              <w:top w:w="0" w:type="dxa"/>
              <w:left w:w="0" w:type="dxa"/>
              <w:bottom w:w="0" w:type="dxa"/>
              <w:right w:w="0" w:type="dxa"/>
            </w:tcMar>
            <w:vAlign w:val="bottom"/>
            <w:hideMark/>
          </w:tcPr>
          <w:p w14:paraId="16C2E964" w14:textId="77777777" w:rsidR="00000000" w:rsidRDefault="00097612">
            <w:pPr>
              <w:pStyle w:val="a3"/>
              <w:spacing w:before="0" w:beforeAutospacing="0" w:after="0" w:afterAutospacing="0"/>
              <w:jc w:val="center"/>
              <w:rPr>
                <w:sz w:val="16"/>
                <w:szCs w:val="16"/>
              </w:rPr>
            </w:pPr>
            <w:r>
              <w:rPr>
                <w:b/>
                <w:bCs/>
                <w:sz w:val="16"/>
                <w:szCs w:val="16"/>
              </w:rPr>
              <w:t>September 30, </w:t>
            </w:r>
          </w:p>
        </w:tc>
      </w:tr>
      <w:tr w:rsidR="00000000" w14:paraId="6EAC25D5" w14:textId="77777777">
        <w:trPr>
          <w:divId w:val="137379467"/>
        </w:trPr>
        <w:tc>
          <w:tcPr>
            <w:tcW w:w="3073" w:type="pct"/>
            <w:tcBorders>
              <w:bottom w:val="single" w:sz="6" w:space="0" w:color="000000"/>
            </w:tcBorders>
            <w:shd w:val="clear" w:color="auto" w:fill="auto"/>
            <w:tcMar>
              <w:top w:w="0" w:type="dxa"/>
              <w:left w:w="0" w:type="dxa"/>
              <w:bottom w:w="0" w:type="dxa"/>
              <w:right w:w="0" w:type="dxa"/>
            </w:tcMar>
            <w:vAlign w:val="bottom"/>
            <w:hideMark/>
          </w:tcPr>
          <w:p w14:paraId="2F7B2F65" w14:textId="77777777" w:rsidR="00000000" w:rsidRDefault="00097612">
            <w:pPr>
              <w:pStyle w:val="a3"/>
              <w:spacing w:before="0" w:beforeAutospacing="0" w:after="0" w:afterAutospacing="0"/>
              <w:rPr>
                <w:sz w:val="16"/>
                <w:szCs w:val="16"/>
              </w:rPr>
            </w:pPr>
            <w:r>
              <w:rPr>
                <w:b/>
                <w:bCs/>
                <w:sz w:val="16"/>
                <w:szCs w:val="16"/>
              </w:rPr>
              <w:t>(In thousands)</w:t>
            </w:r>
          </w:p>
        </w:tc>
        <w:tc>
          <w:tcPr>
            <w:tcW w:w="97" w:type="pct"/>
            <w:shd w:val="clear" w:color="auto" w:fill="auto"/>
            <w:noWrap/>
            <w:tcMar>
              <w:top w:w="0" w:type="dxa"/>
              <w:left w:w="0" w:type="dxa"/>
              <w:bottom w:w="0" w:type="dxa"/>
              <w:right w:w="0" w:type="dxa"/>
            </w:tcMar>
            <w:vAlign w:val="bottom"/>
            <w:hideMark/>
          </w:tcPr>
          <w:p w14:paraId="23D5EF3D" w14:textId="77777777" w:rsidR="00000000" w:rsidRDefault="00097612">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shd w:val="clear" w:color="auto" w:fill="auto"/>
            <w:noWrap/>
            <w:tcMar>
              <w:top w:w="0" w:type="dxa"/>
              <w:left w:w="0" w:type="dxa"/>
              <w:bottom w:w="0" w:type="dxa"/>
              <w:right w:w="0" w:type="dxa"/>
            </w:tcMar>
            <w:vAlign w:val="bottom"/>
            <w:hideMark/>
          </w:tcPr>
          <w:p w14:paraId="6147BDD1" w14:textId="77777777" w:rsidR="00000000" w:rsidRDefault="00097612">
            <w:pPr>
              <w:pStyle w:val="a3"/>
              <w:spacing w:before="0" w:beforeAutospacing="0" w:after="0" w:afterAutospacing="0"/>
              <w:jc w:val="center"/>
              <w:rPr>
                <w:sz w:val="16"/>
                <w:szCs w:val="16"/>
              </w:rPr>
            </w:pPr>
            <w:r>
              <w:rPr>
                <w:b/>
                <w:bCs/>
                <w:sz w:val="16"/>
                <w:szCs w:val="16"/>
              </w:rPr>
              <w:t>2019</w:t>
            </w:r>
          </w:p>
        </w:tc>
        <w:tc>
          <w:tcPr>
            <w:tcW w:w="97" w:type="pct"/>
            <w:shd w:val="clear" w:color="auto" w:fill="auto"/>
            <w:noWrap/>
            <w:tcMar>
              <w:top w:w="0" w:type="dxa"/>
              <w:left w:w="0" w:type="dxa"/>
              <w:bottom w:w="0" w:type="dxa"/>
              <w:right w:w="0" w:type="dxa"/>
            </w:tcMar>
            <w:vAlign w:val="bottom"/>
            <w:hideMark/>
          </w:tcPr>
          <w:p w14:paraId="1849DFC8" w14:textId="77777777" w:rsidR="00000000" w:rsidRDefault="00097612">
            <w:pPr>
              <w:pStyle w:val="a3"/>
              <w:spacing w:before="0" w:beforeAutospacing="0" w:after="0" w:afterAutospacing="0"/>
              <w:rPr>
                <w:sz w:val="16"/>
                <w:szCs w:val="16"/>
              </w:rPr>
            </w:pPr>
            <w:r>
              <w:rPr>
                <w:b/>
                <w:bCs/>
                <w:sz w:val="16"/>
                <w:szCs w:val="16"/>
              </w:rPr>
              <w:t>    </w:t>
            </w:r>
          </w:p>
        </w:tc>
        <w:tc>
          <w:tcPr>
            <w:tcW w:w="384" w:type="pct"/>
            <w:tcBorders>
              <w:bottom w:val="single" w:sz="6" w:space="0" w:color="000000"/>
            </w:tcBorders>
            <w:shd w:val="clear" w:color="auto" w:fill="auto"/>
            <w:noWrap/>
            <w:tcMar>
              <w:top w:w="0" w:type="dxa"/>
              <w:left w:w="0" w:type="dxa"/>
              <w:bottom w:w="0" w:type="dxa"/>
              <w:right w:w="0" w:type="dxa"/>
            </w:tcMar>
            <w:vAlign w:val="bottom"/>
            <w:hideMark/>
          </w:tcPr>
          <w:p w14:paraId="651AC1DD" w14:textId="77777777" w:rsidR="00000000" w:rsidRDefault="00097612">
            <w:pPr>
              <w:pStyle w:val="a3"/>
              <w:spacing w:before="0" w:beforeAutospacing="0" w:after="0" w:afterAutospacing="0"/>
              <w:jc w:val="center"/>
              <w:rPr>
                <w:sz w:val="16"/>
                <w:szCs w:val="16"/>
              </w:rPr>
            </w:pPr>
            <w:r>
              <w:rPr>
                <w:b/>
                <w:bCs/>
                <w:sz w:val="16"/>
                <w:szCs w:val="16"/>
              </w:rPr>
              <w:t>2018</w:t>
            </w:r>
          </w:p>
        </w:tc>
        <w:tc>
          <w:tcPr>
            <w:tcW w:w="97" w:type="pct"/>
            <w:shd w:val="clear" w:color="auto" w:fill="auto"/>
            <w:noWrap/>
            <w:tcMar>
              <w:top w:w="0" w:type="dxa"/>
              <w:left w:w="0" w:type="dxa"/>
              <w:bottom w:w="0" w:type="dxa"/>
              <w:right w:w="0" w:type="dxa"/>
            </w:tcMar>
            <w:vAlign w:val="bottom"/>
            <w:hideMark/>
          </w:tcPr>
          <w:p w14:paraId="4E8C1CB1" w14:textId="77777777" w:rsidR="00000000" w:rsidRDefault="00097612">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shd w:val="clear" w:color="auto" w:fill="auto"/>
            <w:noWrap/>
            <w:tcMar>
              <w:top w:w="0" w:type="dxa"/>
              <w:left w:w="0" w:type="dxa"/>
              <w:bottom w:w="0" w:type="dxa"/>
              <w:right w:w="0" w:type="dxa"/>
            </w:tcMar>
            <w:vAlign w:val="bottom"/>
            <w:hideMark/>
          </w:tcPr>
          <w:p w14:paraId="7035913B" w14:textId="77777777" w:rsidR="00000000" w:rsidRDefault="00097612">
            <w:pPr>
              <w:pStyle w:val="a3"/>
              <w:spacing w:before="0" w:beforeAutospacing="0" w:after="0" w:afterAutospacing="0"/>
              <w:jc w:val="center"/>
              <w:rPr>
                <w:sz w:val="16"/>
                <w:szCs w:val="16"/>
              </w:rPr>
            </w:pPr>
            <w:r>
              <w:rPr>
                <w:b/>
                <w:bCs/>
                <w:sz w:val="16"/>
                <w:szCs w:val="16"/>
              </w:rPr>
              <w:t>2019</w:t>
            </w:r>
          </w:p>
        </w:tc>
        <w:tc>
          <w:tcPr>
            <w:tcW w:w="97" w:type="pct"/>
            <w:shd w:val="clear" w:color="auto" w:fill="auto"/>
            <w:noWrap/>
            <w:tcMar>
              <w:top w:w="0" w:type="dxa"/>
              <w:left w:w="0" w:type="dxa"/>
              <w:bottom w:w="0" w:type="dxa"/>
              <w:right w:w="0" w:type="dxa"/>
            </w:tcMar>
            <w:vAlign w:val="bottom"/>
            <w:hideMark/>
          </w:tcPr>
          <w:p w14:paraId="521189F4" w14:textId="77777777" w:rsidR="00000000" w:rsidRDefault="00097612">
            <w:pPr>
              <w:pStyle w:val="a3"/>
              <w:spacing w:before="0" w:beforeAutospacing="0" w:after="0" w:afterAutospacing="0"/>
              <w:rPr>
                <w:sz w:val="16"/>
                <w:szCs w:val="16"/>
              </w:rPr>
            </w:pPr>
            <w:r>
              <w:rPr>
                <w:b/>
                <w:bCs/>
                <w:sz w:val="16"/>
                <w:szCs w:val="16"/>
              </w:rPr>
              <w:t>    </w:t>
            </w:r>
          </w:p>
        </w:tc>
        <w:tc>
          <w:tcPr>
            <w:tcW w:w="384" w:type="pct"/>
            <w:tcBorders>
              <w:bottom w:val="single" w:sz="6" w:space="0" w:color="000000"/>
            </w:tcBorders>
            <w:shd w:val="clear" w:color="auto" w:fill="auto"/>
            <w:noWrap/>
            <w:tcMar>
              <w:top w:w="0" w:type="dxa"/>
              <w:left w:w="0" w:type="dxa"/>
              <w:bottom w:w="0" w:type="dxa"/>
              <w:right w:w="0" w:type="dxa"/>
            </w:tcMar>
            <w:vAlign w:val="bottom"/>
            <w:hideMark/>
          </w:tcPr>
          <w:p w14:paraId="05E649DC" w14:textId="77777777" w:rsidR="00000000" w:rsidRDefault="00097612">
            <w:pPr>
              <w:pStyle w:val="a3"/>
              <w:spacing w:before="0" w:beforeAutospacing="0" w:after="0" w:afterAutospacing="0"/>
              <w:jc w:val="center"/>
              <w:rPr>
                <w:sz w:val="16"/>
                <w:szCs w:val="16"/>
              </w:rPr>
            </w:pPr>
            <w:r>
              <w:rPr>
                <w:b/>
                <w:bCs/>
                <w:sz w:val="16"/>
                <w:szCs w:val="16"/>
              </w:rPr>
              <w:t>2018</w:t>
            </w:r>
          </w:p>
        </w:tc>
      </w:tr>
      <w:tr w:rsidR="00000000" w14:paraId="5AD8D69A" w14:textId="77777777">
        <w:trPr>
          <w:divId w:val="137379467"/>
        </w:trPr>
        <w:tc>
          <w:tcPr>
            <w:tcW w:w="3073" w:type="pct"/>
            <w:shd w:val="clear" w:color="auto" w:fill="CCEEFF"/>
            <w:tcMar>
              <w:top w:w="0" w:type="dxa"/>
              <w:left w:w="0" w:type="dxa"/>
              <w:bottom w:w="0" w:type="dxa"/>
              <w:right w:w="0" w:type="dxa"/>
            </w:tcMar>
            <w:hideMark/>
          </w:tcPr>
          <w:p w14:paraId="5D343CF6" w14:textId="77777777" w:rsidR="00000000" w:rsidRDefault="00097612">
            <w:pPr>
              <w:pStyle w:val="a3"/>
              <w:spacing w:before="0" w:beforeAutospacing="0" w:after="0" w:afterAutospacing="0"/>
              <w:rPr>
                <w:sz w:val="20"/>
                <w:szCs w:val="20"/>
              </w:rPr>
            </w:pPr>
            <w:r>
              <w:rPr>
                <w:sz w:val="20"/>
                <w:szCs w:val="20"/>
              </w:rPr>
              <w:t>Share issuances under equity incentive plans and ESPP </w:t>
            </w:r>
          </w:p>
        </w:tc>
        <w:tc>
          <w:tcPr>
            <w:tcW w:w="97" w:type="pct"/>
            <w:shd w:val="clear" w:color="auto" w:fill="CCEEFF"/>
            <w:noWrap/>
            <w:tcMar>
              <w:top w:w="0" w:type="dxa"/>
              <w:left w:w="0" w:type="dxa"/>
              <w:bottom w:w="0" w:type="dxa"/>
              <w:right w:w="0" w:type="dxa"/>
            </w:tcMar>
            <w:vAlign w:val="bottom"/>
            <w:hideMark/>
          </w:tcPr>
          <w:p w14:paraId="38138874" w14:textId="77777777" w:rsidR="00000000" w:rsidRDefault="00097612">
            <w:pPr>
              <w:pStyle w:val="a3"/>
              <w:spacing w:before="0" w:beforeAutospacing="0" w:after="0" w:afterAutospacing="0"/>
              <w:rPr>
                <w:sz w:val="20"/>
                <w:szCs w:val="20"/>
              </w:rPr>
            </w:pPr>
            <w:r>
              <w:rPr>
                <w:b/>
                <w:bCs/>
                <w:sz w:val="20"/>
                <w:szCs w:val="20"/>
              </w:rPr>
              <w:t>​</w:t>
            </w:r>
          </w:p>
        </w:tc>
        <w:tc>
          <w:tcPr>
            <w:tcW w:w="383" w:type="pct"/>
            <w:shd w:val="clear" w:color="auto" w:fill="CCEEFF"/>
            <w:noWrap/>
            <w:tcMar>
              <w:top w:w="0" w:type="dxa"/>
              <w:left w:w="0" w:type="dxa"/>
              <w:bottom w:w="0" w:type="dxa"/>
              <w:right w:w="0" w:type="dxa"/>
            </w:tcMar>
            <w:vAlign w:val="bottom"/>
            <w:hideMark/>
          </w:tcPr>
          <w:p w14:paraId="606690DF" w14:textId="77777777" w:rsidR="00000000" w:rsidRDefault="00097612">
            <w:pPr>
              <w:pStyle w:val="a3"/>
              <w:spacing w:before="0" w:beforeAutospacing="0" w:after="0" w:afterAutospacing="0"/>
              <w:ind w:right="60"/>
              <w:jc w:val="right"/>
              <w:rPr>
                <w:sz w:val="20"/>
                <w:szCs w:val="20"/>
              </w:rPr>
            </w:pPr>
            <w:r>
              <w:rPr>
                <w:sz w:val="20"/>
                <w:szCs w:val="20"/>
              </w:rPr>
              <w:t>7,340</w:t>
            </w:r>
          </w:p>
        </w:tc>
        <w:tc>
          <w:tcPr>
            <w:tcW w:w="97" w:type="pct"/>
            <w:shd w:val="clear" w:color="auto" w:fill="CCEEFF"/>
            <w:noWrap/>
            <w:tcMar>
              <w:top w:w="0" w:type="dxa"/>
              <w:left w:w="0" w:type="dxa"/>
              <w:bottom w:w="0" w:type="dxa"/>
              <w:right w:w="0" w:type="dxa"/>
            </w:tcMar>
            <w:vAlign w:val="bottom"/>
            <w:hideMark/>
          </w:tcPr>
          <w:p w14:paraId="59D0A6D5" w14:textId="77777777" w:rsidR="00000000" w:rsidRDefault="00097612">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14:paraId="349D21D4" w14:textId="77777777" w:rsidR="00000000" w:rsidRDefault="00097612">
            <w:pPr>
              <w:pStyle w:val="a3"/>
              <w:spacing w:before="0" w:beforeAutospacing="0" w:after="0" w:afterAutospacing="0"/>
              <w:ind w:right="60"/>
              <w:jc w:val="right"/>
              <w:rPr>
                <w:sz w:val="20"/>
                <w:szCs w:val="20"/>
              </w:rPr>
            </w:pPr>
            <w:r>
              <w:rPr>
                <w:sz w:val="20"/>
                <w:szCs w:val="20"/>
              </w:rPr>
              <w:t>3,783</w:t>
            </w:r>
          </w:p>
        </w:tc>
        <w:tc>
          <w:tcPr>
            <w:tcW w:w="97" w:type="pct"/>
            <w:shd w:val="clear" w:color="auto" w:fill="CCEEFF"/>
            <w:noWrap/>
            <w:tcMar>
              <w:top w:w="0" w:type="dxa"/>
              <w:left w:w="0" w:type="dxa"/>
              <w:bottom w:w="0" w:type="dxa"/>
              <w:right w:w="0" w:type="dxa"/>
            </w:tcMar>
            <w:vAlign w:val="bottom"/>
            <w:hideMark/>
          </w:tcPr>
          <w:p w14:paraId="0B27A3CD" w14:textId="77777777" w:rsidR="00000000" w:rsidRDefault="00097612">
            <w:pPr>
              <w:pStyle w:val="a3"/>
              <w:spacing w:before="0" w:beforeAutospacing="0" w:after="0" w:afterAutospacing="0"/>
              <w:rPr>
                <w:sz w:val="20"/>
                <w:szCs w:val="20"/>
              </w:rPr>
            </w:pPr>
            <w:r>
              <w:rPr>
                <w:b/>
                <w:bCs/>
                <w:sz w:val="20"/>
                <w:szCs w:val="20"/>
              </w:rPr>
              <w:t>​</w:t>
            </w:r>
          </w:p>
        </w:tc>
        <w:tc>
          <w:tcPr>
            <w:tcW w:w="383" w:type="pct"/>
            <w:shd w:val="clear" w:color="auto" w:fill="CCEEFF"/>
            <w:noWrap/>
            <w:tcMar>
              <w:top w:w="0" w:type="dxa"/>
              <w:left w:w="0" w:type="dxa"/>
              <w:bottom w:w="0" w:type="dxa"/>
              <w:right w:w="0" w:type="dxa"/>
            </w:tcMar>
            <w:vAlign w:val="bottom"/>
            <w:hideMark/>
          </w:tcPr>
          <w:p w14:paraId="0AC3A487" w14:textId="77777777" w:rsidR="00000000" w:rsidRDefault="00097612">
            <w:pPr>
              <w:pStyle w:val="a3"/>
              <w:spacing w:before="0" w:beforeAutospacing="0" w:after="0" w:afterAutospacing="0"/>
              <w:ind w:right="60"/>
              <w:jc w:val="right"/>
              <w:rPr>
                <w:sz w:val="20"/>
                <w:szCs w:val="20"/>
              </w:rPr>
            </w:pPr>
            <w:r>
              <w:rPr>
                <w:sz w:val="20"/>
                <w:szCs w:val="20"/>
              </w:rPr>
              <w:t>6,491</w:t>
            </w:r>
          </w:p>
        </w:tc>
        <w:tc>
          <w:tcPr>
            <w:tcW w:w="97" w:type="pct"/>
            <w:shd w:val="clear" w:color="auto" w:fill="CCEEFF"/>
            <w:noWrap/>
            <w:tcMar>
              <w:top w:w="0" w:type="dxa"/>
              <w:left w:w="0" w:type="dxa"/>
              <w:bottom w:w="0" w:type="dxa"/>
              <w:right w:w="0" w:type="dxa"/>
            </w:tcMar>
            <w:vAlign w:val="bottom"/>
            <w:hideMark/>
          </w:tcPr>
          <w:p w14:paraId="0E8B733D" w14:textId="77777777" w:rsidR="00000000" w:rsidRDefault="00097612">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14:paraId="16D09460" w14:textId="77777777" w:rsidR="00000000" w:rsidRDefault="00097612">
            <w:pPr>
              <w:pStyle w:val="a3"/>
              <w:spacing w:before="0" w:beforeAutospacing="0" w:after="0" w:afterAutospacing="0"/>
              <w:ind w:right="60"/>
              <w:jc w:val="right"/>
              <w:rPr>
                <w:sz w:val="20"/>
                <w:szCs w:val="20"/>
              </w:rPr>
            </w:pPr>
            <w:r>
              <w:rPr>
                <w:sz w:val="20"/>
                <w:szCs w:val="20"/>
              </w:rPr>
              <w:t>4,741</w:t>
            </w:r>
          </w:p>
        </w:tc>
      </w:tr>
      <w:tr w:rsidR="00000000" w14:paraId="4A40E571" w14:textId="77777777">
        <w:trPr>
          <w:divId w:val="137379467"/>
        </w:trPr>
        <w:tc>
          <w:tcPr>
            <w:tcW w:w="3073" w:type="pct"/>
            <w:tcMar>
              <w:top w:w="0" w:type="dxa"/>
              <w:left w:w="0" w:type="dxa"/>
              <w:bottom w:w="0" w:type="dxa"/>
              <w:right w:w="0" w:type="dxa"/>
            </w:tcMar>
            <w:vAlign w:val="bottom"/>
            <w:hideMark/>
          </w:tcPr>
          <w:p w14:paraId="4BADC6D5" w14:textId="77777777" w:rsidR="00000000" w:rsidRDefault="00097612">
            <w:pPr>
              <w:pStyle w:val="a3"/>
              <w:spacing w:before="0" w:beforeAutospacing="0" w:after="0" w:afterAutospacing="0"/>
              <w:rPr>
                <w:sz w:val="20"/>
                <w:szCs w:val="20"/>
              </w:rPr>
            </w:pPr>
            <w:r>
              <w:rPr>
                <w:sz w:val="20"/>
                <w:szCs w:val="20"/>
              </w:rPr>
              <w:t xml:space="preserve">Restricted shares </w:t>
            </w:r>
          </w:p>
        </w:tc>
        <w:tc>
          <w:tcPr>
            <w:tcW w:w="97" w:type="pct"/>
            <w:noWrap/>
            <w:tcMar>
              <w:top w:w="0" w:type="dxa"/>
              <w:left w:w="0" w:type="dxa"/>
              <w:bottom w:w="0" w:type="dxa"/>
              <w:right w:w="0" w:type="dxa"/>
            </w:tcMar>
            <w:vAlign w:val="bottom"/>
            <w:hideMark/>
          </w:tcPr>
          <w:p w14:paraId="64B1C101" w14:textId="77777777" w:rsidR="00000000" w:rsidRDefault="00097612">
            <w:pPr>
              <w:pStyle w:val="a3"/>
              <w:spacing w:before="0" w:beforeAutospacing="0" w:after="0" w:afterAutospacing="0"/>
              <w:rPr>
                <w:sz w:val="20"/>
                <w:szCs w:val="20"/>
              </w:rPr>
            </w:pPr>
            <w:r>
              <w:rPr>
                <w:b/>
                <w:bCs/>
                <w:sz w:val="20"/>
                <w:szCs w:val="20"/>
              </w:rPr>
              <w:t>​</w:t>
            </w:r>
          </w:p>
        </w:tc>
        <w:tc>
          <w:tcPr>
            <w:tcW w:w="383" w:type="pct"/>
            <w:noWrap/>
            <w:tcMar>
              <w:top w:w="0" w:type="dxa"/>
              <w:left w:w="0" w:type="dxa"/>
              <w:bottom w:w="0" w:type="dxa"/>
              <w:right w:w="0" w:type="dxa"/>
            </w:tcMar>
            <w:vAlign w:val="bottom"/>
            <w:hideMark/>
          </w:tcPr>
          <w:p w14:paraId="12462539" w14:textId="77777777" w:rsidR="00000000" w:rsidRDefault="00097612">
            <w:pPr>
              <w:pStyle w:val="a3"/>
              <w:spacing w:before="0" w:beforeAutospacing="0" w:after="0" w:afterAutospacing="0"/>
              <w:ind w:right="60"/>
              <w:jc w:val="right"/>
              <w:rPr>
                <w:sz w:val="20"/>
                <w:szCs w:val="20"/>
              </w:rPr>
            </w:pPr>
            <w:r>
              <w:rPr>
                <w:sz w:val="20"/>
                <w:szCs w:val="20"/>
              </w:rPr>
              <w:t>—</w:t>
            </w:r>
          </w:p>
        </w:tc>
        <w:tc>
          <w:tcPr>
            <w:tcW w:w="97" w:type="pct"/>
            <w:noWrap/>
            <w:tcMar>
              <w:top w:w="0" w:type="dxa"/>
              <w:left w:w="0" w:type="dxa"/>
              <w:bottom w:w="0" w:type="dxa"/>
              <w:right w:w="0" w:type="dxa"/>
            </w:tcMar>
            <w:vAlign w:val="bottom"/>
            <w:hideMark/>
          </w:tcPr>
          <w:p w14:paraId="280EB7BA" w14:textId="77777777" w:rsidR="00000000" w:rsidRDefault="00097612">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14:paraId="57AB2100" w14:textId="77777777" w:rsidR="00000000" w:rsidRDefault="00097612">
            <w:pPr>
              <w:pStyle w:val="a3"/>
              <w:spacing w:before="0" w:beforeAutospacing="0" w:after="0" w:afterAutospacing="0"/>
              <w:ind w:right="60"/>
              <w:jc w:val="right"/>
              <w:rPr>
                <w:sz w:val="20"/>
                <w:szCs w:val="20"/>
              </w:rPr>
            </w:pPr>
            <w:r>
              <w:rPr>
                <w:sz w:val="20"/>
                <w:szCs w:val="20"/>
              </w:rPr>
              <w:t>4</w:t>
            </w:r>
          </w:p>
        </w:tc>
        <w:tc>
          <w:tcPr>
            <w:tcW w:w="97" w:type="pct"/>
            <w:noWrap/>
            <w:tcMar>
              <w:top w:w="0" w:type="dxa"/>
              <w:left w:w="0" w:type="dxa"/>
              <w:bottom w:w="0" w:type="dxa"/>
              <w:right w:w="0" w:type="dxa"/>
            </w:tcMar>
            <w:vAlign w:val="bottom"/>
            <w:hideMark/>
          </w:tcPr>
          <w:p w14:paraId="5B1DF34F" w14:textId="77777777" w:rsidR="00000000" w:rsidRDefault="00097612">
            <w:pPr>
              <w:pStyle w:val="a3"/>
              <w:spacing w:before="0" w:beforeAutospacing="0" w:after="0" w:afterAutospacing="0"/>
              <w:rPr>
                <w:sz w:val="20"/>
                <w:szCs w:val="20"/>
              </w:rPr>
            </w:pPr>
            <w:r>
              <w:rPr>
                <w:b/>
                <w:bCs/>
                <w:sz w:val="20"/>
                <w:szCs w:val="20"/>
              </w:rPr>
              <w:t>​</w:t>
            </w:r>
          </w:p>
        </w:tc>
        <w:tc>
          <w:tcPr>
            <w:tcW w:w="383" w:type="pct"/>
            <w:noWrap/>
            <w:tcMar>
              <w:top w:w="0" w:type="dxa"/>
              <w:left w:w="0" w:type="dxa"/>
              <w:bottom w:w="0" w:type="dxa"/>
              <w:right w:w="0" w:type="dxa"/>
            </w:tcMar>
            <w:vAlign w:val="bottom"/>
            <w:hideMark/>
          </w:tcPr>
          <w:p w14:paraId="270C16A3" w14:textId="77777777" w:rsidR="00000000" w:rsidRDefault="00097612">
            <w:pPr>
              <w:pStyle w:val="a3"/>
              <w:spacing w:before="0" w:beforeAutospacing="0" w:after="0" w:afterAutospacing="0"/>
              <w:ind w:right="60"/>
              <w:jc w:val="right"/>
              <w:rPr>
                <w:sz w:val="20"/>
                <w:szCs w:val="20"/>
              </w:rPr>
            </w:pPr>
            <w:r>
              <w:rPr>
                <w:sz w:val="20"/>
                <w:szCs w:val="20"/>
              </w:rPr>
              <w:t>—</w:t>
            </w:r>
          </w:p>
        </w:tc>
        <w:tc>
          <w:tcPr>
            <w:tcW w:w="97" w:type="pct"/>
            <w:noWrap/>
            <w:tcMar>
              <w:top w:w="0" w:type="dxa"/>
              <w:left w:w="0" w:type="dxa"/>
              <w:bottom w:w="0" w:type="dxa"/>
              <w:right w:w="0" w:type="dxa"/>
            </w:tcMar>
            <w:vAlign w:val="bottom"/>
            <w:hideMark/>
          </w:tcPr>
          <w:p w14:paraId="15CD2523" w14:textId="77777777" w:rsidR="00000000" w:rsidRDefault="00097612">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14:paraId="7A1672D9" w14:textId="77777777" w:rsidR="00000000" w:rsidRDefault="00097612">
            <w:pPr>
              <w:pStyle w:val="a3"/>
              <w:spacing w:before="0" w:beforeAutospacing="0" w:after="0" w:afterAutospacing="0"/>
              <w:ind w:right="60"/>
              <w:jc w:val="right"/>
              <w:rPr>
                <w:sz w:val="20"/>
                <w:szCs w:val="20"/>
              </w:rPr>
            </w:pPr>
            <w:r>
              <w:rPr>
                <w:sz w:val="20"/>
                <w:szCs w:val="20"/>
              </w:rPr>
              <w:t>4</w:t>
            </w:r>
          </w:p>
        </w:tc>
      </w:tr>
      <w:tr w:rsidR="00000000" w14:paraId="55C6EC5F" w14:textId="77777777">
        <w:trPr>
          <w:divId w:val="137379467"/>
        </w:trPr>
        <w:tc>
          <w:tcPr>
            <w:tcW w:w="3073" w:type="pct"/>
            <w:shd w:val="clear" w:color="auto" w:fill="CCEEFF"/>
            <w:noWrap/>
            <w:tcMar>
              <w:top w:w="0" w:type="dxa"/>
              <w:left w:w="0" w:type="dxa"/>
              <w:bottom w:w="0" w:type="dxa"/>
              <w:right w:w="0" w:type="dxa"/>
            </w:tcMar>
            <w:hideMark/>
          </w:tcPr>
          <w:p w14:paraId="36AF0E92" w14:textId="77777777" w:rsidR="00000000" w:rsidRDefault="00097612">
            <w:pPr>
              <w:pStyle w:val="a3"/>
              <w:spacing w:before="0" w:beforeAutospacing="0" w:after="0" w:afterAutospacing="0"/>
              <w:rPr>
                <w:sz w:val="20"/>
                <w:szCs w:val="20"/>
              </w:rPr>
            </w:pPr>
            <w:r>
              <w:rPr>
                <w:sz w:val="20"/>
                <w:szCs w:val="20"/>
              </w:rPr>
              <w:t xml:space="preserve">Share issuances upon the conversion of convertible senior notes </w:t>
            </w:r>
          </w:p>
        </w:tc>
        <w:tc>
          <w:tcPr>
            <w:tcW w:w="97" w:type="pct"/>
            <w:shd w:val="clear" w:color="auto" w:fill="CCEEFF"/>
            <w:noWrap/>
            <w:tcMar>
              <w:top w:w="0" w:type="dxa"/>
              <w:left w:w="0" w:type="dxa"/>
              <w:bottom w:w="0" w:type="dxa"/>
              <w:right w:w="0" w:type="dxa"/>
            </w:tcMar>
            <w:vAlign w:val="bottom"/>
            <w:hideMark/>
          </w:tcPr>
          <w:p w14:paraId="74CECDCE" w14:textId="77777777" w:rsidR="00000000" w:rsidRDefault="00097612">
            <w:pPr>
              <w:pStyle w:val="a3"/>
              <w:spacing w:before="0" w:beforeAutospacing="0" w:after="0" w:afterAutospacing="0"/>
              <w:rPr>
                <w:sz w:val="20"/>
                <w:szCs w:val="20"/>
              </w:rPr>
            </w:pPr>
            <w:r>
              <w:rPr>
                <w:b/>
                <w:bCs/>
                <w:sz w:val="20"/>
                <w:szCs w:val="20"/>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14:paraId="3CBA3EB7" w14:textId="77777777" w:rsidR="00000000" w:rsidRDefault="00097612">
            <w:pPr>
              <w:pStyle w:val="a3"/>
              <w:spacing w:before="0" w:beforeAutospacing="0" w:after="0" w:afterAutospacing="0"/>
              <w:ind w:right="60"/>
              <w:jc w:val="right"/>
              <w:rPr>
                <w:sz w:val="20"/>
                <w:szCs w:val="20"/>
              </w:rPr>
            </w:pPr>
            <w:r>
              <w:rPr>
                <w:sz w:val="20"/>
                <w:szCs w:val="20"/>
              </w:rPr>
              <w:t>6,676</w:t>
            </w:r>
          </w:p>
        </w:tc>
        <w:tc>
          <w:tcPr>
            <w:tcW w:w="97" w:type="pct"/>
            <w:shd w:val="clear" w:color="auto" w:fill="CCEEFF"/>
            <w:noWrap/>
            <w:tcMar>
              <w:top w:w="0" w:type="dxa"/>
              <w:left w:w="0" w:type="dxa"/>
              <w:bottom w:w="0" w:type="dxa"/>
              <w:right w:w="0" w:type="dxa"/>
            </w:tcMar>
            <w:vAlign w:val="bottom"/>
            <w:hideMark/>
          </w:tcPr>
          <w:p w14:paraId="5004B517" w14:textId="77777777" w:rsidR="00000000" w:rsidRDefault="00097612">
            <w:pPr>
              <w:pStyle w:val="a3"/>
              <w:spacing w:before="0" w:beforeAutospacing="0" w:after="0" w:afterAutospacing="0"/>
              <w:rPr>
                <w:sz w:val="20"/>
                <w:szCs w:val="20"/>
              </w:rPr>
            </w:pPr>
            <w:r>
              <w:rPr>
                <w:sz w:val="20"/>
                <w:szCs w:val="20"/>
              </w:rPr>
              <w:t>​</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14:paraId="5FA41F8D" w14:textId="77777777" w:rsidR="00000000" w:rsidRDefault="00097612">
            <w:pPr>
              <w:pStyle w:val="a3"/>
              <w:spacing w:before="0" w:beforeAutospacing="0" w:after="0" w:afterAutospacing="0"/>
              <w:ind w:right="60"/>
              <w:jc w:val="right"/>
              <w:rPr>
                <w:sz w:val="20"/>
                <w:szCs w:val="20"/>
              </w:rPr>
            </w:pPr>
            <w:r>
              <w:rPr>
                <w:sz w:val="20"/>
                <w:szCs w:val="20"/>
              </w:rPr>
              <w:t>6,676</w:t>
            </w:r>
          </w:p>
        </w:tc>
        <w:tc>
          <w:tcPr>
            <w:tcW w:w="97" w:type="pct"/>
            <w:shd w:val="clear" w:color="auto" w:fill="CCEEFF"/>
            <w:noWrap/>
            <w:tcMar>
              <w:top w:w="0" w:type="dxa"/>
              <w:left w:w="0" w:type="dxa"/>
              <w:bottom w:w="0" w:type="dxa"/>
              <w:right w:w="0" w:type="dxa"/>
            </w:tcMar>
            <w:vAlign w:val="bottom"/>
            <w:hideMark/>
          </w:tcPr>
          <w:p w14:paraId="365B4927" w14:textId="77777777" w:rsidR="00000000" w:rsidRDefault="00097612">
            <w:pPr>
              <w:pStyle w:val="a3"/>
              <w:spacing w:before="0" w:beforeAutospacing="0" w:after="0" w:afterAutospacing="0"/>
              <w:rPr>
                <w:sz w:val="20"/>
                <w:szCs w:val="20"/>
              </w:rPr>
            </w:pPr>
            <w:r>
              <w:rPr>
                <w:b/>
                <w:bCs/>
                <w:sz w:val="20"/>
                <w:szCs w:val="20"/>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14:paraId="67122A58" w14:textId="77777777" w:rsidR="00000000" w:rsidRDefault="00097612">
            <w:pPr>
              <w:pStyle w:val="a3"/>
              <w:spacing w:before="0" w:beforeAutospacing="0" w:after="0" w:afterAutospacing="0"/>
              <w:ind w:right="60"/>
              <w:jc w:val="right"/>
              <w:rPr>
                <w:sz w:val="20"/>
                <w:szCs w:val="20"/>
              </w:rPr>
            </w:pPr>
            <w:r>
              <w:rPr>
                <w:sz w:val="20"/>
                <w:szCs w:val="20"/>
              </w:rPr>
              <w:t>6,676</w:t>
            </w:r>
          </w:p>
        </w:tc>
        <w:tc>
          <w:tcPr>
            <w:tcW w:w="97" w:type="pct"/>
            <w:shd w:val="clear" w:color="auto" w:fill="CCEEFF"/>
            <w:noWrap/>
            <w:tcMar>
              <w:top w:w="0" w:type="dxa"/>
              <w:left w:w="0" w:type="dxa"/>
              <w:bottom w:w="0" w:type="dxa"/>
              <w:right w:w="0" w:type="dxa"/>
            </w:tcMar>
            <w:vAlign w:val="bottom"/>
            <w:hideMark/>
          </w:tcPr>
          <w:p w14:paraId="3EEF4F41" w14:textId="77777777" w:rsidR="00000000" w:rsidRDefault="00097612">
            <w:pPr>
              <w:pStyle w:val="a3"/>
              <w:spacing w:before="0" w:beforeAutospacing="0" w:after="0" w:afterAutospacing="0"/>
              <w:rPr>
                <w:sz w:val="20"/>
                <w:szCs w:val="20"/>
              </w:rPr>
            </w:pPr>
            <w:r>
              <w:rPr>
                <w:sz w:val="20"/>
                <w:szCs w:val="20"/>
              </w:rPr>
              <w:t>​</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14:paraId="7DC04FEB" w14:textId="77777777" w:rsidR="00000000" w:rsidRDefault="00097612">
            <w:pPr>
              <w:pStyle w:val="a3"/>
              <w:spacing w:before="0" w:beforeAutospacing="0" w:after="0" w:afterAutospacing="0"/>
              <w:ind w:right="60"/>
              <w:jc w:val="right"/>
              <w:rPr>
                <w:sz w:val="20"/>
                <w:szCs w:val="20"/>
              </w:rPr>
            </w:pPr>
            <w:r>
              <w:rPr>
                <w:sz w:val="20"/>
                <w:szCs w:val="20"/>
              </w:rPr>
              <w:t>6,676</w:t>
            </w:r>
          </w:p>
        </w:tc>
      </w:tr>
      <w:tr w:rsidR="00000000" w14:paraId="7DB6390C" w14:textId="77777777">
        <w:trPr>
          <w:divId w:val="137379467"/>
        </w:trPr>
        <w:tc>
          <w:tcPr>
            <w:tcW w:w="3073" w:type="pct"/>
            <w:tcMar>
              <w:top w:w="0" w:type="dxa"/>
              <w:left w:w="0" w:type="dxa"/>
              <w:bottom w:w="0" w:type="dxa"/>
              <w:right w:w="0" w:type="dxa"/>
            </w:tcMar>
            <w:hideMark/>
          </w:tcPr>
          <w:p w14:paraId="4B66D80B" w14:textId="77777777" w:rsidR="00000000" w:rsidRDefault="00097612">
            <w:pPr>
              <w:pStyle w:val="a3"/>
              <w:spacing w:before="0" w:beforeAutospacing="0" w:after="0" w:afterAutospacing="0"/>
              <w:rPr>
                <w:sz w:val="20"/>
                <w:szCs w:val="20"/>
              </w:rPr>
            </w:pPr>
            <w:r>
              <w:rPr>
                <w:sz w:val="20"/>
                <w:szCs w:val="20"/>
              </w:rPr>
              <w:t>Tota</w:t>
            </w:r>
            <w:r>
              <w:rPr>
                <w:sz w:val="20"/>
                <w:szCs w:val="20"/>
              </w:rPr>
              <w:t>l</w:t>
            </w:r>
          </w:p>
        </w:tc>
        <w:tc>
          <w:tcPr>
            <w:tcW w:w="97" w:type="pct"/>
            <w:noWrap/>
            <w:tcMar>
              <w:top w:w="0" w:type="dxa"/>
              <w:left w:w="0" w:type="dxa"/>
              <w:bottom w:w="0" w:type="dxa"/>
              <w:right w:w="0" w:type="dxa"/>
            </w:tcMar>
            <w:vAlign w:val="bottom"/>
            <w:hideMark/>
          </w:tcPr>
          <w:p w14:paraId="437B0E8A" w14:textId="77777777" w:rsidR="00000000" w:rsidRDefault="00097612">
            <w:pPr>
              <w:pStyle w:val="a3"/>
              <w:spacing w:before="0" w:beforeAutospacing="0" w:after="0" w:afterAutospacing="0"/>
              <w:rPr>
                <w:sz w:val="20"/>
                <w:szCs w:val="20"/>
              </w:rPr>
            </w:pPr>
            <w:r>
              <w:rPr>
                <w:sz w:val="20"/>
                <w:szCs w:val="20"/>
              </w:rPr>
              <w:t> </w:t>
            </w:r>
          </w:p>
        </w:tc>
        <w:tc>
          <w:tcPr>
            <w:tcW w:w="383" w:type="pct"/>
            <w:tcBorders>
              <w:bottom w:val="double" w:sz="6" w:space="0" w:color="000000"/>
            </w:tcBorders>
            <w:noWrap/>
            <w:tcMar>
              <w:top w:w="0" w:type="dxa"/>
              <w:left w:w="0" w:type="dxa"/>
              <w:bottom w:w="0" w:type="dxa"/>
              <w:right w:w="0" w:type="dxa"/>
            </w:tcMar>
            <w:vAlign w:val="bottom"/>
            <w:hideMark/>
          </w:tcPr>
          <w:p w14:paraId="62E9973A" w14:textId="77777777" w:rsidR="00000000" w:rsidRDefault="00097612">
            <w:pPr>
              <w:pStyle w:val="a3"/>
              <w:spacing w:before="0" w:beforeAutospacing="0" w:after="0" w:afterAutospacing="0"/>
              <w:ind w:right="60"/>
              <w:jc w:val="right"/>
              <w:rPr>
                <w:sz w:val="20"/>
                <w:szCs w:val="20"/>
              </w:rPr>
            </w:pPr>
            <w:r>
              <w:rPr>
                <w:sz w:val="20"/>
                <w:szCs w:val="20"/>
              </w:rPr>
              <w:t>14,016</w:t>
            </w:r>
          </w:p>
        </w:tc>
        <w:tc>
          <w:tcPr>
            <w:tcW w:w="97" w:type="pct"/>
            <w:noWrap/>
            <w:tcMar>
              <w:top w:w="0" w:type="dxa"/>
              <w:left w:w="0" w:type="dxa"/>
              <w:bottom w:w="0" w:type="dxa"/>
              <w:right w:w="0" w:type="dxa"/>
            </w:tcMar>
            <w:vAlign w:val="bottom"/>
            <w:hideMark/>
          </w:tcPr>
          <w:p w14:paraId="365B76C5" w14:textId="77777777" w:rsidR="00000000" w:rsidRDefault="00097612">
            <w:pPr>
              <w:pStyle w:val="a3"/>
              <w:spacing w:before="0" w:beforeAutospacing="0" w:after="0" w:afterAutospacing="0"/>
              <w:rPr>
                <w:sz w:val="20"/>
                <w:szCs w:val="20"/>
              </w:rPr>
            </w:pPr>
            <w:r>
              <w:rPr>
                <w:sz w:val="20"/>
                <w:szCs w:val="20"/>
              </w:rPr>
              <w:t>​</w:t>
            </w:r>
          </w:p>
        </w:tc>
        <w:tc>
          <w:tcPr>
            <w:tcW w:w="384" w:type="pct"/>
            <w:tcBorders>
              <w:bottom w:val="double" w:sz="6" w:space="0" w:color="000000"/>
            </w:tcBorders>
            <w:noWrap/>
            <w:tcMar>
              <w:top w:w="0" w:type="dxa"/>
              <w:left w:w="0" w:type="dxa"/>
              <w:bottom w:w="0" w:type="dxa"/>
              <w:right w:w="0" w:type="dxa"/>
            </w:tcMar>
            <w:vAlign w:val="bottom"/>
            <w:hideMark/>
          </w:tcPr>
          <w:p w14:paraId="6DE83037" w14:textId="77777777" w:rsidR="00000000" w:rsidRDefault="00097612">
            <w:pPr>
              <w:pStyle w:val="a3"/>
              <w:spacing w:before="0" w:beforeAutospacing="0" w:after="0" w:afterAutospacing="0"/>
              <w:ind w:right="60"/>
              <w:jc w:val="right"/>
              <w:rPr>
                <w:sz w:val="20"/>
                <w:szCs w:val="20"/>
              </w:rPr>
            </w:pPr>
            <w:r>
              <w:rPr>
                <w:sz w:val="20"/>
                <w:szCs w:val="20"/>
              </w:rPr>
              <w:t>10,463</w:t>
            </w:r>
          </w:p>
        </w:tc>
        <w:tc>
          <w:tcPr>
            <w:tcW w:w="97" w:type="pct"/>
            <w:noWrap/>
            <w:tcMar>
              <w:top w:w="0" w:type="dxa"/>
              <w:left w:w="0" w:type="dxa"/>
              <w:bottom w:w="0" w:type="dxa"/>
              <w:right w:w="0" w:type="dxa"/>
            </w:tcMar>
            <w:vAlign w:val="bottom"/>
            <w:hideMark/>
          </w:tcPr>
          <w:p w14:paraId="7F8EA736" w14:textId="77777777" w:rsidR="00000000" w:rsidRDefault="00097612">
            <w:pPr>
              <w:pStyle w:val="a3"/>
              <w:spacing w:before="0" w:beforeAutospacing="0" w:after="0" w:afterAutospacing="0"/>
              <w:rPr>
                <w:sz w:val="20"/>
                <w:szCs w:val="20"/>
              </w:rPr>
            </w:pPr>
            <w:r>
              <w:rPr>
                <w:sz w:val="20"/>
                <w:szCs w:val="20"/>
              </w:rPr>
              <w:t> </w:t>
            </w:r>
          </w:p>
        </w:tc>
        <w:tc>
          <w:tcPr>
            <w:tcW w:w="383" w:type="pct"/>
            <w:tcBorders>
              <w:bottom w:val="double" w:sz="6" w:space="0" w:color="000000"/>
            </w:tcBorders>
            <w:noWrap/>
            <w:tcMar>
              <w:top w:w="0" w:type="dxa"/>
              <w:left w:w="0" w:type="dxa"/>
              <w:bottom w:w="0" w:type="dxa"/>
              <w:right w:w="0" w:type="dxa"/>
            </w:tcMar>
            <w:vAlign w:val="bottom"/>
            <w:hideMark/>
          </w:tcPr>
          <w:p w14:paraId="1EB1BEED" w14:textId="77777777" w:rsidR="00000000" w:rsidRDefault="00097612">
            <w:pPr>
              <w:pStyle w:val="a3"/>
              <w:spacing w:before="0" w:beforeAutospacing="0" w:after="0" w:afterAutospacing="0"/>
              <w:ind w:right="60"/>
              <w:jc w:val="right"/>
              <w:rPr>
                <w:sz w:val="20"/>
                <w:szCs w:val="20"/>
              </w:rPr>
            </w:pPr>
            <w:r>
              <w:rPr>
                <w:sz w:val="20"/>
                <w:szCs w:val="20"/>
              </w:rPr>
              <w:t>13,167</w:t>
            </w:r>
          </w:p>
        </w:tc>
        <w:tc>
          <w:tcPr>
            <w:tcW w:w="97" w:type="pct"/>
            <w:noWrap/>
            <w:tcMar>
              <w:top w:w="0" w:type="dxa"/>
              <w:left w:w="0" w:type="dxa"/>
              <w:bottom w:w="0" w:type="dxa"/>
              <w:right w:w="0" w:type="dxa"/>
            </w:tcMar>
            <w:vAlign w:val="bottom"/>
            <w:hideMark/>
          </w:tcPr>
          <w:p w14:paraId="23F64AC3" w14:textId="77777777" w:rsidR="00000000" w:rsidRDefault="00097612">
            <w:pPr>
              <w:pStyle w:val="a3"/>
              <w:spacing w:before="0" w:beforeAutospacing="0" w:after="0" w:afterAutospacing="0"/>
              <w:rPr>
                <w:sz w:val="20"/>
                <w:szCs w:val="20"/>
              </w:rPr>
            </w:pPr>
            <w:r>
              <w:rPr>
                <w:sz w:val="20"/>
                <w:szCs w:val="20"/>
              </w:rPr>
              <w:t>​</w:t>
            </w:r>
          </w:p>
        </w:tc>
        <w:tc>
          <w:tcPr>
            <w:tcW w:w="384" w:type="pct"/>
            <w:tcBorders>
              <w:bottom w:val="double" w:sz="6" w:space="0" w:color="000000"/>
            </w:tcBorders>
            <w:noWrap/>
            <w:tcMar>
              <w:top w:w="0" w:type="dxa"/>
              <w:left w:w="0" w:type="dxa"/>
              <w:bottom w:w="0" w:type="dxa"/>
              <w:right w:w="0" w:type="dxa"/>
            </w:tcMar>
            <w:vAlign w:val="bottom"/>
            <w:hideMark/>
          </w:tcPr>
          <w:p w14:paraId="3A9EEB50" w14:textId="77777777" w:rsidR="00000000" w:rsidRDefault="00097612">
            <w:pPr>
              <w:pStyle w:val="a3"/>
              <w:spacing w:before="0" w:beforeAutospacing="0" w:after="0" w:afterAutospacing="0"/>
              <w:ind w:right="60"/>
              <w:jc w:val="right"/>
              <w:rPr>
                <w:sz w:val="20"/>
                <w:szCs w:val="20"/>
              </w:rPr>
            </w:pPr>
            <w:r>
              <w:rPr>
                <w:sz w:val="20"/>
                <w:szCs w:val="20"/>
              </w:rPr>
              <w:t>11,421</w:t>
            </w:r>
          </w:p>
        </w:tc>
      </w:tr>
    </w:tbl>
    <w:p w14:paraId="52B76B28" w14:textId="77777777" w:rsidR="00000000" w:rsidRDefault="00097612">
      <w:pPr>
        <w:pStyle w:val="a3"/>
        <w:spacing w:before="0" w:beforeAutospacing="0" w:after="0" w:afterAutospacing="0"/>
        <w:divId w:val="137379467"/>
        <w:rPr>
          <w:sz w:val="20"/>
          <w:szCs w:val="20"/>
        </w:rPr>
      </w:pPr>
      <w:r>
        <w:rPr>
          <w:sz w:val="20"/>
          <w:szCs w:val="20"/>
        </w:rPr>
        <w:t>​</w:t>
      </w:r>
    </w:p>
    <w:p w14:paraId="6196C9A7" w14:textId="77777777" w:rsidR="00000000" w:rsidRDefault="00097612">
      <w:pPr>
        <w:pStyle w:val="a3"/>
        <w:spacing w:before="0" w:beforeAutospacing="0" w:after="0" w:afterAutospacing="0"/>
        <w:ind w:firstLine="720"/>
        <w:divId w:val="137379467"/>
        <w:rPr>
          <w:sz w:val="20"/>
          <w:szCs w:val="20"/>
        </w:rPr>
      </w:pPr>
      <w:r>
        <w:rPr>
          <w:sz w:val="20"/>
          <w:szCs w:val="20"/>
        </w:rPr>
        <w:t xml:space="preserve">As of September 30, 2019 and 2018, there were 414,000 and 978,750 </w:t>
      </w:r>
      <w:r>
        <w:rPr>
          <w:sz w:val="20"/>
          <w:szCs w:val="20"/>
        </w:rPr>
        <w:t>shares, respectively, subject to performance-based vesting criteria which have been excluded from the anti-dilutive securities table above.</w:t>
      </w:r>
    </w:p>
    <w:p w14:paraId="70C2E9A0" w14:textId="77777777" w:rsidR="00000000" w:rsidRDefault="00097612">
      <w:pPr>
        <w:pStyle w:val="a3"/>
        <w:spacing w:before="0" w:beforeAutospacing="0" w:after="0" w:afterAutospacing="0"/>
        <w:divId w:val="137379467"/>
        <w:rPr>
          <w:sz w:val="20"/>
          <w:szCs w:val="20"/>
        </w:rPr>
      </w:pPr>
      <w:r>
        <w:rPr>
          <w:sz w:val="20"/>
          <w:szCs w:val="20"/>
        </w:rPr>
        <w:t>​</w:t>
      </w:r>
    </w:p>
    <w:p w14:paraId="008996CA" w14:textId="77777777" w:rsidR="00000000" w:rsidRDefault="00097612">
      <w:pPr>
        <w:pStyle w:val="a3"/>
        <w:spacing w:before="360" w:beforeAutospacing="0" w:after="0" w:afterAutospacing="0"/>
        <w:jc w:val="center"/>
        <w:divId w:val="1899779236"/>
        <w:rPr>
          <w:sz w:val="20"/>
          <w:szCs w:val="20"/>
        </w:rPr>
      </w:pPr>
      <w:r>
        <w:rPr>
          <w:sz w:val="20"/>
          <w:szCs w:val="20"/>
        </w:rPr>
        <w:t>9</w:t>
      </w:r>
    </w:p>
    <w:p w14:paraId="396A7A02" w14:textId="77777777" w:rsidR="00000000" w:rsidRDefault="00097612">
      <w:pPr>
        <w:pStyle w:val="a3"/>
        <w:spacing w:before="0" w:beforeAutospacing="0" w:after="600" w:afterAutospacing="0"/>
        <w:divId w:val="2131894078"/>
        <w:rPr>
          <w:sz w:val="20"/>
          <w:szCs w:val="20"/>
        </w:rPr>
      </w:pPr>
      <w:hyperlink w:anchor="TOC" w:history="1">
        <w:r>
          <w:rPr>
            <w:rStyle w:val="a4"/>
            <w:sz w:val="20"/>
            <w:szCs w:val="20"/>
          </w:rPr>
          <w:t>Table of Contents</w:t>
        </w:r>
      </w:hyperlink>
    </w:p>
    <w:p w14:paraId="44D7622A" w14:textId="77777777" w:rsidR="00000000" w:rsidRDefault="00097612">
      <w:pPr>
        <w:pStyle w:val="a3"/>
        <w:spacing w:before="0" w:beforeAutospacing="0" w:after="0" w:afterAutospacing="0"/>
        <w:divId w:val="1949894663"/>
        <w:rPr>
          <w:sz w:val="20"/>
          <w:szCs w:val="20"/>
        </w:rPr>
      </w:pPr>
      <w:r>
        <w:rPr>
          <w:b/>
          <w:bCs/>
          <w:sz w:val="20"/>
          <w:szCs w:val="20"/>
        </w:rPr>
        <w:t>3. Revenue</w:t>
      </w:r>
    </w:p>
    <w:p w14:paraId="15DDB67C" w14:textId="77777777" w:rsidR="00000000" w:rsidRDefault="00097612">
      <w:pPr>
        <w:pStyle w:val="a3"/>
        <w:spacing w:before="0" w:beforeAutospacing="0" w:after="0" w:afterAutospacing="0"/>
        <w:divId w:val="1949894663"/>
        <w:rPr>
          <w:sz w:val="20"/>
          <w:szCs w:val="20"/>
        </w:rPr>
      </w:pPr>
      <w:r>
        <w:rPr>
          <w:b/>
          <w:bCs/>
          <w:sz w:val="10"/>
          <w:szCs w:val="10"/>
        </w:rPr>
        <w:t>​</w:t>
      </w:r>
    </w:p>
    <w:p w14:paraId="75AE62A0" w14:textId="77777777" w:rsidR="00000000" w:rsidRDefault="00097612">
      <w:pPr>
        <w:pStyle w:val="a3"/>
        <w:spacing w:before="0" w:beforeAutospacing="0" w:after="0" w:afterAutospacing="0"/>
        <w:divId w:val="1949894663"/>
        <w:rPr>
          <w:sz w:val="20"/>
          <w:szCs w:val="20"/>
        </w:rPr>
      </w:pPr>
      <w:r>
        <w:rPr>
          <w:b/>
          <w:bCs/>
          <w:i/>
          <w:iCs/>
          <w:sz w:val="20"/>
          <w:szCs w:val="20"/>
        </w:rPr>
        <w:t>Revenue from Collaborative Arrangements</w:t>
      </w:r>
    </w:p>
    <w:p w14:paraId="3E0A7B14" w14:textId="77777777" w:rsidR="00000000" w:rsidRDefault="00097612">
      <w:pPr>
        <w:pStyle w:val="a3"/>
        <w:spacing w:before="0" w:beforeAutospacing="0" w:after="0" w:afterAutospacing="0"/>
        <w:divId w:val="1949894663"/>
        <w:rPr>
          <w:sz w:val="20"/>
          <w:szCs w:val="20"/>
        </w:rPr>
      </w:pPr>
      <w:r>
        <w:rPr>
          <w:i/>
          <w:iCs/>
          <w:sz w:val="10"/>
          <w:szCs w:val="10"/>
        </w:rPr>
        <w:t>​</w:t>
      </w:r>
    </w:p>
    <w:p w14:paraId="332077EC" w14:textId="77777777" w:rsidR="00000000" w:rsidRDefault="00097612">
      <w:pPr>
        <w:pStyle w:val="a3"/>
        <w:spacing w:before="0" w:beforeAutospacing="0" w:after="0" w:afterAutospacing="0"/>
        <w:ind w:firstLine="720"/>
        <w:divId w:val="1949894663"/>
        <w:rPr>
          <w:sz w:val="20"/>
          <w:szCs w:val="20"/>
        </w:rPr>
      </w:pPr>
      <w:r>
        <w:rPr>
          <w:sz w:val="20"/>
          <w:szCs w:val="20"/>
        </w:rPr>
        <w:t>The Company r</w:t>
      </w:r>
      <w:r>
        <w:rPr>
          <w:sz w:val="20"/>
          <w:szCs w:val="20"/>
        </w:rPr>
        <w:t>ecognized revenues from its collaborative arrangements as follows:</w:t>
      </w:r>
    </w:p>
    <w:p w14:paraId="7FA56169" w14:textId="77777777" w:rsidR="00000000" w:rsidRDefault="00097612">
      <w:pPr>
        <w:pStyle w:val="a3"/>
        <w:spacing w:before="0" w:beforeAutospacing="0" w:after="0" w:afterAutospacing="0"/>
        <w:ind w:firstLine="720"/>
        <w:divId w:val="194989466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58"/>
        <w:gridCol w:w="160"/>
        <w:gridCol w:w="134"/>
        <w:gridCol w:w="577"/>
        <w:gridCol w:w="160"/>
        <w:gridCol w:w="132"/>
        <w:gridCol w:w="580"/>
        <w:gridCol w:w="160"/>
        <w:gridCol w:w="132"/>
        <w:gridCol w:w="610"/>
        <w:gridCol w:w="160"/>
        <w:gridCol w:w="133"/>
        <w:gridCol w:w="610"/>
      </w:tblGrid>
      <w:tr w:rsidR="00000000" w14:paraId="6FB16797" w14:textId="77777777">
        <w:trPr>
          <w:divId w:val="1949894663"/>
          <w:trHeight w:val="20"/>
        </w:trPr>
        <w:tc>
          <w:tcPr>
            <w:tcW w:w="2873" w:type="pct"/>
            <w:tcMar>
              <w:top w:w="0" w:type="dxa"/>
              <w:left w:w="0" w:type="dxa"/>
              <w:bottom w:w="0" w:type="dxa"/>
              <w:right w:w="0" w:type="dxa"/>
            </w:tcMar>
            <w:hideMark/>
          </w:tcPr>
          <w:p w14:paraId="069700B2" w14:textId="77777777" w:rsidR="00000000" w:rsidRDefault="00097612">
            <w:pPr>
              <w:pStyle w:val="a3"/>
              <w:spacing w:before="0" w:beforeAutospacing="0" w:after="0" w:afterAutospacing="0"/>
              <w:divId w:val="268854675"/>
              <w:rPr>
                <w:sz w:val="20"/>
                <w:szCs w:val="20"/>
              </w:rPr>
            </w:pPr>
            <w:r>
              <w:rPr>
                <w:sz w:val="2"/>
                <w:szCs w:val="2"/>
              </w:rPr>
              <w:t>​</w:t>
            </w:r>
          </w:p>
        </w:tc>
        <w:tc>
          <w:tcPr>
            <w:tcW w:w="90" w:type="pct"/>
            <w:noWrap/>
            <w:tcMar>
              <w:top w:w="0" w:type="dxa"/>
              <w:left w:w="0" w:type="dxa"/>
              <w:bottom w:w="0" w:type="dxa"/>
              <w:right w:w="0" w:type="dxa"/>
            </w:tcMar>
            <w:vAlign w:val="bottom"/>
            <w:hideMark/>
          </w:tcPr>
          <w:p w14:paraId="6A025067" w14:textId="77777777" w:rsidR="00000000" w:rsidRDefault="00097612">
            <w:pPr>
              <w:pStyle w:val="a3"/>
              <w:spacing w:before="0" w:beforeAutospacing="0" w:after="0" w:afterAutospacing="0"/>
              <w:divId w:val="909198356"/>
              <w:rPr>
                <w:sz w:val="20"/>
                <w:szCs w:val="20"/>
              </w:rPr>
            </w:pPr>
            <w:r>
              <w:rPr>
                <w:sz w:val="2"/>
                <w:szCs w:val="2"/>
              </w:rPr>
              <w:t>​</w:t>
            </w:r>
          </w:p>
        </w:tc>
        <w:tc>
          <w:tcPr>
            <w:tcW w:w="90" w:type="pct"/>
            <w:noWrap/>
            <w:tcMar>
              <w:top w:w="0" w:type="dxa"/>
              <w:left w:w="0" w:type="dxa"/>
              <w:bottom w:w="0" w:type="dxa"/>
              <w:right w:w="0" w:type="dxa"/>
            </w:tcMar>
            <w:vAlign w:val="bottom"/>
            <w:hideMark/>
          </w:tcPr>
          <w:p w14:paraId="75D371E8" w14:textId="77777777" w:rsidR="00000000" w:rsidRDefault="00097612">
            <w:pPr>
              <w:pStyle w:val="a3"/>
              <w:spacing w:before="0" w:beforeAutospacing="0" w:after="0" w:afterAutospacing="0"/>
              <w:divId w:val="2000883018"/>
              <w:rPr>
                <w:sz w:val="20"/>
                <w:szCs w:val="20"/>
              </w:rPr>
            </w:pPr>
            <w:r>
              <w:rPr>
                <w:sz w:val="2"/>
                <w:szCs w:val="2"/>
              </w:rPr>
              <w:t>​</w:t>
            </w:r>
          </w:p>
        </w:tc>
        <w:tc>
          <w:tcPr>
            <w:tcW w:w="357" w:type="pct"/>
            <w:noWrap/>
            <w:tcMar>
              <w:top w:w="0" w:type="dxa"/>
              <w:left w:w="0" w:type="dxa"/>
              <w:bottom w:w="0" w:type="dxa"/>
              <w:right w:w="0" w:type="dxa"/>
            </w:tcMar>
            <w:vAlign w:val="bottom"/>
            <w:hideMark/>
          </w:tcPr>
          <w:p w14:paraId="4BC5C01A" w14:textId="77777777" w:rsidR="00000000" w:rsidRDefault="00097612">
            <w:pPr>
              <w:pStyle w:val="a3"/>
              <w:spacing w:before="0" w:beforeAutospacing="0" w:after="0" w:afterAutospacing="0"/>
              <w:divId w:val="1861779067"/>
              <w:rPr>
                <w:sz w:val="20"/>
                <w:szCs w:val="20"/>
              </w:rPr>
            </w:pPr>
            <w:r>
              <w:rPr>
                <w:sz w:val="2"/>
                <w:szCs w:val="2"/>
              </w:rPr>
              <w:t>​</w:t>
            </w:r>
          </w:p>
        </w:tc>
        <w:tc>
          <w:tcPr>
            <w:tcW w:w="89" w:type="pct"/>
            <w:noWrap/>
            <w:tcMar>
              <w:top w:w="0" w:type="dxa"/>
              <w:left w:w="0" w:type="dxa"/>
              <w:bottom w:w="0" w:type="dxa"/>
              <w:right w:w="0" w:type="dxa"/>
            </w:tcMar>
            <w:vAlign w:val="bottom"/>
            <w:hideMark/>
          </w:tcPr>
          <w:p w14:paraId="7C6771CB" w14:textId="77777777" w:rsidR="00000000" w:rsidRDefault="00097612">
            <w:pPr>
              <w:pStyle w:val="a3"/>
              <w:spacing w:before="0" w:beforeAutospacing="0" w:after="0" w:afterAutospacing="0"/>
              <w:divId w:val="2022201880"/>
              <w:rPr>
                <w:sz w:val="20"/>
                <w:szCs w:val="20"/>
              </w:rPr>
            </w:pPr>
            <w:r>
              <w:rPr>
                <w:sz w:val="2"/>
                <w:szCs w:val="2"/>
              </w:rPr>
              <w:t>​</w:t>
            </w:r>
          </w:p>
        </w:tc>
        <w:tc>
          <w:tcPr>
            <w:tcW w:w="89" w:type="pct"/>
            <w:noWrap/>
            <w:tcMar>
              <w:top w:w="0" w:type="dxa"/>
              <w:left w:w="0" w:type="dxa"/>
              <w:bottom w:w="0" w:type="dxa"/>
              <w:right w:w="0" w:type="dxa"/>
            </w:tcMar>
            <w:vAlign w:val="bottom"/>
            <w:hideMark/>
          </w:tcPr>
          <w:p w14:paraId="27857C79" w14:textId="77777777" w:rsidR="00000000" w:rsidRDefault="00097612">
            <w:pPr>
              <w:pStyle w:val="a3"/>
              <w:spacing w:before="0" w:beforeAutospacing="0" w:after="0" w:afterAutospacing="0"/>
              <w:divId w:val="1713535614"/>
              <w:rPr>
                <w:sz w:val="20"/>
                <w:szCs w:val="20"/>
              </w:rPr>
            </w:pPr>
            <w:r>
              <w:rPr>
                <w:sz w:val="2"/>
                <w:szCs w:val="2"/>
              </w:rPr>
              <w:t>​</w:t>
            </w:r>
          </w:p>
        </w:tc>
        <w:tc>
          <w:tcPr>
            <w:tcW w:w="357" w:type="pct"/>
            <w:noWrap/>
            <w:tcMar>
              <w:top w:w="0" w:type="dxa"/>
              <w:left w:w="0" w:type="dxa"/>
              <w:bottom w:w="0" w:type="dxa"/>
              <w:right w:w="0" w:type="dxa"/>
            </w:tcMar>
            <w:vAlign w:val="bottom"/>
            <w:hideMark/>
          </w:tcPr>
          <w:p w14:paraId="4704EE05" w14:textId="77777777" w:rsidR="00000000" w:rsidRDefault="00097612">
            <w:pPr>
              <w:pStyle w:val="a3"/>
              <w:spacing w:before="0" w:beforeAutospacing="0" w:after="0" w:afterAutospacing="0"/>
              <w:divId w:val="805510482"/>
              <w:rPr>
                <w:sz w:val="20"/>
                <w:szCs w:val="20"/>
              </w:rPr>
            </w:pPr>
            <w:r>
              <w:rPr>
                <w:sz w:val="2"/>
                <w:szCs w:val="2"/>
              </w:rPr>
              <w:t>​</w:t>
            </w:r>
          </w:p>
        </w:tc>
        <w:tc>
          <w:tcPr>
            <w:tcW w:w="89" w:type="pct"/>
            <w:noWrap/>
            <w:tcMar>
              <w:top w:w="0" w:type="dxa"/>
              <w:left w:w="0" w:type="dxa"/>
              <w:bottom w:w="0" w:type="dxa"/>
              <w:right w:w="0" w:type="dxa"/>
            </w:tcMar>
            <w:vAlign w:val="bottom"/>
            <w:hideMark/>
          </w:tcPr>
          <w:p w14:paraId="232C1B45" w14:textId="77777777" w:rsidR="00000000" w:rsidRDefault="00097612">
            <w:pPr>
              <w:pStyle w:val="a3"/>
              <w:spacing w:before="0" w:beforeAutospacing="0" w:after="0" w:afterAutospacing="0"/>
              <w:divId w:val="483199520"/>
              <w:rPr>
                <w:sz w:val="20"/>
                <w:szCs w:val="20"/>
              </w:rPr>
            </w:pPr>
            <w:r>
              <w:rPr>
                <w:sz w:val="2"/>
                <w:szCs w:val="2"/>
              </w:rPr>
              <w:t>​</w:t>
            </w:r>
          </w:p>
        </w:tc>
        <w:tc>
          <w:tcPr>
            <w:tcW w:w="89" w:type="pct"/>
            <w:noWrap/>
            <w:tcMar>
              <w:top w:w="0" w:type="dxa"/>
              <w:left w:w="0" w:type="dxa"/>
              <w:bottom w:w="0" w:type="dxa"/>
              <w:right w:w="0" w:type="dxa"/>
            </w:tcMar>
            <w:vAlign w:val="bottom"/>
            <w:hideMark/>
          </w:tcPr>
          <w:p w14:paraId="6E1EFDA8" w14:textId="77777777" w:rsidR="00000000" w:rsidRDefault="00097612">
            <w:pPr>
              <w:pStyle w:val="a3"/>
              <w:spacing w:before="0" w:beforeAutospacing="0" w:after="0" w:afterAutospacing="0"/>
              <w:divId w:val="481433720"/>
              <w:rPr>
                <w:sz w:val="20"/>
                <w:szCs w:val="20"/>
              </w:rPr>
            </w:pPr>
            <w:r>
              <w:rPr>
                <w:sz w:val="2"/>
                <w:szCs w:val="2"/>
              </w:rPr>
              <w:t>​</w:t>
            </w:r>
          </w:p>
        </w:tc>
        <w:tc>
          <w:tcPr>
            <w:tcW w:w="357" w:type="pct"/>
            <w:noWrap/>
            <w:tcMar>
              <w:top w:w="0" w:type="dxa"/>
              <w:left w:w="0" w:type="dxa"/>
              <w:bottom w:w="0" w:type="dxa"/>
              <w:right w:w="0" w:type="dxa"/>
            </w:tcMar>
            <w:vAlign w:val="bottom"/>
            <w:hideMark/>
          </w:tcPr>
          <w:p w14:paraId="35F5FCD5" w14:textId="77777777" w:rsidR="00000000" w:rsidRDefault="00097612">
            <w:pPr>
              <w:pStyle w:val="a3"/>
              <w:spacing w:before="0" w:beforeAutospacing="0" w:after="0" w:afterAutospacing="0"/>
              <w:divId w:val="1909991805"/>
              <w:rPr>
                <w:sz w:val="20"/>
                <w:szCs w:val="20"/>
              </w:rPr>
            </w:pPr>
            <w:r>
              <w:rPr>
                <w:sz w:val="2"/>
                <w:szCs w:val="2"/>
              </w:rPr>
              <w:t>​</w:t>
            </w:r>
          </w:p>
        </w:tc>
        <w:tc>
          <w:tcPr>
            <w:tcW w:w="89" w:type="pct"/>
            <w:noWrap/>
            <w:tcMar>
              <w:top w:w="0" w:type="dxa"/>
              <w:left w:w="0" w:type="dxa"/>
              <w:bottom w:w="0" w:type="dxa"/>
              <w:right w:w="0" w:type="dxa"/>
            </w:tcMar>
            <w:vAlign w:val="bottom"/>
            <w:hideMark/>
          </w:tcPr>
          <w:p w14:paraId="38F15950" w14:textId="77777777" w:rsidR="00000000" w:rsidRDefault="00097612">
            <w:pPr>
              <w:pStyle w:val="a3"/>
              <w:spacing w:before="0" w:beforeAutospacing="0" w:after="0" w:afterAutospacing="0"/>
              <w:divId w:val="493107890"/>
              <w:rPr>
                <w:sz w:val="20"/>
                <w:szCs w:val="20"/>
              </w:rPr>
            </w:pPr>
            <w:r>
              <w:rPr>
                <w:sz w:val="2"/>
                <w:szCs w:val="2"/>
              </w:rPr>
              <w:t>​</w:t>
            </w:r>
          </w:p>
        </w:tc>
        <w:tc>
          <w:tcPr>
            <w:tcW w:w="89" w:type="pct"/>
            <w:noWrap/>
            <w:tcMar>
              <w:top w:w="0" w:type="dxa"/>
              <w:left w:w="0" w:type="dxa"/>
              <w:bottom w:w="0" w:type="dxa"/>
              <w:right w:w="0" w:type="dxa"/>
            </w:tcMar>
            <w:vAlign w:val="bottom"/>
            <w:hideMark/>
          </w:tcPr>
          <w:p w14:paraId="1DFC150D" w14:textId="77777777" w:rsidR="00000000" w:rsidRDefault="00097612">
            <w:pPr>
              <w:pStyle w:val="a3"/>
              <w:spacing w:before="0" w:beforeAutospacing="0" w:after="0" w:afterAutospacing="0"/>
              <w:divId w:val="767776286"/>
              <w:rPr>
                <w:sz w:val="20"/>
                <w:szCs w:val="20"/>
              </w:rPr>
            </w:pPr>
            <w:r>
              <w:rPr>
                <w:sz w:val="2"/>
                <w:szCs w:val="2"/>
              </w:rPr>
              <w:t>​</w:t>
            </w:r>
          </w:p>
        </w:tc>
        <w:tc>
          <w:tcPr>
            <w:tcW w:w="335" w:type="pct"/>
            <w:noWrap/>
            <w:tcMar>
              <w:top w:w="0" w:type="dxa"/>
              <w:left w:w="0" w:type="dxa"/>
              <w:bottom w:w="0" w:type="dxa"/>
              <w:right w:w="0" w:type="dxa"/>
            </w:tcMar>
            <w:vAlign w:val="bottom"/>
            <w:hideMark/>
          </w:tcPr>
          <w:p w14:paraId="6AC05608" w14:textId="77777777" w:rsidR="00000000" w:rsidRDefault="00097612">
            <w:pPr>
              <w:pStyle w:val="a3"/>
              <w:spacing w:before="0" w:beforeAutospacing="0" w:after="0" w:afterAutospacing="0"/>
              <w:divId w:val="358240472"/>
              <w:rPr>
                <w:sz w:val="20"/>
                <w:szCs w:val="20"/>
              </w:rPr>
            </w:pPr>
            <w:r>
              <w:rPr>
                <w:sz w:val="2"/>
                <w:szCs w:val="2"/>
              </w:rPr>
              <w:t>​</w:t>
            </w:r>
          </w:p>
        </w:tc>
      </w:tr>
      <w:tr w:rsidR="00000000" w14:paraId="4AEF57BC" w14:textId="77777777">
        <w:trPr>
          <w:divId w:val="1949894663"/>
        </w:trPr>
        <w:tc>
          <w:tcPr>
            <w:tcW w:w="2873" w:type="pct"/>
            <w:shd w:val="clear" w:color="auto" w:fill="auto"/>
            <w:tcMar>
              <w:top w:w="0" w:type="dxa"/>
              <w:left w:w="0" w:type="dxa"/>
              <w:bottom w:w="0" w:type="dxa"/>
              <w:right w:w="0" w:type="dxa"/>
            </w:tcMar>
            <w:vAlign w:val="bottom"/>
            <w:hideMark/>
          </w:tcPr>
          <w:p w14:paraId="03E00146" w14:textId="77777777" w:rsidR="00000000" w:rsidRDefault="00097612">
            <w:pPr>
              <w:pStyle w:val="a3"/>
              <w:spacing w:before="0" w:beforeAutospacing="0" w:after="0" w:afterAutospacing="0"/>
              <w:rPr>
                <w:sz w:val="20"/>
                <w:szCs w:val="20"/>
              </w:rPr>
            </w:pPr>
            <w:r>
              <w:rPr>
                <w:b/>
                <w:bCs/>
                <w:sz w:val="16"/>
                <w:szCs w:val="16"/>
              </w:rPr>
              <w:t>​</w:t>
            </w:r>
          </w:p>
        </w:tc>
        <w:tc>
          <w:tcPr>
            <w:tcW w:w="90" w:type="pct"/>
            <w:shd w:val="clear" w:color="auto" w:fill="auto"/>
            <w:noWrap/>
            <w:tcMar>
              <w:top w:w="0" w:type="dxa"/>
              <w:left w:w="0" w:type="dxa"/>
              <w:bottom w:w="0" w:type="dxa"/>
              <w:right w:w="0" w:type="dxa"/>
            </w:tcMar>
            <w:vAlign w:val="bottom"/>
            <w:hideMark/>
          </w:tcPr>
          <w:p w14:paraId="439D7FD2" w14:textId="77777777" w:rsidR="00000000" w:rsidRDefault="00097612">
            <w:pPr>
              <w:pStyle w:val="a3"/>
              <w:spacing w:before="0" w:beforeAutospacing="0" w:after="0" w:afterAutospacing="0"/>
              <w:rPr>
                <w:sz w:val="20"/>
                <w:szCs w:val="20"/>
              </w:rPr>
            </w:pPr>
            <w:r>
              <w:rPr>
                <w:b/>
                <w:bCs/>
                <w:sz w:val="16"/>
                <w:szCs w:val="16"/>
              </w:rPr>
              <w:t>​</w:t>
            </w:r>
          </w:p>
        </w:tc>
        <w:tc>
          <w:tcPr>
            <w:tcW w:w="984" w:type="pct"/>
            <w:gridSpan w:val="5"/>
            <w:shd w:val="clear" w:color="auto" w:fill="auto"/>
            <w:tcMar>
              <w:top w:w="0" w:type="dxa"/>
              <w:left w:w="0" w:type="dxa"/>
              <w:bottom w:w="0" w:type="dxa"/>
              <w:right w:w="0" w:type="dxa"/>
            </w:tcMar>
            <w:vAlign w:val="bottom"/>
            <w:hideMark/>
          </w:tcPr>
          <w:p w14:paraId="0C3D6745"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89" w:type="pct"/>
            <w:shd w:val="clear" w:color="auto" w:fill="auto"/>
            <w:noWrap/>
            <w:tcMar>
              <w:top w:w="0" w:type="dxa"/>
              <w:left w:w="0" w:type="dxa"/>
              <w:bottom w:w="0" w:type="dxa"/>
              <w:right w:w="0" w:type="dxa"/>
            </w:tcMar>
            <w:vAlign w:val="bottom"/>
            <w:hideMark/>
          </w:tcPr>
          <w:p w14:paraId="2AAF7C96" w14:textId="77777777" w:rsidR="00000000" w:rsidRDefault="00097612">
            <w:pPr>
              <w:pStyle w:val="a3"/>
              <w:spacing w:before="0" w:beforeAutospacing="0" w:after="0" w:afterAutospacing="0"/>
              <w:rPr>
                <w:sz w:val="20"/>
                <w:szCs w:val="20"/>
              </w:rPr>
            </w:pPr>
            <w:r>
              <w:rPr>
                <w:b/>
                <w:bCs/>
                <w:sz w:val="16"/>
                <w:szCs w:val="16"/>
              </w:rPr>
              <w:t>​</w:t>
            </w:r>
          </w:p>
        </w:tc>
        <w:tc>
          <w:tcPr>
            <w:tcW w:w="962" w:type="pct"/>
            <w:gridSpan w:val="5"/>
            <w:shd w:val="clear" w:color="auto" w:fill="auto"/>
            <w:tcMar>
              <w:top w:w="0" w:type="dxa"/>
              <w:left w:w="0" w:type="dxa"/>
              <w:bottom w:w="0" w:type="dxa"/>
              <w:right w:w="0" w:type="dxa"/>
            </w:tcMar>
            <w:vAlign w:val="bottom"/>
            <w:hideMark/>
          </w:tcPr>
          <w:p w14:paraId="294B5B03"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r>
      <w:tr w:rsidR="00000000" w14:paraId="76006560" w14:textId="77777777">
        <w:trPr>
          <w:divId w:val="1949894663"/>
        </w:trPr>
        <w:tc>
          <w:tcPr>
            <w:tcW w:w="2873" w:type="pct"/>
            <w:shd w:val="clear" w:color="auto" w:fill="auto"/>
            <w:tcMar>
              <w:top w:w="0" w:type="dxa"/>
              <w:left w:w="0" w:type="dxa"/>
              <w:bottom w:w="0" w:type="dxa"/>
              <w:right w:w="0" w:type="dxa"/>
            </w:tcMar>
            <w:vAlign w:val="bottom"/>
            <w:hideMark/>
          </w:tcPr>
          <w:p w14:paraId="5B059260" w14:textId="77777777" w:rsidR="00000000" w:rsidRDefault="00097612">
            <w:pPr>
              <w:pStyle w:val="a3"/>
              <w:spacing w:before="0" w:beforeAutospacing="0" w:after="0" w:afterAutospacing="0"/>
              <w:rPr>
                <w:sz w:val="20"/>
                <w:szCs w:val="20"/>
              </w:rPr>
            </w:pPr>
            <w:r>
              <w:rPr>
                <w:b/>
                <w:bCs/>
                <w:sz w:val="16"/>
                <w:szCs w:val="16"/>
              </w:rPr>
              <w:t>​</w:t>
            </w:r>
          </w:p>
        </w:tc>
        <w:tc>
          <w:tcPr>
            <w:tcW w:w="90" w:type="pct"/>
            <w:shd w:val="clear" w:color="auto" w:fill="auto"/>
            <w:noWrap/>
            <w:tcMar>
              <w:top w:w="0" w:type="dxa"/>
              <w:left w:w="0" w:type="dxa"/>
              <w:bottom w:w="0" w:type="dxa"/>
              <w:right w:w="0" w:type="dxa"/>
            </w:tcMar>
            <w:vAlign w:val="bottom"/>
            <w:hideMark/>
          </w:tcPr>
          <w:p w14:paraId="7FCD46DC" w14:textId="77777777" w:rsidR="00000000" w:rsidRDefault="00097612">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shd w:val="clear" w:color="auto" w:fill="auto"/>
            <w:tcMar>
              <w:top w:w="0" w:type="dxa"/>
              <w:left w:w="0" w:type="dxa"/>
              <w:bottom w:w="0" w:type="dxa"/>
              <w:right w:w="0" w:type="dxa"/>
            </w:tcMar>
            <w:vAlign w:val="bottom"/>
            <w:hideMark/>
          </w:tcPr>
          <w:p w14:paraId="01246BE6"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89" w:type="pct"/>
            <w:shd w:val="clear" w:color="auto" w:fill="auto"/>
            <w:noWrap/>
            <w:tcMar>
              <w:top w:w="0" w:type="dxa"/>
              <w:left w:w="0" w:type="dxa"/>
              <w:bottom w:w="0" w:type="dxa"/>
              <w:right w:w="0" w:type="dxa"/>
            </w:tcMar>
            <w:vAlign w:val="bottom"/>
            <w:hideMark/>
          </w:tcPr>
          <w:p w14:paraId="6D4C0156" w14:textId="77777777" w:rsidR="00000000" w:rsidRDefault="00097612">
            <w:pPr>
              <w:pStyle w:val="a3"/>
              <w:spacing w:before="0" w:beforeAutospacing="0" w:after="0" w:afterAutospacing="0"/>
              <w:rPr>
                <w:sz w:val="20"/>
                <w:szCs w:val="20"/>
              </w:rPr>
            </w:pPr>
            <w:r>
              <w:rPr>
                <w:b/>
                <w:bCs/>
                <w:sz w:val="16"/>
                <w:szCs w:val="16"/>
              </w:rPr>
              <w:t>​</w:t>
            </w:r>
          </w:p>
        </w:tc>
        <w:tc>
          <w:tcPr>
            <w:tcW w:w="962" w:type="pct"/>
            <w:gridSpan w:val="5"/>
            <w:tcBorders>
              <w:bottom w:val="single" w:sz="6" w:space="0" w:color="000000"/>
            </w:tcBorders>
            <w:shd w:val="clear" w:color="auto" w:fill="auto"/>
            <w:tcMar>
              <w:top w:w="0" w:type="dxa"/>
              <w:left w:w="0" w:type="dxa"/>
              <w:bottom w:w="0" w:type="dxa"/>
              <w:right w:w="0" w:type="dxa"/>
            </w:tcMar>
            <w:vAlign w:val="bottom"/>
            <w:hideMark/>
          </w:tcPr>
          <w:p w14:paraId="17DC3595" w14:textId="77777777" w:rsidR="00000000" w:rsidRDefault="00097612">
            <w:pPr>
              <w:pStyle w:val="a3"/>
              <w:spacing w:before="0" w:beforeAutospacing="0" w:after="0" w:afterAutospacing="0"/>
              <w:jc w:val="center"/>
              <w:rPr>
                <w:sz w:val="16"/>
                <w:szCs w:val="16"/>
              </w:rPr>
            </w:pPr>
            <w:r>
              <w:rPr>
                <w:b/>
                <w:bCs/>
                <w:sz w:val="16"/>
                <w:szCs w:val="16"/>
              </w:rPr>
              <w:t>September 30, </w:t>
            </w:r>
          </w:p>
        </w:tc>
      </w:tr>
      <w:tr w:rsidR="00000000" w14:paraId="36D9C446" w14:textId="77777777">
        <w:trPr>
          <w:divId w:val="1949894663"/>
        </w:trPr>
        <w:tc>
          <w:tcPr>
            <w:tcW w:w="2873" w:type="pct"/>
            <w:tcBorders>
              <w:bottom w:val="single" w:sz="6" w:space="0" w:color="000000"/>
            </w:tcBorders>
            <w:shd w:val="clear" w:color="auto" w:fill="auto"/>
            <w:tcMar>
              <w:top w:w="0" w:type="dxa"/>
              <w:left w:w="0" w:type="dxa"/>
              <w:bottom w:w="0" w:type="dxa"/>
              <w:right w:w="0" w:type="dxa"/>
            </w:tcMar>
            <w:vAlign w:val="bottom"/>
            <w:hideMark/>
          </w:tcPr>
          <w:p w14:paraId="083E0253" w14:textId="77777777" w:rsidR="00000000" w:rsidRDefault="00097612">
            <w:pPr>
              <w:pStyle w:val="a3"/>
              <w:spacing w:before="0" w:beforeAutospacing="0" w:after="0" w:afterAutospacing="0"/>
              <w:rPr>
                <w:sz w:val="16"/>
                <w:szCs w:val="16"/>
              </w:rPr>
            </w:pPr>
            <w:r>
              <w:rPr>
                <w:b/>
                <w:bCs/>
                <w:sz w:val="16"/>
                <w:szCs w:val="16"/>
              </w:rPr>
              <w:t>(In thousands)</w:t>
            </w:r>
          </w:p>
        </w:tc>
        <w:tc>
          <w:tcPr>
            <w:tcW w:w="90" w:type="pct"/>
            <w:shd w:val="clear" w:color="auto" w:fill="auto"/>
            <w:noWrap/>
            <w:tcMar>
              <w:top w:w="0" w:type="dxa"/>
              <w:left w:w="0" w:type="dxa"/>
              <w:bottom w:w="0" w:type="dxa"/>
              <w:right w:w="0" w:type="dxa"/>
            </w:tcMar>
            <w:vAlign w:val="bottom"/>
            <w:hideMark/>
          </w:tcPr>
          <w:p w14:paraId="4DEBD3BD" w14:textId="77777777" w:rsidR="00000000" w:rsidRDefault="00097612">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shd w:val="clear" w:color="auto" w:fill="auto"/>
            <w:noWrap/>
            <w:tcMar>
              <w:top w:w="0" w:type="dxa"/>
              <w:left w:w="0" w:type="dxa"/>
              <w:bottom w:w="0" w:type="dxa"/>
              <w:right w:w="0" w:type="dxa"/>
            </w:tcMar>
            <w:vAlign w:val="bottom"/>
            <w:hideMark/>
          </w:tcPr>
          <w:p w14:paraId="6B26CC3B" w14:textId="77777777" w:rsidR="00000000" w:rsidRDefault="00097612">
            <w:pPr>
              <w:pStyle w:val="a3"/>
              <w:spacing w:before="0" w:beforeAutospacing="0" w:after="0" w:afterAutospacing="0"/>
              <w:jc w:val="center"/>
              <w:rPr>
                <w:sz w:val="16"/>
                <w:szCs w:val="16"/>
              </w:rPr>
            </w:pPr>
            <w:r>
              <w:rPr>
                <w:b/>
                <w:bCs/>
                <w:sz w:val="16"/>
                <w:szCs w:val="16"/>
              </w:rPr>
              <w:t>2019</w:t>
            </w:r>
          </w:p>
        </w:tc>
        <w:tc>
          <w:tcPr>
            <w:tcW w:w="89" w:type="pct"/>
            <w:shd w:val="clear" w:color="auto" w:fill="auto"/>
            <w:noWrap/>
            <w:tcMar>
              <w:top w:w="0" w:type="dxa"/>
              <w:left w:w="0" w:type="dxa"/>
              <w:bottom w:w="0" w:type="dxa"/>
              <w:right w:w="0" w:type="dxa"/>
            </w:tcMar>
            <w:vAlign w:val="bottom"/>
            <w:hideMark/>
          </w:tcPr>
          <w:p w14:paraId="4A75D3B7" w14:textId="77777777" w:rsidR="00000000" w:rsidRDefault="00097612">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14:paraId="2547FD0E" w14:textId="77777777" w:rsidR="00000000" w:rsidRDefault="00097612">
            <w:pPr>
              <w:pStyle w:val="a3"/>
              <w:spacing w:before="0" w:beforeAutospacing="0" w:after="0" w:afterAutospacing="0"/>
              <w:jc w:val="center"/>
              <w:rPr>
                <w:sz w:val="16"/>
                <w:szCs w:val="16"/>
              </w:rPr>
            </w:pPr>
            <w:r>
              <w:rPr>
                <w:b/>
                <w:bCs/>
                <w:sz w:val="16"/>
                <w:szCs w:val="16"/>
              </w:rPr>
              <w:t>2018</w:t>
            </w:r>
          </w:p>
        </w:tc>
        <w:tc>
          <w:tcPr>
            <w:tcW w:w="89" w:type="pct"/>
            <w:shd w:val="clear" w:color="auto" w:fill="auto"/>
            <w:noWrap/>
            <w:tcMar>
              <w:top w:w="0" w:type="dxa"/>
              <w:left w:w="0" w:type="dxa"/>
              <w:bottom w:w="0" w:type="dxa"/>
              <w:right w:w="0" w:type="dxa"/>
            </w:tcMar>
            <w:vAlign w:val="bottom"/>
            <w:hideMark/>
          </w:tcPr>
          <w:p w14:paraId="55C3D94D" w14:textId="77777777" w:rsidR="00000000" w:rsidRDefault="00097612">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14:paraId="5574494B" w14:textId="77777777" w:rsidR="00000000" w:rsidRDefault="00097612">
            <w:pPr>
              <w:pStyle w:val="a3"/>
              <w:spacing w:before="0" w:beforeAutospacing="0" w:after="0" w:afterAutospacing="0"/>
              <w:jc w:val="center"/>
              <w:rPr>
                <w:sz w:val="16"/>
                <w:szCs w:val="16"/>
              </w:rPr>
            </w:pPr>
            <w:r>
              <w:rPr>
                <w:b/>
                <w:bCs/>
                <w:sz w:val="16"/>
                <w:szCs w:val="16"/>
              </w:rPr>
              <w:t>2019</w:t>
            </w:r>
          </w:p>
        </w:tc>
        <w:tc>
          <w:tcPr>
            <w:tcW w:w="89" w:type="pct"/>
            <w:shd w:val="clear" w:color="auto" w:fill="auto"/>
            <w:noWrap/>
            <w:tcMar>
              <w:top w:w="0" w:type="dxa"/>
              <w:left w:w="0" w:type="dxa"/>
              <w:bottom w:w="0" w:type="dxa"/>
              <w:right w:w="0" w:type="dxa"/>
            </w:tcMar>
            <w:vAlign w:val="bottom"/>
            <w:hideMark/>
          </w:tcPr>
          <w:p w14:paraId="692CB8C8" w14:textId="77777777" w:rsidR="00000000" w:rsidRDefault="00097612">
            <w:pPr>
              <w:pStyle w:val="a3"/>
              <w:spacing w:before="0" w:beforeAutospacing="0" w:after="0" w:afterAutospacing="0"/>
              <w:rPr>
                <w:sz w:val="16"/>
                <w:szCs w:val="16"/>
              </w:rPr>
            </w:pPr>
            <w:r>
              <w:rPr>
                <w:b/>
                <w:bCs/>
                <w:sz w:val="16"/>
                <w:szCs w:val="16"/>
              </w:rPr>
              <w:t>    </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14:paraId="73B9B821" w14:textId="77777777" w:rsidR="00000000" w:rsidRDefault="00097612">
            <w:pPr>
              <w:pStyle w:val="a3"/>
              <w:spacing w:before="0" w:beforeAutospacing="0" w:after="0" w:afterAutospacing="0"/>
              <w:jc w:val="center"/>
              <w:rPr>
                <w:sz w:val="16"/>
                <w:szCs w:val="16"/>
              </w:rPr>
            </w:pPr>
            <w:r>
              <w:rPr>
                <w:b/>
                <w:bCs/>
                <w:sz w:val="16"/>
                <w:szCs w:val="16"/>
              </w:rPr>
              <w:t>2018</w:t>
            </w:r>
          </w:p>
        </w:tc>
      </w:tr>
      <w:tr w:rsidR="00000000" w14:paraId="178520C2" w14:textId="77777777">
        <w:trPr>
          <w:divId w:val="1949894663"/>
        </w:trPr>
        <w:tc>
          <w:tcPr>
            <w:tcW w:w="2873" w:type="pct"/>
            <w:shd w:val="clear" w:color="auto" w:fill="CCEEFF"/>
            <w:tcMar>
              <w:top w:w="0" w:type="dxa"/>
              <w:left w:w="0" w:type="dxa"/>
              <w:bottom w:w="0" w:type="dxa"/>
              <w:right w:w="0" w:type="dxa"/>
            </w:tcMar>
            <w:hideMark/>
          </w:tcPr>
          <w:p w14:paraId="5B4B75B0" w14:textId="77777777" w:rsidR="00000000" w:rsidRDefault="00097612">
            <w:pPr>
              <w:pStyle w:val="a3"/>
              <w:spacing w:before="0" w:beforeAutospacing="0" w:after="0" w:afterAutospacing="0"/>
              <w:rPr>
                <w:sz w:val="20"/>
                <w:szCs w:val="20"/>
              </w:rPr>
            </w:pPr>
            <w:r>
              <w:rPr>
                <w:sz w:val="20"/>
                <w:szCs w:val="20"/>
              </w:rPr>
              <w:t>Janssen</w:t>
            </w:r>
          </w:p>
        </w:tc>
        <w:tc>
          <w:tcPr>
            <w:tcW w:w="90" w:type="pct"/>
            <w:shd w:val="clear" w:color="auto" w:fill="CCEEFF"/>
            <w:noWrap/>
            <w:tcMar>
              <w:top w:w="0" w:type="dxa"/>
              <w:left w:w="0" w:type="dxa"/>
              <w:bottom w:w="0" w:type="dxa"/>
              <w:right w:w="0" w:type="dxa"/>
            </w:tcMar>
            <w:vAlign w:val="bottom"/>
            <w:hideMark/>
          </w:tcPr>
          <w:p w14:paraId="78EECCFB" w14:textId="77777777" w:rsidR="00000000" w:rsidRDefault="00097612">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7C3AB689" w14:textId="77777777" w:rsidR="00000000" w:rsidRDefault="00097612">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14:paraId="7379A1A0" w14:textId="77777777" w:rsidR="00000000" w:rsidRDefault="00097612">
            <w:pPr>
              <w:pStyle w:val="a3"/>
              <w:spacing w:before="0" w:beforeAutospacing="0" w:after="0" w:afterAutospacing="0"/>
              <w:ind w:right="60"/>
              <w:jc w:val="right"/>
              <w:rPr>
                <w:sz w:val="20"/>
                <w:szCs w:val="20"/>
              </w:rPr>
            </w:pPr>
            <w:r>
              <w:rPr>
                <w:sz w:val="20"/>
                <w:szCs w:val="20"/>
              </w:rPr>
              <w:t>8,807</w:t>
            </w:r>
          </w:p>
        </w:tc>
        <w:tc>
          <w:tcPr>
            <w:tcW w:w="89" w:type="pct"/>
            <w:shd w:val="clear" w:color="auto" w:fill="CCEEFF"/>
            <w:noWrap/>
            <w:tcMar>
              <w:top w:w="0" w:type="dxa"/>
              <w:left w:w="0" w:type="dxa"/>
              <w:bottom w:w="0" w:type="dxa"/>
              <w:right w:w="0" w:type="dxa"/>
            </w:tcMar>
            <w:vAlign w:val="bottom"/>
            <w:hideMark/>
          </w:tcPr>
          <w:p w14:paraId="1C3A5AB5" w14:textId="77777777" w:rsidR="00000000" w:rsidRDefault="00097612">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05B694AB" w14:textId="77777777" w:rsidR="00000000" w:rsidRDefault="00097612">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14:paraId="48721F77" w14:textId="77777777" w:rsidR="00000000" w:rsidRDefault="00097612">
            <w:pPr>
              <w:pStyle w:val="a3"/>
              <w:spacing w:before="0" w:beforeAutospacing="0" w:after="0" w:afterAutospacing="0"/>
              <w:ind w:right="60"/>
              <w:jc w:val="right"/>
              <w:rPr>
                <w:sz w:val="20"/>
                <w:szCs w:val="20"/>
              </w:rPr>
            </w:pPr>
            <w:r>
              <w:rPr>
                <w:sz w:val="20"/>
                <w:szCs w:val="20"/>
              </w:rPr>
              <w:t>8,866</w:t>
            </w:r>
          </w:p>
        </w:tc>
        <w:tc>
          <w:tcPr>
            <w:tcW w:w="89" w:type="pct"/>
            <w:shd w:val="clear" w:color="auto" w:fill="CCEEFF"/>
            <w:noWrap/>
            <w:tcMar>
              <w:top w:w="0" w:type="dxa"/>
              <w:left w:w="0" w:type="dxa"/>
              <w:bottom w:w="0" w:type="dxa"/>
              <w:right w:w="0" w:type="dxa"/>
            </w:tcMar>
            <w:vAlign w:val="bottom"/>
            <w:hideMark/>
          </w:tcPr>
          <w:p w14:paraId="5D2DECAC" w14:textId="77777777" w:rsidR="00000000" w:rsidRDefault="00097612">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45DD7786" w14:textId="77777777" w:rsidR="00000000" w:rsidRDefault="00097612">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14:paraId="5C3F1EE1" w14:textId="77777777" w:rsidR="00000000" w:rsidRDefault="00097612">
            <w:pPr>
              <w:pStyle w:val="a3"/>
              <w:spacing w:before="0" w:beforeAutospacing="0" w:after="0" w:afterAutospacing="0"/>
              <w:ind w:right="60"/>
              <w:jc w:val="right"/>
              <w:rPr>
                <w:sz w:val="20"/>
                <w:szCs w:val="20"/>
              </w:rPr>
            </w:pPr>
            <w:r>
              <w:rPr>
                <w:sz w:val="20"/>
                <w:szCs w:val="20"/>
              </w:rPr>
              <w:t>21,522</w:t>
            </w:r>
          </w:p>
        </w:tc>
        <w:tc>
          <w:tcPr>
            <w:tcW w:w="89" w:type="pct"/>
            <w:shd w:val="clear" w:color="auto" w:fill="CCEEFF"/>
            <w:noWrap/>
            <w:tcMar>
              <w:top w:w="0" w:type="dxa"/>
              <w:left w:w="0" w:type="dxa"/>
              <w:bottom w:w="0" w:type="dxa"/>
              <w:right w:w="0" w:type="dxa"/>
            </w:tcMar>
            <w:vAlign w:val="bottom"/>
            <w:hideMark/>
          </w:tcPr>
          <w:p w14:paraId="7C907759" w14:textId="77777777" w:rsidR="00000000" w:rsidRDefault="00097612">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4D3F9AD3" w14:textId="77777777" w:rsidR="00000000" w:rsidRDefault="00097612">
            <w:pPr>
              <w:pStyle w:val="a3"/>
              <w:spacing w:before="0" w:beforeAutospacing="0" w:after="0" w:afterAutospacing="0"/>
              <w:jc w:val="center"/>
              <w:rPr>
                <w:sz w:val="20"/>
                <w:szCs w:val="20"/>
              </w:rPr>
            </w:pPr>
            <w:r>
              <w:rPr>
                <w:sz w:val="20"/>
                <w:szCs w:val="20"/>
              </w:rPr>
              <w:t>$</w:t>
            </w:r>
          </w:p>
        </w:tc>
        <w:tc>
          <w:tcPr>
            <w:tcW w:w="335" w:type="pct"/>
            <w:shd w:val="clear" w:color="auto" w:fill="CCEEFF"/>
            <w:noWrap/>
            <w:tcMar>
              <w:top w:w="0" w:type="dxa"/>
              <w:left w:w="0" w:type="dxa"/>
              <w:bottom w:w="0" w:type="dxa"/>
              <w:right w:w="0" w:type="dxa"/>
            </w:tcMar>
            <w:vAlign w:val="bottom"/>
            <w:hideMark/>
          </w:tcPr>
          <w:p w14:paraId="1C23767B" w14:textId="77777777" w:rsidR="00000000" w:rsidRDefault="00097612">
            <w:pPr>
              <w:pStyle w:val="a3"/>
              <w:spacing w:before="0" w:beforeAutospacing="0" w:after="0" w:afterAutospacing="0"/>
              <w:ind w:right="60"/>
              <w:jc w:val="right"/>
              <w:rPr>
                <w:sz w:val="20"/>
                <w:szCs w:val="20"/>
              </w:rPr>
            </w:pPr>
            <w:r>
              <w:rPr>
                <w:sz w:val="20"/>
                <w:szCs w:val="20"/>
              </w:rPr>
              <w:t>21,044</w:t>
            </w:r>
          </w:p>
        </w:tc>
      </w:tr>
      <w:tr w:rsidR="00000000" w14:paraId="35AD6AA3" w14:textId="77777777">
        <w:trPr>
          <w:divId w:val="1949894663"/>
        </w:trPr>
        <w:tc>
          <w:tcPr>
            <w:tcW w:w="2873" w:type="pct"/>
            <w:tcMar>
              <w:top w:w="0" w:type="dxa"/>
              <w:left w:w="0" w:type="dxa"/>
              <w:bottom w:w="0" w:type="dxa"/>
              <w:right w:w="0" w:type="dxa"/>
            </w:tcMar>
            <w:vAlign w:val="center"/>
            <w:hideMark/>
          </w:tcPr>
          <w:p w14:paraId="69465E4F" w14:textId="77777777" w:rsidR="00000000" w:rsidRDefault="00097612">
            <w:pPr>
              <w:pStyle w:val="a3"/>
              <w:spacing w:before="0" w:beforeAutospacing="0" w:after="0" w:afterAutospacing="0"/>
              <w:rPr>
                <w:sz w:val="20"/>
                <w:szCs w:val="20"/>
              </w:rPr>
            </w:pPr>
            <w:r>
              <w:rPr>
                <w:sz w:val="20"/>
                <w:szCs w:val="20"/>
              </w:rPr>
              <w:t>Alfasigma</w:t>
            </w:r>
          </w:p>
        </w:tc>
        <w:tc>
          <w:tcPr>
            <w:tcW w:w="90" w:type="pct"/>
            <w:noWrap/>
            <w:tcMar>
              <w:top w:w="0" w:type="dxa"/>
              <w:left w:w="0" w:type="dxa"/>
              <w:bottom w:w="0" w:type="dxa"/>
              <w:right w:w="0" w:type="dxa"/>
            </w:tcMar>
            <w:vAlign w:val="bottom"/>
            <w:hideMark/>
          </w:tcPr>
          <w:p w14:paraId="4B9CE081" w14:textId="77777777" w:rsidR="00000000" w:rsidRDefault="00097612">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14:paraId="5C5D8C9A" w14:textId="77777777" w:rsidR="00000000" w:rsidRDefault="00097612">
            <w:pPr>
              <w:pStyle w:val="a3"/>
              <w:spacing w:before="0" w:beforeAutospacing="0" w:after="0" w:afterAutospacing="0"/>
              <w:jc w:val="center"/>
              <w:rPr>
                <w:sz w:val="20"/>
                <w:szCs w:val="20"/>
              </w:rPr>
            </w:pPr>
            <w:r>
              <w:rPr>
                <w:sz w:val="20"/>
                <w:szCs w:val="20"/>
              </w:rPr>
              <w:t> </w:t>
            </w:r>
          </w:p>
        </w:tc>
        <w:tc>
          <w:tcPr>
            <w:tcW w:w="357" w:type="pct"/>
            <w:noWrap/>
            <w:tcMar>
              <w:top w:w="0" w:type="dxa"/>
              <w:left w:w="0" w:type="dxa"/>
              <w:bottom w:w="0" w:type="dxa"/>
              <w:right w:w="0" w:type="dxa"/>
            </w:tcMar>
            <w:vAlign w:val="bottom"/>
            <w:hideMark/>
          </w:tcPr>
          <w:p w14:paraId="0BE7E4B0" w14:textId="77777777" w:rsidR="00000000" w:rsidRDefault="00097612">
            <w:pPr>
              <w:pStyle w:val="a3"/>
              <w:spacing w:before="0" w:beforeAutospacing="0" w:after="0" w:afterAutospacing="0"/>
              <w:ind w:right="60"/>
              <w:jc w:val="right"/>
              <w:rPr>
                <w:sz w:val="20"/>
                <w:szCs w:val="20"/>
              </w:rPr>
            </w:pPr>
            <w:r>
              <w:rPr>
                <w:sz w:val="20"/>
                <w:szCs w:val="20"/>
              </w:rPr>
              <w:t>23</w:t>
            </w:r>
          </w:p>
        </w:tc>
        <w:tc>
          <w:tcPr>
            <w:tcW w:w="89" w:type="pct"/>
            <w:noWrap/>
            <w:tcMar>
              <w:top w:w="0" w:type="dxa"/>
              <w:left w:w="0" w:type="dxa"/>
              <w:bottom w:w="0" w:type="dxa"/>
              <w:right w:w="0" w:type="dxa"/>
            </w:tcMar>
            <w:vAlign w:val="bottom"/>
            <w:hideMark/>
          </w:tcPr>
          <w:p w14:paraId="5A3CE743" w14:textId="77777777" w:rsidR="00000000" w:rsidRDefault="00097612">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6D80DF70" w14:textId="77777777" w:rsidR="00000000" w:rsidRDefault="00097612">
            <w:pPr>
              <w:pStyle w:val="a3"/>
              <w:spacing w:before="0" w:beforeAutospacing="0" w:after="0" w:afterAutospacing="0"/>
              <w:jc w:val="center"/>
              <w:rPr>
                <w:sz w:val="20"/>
                <w:szCs w:val="20"/>
              </w:rPr>
            </w:pPr>
            <w:r>
              <w:rPr>
                <w:sz w:val="20"/>
                <w:szCs w:val="20"/>
              </w:rPr>
              <w:t> </w:t>
            </w:r>
          </w:p>
        </w:tc>
        <w:tc>
          <w:tcPr>
            <w:tcW w:w="357" w:type="pct"/>
            <w:noWrap/>
            <w:tcMar>
              <w:top w:w="0" w:type="dxa"/>
              <w:left w:w="0" w:type="dxa"/>
              <w:bottom w:w="0" w:type="dxa"/>
              <w:right w:w="0" w:type="dxa"/>
            </w:tcMar>
            <w:vAlign w:val="bottom"/>
            <w:hideMark/>
          </w:tcPr>
          <w:p w14:paraId="0408AD53" w14:textId="77777777" w:rsidR="00000000" w:rsidRDefault="00097612">
            <w:pPr>
              <w:pStyle w:val="a3"/>
              <w:spacing w:before="0" w:beforeAutospacing="0" w:after="0" w:afterAutospacing="0"/>
              <w:ind w:right="60"/>
              <w:jc w:val="right"/>
              <w:rPr>
                <w:sz w:val="20"/>
                <w:szCs w:val="20"/>
              </w:rPr>
            </w:pPr>
            <w:r>
              <w:rPr>
                <w:sz w:val="20"/>
                <w:szCs w:val="20"/>
              </w:rPr>
              <w:t>117</w:t>
            </w:r>
          </w:p>
        </w:tc>
        <w:tc>
          <w:tcPr>
            <w:tcW w:w="89" w:type="pct"/>
            <w:noWrap/>
            <w:tcMar>
              <w:top w:w="0" w:type="dxa"/>
              <w:left w:w="0" w:type="dxa"/>
              <w:bottom w:w="0" w:type="dxa"/>
              <w:right w:w="0" w:type="dxa"/>
            </w:tcMar>
            <w:vAlign w:val="bottom"/>
            <w:hideMark/>
          </w:tcPr>
          <w:p w14:paraId="5BEDF057" w14:textId="77777777" w:rsidR="00000000" w:rsidRDefault="00097612">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522A135E" w14:textId="77777777" w:rsidR="00000000" w:rsidRDefault="00097612">
            <w:pPr>
              <w:pStyle w:val="a3"/>
              <w:spacing w:before="0" w:beforeAutospacing="0" w:after="0" w:afterAutospacing="0"/>
              <w:jc w:val="center"/>
              <w:rPr>
                <w:sz w:val="20"/>
                <w:szCs w:val="20"/>
              </w:rPr>
            </w:pPr>
            <w:r>
              <w:rPr>
                <w:sz w:val="20"/>
                <w:szCs w:val="20"/>
              </w:rPr>
              <w:t> </w:t>
            </w:r>
          </w:p>
        </w:tc>
        <w:tc>
          <w:tcPr>
            <w:tcW w:w="357" w:type="pct"/>
            <w:noWrap/>
            <w:tcMar>
              <w:top w:w="0" w:type="dxa"/>
              <w:left w:w="0" w:type="dxa"/>
              <w:bottom w:w="0" w:type="dxa"/>
              <w:right w:w="0" w:type="dxa"/>
            </w:tcMar>
            <w:vAlign w:val="bottom"/>
            <w:hideMark/>
          </w:tcPr>
          <w:p w14:paraId="3335EE37" w14:textId="77777777" w:rsidR="00000000" w:rsidRDefault="00097612">
            <w:pPr>
              <w:pStyle w:val="a3"/>
              <w:spacing w:before="0" w:beforeAutospacing="0" w:after="0" w:afterAutospacing="0"/>
              <w:ind w:right="60"/>
              <w:jc w:val="right"/>
              <w:rPr>
                <w:sz w:val="20"/>
                <w:szCs w:val="20"/>
              </w:rPr>
            </w:pPr>
            <w:r>
              <w:rPr>
                <w:sz w:val="20"/>
                <w:szCs w:val="20"/>
              </w:rPr>
              <w:t>121</w:t>
            </w:r>
          </w:p>
        </w:tc>
        <w:tc>
          <w:tcPr>
            <w:tcW w:w="89" w:type="pct"/>
            <w:noWrap/>
            <w:tcMar>
              <w:top w:w="0" w:type="dxa"/>
              <w:left w:w="0" w:type="dxa"/>
              <w:bottom w:w="0" w:type="dxa"/>
              <w:right w:w="0" w:type="dxa"/>
            </w:tcMar>
            <w:vAlign w:val="bottom"/>
            <w:hideMark/>
          </w:tcPr>
          <w:p w14:paraId="3700917E" w14:textId="77777777" w:rsidR="00000000" w:rsidRDefault="00097612">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2BDA5CA0" w14:textId="77777777" w:rsidR="00000000" w:rsidRDefault="00097612">
            <w:pPr>
              <w:pStyle w:val="a3"/>
              <w:spacing w:before="0" w:beforeAutospacing="0" w:after="0" w:afterAutospacing="0"/>
              <w:jc w:val="center"/>
              <w:rPr>
                <w:sz w:val="20"/>
                <w:szCs w:val="20"/>
              </w:rPr>
            </w:pPr>
            <w:r>
              <w:rPr>
                <w:sz w:val="20"/>
                <w:szCs w:val="20"/>
              </w:rPr>
              <w:t> </w:t>
            </w:r>
          </w:p>
        </w:tc>
        <w:tc>
          <w:tcPr>
            <w:tcW w:w="335" w:type="pct"/>
            <w:noWrap/>
            <w:tcMar>
              <w:top w:w="0" w:type="dxa"/>
              <w:left w:w="0" w:type="dxa"/>
              <w:bottom w:w="0" w:type="dxa"/>
              <w:right w:w="0" w:type="dxa"/>
            </w:tcMar>
            <w:vAlign w:val="bottom"/>
            <w:hideMark/>
          </w:tcPr>
          <w:p w14:paraId="73203565" w14:textId="77777777" w:rsidR="00000000" w:rsidRDefault="00097612">
            <w:pPr>
              <w:pStyle w:val="a3"/>
              <w:spacing w:before="0" w:beforeAutospacing="0" w:after="0" w:afterAutospacing="0"/>
              <w:ind w:right="60"/>
              <w:jc w:val="right"/>
              <w:rPr>
                <w:sz w:val="20"/>
                <w:szCs w:val="20"/>
              </w:rPr>
            </w:pPr>
            <w:r>
              <w:rPr>
                <w:sz w:val="20"/>
                <w:szCs w:val="20"/>
              </w:rPr>
              <w:t>10,650</w:t>
            </w:r>
          </w:p>
        </w:tc>
      </w:tr>
      <w:tr w:rsidR="00000000" w14:paraId="003730B1" w14:textId="77777777">
        <w:trPr>
          <w:divId w:val="1949894663"/>
        </w:trPr>
        <w:tc>
          <w:tcPr>
            <w:tcW w:w="2873" w:type="pct"/>
            <w:shd w:val="clear" w:color="auto" w:fill="CCEEFF"/>
            <w:tcMar>
              <w:top w:w="0" w:type="dxa"/>
              <w:left w:w="0" w:type="dxa"/>
              <w:bottom w:w="0" w:type="dxa"/>
              <w:right w:w="0" w:type="dxa"/>
            </w:tcMar>
            <w:hideMark/>
          </w:tcPr>
          <w:p w14:paraId="58E0CE4C" w14:textId="77777777" w:rsidR="00000000" w:rsidRDefault="00097612">
            <w:pPr>
              <w:pStyle w:val="a3"/>
              <w:spacing w:before="0" w:beforeAutospacing="0" w:after="0" w:afterAutospacing="0"/>
              <w:rPr>
                <w:sz w:val="20"/>
                <w:szCs w:val="20"/>
              </w:rPr>
            </w:pPr>
            <w:r>
              <w:rPr>
                <w:sz w:val="20"/>
                <w:szCs w:val="20"/>
              </w:rPr>
              <w:t>Other</w:t>
            </w:r>
          </w:p>
        </w:tc>
        <w:tc>
          <w:tcPr>
            <w:tcW w:w="90" w:type="pct"/>
            <w:shd w:val="clear" w:color="auto" w:fill="CCEEFF"/>
            <w:noWrap/>
            <w:tcMar>
              <w:top w:w="0" w:type="dxa"/>
              <w:left w:w="0" w:type="dxa"/>
              <w:bottom w:w="0" w:type="dxa"/>
              <w:right w:w="0" w:type="dxa"/>
            </w:tcMar>
            <w:vAlign w:val="bottom"/>
            <w:hideMark/>
          </w:tcPr>
          <w:p w14:paraId="435726B5" w14:textId="77777777" w:rsidR="00000000" w:rsidRDefault="00097612">
            <w:pPr>
              <w:pStyle w:val="a3"/>
              <w:spacing w:before="0" w:beforeAutospacing="0" w:after="0"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14:paraId="0174B337" w14:textId="77777777" w:rsidR="00000000" w:rsidRDefault="00097612">
            <w:pPr>
              <w:pStyle w:val="a3"/>
              <w:spacing w:before="0" w:beforeAutospacing="0" w:after="0" w:afterAutospacing="0"/>
              <w:jc w:val="center"/>
              <w:rPr>
                <w:sz w:val="20"/>
                <w:szCs w:val="20"/>
              </w:rPr>
            </w:pPr>
            <w:r>
              <w:rPr>
                <w:sz w:val="20"/>
                <w:szCs w:val="20"/>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14:paraId="750C0710" w14:textId="77777777" w:rsidR="00000000" w:rsidRDefault="00097612">
            <w:pPr>
              <w:pStyle w:val="a3"/>
              <w:spacing w:before="0" w:beforeAutospacing="0" w:after="0" w:afterAutospacing="0"/>
              <w:ind w:right="60"/>
              <w:jc w:val="right"/>
              <w:rPr>
                <w:sz w:val="20"/>
                <w:szCs w:val="20"/>
              </w:rPr>
            </w:pPr>
            <w:r>
              <w:rPr>
                <w:sz w:val="20"/>
                <w:szCs w:val="20"/>
              </w:rPr>
              <w:t>6</w:t>
            </w:r>
          </w:p>
        </w:tc>
        <w:tc>
          <w:tcPr>
            <w:tcW w:w="89" w:type="pct"/>
            <w:shd w:val="clear" w:color="auto" w:fill="CCEEFF"/>
            <w:noWrap/>
            <w:tcMar>
              <w:top w:w="0" w:type="dxa"/>
              <w:left w:w="0" w:type="dxa"/>
              <w:bottom w:w="0" w:type="dxa"/>
              <w:right w:w="0" w:type="dxa"/>
            </w:tcMar>
            <w:vAlign w:val="bottom"/>
            <w:hideMark/>
          </w:tcPr>
          <w:p w14:paraId="6977F8F5" w14:textId="77777777" w:rsidR="00000000" w:rsidRDefault="00097612">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14:paraId="3A96B608" w14:textId="77777777" w:rsidR="00000000" w:rsidRDefault="00097612">
            <w:pPr>
              <w:pStyle w:val="a3"/>
              <w:spacing w:before="0" w:beforeAutospacing="0" w:after="0" w:afterAutospacing="0"/>
              <w:jc w:val="center"/>
              <w:rPr>
                <w:sz w:val="20"/>
                <w:szCs w:val="20"/>
              </w:rPr>
            </w:pPr>
            <w:r>
              <w:rPr>
                <w:sz w:val="20"/>
                <w:szCs w:val="20"/>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14:paraId="42D22161" w14:textId="77777777" w:rsidR="00000000" w:rsidRDefault="00097612">
            <w:pPr>
              <w:pStyle w:val="a3"/>
              <w:spacing w:before="0" w:beforeAutospacing="0" w:after="0" w:afterAutospacing="0"/>
              <w:ind w:right="60"/>
              <w:jc w:val="right"/>
              <w:rPr>
                <w:sz w:val="20"/>
                <w:szCs w:val="20"/>
              </w:rPr>
            </w:pPr>
            <w:r>
              <w:rPr>
                <w:sz w:val="20"/>
                <w:szCs w:val="20"/>
              </w:rPr>
              <w:t>6</w:t>
            </w:r>
          </w:p>
        </w:tc>
        <w:tc>
          <w:tcPr>
            <w:tcW w:w="89" w:type="pct"/>
            <w:shd w:val="clear" w:color="auto" w:fill="CCEEFF"/>
            <w:noWrap/>
            <w:tcMar>
              <w:top w:w="0" w:type="dxa"/>
              <w:left w:w="0" w:type="dxa"/>
              <w:bottom w:w="0" w:type="dxa"/>
              <w:right w:w="0" w:type="dxa"/>
            </w:tcMar>
            <w:vAlign w:val="bottom"/>
            <w:hideMark/>
          </w:tcPr>
          <w:p w14:paraId="1257633A" w14:textId="77777777" w:rsidR="00000000" w:rsidRDefault="00097612">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14:paraId="3D866B82" w14:textId="77777777" w:rsidR="00000000" w:rsidRDefault="00097612">
            <w:pPr>
              <w:pStyle w:val="a3"/>
              <w:spacing w:before="0" w:beforeAutospacing="0" w:after="0" w:afterAutospacing="0"/>
              <w:jc w:val="center"/>
              <w:rPr>
                <w:sz w:val="20"/>
                <w:szCs w:val="20"/>
              </w:rPr>
            </w:pPr>
            <w:r>
              <w:rPr>
                <w:sz w:val="20"/>
                <w:szCs w:val="20"/>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14:paraId="68D71FFC" w14:textId="77777777" w:rsidR="00000000" w:rsidRDefault="00097612">
            <w:pPr>
              <w:pStyle w:val="a3"/>
              <w:spacing w:before="0" w:beforeAutospacing="0" w:after="0" w:afterAutospacing="0"/>
              <w:ind w:right="60"/>
              <w:jc w:val="right"/>
              <w:rPr>
                <w:sz w:val="20"/>
                <w:szCs w:val="20"/>
              </w:rPr>
            </w:pPr>
            <w:r>
              <w:rPr>
                <w:sz w:val="20"/>
                <w:szCs w:val="20"/>
              </w:rPr>
              <w:t>23</w:t>
            </w:r>
          </w:p>
        </w:tc>
        <w:tc>
          <w:tcPr>
            <w:tcW w:w="89" w:type="pct"/>
            <w:shd w:val="clear" w:color="auto" w:fill="CCEEFF"/>
            <w:noWrap/>
            <w:tcMar>
              <w:top w:w="0" w:type="dxa"/>
              <w:left w:w="0" w:type="dxa"/>
              <w:bottom w:w="0" w:type="dxa"/>
              <w:right w:w="0" w:type="dxa"/>
            </w:tcMar>
            <w:vAlign w:val="bottom"/>
            <w:hideMark/>
          </w:tcPr>
          <w:p w14:paraId="1FF2E482" w14:textId="77777777" w:rsidR="00000000" w:rsidRDefault="00097612">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14:paraId="44352086" w14:textId="77777777" w:rsidR="00000000" w:rsidRDefault="00097612">
            <w:pPr>
              <w:pStyle w:val="a3"/>
              <w:spacing w:before="0" w:beforeAutospacing="0" w:after="0" w:afterAutospacing="0"/>
              <w:jc w:val="center"/>
              <w:rPr>
                <w:sz w:val="20"/>
                <w:szCs w:val="20"/>
              </w:rPr>
            </w:pPr>
            <w:r>
              <w:rPr>
                <w:sz w:val="20"/>
                <w:szCs w:val="20"/>
              </w:rPr>
              <w:t>​</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14:paraId="452D9197" w14:textId="77777777" w:rsidR="00000000" w:rsidRDefault="00097612">
            <w:pPr>
              <w:pStyle w:val="a3"/>
              <w:spacing w:before="0" w:beforeAutospacing="0" w:after="0" w:afterAutospacing="0"/>
              <w:ind w:right="60"/>
              <w:jc w:val="right"/>
              <w:rPr>
                <w:sz w:val="20"/>
                <w:szCs w:val="20"/>
              </w:rPr>
            </w:pPr>
            <w:r>
              <w:rPr>
                <w:sz w:val="20"/>
                <w:szCs w:val="20"/>
              </w:rPr>
              <w:t>50</w:t>
            </w:r>
          </w:p>
        </w:tc>
      </w:tr>
      <w:tr w:rsidR="00000000" w14:paraId="629A7C5B" w14:textId="77777777">
        <w:trPr>
          <w:divId w:val="1949894663"/>
        </w:trPr>
        <w:tc>
          <w:tcPr>
            <w:tcW w:w="2873" w:type="pct"/>
            <w:tcMar>
              <w:top w:w="0" w:type="dxa"/>
              <w:left w:w="0" w:type="dxa"/>
              <w:bottom w:w="0" w:type="dxa"/>
              <w:right w:w="0" w:type="dxa"/>
            </w:tcMar>
            <w:hideMark/>
          </w:tcPr>
          <w:p w14:paraId="605399D1" w14:textId="77777777" w:rsidR="00000000" w:rsidRDefault="00097612">
            <w:pPr>
              <w:pStyle w:val="a3"/>
              <w:spacing w:before="0" w:beforeAutospacing="0" w:after="0" w:afterAutospacing="0"/>
              <w:ind w:left="240"/>
              <w:rPr>
                <w:sz w:val="20"/>
                <w:szCs w:val="20"/>
              </w:rPr>
            </w:pPr>
            <w:r>
              <w:rPr>
                <w:sz w:val="20"/>
                <w:szCs w:val="20"/>
              </w:rPr>
              <w:t>Total collaboration revenue</w:t>
            </w:r>
          </w:p>
        </w:tc>
        <w:tc>
          <w:tcPr>
            <w:tcW w:w="90" w:type="pct"/>
            <w:noWrap/>
            <w:tcMar>
              <w:top w:w="0" w:type="dxa"/>
              <w:left w:w="0" w:type="dxa"/>
              <w:bottom w:w="0" w:type="dxa"/>
              <w:right w:w="0" w:type="dxa"/>
            </w:tcMar>
            <w:vAlign w:val="bottom"/>
            <w:hideMark/>
          </w:tcPr>
          <w:p w14:paraId="0240C484" w14:textId="77777777" w:rsidR="00000000" w:rsidRDefault="00097612">
            <w:pPr>
              <w:pStyle w:val="a3"/>
              <w:spacing w:before="0" w:beforeAutospacing="0" w:after="0"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14:paraId="09BFB8CC" w14:textId="77777777" w:rsidR="00000000" w:rsidRDefault="00097612">
            <w:pPr>
              <w:pStyle w:val="a3"/>
              <w:spacing w:before="0" w:beforeAutospacing="0" w:after="0" w:afterAutospacing="0"/>
              <w:jc w:val="center"/>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14:paraId="1B213079" w14:textId="77777777" w:rsidR="00000000" w:rsidRDefault="00097612">
            <w:pPr>
              <w:pStyle w:val="a3"/>
              <w:spacing w:before="0" w:beforeAutospacing="0" w:after="0" w:afterAutospacing="0"/>
              <w:ind w:right="60"/>
              <w:jc w:val="right"/>
              <w:rPr>
                <w:sz w:val="20"/>
                <w:szCs w:val="20"/>
              </w:rPr>
            </w:pPr>
            <w:r>
              <w:rPr>
                <w:sz w:val="20"/>
                <w:szCs w:val="20"/>
              </w:rPr>
              <w:t>8,836</w:t>
            </w:r>
          </w:p>
        </w:tc>
        <w:tc>
          <w:tcPr>
            <w:tcW w:w="89" w:type="pct"/>
            <w:noWrap/>
            <w:tcMar>
              <w:top w:w="0" w:type="dxa"/>
              <w:left w:w="0" w:type="dxa"/>
              <w:bottom w:w="0" w:type="dxa"/>
              <w:right w:w="0" w:type="dxa"/>
            </w:tcMar>
            <w:vAlign w:val="bottom"/>
            <w:hideMark/>
          </w:tcPr>
          <w:p w14:paraId="634D4B91" w14:textId="77777777" w:rsidR="00000000" w:rsidRDefault="00097612">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14:paraId="2758DE6B" w14:textId="77777777" w:rsidR="00000000" w:rsidRDefault="00097612">
            <w:pPr>
              <w:pStyle w:val="a3"/>
              <w:spacing w:before="0" w:beforeAutospacing="0" w:after="0" w:afterAutospacing="0"/>
              <w:jc w:val="center"/>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14:paraId="17597DD9" w14:textId="77777777" w:rsidR="00000000" w:rsidRDefault="00097612">
            <w:pPr>
              <w:pStyle w:val="a3"/>
              <w:spacing w:before="0" w:beforeAutospacing="0" w:after="0" w:afterAutospacing="0"/>
              <w:ind w:right="60"/>
              <w:jc w:val="right"/>
              <w:rPr>
                <w:sz w:val="20"/>
                <w:szCs w:val="20"/>
              </w:rPr>
            </w:pPr>
            <w:r>
              <w:rPr>
                <w:sz w:val="20"/>
                <w:szCs w:val="20"/>
              </w:rPr>
              <w:t>8,989</w:t>
            </w:r>
          </w:p>
        </w:tc>
        <w:tc>
          <w:tcPr>
            <w:tcW w:w="89" w:type="pct"/>
            <w:noWrap/>
            <w:tcMar>
              <w:top w:w="0" w:type="dxa"/>
              <w:left w:w="0" w:type="dxa"/>
              <w:bottom w:w="0" w:type="dxa"/>
              <w:right w:w="0" w:type="dxa"/>
            </w:tcMar>
            <w:vAlign w:val="bottom"/>
            <w:hideMark/>
          </w:tcPr>
          <w:p w14:paraId="5F3DB28A" w14:textId="77777777" w:rsidR="00000000" w:rsidRDefault="00097612">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14:paraId="5CF747A0" w14:textId="77777777" w:rsidR="00000000" w:rsidRDefault="00097612">
            <w:pPr>
              <w:pStyle w:val="a3"/>
              <w:spacing w:before="0" w:beforeAutospacing="0" w:after="0" w:afterAutospacing="0"/>
              <w:jc w:val="center"/>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14:paraId="1583A9C2" w14:textId="77777777" w:rsidR="00000000" w:rsidRDefault="00097612">
            <w:pPr>
              <w:pStyle w:val="a3"/>
              <w:spacing w:before="0" w:beforeAutospacing="0" w:after="0" w:afterAutospacing="0"/>
              <w:ind w:right="60"/>
              <w:jc w:val="right"/>
              <w:rPr>
                <w:sz w:val="20"/>
                <w:szCs w:val="20"/>
              </w:rPr>
            </w:pPr>
            <w:r>
              <w:rPr>
                <w:sz w:val="20"/>
                <w:szCs w:val="20"/>
              </w:rPr>
              <w:t>21,666</w:t>
            </w:r>
          </w:p>
        </w:tc>
        <w:tc>
          <w:tcPr>
            <w:tcW w:w="89" w:type="pct"/>
            <w:noWrap/>
            <w:tcMar>
              <w:top w:w="0" w:type="dxa"/>
              <w:left w:w="0" w:type="dxa"/>
              <w:bottom w:w="0" w:type="dxa"/>
              <w:right w:w="0" w:type="dxa"/>
            </w:tcMar>
            <w:vAlign w:val="bottom"/>
            <w:hideMark/>
          </w:tcPr>
          <w:p w14:paraId="771428C7" w14:textId="77777777" w:rsidR="00000000" w:rsidRDefault="00097612">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14:paraId="5B6D4810" w14:textId="77777777" w:rsidR="00000000" w:rsidRDefault="00097612">
            <w:pPr>
              <w:pStyle w:val="a3"/>
              <w:spacing w:before="0" w:beforeAutospacing="0" w:after="0" w:afterAutospacing="0"/>
              <w:jc w:val="center"/>
              <w:rPr>
                <w:sz w:val="20"/>
                <w:szCs w:val="20"/>
              </w:rPr>
            </w:pPr>
            <w:r>
              <w:rPr>
                <w:sz w:val="20"/>
                <w:szCs w:val="20"/>
              </w:rPr>
              <w:t>$</w:t>
            </w:r>
          </w:p>
        </w:tc>
        <w:tc>
          <w:tcPr>
            <w:tcW w:w="335" w:type="pct"/>
            <w:tcBorders>
              <w:bottom w:val="double" w:sz="6" w:space="0" w:color="000000"/>
            </w:tcBorders>
            <w:noWrap/>
            <w:tcMar>
              <w:top w:w="0" w:type="dxa"/>
              <w:left w:w="0" w:type="dxa"/>
              <w:bottom w:w="0" w:type="dxa"/>
              <w:right w:w="0" w:type="dxa"/>
            </w:tcMar>
            <w:vAlign w:val="bottom"/>
            <w:hideMark/>
          </w:tcPr>
          <w:p w14:paraId="0A726BB4" w14:textId="77777777" w:rsidR="00000000" w:rsidRDefault="00097612">
            <w:pPr>
              <w:pStyle w:val="a3"/>
              <w:spacing w:before="0" w:beforeAutospacing="0" w:after="0" w:afterAutospacing="0"/>
              <w:ind w:right="60"/>
              <w:jc w:val="right"/>
              <w:rPr>
                <w:sz w:val="20"/>
                <w:szCs w:val="20"/>
              </w:rPr>
            </w:pPr>
            <w:r>
              <w:rPr>
                <w:sz w:val="20"/>
                <w:szCs w:val="20"/>
              </w:rPr>
              <w:t>31,744</w:t>
            </w:r>
          </w:p>
        </w:tc>
      </w:tr>
    </w:tbl>
    <w:p w14:paraId="5BA19017" w14:textId="77777777" w:rsidR="00000000" w:rsidRDefault="00097612">
      <w:pPr>
        <w:pStyle w:val="a3"/>
        <w:spacing w:before="0" w:beforeAutospacing="0" w:after="0" w:afterAutospacing="0"/>
        <w:divId w:val="1949894663"/>
        <w:rPr>
          <w:sz w:val="20"/>
          <w:szCs w:val="20"/>
        </w:rPr>
      </w:pPr>
      <w:r>
        <w:rPr>
          <w:sz w:val="20"/>
          <w:szCs w:val="20"/>
        </w:rPr>
        <w:t>​</w:t>
      </w:r>
    </w:p>
    <w:p w14:paraId="6021A4CF" w14:textId="77777777" w:rsidR="00000000" w:rsidRDefault="00097612">
      <w:pPr>
        <w:pStyle w:val="a3"/>
        <w:spacing w:before="0" w:beforeAutospacing="0" w:after="0" w:afterAutospacing="0"/>
        <w:divId w:val="1949894663"/>
        <w:rPr>
          <w:sz w:val="20"/>
          <w:szCs w:val="20"/>
        </w:rPr>
      </w:pPr>
      <w:r>
        <w:rPr>
          <w:b/>
          <w:bCs/>
          <w:i/>
          <w:iCs/>
          <w:sz w:val="20"/>
          <w:szCs w:val="20"/>
        </w:rPr>
        <w:t>Changes in Deferred Revenue Balances</w:t>
      </w:r>
    </w:p>
    <w:p w14:paraId="05BC8CF8" w14:textId="77777777" w:rsidR="00000000" w:rsidRDefault="00097612">
      <w:pPr>
        <w:pStyle w:val="a3"/>
        <w:spacing w:before="0" w:beforeAutospacing="0" w:after="0" w:afterAutospacing="0"/>
        <w:divId w:val="1949894663"/>
        <w:rPr>
          <w:sz w:val="20"/>
          <w:szCs w:val="20"/>
        </w:rPr>
      </w:pPr>
      <w:r>
        <w:rPr>
          <w:sz w:val="10"/>
          <w:szCs w:val="10"/>
        </w:rPr>
        <w:t>​</w:t>
      </w:r>
    </w:p>
    <w:p w14:paraId="2D78AB8F" w14:textId="77777777" w:rsidR="00000000" w:rsidRDefault="00097612">
      <w:pPr>
        <w:pStyle w:val="a3"/>
        <w:spacing w:before="0" w:beforeAutospacing="0" w:after="0" w:afterAutospacing="0"/>
        <w:ind w:firstLine="720"/>
        <w:divId w:val="1949894663"/>
        <w:rPr>
          <w:sz w:val="20"/>
          <w:szCs w:val="20"/>
        </w:rPr>
      </w:pPr>
      <w:r>
        <w:rPr>
          <w:sz w:val="20"/>
          <w:szCs w:val="20"/>
        </w:rPr>
        <w:t xml:space="preserve">The changes in the deferred revenue balances arose as a result of the Company recognizing the following revenue from collaborative arrangements during the periods below: </w:t>
      </w:r>
    </w:p>
    <w:p w14:paraId="095A5FE6" w14:textId="77777777" w:rsidR="00000000" w:rsidRDefault="00097612">
      <w:pPr>
        <w:pStyle w:val="a3"/>
        <w:spacing w:before="0" w:beforeAutospacing="0" w:after="0" w:afterAutospacing="0"/>
        <w:divId w:val="1949894663"/>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769"/>
        <w:gridCol w:w="148"/>
        <w:gridCol w:w="148"/>
        <w:gridCol w:w="591"/>
        <w:gridCol w:w="146"/>
        <w:gridCol w:w="147"/>
        <w:gridCol w:w="595"/>
        <w:gridCol w:w="147"/>
        <w:gridCol w:w="147"/>
        <w:gridCol w:w="610"/>
        <w:gridCol w:w="147"/>
        <w:gridCol w:w="147"/>
        <w:gridCol w:w="564"/>
      </w:tblGrid>
      <w:tr w:rsidR="00000000" w14:paraId="644F6777" w14:textId="77777777">
        <w:trPr>
          <w:divId w:val="1949894663"/>
          <w:trHeight w:val="20"/>
        </w:trPr>
        <w:tc>
          <w:tcPr>
            <w:tcW w:w="2871" w:type="pct"/>
            <w:tcMar>
              <w:top w:w="0" w:type="dxa"/>
              <w:left w:w="0" w:type="dxa"/>
              <w:bottom w:w="0" w:type="dxa"/>
              <w:right w:w="0" w:type="dxa"/>
            </w:tcMar>
            <w:hideMark/>
          </w:tcPr>
          <w:p w14:paraId="6B1DB0F3" w14:textId="77777777" w:rsidR="00000000" w:rsidRDefault="00097612">
            <w:pPr>
              <w:pStyle w:val="a3"/>
              <w:spacing w:before="0" w:beforeAutospacing="0" w:after="0" w:afterAutospacing="0"/>
              <w:divId w:val="1935698728"/>
              <w:rPr>
                <w:sz w:val="20"/>
                <w:szCs w:val="20"/>
              </w:rPr>
            </w:pPr>
            <w:r>
              <w:rPr>
                <w:sz w:val="2"/>
                <w:szCs w:val="2"/>
              </w:rPr>
              <w:t>​</w:t>
            </w:r>
          </w:p>
        </w:tc>
        <w:tc>
          <w:tcPr>
            <w:tcW w:w="90" w:type="pct"/>
            <w:tcMar>
              <w:top w:w="0" w:type="dxa"/>
              <w:left w:w="0" w:type="dxa"/>
              <w:bottom w:w="0" w:type="dxa"/>
              <w:right w:w="0" w:type="dxa"/>
            </w:tcMar>
            <w:vAlign w:val="bottom"/>
            <w:hideMark/>
          </w:tcPr>
          <w:p w14:paraId="6D1A5588" w14:textId="77777777" w:rsidR="00000000" w:rsidRDefault="00097612">
            <w:pPr>
              <w:pStyle w:val="a3"/>
              <w:spacing w:before="0" w:beforeAutospacing="0" w:after="0" w:afterAutospacing="0"/>
              <w:divId w:val="1867406063"/>
              <w:rPr>
                <w:sz w:val="20"/>
                <w:szCs w:val="20"/>
              </w:rPr>
            </w:pPr>
            <w:r>
              <w:rPr>
                <w:sz w:val="2"/>
                <w:szCs w:val="2"/>
              </w:rPr>
              <w:t>​</w:t>
            </w:r>
          </w:p>
        </w:tc>
        <w:tc>
          <w:tcPr>
            <w:tcW w:w="90" w:type="pct"/>
            <w:tcMar>
              <w:top w:w="0" w:type="dxa"/>
              <w:left w:w="0" w:type="dxa"/>
              <w:bottom w:w="0" w:type="dxa"/>
              <w:right w:w="0" w:type="dxa"/>
            </w:tcMar>
            <w:vAlign w:val="bottom"/>
            <w:hideMark/>
          </w:tcPr>
          <w:p w14:paraId="26503AF8" w14:textId="77777777" w:rsidR="00000000" w:rsidRDefault="00097612">
            <w:pPr>
              <w:pStyle w:val="a3"/>
              <w:spacing w:before="0" w:beforeAutospacing="0" w:after="0" w:afterAutospacing="0"/>
              <w:divId w:val="1498155046"/>
              <w:rPr>
                <w:sz w:val="20"/>
                <w:szCs w:val="20"/>
              </w:rPr>
            </w:pPr>
            <w:r>
              <w:rPr>
                <w:sz w:val="2"/>
                <w:szCs w:val="2"/>
              </w:rPr>
              <w:t>​</w:t>
            </w:r>
          </w:p>
        </w:tc>
        <w:tc>
          <w:tcPr>
            <w:tcW w:w="357" w:type="pct"/>
            <w:noWrap/>
            <w:tcMar>
              <w:top w:w="0" w:type="dxa"/>
              <w:left w:w="0" w:type="dxa"/>
              <w:bottom w:w="0" w:type="dxa"/>
              <w:right w:w="0" w:type="dxa"/>
            </w:tcMar>
            <w:vAlign w:val="bottom"/>
            <w:hideMark/>
          </w:tcPr>
          <w:p w14:paraId="6EF2F99B" w14:textId="77777777" w:rsidR="00000000" w:rsidRDefault="00097612">
            <w:pPr>
              <w:pStyle w:val="a3"/>
              <w:spacing w:before="0" w:beforeAutospacing="0" w:after="0" w:afterAutospacing="0"/>
              <w:divId w:val="280459770"/>
              <w:rPr>
                <w:sz w:val="20"/>
                <w:szCs w:val="20"/>
              </w:rPr>
            </w:pPr>
            <w:r>
              <w:rPr>
                <w:sz w:val="2"/>
                <w:szCs w:val="2"/>
              </w:rPr>
              <w:t>​</w:t>
            </w:r>
          </w:p>
        </w:tc>
        <w:tc>
          <w:tcPr>
            <w:tcW w:w="89" w:type="pct"/>
            <w:noWrap/>
            <w:tcMar>
              <w:top w:w="0" w:type="dxa"/>
              <w:left w:w="0" w:type="dxa"/>
              <w:bottom w:w="0" w:type="dxa"/>
              <w:right w:w="0" w:type="dxa"/>
            </w:tcMar>
            <w:vAlign w:val="bottom"/>
            <w:hideMark/>
          </w:tcPr>
          <w:p w14:paraId="7A5EB461" w14:textId="77777777" w:rsidR="00000000" w:rsidRDefault="00097612">
            <w:pPr>
              <w:pStyle w:val="a3"/>
              <w:spacing w:before="0" w:beforeAutospacing="0" w:after="0" w:afterAutospacing="0"/>
              <w:divId w:val="1747727080"/>
              <w:rPr>
                <w:sz w:val="20"/>
                <w:szCs w:val="20"/>
              </w:rPr>
            </w:pPr>
            <w:r>
              <w:rPr>
                <w:sz w:val="2"/>
                <w:szCs w:val="2"/>
              </w:rPr>
              <w:t>​</w:t>
            </w:r>
          </w:p>
        </w:tc>
        <w:tc>
          <w:tcPr>
            <w:tcW w:w="89" w:type="pct"/>
            <w:noWrap/>
            <w:tcMar>
              <w:top w:w="0" w:type="dxa"/>
              <w:left w:w="0" w:type="dxa"/>
              <w:bottom w:w="0" w:type="dxa"/>
              <w:right w:w="0" w:type="dxa"/>
            </w:tcMar>
            <w:vAlign w:val="bottom"/>
            <w:hideMark/>
          </w:tcPr>
          <w:p w14:paraId="1E3ADDDC" w14:textId="77777777" w:rsidR="00000000" w:rsidRDefault="00097612">
            <w:pPr>
              <w:pStyle w:val="a3"/>
              <w:spacing w:before="0" w:beforeAutospacing="0" w:after="0" w:afterAutospacing="0"/>
              <w:divId w:val="1267038824"/>
              <w:rPr>
                <w:sz w:val="20"/>
                <w:szCs w:val="20"/>
              </w:rPr>
            </w:pPr>
            <w:r>
              <w:rPr>
                <w:sz w:val="2"/>
                <w:szCs w:val="2"/>
              </w:rPr>
              <w:t>​</w:t>
            </w:r>
          </w:p>
        </w:tc>
        <w:tc>
          <w:tcPr>
            <w:tcW w:w="357" w:type="pct"/>
            <w:tcMar>
              <w:top w:w="0" w:type="dxa"/>
              <w:left w:w="0" w:type="dxa"/>
              <w:bottom w:w="0" w:type="dxa"/>
              <w:right w:w="0" w:type="dxa"/>
            </w:tcMar>
            <w:vAlign w:val="bottom"/>
            <w:hideMark/>
          </w:tcPr>
          <w:p w14:paraId="535DF4B2" w14:textId="77777777" w:rsidR="00000000" w:rsidRDefault="00097612">
            <w:pPr>
              <w:pStyle w:val="a3"/>
              <w:spacing w:before="0" w:beforeAutospacing="0" w:after="0" w:afterAutospacing="0"/>
              <w:divId w:val="730272019"/>
              <w:rPr>
                <w:sz w:val="20"/>
                <w:szCs w:val="20"/>
              </w:rPr>
            </w:pPr>
            <w:r>
              <w:rPr>
                <w:sz w:val="2"/>
                <w:szCs w:val="2"/>
              </w:rPr>
              <w:t>​</w:t>
            </w:r>
          </w:p>
        </w:tc>
        <w:tc>
          <w:tcPr>
            <w:tcW w:w="89" w:type="pct"/>
            <w:noWrap/>
            <w:tcMar>
              <w:top w:w="0" w:type="dxa"/>
              <w:left w:w="0" w:type="dxa"/>
              <w:bottom w:w="0" w:type="dxa"/>
              <w:right w:w="0" w:type="dxa"/>
            </w:tcMar>
            <w:vAlign w:val="bottom"/>
            <w:hideMark/>
          </w:tcPr>
          <w:p w14:paraId="56813E35" w14:textId="77777777" w:rsidR="00000000" w:rsidRDefault="00097612">
            <w:pPr>
              <w:pStyle w:val="a3"/>
              <w:spacing w:before="0" w:beforeAutospacing="0" w:after="0" w:afterAutospacing="0"/>
              <w:divId w:val="1622684563"/>
              <w:rPr>
                <w:sz w:val="20"/>
                <w:szCs w:val="20"/>
              </w:rPr>
            </w:pPr>
            <w:r>
              <w:rPr>
                <w:sz w:val="2"/>
                <w:szCs w:val="2"/>
              </w:rPr>
              <w:t>​</w:t>
            </w:r>
          </w:p>
        </w:tc>
        <w:tc>
          <w:tcPr>
            <w:tcW w:w="89" w:type="pct"/>
            <w:tcMar>
              <w:top w:w="0" w:type="dxa"/>
              <w:left w:w="0" w:type="dxa"/>
              <w:bottom w:w="0" w:type="dxa"/>
              <w:right w:w="0" w:type="dxa"/>
            </w:tcMar>
            <w:vAlign w:val="bottom"/>
            <w:hideMark/>
          </w:tcPr>
          <w:p w14:paraId="373C6686" w14:textId="77777777" w:rsidR="00000000" w:rsidRDefault="00097612">
            <w:pPr>
              <w:pStyle w:val="a3"/>
              <w:spacing w:before="0" w:beforeAutospacing="0" w:after="0" w:afterAutospacing="0"/>
              <w:divId w:val="1973360939"/>
              <w:rPr>
                <w:sz w:val="20"/>
                <w:szCs w:val="20"/>
              </w:rPr>
            </w:pPr>
            <w:r>
              <w:rPr>
                <w:sz w:val="2"/>
                <w:szCs w:val="2"/>
              </w:rPr>
              <w:t>​</w:t>
            </w:r>
          </w:p>
        </w:tc>
        <w:tc>
          <w:tcPr>
            <w:tcW w:w="357" w:type="pct"/>
            <w:noWrap/>
            <w:tcMar>
              <w:top w:w="0" w:type="dxa"/>
              <w:left w:w="0" w:type="dxa"/>
              <w:bottom w:w="0" w:type="dxa"/>
              <w:right w:w="0" w:type="dxa"/>
            </w:tcMar>
            <w:vAlign w:val="bottom"/>
            <w:hideMark/>
          </w:tcPr>
          <w:p w14:paraId="2335F268" w14:textId="77777777" w:rsidR="00000000" w:rsidRDefault="00097612">
            <w:pPr>
              <w:pStyle w:val="a3"/>
              <w:spacing w:before="0" w:beforeAutospacing="0" w:after="0" w:afterAutospacing="0"/>
              <w:divId w:val="2025550768"/>
              <w:rPr>
                <w:sz w:val="20"/>
                <w:szCs w:val="20"/>
              </w:rPr>
            </w:pPr>
            <w:r>
              <w:rPr>
                <w:sz w:val="2"/>
                <w:szCs w:val="2"/>
              </w:rPr>
              <w:t>​</w:t>
            </w:r>
          </w:p>
        </w:tc>
        <w:tc>
          <w:tcPr>
            <w:tcW w:w="89" w:type="pct"/>
            <w:noWrap/>
            <w:tcMar>
              <w:top w:w="0" w:type="dxa"/>
              <w:left w:w="0" w:type="dxa"/>
              <w:bottom w:w="0" w:type="dxa"/>
              <w:right w:w="0" w:type="dxa"/>
            </w:tcMar>
            <w:vAlign w:val="bottom"/>
            <w:hideMark/>
          </w:tcPr>
          <w:p w14:paraId="67A13D72" w14:textId="77777777" w:rsidR="00000000" w:rsidRDefault="00097612">
            <w:pPr>
              <w:pStyle w:val="a3"/>
              <w:spacing w:before="0" w:beforeAutospacing="0" w:after="0" w:afterAutospacing="0"/>
              <w:divId w:val="1610552608"/>
              <w:rPr>
                <w:sz w:val="20"/>
                <w:szCs w:val="20"/>
              </w:rPr>
            </w:pPr>
            <w:r>
              <w:rPr>
                <w:sz w:val="2"/>
                <w:szCs w:val="2"/>
              </w:rPr>
              <w:t>​</w:t>
            </w:r>
          </w:p>
        </w:tc>
        <w:tc>
          <w:tcPr>
            <w:tcW w:w="89" w:type="pct"/>
            <w:noWrap/>
            <w:tcMar>
              <w:top w:w="0" w:type="dxa"/>
              <w:left w:w="0" w:type="dxa"/>
              <w:bottom w:w="0" w:type="dxa"/>
              <w:right w:w="0" w:type="dxa"/>
            </w:tcMar>
            <w:vAlign w:val="bottom"/>
            <w:hideMark/>
          </w:tcPr>
          <w:p w14:paraId="2FBF2B10" w14:textId="77777777" w:rsidR="00000000" w:rsidRDefault="00097612">
            <w:pPr>
              <w:pStyle w:val="a3"/>
              <w:spacing w:before="0" w:beforeAutospacing="0" w:after="0" w:afterAutospacing="0"/>
              <w:divId w:val="1656030404"/>
              <w:rPr>
                <w:sz w:val="20"/>
                <w:szCs w:val="20"/>
              </w:rPr>
            </w:pPr>
            <w:r>
              <w:rPr>
                <w:sz w:val="2"/>
                <w:szCs w:val="2"/>
              </w:rPr>
              <w:t>​</w:t>
            </w:r>
          </w:p>
        </w:tc>
        <w:tc>
          <w:tcPr>
            <w:tcW w:w="337" w:type="pct"/>
            <w:tcMar>
              <w:top w:w="0" w:type="dxa"/>
              <w:left w:w="0" w:type="dxa"/>
              <w:bottom w:w="0" w:type="dxa"/>
              <w:right w:w="0" w:type="dxa"/>
            </w:tcMar>
            <w:vAlign w:val="bottom"/>
            <w:hideMark/>
          </w:tcPr>
          <w:p w14:paraId="53E3C6D3" w14:textId="77777777" w:rsidR="00000000" w:rsidRDefault="00097612">
            <w:pPr>
              <w:pStyle w:val="a3"/>
              <w:spacing w:before="0" w:beforeAutospacing="0" w:after="0" w:afterAutospacing="0"/>
              <w:divId w:val="1047334061"/>
              <w:rPr>
                <w:sz w:val="20"/>
                <w:szCs w:val="20"/>
              </w:rPr>
            </w:pPr>
            <w:r>
              <w:rPr>
                <w:sz w:val="2"/>
                <w:szCs w:val="2"/>
              </w:rPr>
              <w:t>​</w:t>
            </w:r>
          </w:p>
        </w:tc>
      </w:tr>
      <w:tr w:rsidR="00000000" w14:paraId="625E2C8E" w14:textId="77777777">
        <w:trPr>
          <w:divId w:val="1949894663"/>
        </w:trPr>
        <w:tc>
          <w:tcPr>
            <w:tcW w:w="2871" w:type="pct"/>
            <w:shd w:val="clear" w:color="auto" w:fill="auto"/>
            <w:tcMar>
              <w:top w:w="0" w:type="dxa"/>
              <w:left w:w="0" w:type="dxa"/>
              <w:bottom w:w="0" w:type="dxa"/>
              <w:right w:w="0" w:type="dxa"/>
            </w:tcMar>
            <w:vAlign w:val="bottom"/>
            <w:hideMark/>
          </w:tcPr>
          <w:p w14:paraId="55411FC3" w14:textId="77777777" w:rsidR="00000000" w:rsidRDefault="00097612">
            <w:pPr>
              <w:pStyle w:val="a3"/>
              <w:spacing w:before="0" w:beforeAutospacing="0" w:after="0" w:afterAutospacing="0"/>
              <w:rPr>
                <w:sz w:val="20"/>
                <w:szCs w:val="20"/>
              </w:rPr>
            </w:pPr>
            <w:r>
              <w:rPr>
                <w:b/>
                <w:bCs/>
                <w:sz w:val="16"/>
                <w:szCs w:val="16"/>
              </w:rPr>
              <w:t>​</w:t>
            </w:r>
          </w:p>
        </w:tc>
        <w:tc>
          <w:tcPr>
            <w:tcW w:w="90" w:type="pct"/>
            <w:shd w:val="clear" w:color="auto" w:fill="auto"/>
            <w:tcMar>
              <w:top w:w="0" w:type="dxa"/>
              <w:left w:w="0" w:type="dxa"/>
              <w:bottom w:w="0" w:type="dxa"/>
              <w:right w:w="0" w:type="dxa"/>
            </w:tcMar>
            <w:vAlign w:val="bottom"/>
            <w:hideMark/>
          </w:tcPr>
          <w:p w14:paraId="3E6C6C62" w14:textId="77777777" w:rsidR="00000000" w:rsidRDefault="00097612">
            <w:pPr>
              <w:pStyle w:val="a3"/>
              <w:spacing w:before="0" w:beforeAutospacing="0" w:after="0" w:afterAutospacing="0"/>
              <w:rPr>
                <w:sz w:val="20"/>
                <w:szCs w:val="20"/>
              </w:rPr>
            </w:pPr>
            <w:r>
              <w:rPr>
                <w:b/>
                <w:bCs/>
                <w:sz w:val="16"/>
                <w:szCs w:val="16"/>
              </w:rPr>
              <w:t>​</w:t>
            </w:r>
          </w:p>
        </w:tc>
        <w:tc>
          <w:tcPr>
            <w:tcW w:w="984" w:type="pct"/>
            <w:gridSpan w:val="5"/>
            <w:shd w:val="clear" w:color="auto" w:fill="auto"/>
            <w:tcMar>
              <w:top w:w="0" w:type="dxa"/>
              <w:left w:w="0" w:type="dxa"/>
              <w:bottom w:w="0" w:type="dxa"/>
              <w:right w:w="0" w:type="dxa"/>
            </w:tcMar>
            <w:vAlign w:val="bottom"/>
            <w:hideMark/>
          </w:tcPr>
          <w:p w14:paraId="6086BEB2"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89" w:type="pct"/>
            <w:shd w:val="clear" w:color="auto" w:fill="auto"/>
            <w:tcMar>
              <w:top w:w="0" w:type="dxa"/>
              <w:left w:w="0" w:type="dxa"/>
              <w:bottom w:w="0" w:type="dxa"/>
              <w:right w:w="0" w:type="dxa"/>
            </w:tcMar>
            <w:vAlign w:val="bottom"/>
            <w:hideMark/>
          </w:tcPr>
          <w:p w14:paraId="2C4E9D5D" w14:textId="77777777" w:rsidR="00000000" w:rsidRDefault="00097612">
            <w:pPr>
              <w:pStyle w:val="a3"/>
              <w:spacing w:before="0" w:beforeAutospacing="0" w:after="0" w:afterAutospacing="0"/>
              <w:rPr>
                <w:sz w:val="20"/>
                <w:szCs w:val="20"/>
              </w:rPr>
            </w:pPr>
            <w:r>
              <w:rPr>
                <w:b/>
                <w:bCs/>
                <w:sz w:val="16"/>
                <w:szCs w:val="16"/>
              </w:rPr>
              <w:t>​</w:t>
            </w:r>
          </w:p>
        </w:tc>
        <w:tc>
          <w:tcPr>
            <w:tcW w:w="964" w:type="pct"/>
            <w:gridSpan w:val="5"/>
            <w:shd w:val="clear" w:color="auto" w:fill="auto"/>
            <w:tcMar>
              <w:top w:w="0" w:type="dxa"/>
              <w:left w:w="0" w:type="dxa"/>
              <w:bottom w:w="0" w:type="dxa"/>
              <w:right w:w="0" w:type="dxa"/>
            </w:tcMar>
            <w:vAlign w:val="bottom"/>
            <w:hideMark/>
          </w:tcPr>
          <w:p w14:paraId="5EF7C56F"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r>
      <w:tr w:rsidR="00000000" w14:paraId="7382B1CE" w14:textId="77777777">
        <w:trPr>
          <w:divId w:val="1949894663"/>
        </w:trPr>
        <w:tc>
          <w:tcPr>
            <w:tcW w:w="2871" w:type="pct"/>
            <w:shd w:val="clear" w:color="auto" w:fill="auto"/>
            <w:tcMar>
              <w:top w:w="0" w:type="dxa"/>
              <w:left w:w="0" w:type="dxa"/>
              <w:bottom w:w="0" w:type="dxa"/>
              <w:right w:w="0" w:type="dxa"/>
            </w:tcMar>
            <w:vAlign w:val="bottom"/>
            <w:hideMark/>
          </w:tcPr>
          <w:p w14:paraId="51E03FBE" w14:textId="77777777" w:rsidR="00000000" w:rsidRDefault="00097612">
            <w:pPr>
              <w:pStyle w:val="a3"/>
              <w:spacing w:before="0" w:beforeAutospacing="0" w:after="0" w:afterAutospacing="0"/>
              <w:rPr>
                <w:sz w:val="20"/>
                <w:szCs w:val="20"/>
              </w:rPr>
            </w:pPr>
            <w:r>
              <w:rPr>
                <w:b/>
                <w:bCs/>
                <w:sz w:val="16"/>
                <w:szCs w:val="16"/>
              </w:rPr>
              <w:t>​</w:t>
            </w:r>
          </w:p>
        </w:tc>
        <w:tc>
          <w:tcPr>
            <w:tcW w:w="90" w:type="pct"/>
            <w:shd w:val="clear" w:color="auto" w:fill="auto"/>
            <w:tcMar>
              <w:top w:w="0" w:type="dxa"/>
              <w:left w:w="0" w:type="dxa"/>
              <w:bottom w:w="0" w:type="dxa"/>
              <w:right w:w="0" w:type="dxa"/>
            </w:tcMar>
            <w:vAlign w:val="bottom"/>
            <w:hideMark/>
          </w:tcPr>
          <w:p w14:paraId="22FA350A" w14:textId="77777777" w:rsidR="00000000" w:rsidRDefault="00097612">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shd w:val="clear" w:color="auto" w:fill="auto"/>
            <w:noWrap/>
            <w:tcMar>
              <w:top w:w="0" w:type="dxa"/>
              <w:left w:w="0" w:type="dxa"/>
              <w:bottom w:w="0" w:type="dxa"/>
              <w:right w:w="0" w:type="dxa"/>
            </w:tcMar>
            <w:vAlign w:val="bottom"/>
            <w:hideMark/>
          </w:tcPr>
          <w:p w14:paraId="73D19260"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89" w:type="pct"/>
            <w:shd w:val="clear" w:color="auto" w:fill="auto"/>
            <w:noWrap/>
            <w:tcMar>
              <w:top w:w="0" w:type="dxa"/>
              <w:left w:w="0" w:type="dxa"/>
              <w:bottom w:w="0" w:type="dxa"/>
              <w:right w:w="0" w:type="dxa"/>
            </w:tcMar>
            <w:vAlign w:val="bottom"/>
            <w:hideMark/>
          </w:tcPr>
          <w:p w14:paraId="49E97399" w14:textId="77777777" w:rsidR="00000000" w:rsidRDefault="00097612">
            <w:pPr>
              <w:pStyle w:val="a3"/>
              <w:spacing w:before="0" w:beforeAutospacing="0" w:after="0" w:afterAutospacing="0"/>
              <w:rPr>
                <w:sz w:val="20"/>
                <w:szCs w:val="20"/>
              </w:rPr>
            </w:pPr>
            <w:r>
              <w:rPr>
                <w:sz w:val="16"/>
                <w:szCs w:val="16"/>
              </w:rPr>
              <w:t>​</w:t>
            </w:r>
          </w:p>
        </w:tc>
        <w:tc>
          <w:tcPr>
            <w:tcW w:w="964" w:type="pct"/>
            <w:gridSpan w:val="5"/>
            <w:tcBorders>
              <w:bottom w:val="single" w:sz="6" w:space="0" w:color="000000"/>
            </w:tcBorders>
            <w:shd w:val="clear" w:color="auto" w:fill="auto"/>
            <w:noWrap/>
            <w:tcMar>
              <w:top w:w="0" w:type="dxa"/>
              <w:left w:w="0" w:type="dxa"/>
              <w:bottom w:w="0" w:type="dxa"/>
              <w:right w:w="0" w:type="dxa"/>
            </w:tcMar>
            <w:vAlign w:val="bottom"/>
            <w:hideMark/>
          </w:tcPr>
          <w:p w14:paraId="1C047ED7" w14:textId="77777777" w:rsidR="00000000" w:rsidRDefault="00097612">
            <w:pPr>
              <w:pStyle w:val="a3"/>
              <w:spacing w:before="0" w:beforeAutospacing="0" w:after="0" w:afterAutospacing="0"/>
              <w:jc w:val="center"/>
              <w:rPr>
                <w:sz w:val="16"/>
                <w:szCs w:val="16"/>
              </w:rPr>
            </w:pPr>
            <w:r>
              <w:rPr>
                <w:b/>
                <w:bCs/>
                <w:sz w:val="16"/>
                <w:szCs w:val="16"/>
              </w:rPr>
              <w:t>September 30, </w:t>
            </w:r>
          </w:p>
        </w:tc>
      </w:tr>
      <w:tr w:rsidR="00000000" w14:paraId="1EEE1372" w14:textId="77777777">
        <w:trPr>
          <w:divId w:val="1949894663"/>
        </w:trPr>
        <w:tc>
          <w:tcPr>
            <w:tcW w:w="2871" w:type="pct"/>
            <w:tcBorders>
              <w:bottom w:val="single" w:sz="6" w:space="0" w:color="000000"/>
            </w:tcBorders>
            <w:shd w:val="clear" w:color="auto" w:fill="auto"/>
            <w:tcMar>
              <w:top w:w="0" w:type="dxa"/>
              <w:left w:w="0" w:type="dxa"/>
              <w:bottom w:w="0" w:type="dxa"/>
              <w:right w:w="0" w:type="dxa"/>
            </w:tcMar>
            <w:vAlign w:val="bottom"/>
            <w:hideMark/>
          </w:tcPr>
          <w:p w14:paraId="77EC1269" w14:textId="77777777" w:rsidR="00000000" w:rsidRDefault="00097612">
            <w:pPr>
              <w:pStyle w:val="a3"/>
              <w:spacing w:before="0" w:beforeAutospacing="0" w:after="0" w:afterAutospacing="0"/>
              <w:rPr>
                <w:sz w:val="16"/>
                <w:szCs w:val="16"/>
              </w:rPr>
            </w:pPr>
            <w:r>
              <w:rPr>
                <w:b/>
                <w:bCs/>
                <w:sz w:val="16"/>
                <w:szCs w:val="16"/>
              </w:rPr>
              <w:t>(In thousands)</w:t>
            </w:r>
          </w:p>
        </w:tc>
        <w:tc>
          <w:tcPr>
            <w:tcW w:w="90" w:type="pct"/>
            <w:shd w:val="clear" w:color="auto" w:fill="auto"/>
            <w:noWrap/>
            <w:tcMar>
              <w:top w:w="0" w:type="dxa"/>
              <w:left w:w="0" w:type="dxa"/>
              <w:bottom w:w="0" w:type="dxa"/>
              <w:right w:w="0" w:type="dxa"/>
            </w:tcMar>
            <w:vAlign w:val="bottom"/>
            <w:hideMark/>
          </w:tcPr>
          <w:p w14:paraId="368B399C" w14:textId="77777777" w:rsidR="00000000" w:rsidRDefault="00097612">
            <w:pPr>
              <w:pStyle w:val="a3"/>
              <w:spacing w:before="0" w:beforeAutospacing="0" w:after="0" w:afterAutospacing="0"/>
              <w:rPr>
                <w:sz w:val="20"/>
                <w:szCs w:val="20"/>
              </w:rPr>
            </w:pPr>
            <w:r>
              <w:rPr>
                <w:sz w:val="16"/>
                <w:szCs w:val="16"/>
              </w:rPr>
              <w:t>​</w:t>
            </w:r>
          </w:p>
        </w:tc>
        <w:tc>
          <w:tcPr>
            <w:tcW w:w="447" w:type="pct"/>
            <w:gridSpan w:val="2"/>
            <w:tcBorders>
              <w:bottom w:val="single" w:sz="6" w:space="0" w:color="000000"/>
            </w:tcBorders>
            <w:shd w:val="clear" w:color="auto" w:fill="auto"/>
            <w:noWrap/>
            <w:tcMar>
              <w:top w:w="0" w:type="dxa"/>
              <w:left w:w="0" w:type="dxa"/>
              <w:bottom w:w="0" w:type="dxa"/>
              <w:right w:w="0" w:type="dxa"/>
            </w:tcMar>
            <w:vAlign w:val="bottom"/>
            <w:hideMark/>
          </w:tcPr>
          <w:p w14:paraId="162DEC11" w14:textId="77777777" w:rsidR="00000000" w:rsidRDefault="00097612">
            <w:pPr>
              <w:pStyle w:val="a3"/>
              <w:spacing w:before="0" w:beforeAutospacing="0" w:after="0" w:afterAutospacing="0"/>
              <w:jc w:val="center"/>
              <w:rPr>
                <w:sz w:val="16"/>
                <w:szCs w:val="16"/>
              </w:rPr>
            </w:pPr>
            <w:r>
              <w:rPr>
                <w:b/>
                <w:bCs/>
                <w:sz w:val="16"/>
                <w:szCs w:val="16"/>
              </w:rPr>
              <w:t>2019</w:t>
            </w:r>
          </w:p>
        </w:tc>
        <w:tc>
          <w:tcPr>
            <w:tcW w:w="89" w:type="pct"/>
            <w:shd w:val="clear" w:color="auto" w:fill="auto"/>
            <w:noWrap/>
            <w:tcMar>
              <w:top w:w="0" w:type="dxa"/>
              <w:left w:w="0" w:type="dxa"/>
              <w:bottom w:w="0" w:type="dxa"/>
              <w:right w:w="0" w:type="dxa"/>
            </w:tcMar>
            <w:vAlign w:val="bottom"/>
            <w:hideMark/>
          </w:tcPr>
          <w:p w14:paraId="7AC60C35" w14:textId="77777777" w:rsidR="00000000" w:rsidRDefault="00097612">
            <w:pPr>
              <w:pStyle w:val="a3"/>
              <w:spacing w:before="0" w:beforeAutospacing="0" w:after="0" w:afterAutospacing="0"/>
              <w:jc w:val="center"/>
              <w:rPr>
                <w:sz w:val="20"/>
                <w:szCs w:val="20"/>
              </w:rPr>
            </w:pPr>
            <w:r>
              <w:rPr>
                <w:b/>
                <w:bCs/>
                <w:sz w:val="16"/>
                <w:szCs w:val="16"/>
              </w:rPr>
              <w:t>​</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14:paraId="1ACF4AC3" w14:textId="77777777" w:rsidR="00000000" w:rsidRDefault="00097612">
            <w:pPr>
              <w:pStyle w:val="a3"/>
              <w:spacing w:before="0" w:beforeAutospacing="0" w:after="0" w:afterAutospacing="0"/>
              <w:jc w:val="center"/>
              <w:rPr>
                <w:sz w:val="16"/>
                <w:szCs w:val="16"/>
              </w:rPr>
            </w:pPr>
            <w:r>
              <w:rPr>
                <w:b/>
                <w:bCs/>
                <w:sz w:val="16"/>
                <w:szCs w:val="16"/>
              </w:rPr>
              <w:t>2018</w:t>
            </w:r>
          </w:p>
        </w:tc>
        <w:tc>
          <w:tcPr>
            <w:tcW w:w="89" w:type="pct"/>
            <w:shd w:val="clear" w:color="auto" w:fill="auto"/>
            <w:noWrap/>
            <w:tcMar>
              <w:top w:w="0" w:type="dxa"/>
              <w:left w:w="0" w:type="dxa"/>
              <w:bottom w:w="0" w:type="dxa"/>
              <w:right w:w="0" w:type="dxa"/>
            </w:tcMar>
            <w:vAlign w:val="bottom"/>
            <w:hideMark/>
          </w:tcPr>
          <w:p w14:paraId="1D73D7E9" w14:textId="77777777" w:rsidR="00000000" w:rsidRDefault="00097612">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14:paraId="002EBA8C" w14:textId="77777777" w:rsidR="00000000" w:rsidRDefault="00097612">
            <w:pPr>
              <w:pStyle w:val="a3"/>
              <w:spacing w:before="0" w:beforeAutospacing="0" w:after="0" w:afterAutospacing="0"/>
              <w:jc w:val="center"/>
              <w:rPr>
                <w:sz w:val="16"/>
                <w:szCs w:val="16"/>
              </w:rPr>
            </w:pPr>
            <w:r>
              <w:rPr>
                <w:b/>
                <w:bCs/>
                <w:sz w:val="16"/>
                <w:szCs w:val="16"/>
              </w:rPr>
              <w:t>2019</w:t>
            </w:r>
          </w:p>
        </w:tc>
        <w:tc>
          <w:tcPr>
            <w:tcW w:w="89" w:type="pct"/>
            <w:shd w:val="clear" w:color="auto" w:fill="auto"/>
            <w:noWrap/>
            <w:tcMar>
              <w:top w:w="0" w:type="dxa"/>
              <w:left w:w="0" w:type="dxa"/>
              <w:bottom w:w="0" w:type="dxa"/>
              <w:right w:w="0" w:type="dxa"/>
            </w:tcMar>
            <w:vAlign w:val="bottom"/>
            <w:hideMark/>
          </w:tcPr>
          <w:p w14:paraId="1BB7497B" w14:textId="77777777" w:rsidR="00000000" w:rsidRDefault="00097612">
            <w:pPr>
              <w:pStyle w:val="a3"/>
              <w:spacing w:before="0" w:beforeAutospacing="0" w:after="0" w:afterAutospacing="0"/>
              <w:jc w:val="center"/>
              <w:rPr>
                <w:sz w:val="20"/>
                <w:szCs w:val="20"/>
              </w:rPr>
            </w:pPr>
            <w:r>
              <w:rPr>
                <w:b/>
                <w:bCs/>
                <w:sz w:val="16"/>
                <w:szCs w:val="16"/>
              </w:rPr>
              <w:t>​</w:t>
            </w:r>
          </w:p>
        </w:tc>
        <w:tc>
          <w:tcPr>
            <w:tcW w:w="427" w:type="pct"/>
            <w:gridSpan w:val="2"/>
            <w:tcBorders>
              <w:bottom w:val="single" w:sz="6" w:space="0" w:color="000000"/>
            </w:tcBorders>
            <w:shd w:val="clear" w:color="auto" w:fill="auto"/>
            <w:noWrap/>
            <w:tcMar>
              <w:top w:w="0" w:type="dxa"/>
              <w:left w:w="0" w:type="dxa"/>
              <w:bottom w:w="0" w:type="dxa"/>
              <w:right w:w="0" w:type="dxa"/>
            </w:tcMar>
            <w:vAlign w:val="bottom"/>
            <w:hideMark/>
          </w:tcPr>
          <w:p w14:paraId="618AA523" w14:textId="77777777" w:rsidR="00000000" w:rsidRDefault="00097612">
            <w:pPr>
              <w:pStyle w:val="a3"/>
              <w:spacing w:before="0" w:beforeAutospacing="0" w:after="0" w:afterAutospacing="0"/>
              <w:jc w:val="center"/>
              <w:rPr>
                <w:sz w:val="16"/>
                <w:szCs w:val="16"/>
              </w:rPr>
            </w:pPr>
            <w:r>
              <w:rPr>
                <w:b/>
                <w:bCs/>
                <w:sz w:val="16"/>
                <w:szCs w:val="16"/>
              </w:rPr>
              <w:t>2018</w:t>
            </w:r>
          </w:p>
        </w:tc>
      </w:tr>
      <w:tr w:rsidR="00000000" w14:paraId="64DF3ED9" w14:textId="77777777">
        <w:trPr>
          <w:divId w:val="1949894663"/>
        </w:trPr>
        <w:tc>
          <w:tcPr>
            <w:tcW w:w="2871" w:type="pct"/>
            <w:shd w:val="clear" w:color="auto" w:fill="auto"/>
            <w:tcMar>
              <w:top w:w="0" w:type="dxa"/>
              <w:left w:w="0" w:type="dxa"/>
              <w:bottom w:w="0" w:type="dxa"/>
              <w:right w:w="0" w:type="dxa"/>
            </w:tcMar>
            <w:hideMark/>
          </w:tcPr>
          <w:p w14:paraId="2E6CCD30" w14:textId="77777777" w:rsidR="00000000" w:rsidRDefault="00097612">
            <w:pPr>
              <w:pStyle w:val="a3"/>
              <w:spacing w:before="0" w:beforeAutospacing="0" w:after="0" w:afterAutospacing="0"/>
              <w:rPr>
                <w:sz w:val="20"/>
                <w:szCs w:val="20"/>
              </w:rPr>
            </w:pPr>
            <w:r>
              <w:rPr>
                <w:b/>
                <w:bCs/>
                <w:sz w:val="20"/>
                <w:szCs w:val="20"/>
              </w:rPr>
              <w:t>Collaboration revenue recognized in the period from:</w:t>
            </w:r>
          </w:p>
        </w:tc>
        <w:tc>
          <w:tcPr>
            <w:tcW w:w="90" w:type="pct"/>
            <w:shd w:val="clear" w:color="auto" w:fill="auto"/>
            <w:tcMar>
              <w:top w:w="0" w:type="dxa"/>
              <w:left w:w="0" w:type="dxa"/>
              <w:bottom w:w="0" w:type="dxa"/>
              <w:right w:w="0" w:type="dxa"/>
            </w:tcMar>
            <w:vAlign w:val="bottom"/>
            <w:hideMark/>
          </w:tcPr>
          <w:p w14:paraId="1F087CF0" w14:textId="77777777" w:rsidR="00000000" w:rsidRDefault="00097612">
            <w:pPr>
              <w:pStyle w:val="a3"/>
              <w:spacing w:before="0" w:beforeAutospacing="0" w:after="0" w:afterAutospacing="0"/>
              <w:rPr>
                <w:sz w:val="20"/>
                <w:szCs w:val="20"/>
              </w:rPr>
            </w:pPr>
            <w:r>
              <w:rPr>
                <w:b/>
                <w:bCs/>
                <w:sz w:val="20"/>
                <w:szCs w:val="20"/>
              </w:rPr>
              <w:t>​</w:t>
            </w:r>
          </w:p>
        </w:tc>
        <w:tc>
          <w:tcPr>
            <w:tcW w:w="90" w:type="pct"/>
            <w:shd w:val="clear" w:color="auto" w:fill="auto"/>
            <w:tcMar>
              <w:top w:w="0" w:type="dxa"/>
              <w:left w:w="0" w:type="dxa"/>
              <w:bottom w:w="0" w:type="dxa"/>
              <w:right w:w="0" w:type="dxa"/>
            </w:tcMar>
            <w:vAlign w:val="bottom"/>
            <w:hideMark/>
          </w:tcPr>
          <w:p w14:paraId="23ADB624" w14:textId="77777777" w:rsidR="00000000" w:rsidRDefault="00097612">
            <w:pPr>
              <w:pStyle w:val="a3"/>
              <w:spacing w:before="0" w:beforeAutospacing="0" w:after="0" w:afterAutospacing="0"/>
              <w:jc w:val="center"/>
              <w:rPr>
                <w:sz w:val="20"/>
                <w:szCs w:val="20"/>
              </w:rPr>
            </w:pPr>
            <w:r>
              <w:rPr>
                <w:b/>
                <w:bCs/>
                <w:sz w:val="20"/>
                <w:szCs w:val="20"/>
              </w:rPr>
              <w:t>​</w:t>
            </w:r>
          </w:p>
        </w:tc>
        <w:tc>
          <w:tcPr>
            <w:tcW w:w="357" w:type="pct"/>
            <w:shd w:val="clear" w:color="auto" w:fill="auto"/>
            <w:noWrap/>
            <w:tcMar>
              <w:top w:w="0" w:type="dxa"/>
              <w:left w:w="0" w:type="dxa"/>
              <w:bottom w:w="0" w:type="dxa"/>
              <w:right w:w="0" w:type="dxa"/>
            </w:tcMar>
            <w:vAlign w:val="bottom"/>
            <w:hideMark/>
          </w:tcPr>
          <w:p w14:paraId="5A314A55" w14:textId="77777777" w:rsidR="00000000" w:rsidRDefault="00097612">
            <w:pPr>
              <w:pStyle w:val="a3"/>
              <w:spacing w:before="0" w:beforeAutospacing="0" w:after="0" w:afterAutospacing="0"/>
              <w:jc w:val="right"/>
              <w:rPr>
                <w:sz w:val="20"/>
                <w:szCs w:val="20"/>
              </w:rPr>
            </w:pPr>
            <w:r>
              <w:rPr>
                <w:sz w:val="20"/>
                <w:szCs w:val="20"/>
              </w:rPr>
              <w:t>​</w:t>
            </w:r>
          </w:p>
        </w:tc>
        <w:tc>
          <w:tcPr>
            <w:tcW w:w="89" w:type="pct"/>
            <w:shd w:val="clear" w:color="auto" w:fill="auto"/>
            <w:noWrap/>
            <w:tcMar>
              <w:top w:w="0" w:type="dxa"/>
              <w:left w:w="0" w:type="dxa"/>
              <w:bottom w:w="0" w:type="dxa"/>
              <w:right w:w="0" w:type="dxa"/>
            </w:tcMar>
            <w:vAlign w:val="bottom"/>
            <w:hideMark/>
          </w:tcPr>
          <w:p w14:paraId="2FFD951E" w14:textId="77777777" w:rsidR="00000000" w:rsidRDefault="00097612">
            <w:pPr>
              <w:pStyle w:val="a3"/>
              <w:spacing w:before="0" w:beforeAutospacing="0" w:after="0" w:afterAutospacing="0"/>
              <w:rPr>
                <w:sz w:val="20"/>
                <w:szCs w:val="20"/>
              </w:rPr>
            </w:pPr>
            <w:r>
              <w:rPr>
                <w:sz w:val="20"/>
                <w:szCs w:val="20"/>
              </w:rPr>
              <w:t>​</w:t>
            </w:r>
          </w:p>
        </w:tc>
        <w:tc>
          <w:tcPr>
            <w:tcW w:w="89" w:type="pct"/>
            <w:shd w:val="clear" w:color="auto" w:fill="auto"/>
            <w:noWrap/>
            <w:tcMar>
              <w:top w:w="0" w:type="dxa"/>
              <w:left w:w="0" w:type="dxa"/>
              <w:bottom w:w="0" w:type="dxa"/>
              <w:right w:w="0" w:type="dxa"/>
            </w:tcMar>
            <w:vAlign w:val="bottom"/>
            <w:hideMark/>
          </w:tcPr>
          <w:p w14:paraId="2E4E6B81" w14:textId="77777777" w:rsidR="00000000" w:rsidRDefault="00097612">
            <w:pPr>
              <w:pStyle w:val="a3"/>
              <w:spacing w:before="0" w:beforeAutospacing="0" w:after="0" w:afterAutospacing="0"/>
              <w:jc w:val="center"/>
              <w:rPr>
                <w:sz w:val="20"/>
                <w:szCs w:val="20"/>
              </w:rPr>
            </w:pPr>
            <w:r>
              <w:rPr>
                <w:sz w:val="20"/>
                <w:szCs w:val="20"/>
              </w:rPr>
              <w:t>​</w:t>
            </w:r>
          </w:p>
        </w:tc>
        <w:tc>
          <w:tcPr>
            <w:tcW w:w="357" w:type="pct"/>
            <w:shd w:val="clear" w:color="auto" w:fill="auto"/>
            <w:tcMar>
              <w:top w:w="0" w:type="dxa"/>
              <w:left w:w="0" w:type="dxa"/>
              <w:bottom w:w="0" w:type="dxa"/>
              <w:right w:w="0" w:type="dxa"/>
            </w:tcMar>
            <w:vAlign w:val="bottom"/>
            <w:hideMark/>
          </w:tcPr>
          <w:p w14:paraId="117EF1E8" w14:textId="77777777" w:rsidR="00000000" w:rsidRDefault="00097612">
            <w:pPr>
              <w:pStyle w:val="a3"/>
              <w:spacing w:before="0" w:beforeAutospacing="0" w:after="0" w:afterAutospacing="0"/>
              <w:jc w:val="right"/>
              <w:rPr>
                <w:sz w:val="20"/>
                <w:szCs w:val="20"/>
              </w:rPr>
            </w:pPr>
            <w:r>
              <w:rPr>
                <w:b/>
                <w:bCs/>
                <w:sz w:val="20"/>
                <w:szCs w:val="20"/>
              </w:rPr>
              <w:t>​</w:t>
            </w:r>
          </w:p>
        </w:tc>
        <w:tc>
          <w:tcPr>
            <w:tcW w:w="89" w:type="pct"/>
            <w:shd w:val="clear" w:color="auto" w:fill="auto"/>
            <w:noWrap/>
            <w:tcMar>
              <w:top w:w="0" w:type="dxa"/>
              <w:left w:w="0" w:type="dxa"/>
              <w:bottom w:w="0" w:type="dxa"/>
              <w:right w:w="0" w:type="dxa"/>
            </w:tcMar>
            <w:vAlign w:val="bottom"/>
            <w:hideMark/>
          </w:tcPr>
          <w:p w14:paraId="4E13140B" w14:textId="77777777" w:rsidR="00000000" w:rsidRDefault="00097612">
            <w:pPr>
              <w:pStyle w:val="a3"/>
              <w:spacing w:before="0" w:beforeAutospacing="0" w:after="0" w:afterAutospacing="0"/>
              <w:rPr>
                <w:sz w:val="20"/>
                <w:szCs w:val="20"/>
              </w:rPr>
            </w:pPr>
            <w:r>
              <w:rPr>
                <w:sz w:val="20"/>
                <w:szCs w:val="20"/>
              </w:rPr>
              <w:t>​</w:t>
            </w:r>
          </w:p>
        </w:tc>
        <w:tc>
          <w:tcPr>
            <w:tcW w:w="89" w:type="pct"/>
            <w:shd w:val="clear" w:color="auto" w:fill="auto"/>
            <w:tcMar>
              <w:top w:w="0" w:type="dxa"/>
              <w:left w:w="0" w:type="dxa"/>
              <w:bottom w:w="0" w:type="dxa"/>
              <w:right w:w="0" w:type="dxa"/>
            </w:tcMar>
            <w:vAlign w:val="bottom"/>
            <w:hideMark/>
          </w:tcPr>
          <w:p w14:paraId="4CF4BDC4" w14:textId="77777777" w:rsidR="00000000" w:rsidRDefault="00097612">
            <w:pPr>
              <w:pStyle w:val="a3"/>
              <w:spacing w:before="0" w:beforeAutospacing="0" w:after="0" w:afterAutospacing="0"/>
              <w:jc w:val="center"/>
              <w:rPr>
                <w:sz w:val="20"/>
                <w:szCs w:val="20"/>
              </w:rPr>
            </w:pPr>
            <w:r>
              <w:rPr>
                <w:b/>
                <w:bCs/>
                <w:sz w:val="20"/>
                <w:szCs w:val="20"/>
              </w:rPr>
              <w:t>​</w:t>
            </w:r>
          </w:p>
        </w:tc>
        <w:tc>
          <w:tcPr>
            <w:tcW w:w="357" w:type="pct"/>
            <w:shd w:val="clear" w:color="auto" w:fill="auto"/>
            <w:noWrap/>
            <w:tcMar>
              <w:top w:w="0" w:type="dxa"/>
              <w:left w:w="0" w:type="dxa"/>
              <w:bottom w:w="0" w:type="dxa"/>
              <w:right w:w="0" w:type="dxa"/>
            </w:tcMar>
            <w:vAlign w:val="bottom"/>
            <w:hideMark/>
          </w:tcPr>
          <w:p w14:paraId="6420E4E3" w14:textId="77777777" w:rsidR="00000000" w:rsidRDefault="00097612">
            <w:pPr>
              <w:pStyle w:val="a3"/>
              <w:spacing w:before="0" w:beforeAutospacing="0" w:after="0" w:afterAutospacing="0"/>
              <w:rPr>
                <w:sz w:val="20"/>
                <w:szCs w:val="20"/>
              </w:rPr>
            </w:pPr>
            <w:r>
              <w:rPr>
                <w:sz w:val="20"/>
                <w:szCs w:val="20"/>
              </w:rPr>
              <w:t>​</w:t>
            </w:r>
          </w:p>
        </w:tc>
        <w:tc>
          <w:tcPr>
            <w:tcW w:w="89" w:type="pct"/>
            <w:shd w:val="clear" w:color="auto" w:fill="auto"/>
            <w:noWrap/>
            <w:tcMar>
              <w:top w:w="0" w:type="dxa"/>
              <w:left w:w="0" w:type="dxa"/>
              <w:bottom w:w="0" w:type="dxa"/>
              <w:right w:w="0" w:type="dxa"/>
            </w:tcMar>
            <w:vAlign w:val="bottom"/>
            <w:hideMark/>
          </w:tcPr>
          <w:p w14:paraId="5CF9CCC1" w14:textId="77777777" w:rsidR="00000000" w:rsidRDefault="00097612">
            <w:pPr>
              <w:pStyle w:val="a3"/>
              <w:spacing w:before="0" w:beforeAutospacing="0" w:after="0" w:afterAutospacing="0"/>
              <w:rPr>
                <w:sz w:val="20"/>
                <w:szCs w:val="20"/>
              </w:rPr>
            </w:pPr>
            <w:r>
              <w:rPr>
                <w:sz w:val="20"/>
                <w:szCs w:val="20"/>
              </w:rPr>
              <w:t>​</w:t>
            </w:r>
          </w:p>
        </w:tc>
        <w:tc>
          <w:tcPr>
            <w:tcW w:w="89" w:type="pct"/>
            <w:shd w:val="clear" w:color="auto" w:fill="auto"/>
            <w:noWrap/>
            <w:tcMar>
              <w:top w:w="0" w:type="dxa"/>
              <w:left w:w="0" w:type="dxa"/>
              <w:bottom w:w="0" w:type="dxa"/>
              <w:right w:w="0" w:type="dxa"/>
            </w:tcMar>
            <w:vAlign w:val="bottom"/>
            <w:hideMark/>
          </w:tcPr>
          <w:p w14:paraId="7630DE5A" w14:textId="77777777" w:rsidR="00000000" w:rsidRDefault="00097612">
            <w:pPr>
              <w:pStyle w:val="a3"/>
              <w:spacing w:before="0" w:beforeAutospacing="0" w:after="0" w:afterAutospacing="0"/>
              <w:jc w:val="center"/>
              <w:rPr>
                <w:sz w:val="20"/>
                <w:szCs w:val="20"/>
              </w:rPr>
            </w:pPr>
            <w:r>
              <w:rPr>
                <w:sz w:val="22"/>
                <w:szCs w:val="22"/>
              </w:rPr>
              <w:t>​</w:t>
            </w:r>
          </w:p>
        </w:tc>
        <w:tc>
          <w:tcPr>
            <w:tcW w:w="337" w:type="pct"/>
            <w:shd w:val="clear" w:color="auto" w:fill="auto"/>
            <w:tcMar>
              <w:top w:w="0" w:type="dxa"/>
              <w:left w:w="0" w:type="dxa"/>
              <w:bottom w:w="0" w:type="dxa"/>
              <w:right w:w="0" w:type="dxa"/>
            </w:tcMar>
            <w:vAlign w:val="bottom"/>
            <w:hideMark/>
          </w:tcPr>
          <w:p w14:paraId="4BCF2585" w14:textId="77777777" w:rsidR="00000000" w:rsidRDefault="00097612">
            <w:pPr>
              <w:pStyle w:val="a3"/>
              <w:spacing w:before="0" w:beforeAutospacing="0" w:after="0" w:afterAutospacing="0"/>
              <w:rPr>
                <w:sz w:val="20"/>
                <w:szCs w:val="20"/>
              </w:rPr>
            </w:pPr>
            <w:r>
              <w:rPr>
                <w:b/>
                <w:bCs/>
                <w:sz w:val="20"/>
                <w:szCs w:val="20"/>
              </w:rPr>
              <w:t>​</w:t>
            </w:r>
          </w:p>
        </w:tc>
      </w:tr>
      <w:tr w:rsidR="00000000" w14:paraId="3AD4F527" w14:textId="77777777">
        <w:trPr>
          <w:divId w:val="1949894663"/>
        </w:trPr>
        <w:tc>
          <w:tcPr>
            <w:tcW w:w="2871" w:type="pct"/>
            <w:shd w:val="clear" w:color="auto" w:fill="CCEEFF"/>
            <w:tcMar>
              <w:top w:w="0" w:type="dxa"/>
              <w:left w:w="0" w:type="dxa"/>
              <w:bottom w:w="0" w:type="dxa"/>
              <w:right w:w="0" w:type="dxa"/>
            </w:tcMar>
            <w:hideMark/>
          </w:tcPr>
          <w:p w14:paraId="637AFB5F" w14:textId="77777777" w:rsidR="00000000" w:rsidRDefault="00097612">
            <w:pPr>
              <w:pStyle w:val="a3"/>
              <w:spacing w:before="0" w:beforeAutospacing="0" w:after="0" w:afterAutospacing="0"/>
              <w:rPr>
                <w:sz w:val="20"/>
                <w:szCs w:val="20"/>
              </w:rPr>
            </w:pPr>
            <w:r>
              <w:rPr>
                <w:sz w:val="20"/>
                <w:szCs w:val="20"/>
              </w:rPr>
              <w:t>Amounts included in deferred revenue at the beginning of the period</w:t>
            </w:r>
          </w:p>
        </w:tc>
        <w:tc>
          <w:tcPr>
            <w:tcW w:w="90" w:type="pct"/>
            <w:shd w:val="clear" w:color="auto" w:fill="CCEEFF"/>
            <w:tcMar>
              <w:top w:w="0" w:type="dxa"/>
              <w:left w:w="0" w:type="dxa"/>
              <w:bottom w:w="0" w:type="dxa"/>
              <w:right w:w="0" w:type="dxa"/>
            </w:tcMar>
            <w:vAlign w:val="bottom"/>
            <w:hideMark/>
          </w:tcPr>
          <w:p w14:paraId="000A64FA" w14:textId="77777777" w:rsidR="00000000" w:rsidRDefault="00097612">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29D068CB" w14:textId="77777777" w:rsidR="00000000" w:rsidRDefault="00097612">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14:paraId="3B510066" w14:textId="77777777" w:rsidR="00000000" w:rsidRDefault="00097612">
            <w:pPr>
              <w:pStyle w:val="a3"/>
              <w:spacing w:before="0" w:beforeAutospacing="0" w:after="0" w:afterAutospacing="0"/>
              <w:ind w:right="60"/>
              <w:jc w:val="right"/>
              <w:rPr>
                <w:sz w:val="20"/>
                <w:szCs w:val="20"/>
              </w:rPr>
            </w:pPr>
            <w:r>
              <w:rPr>
                <w:sz w:val="20"/>
                <w:szCs w:val="20"/>
              </w:rPr>
              <w:t>8,836</w:t>
            </w:r>
          </w:p>
        </w:tc>
        <w:tc>
          <w:tcPr>
            <w:tcW w:w="89" w:type="pct"/>
            <w:shd w:val="clear" w:color="auto" w:fill="CCEEFF"/>
            <w:noWrap/>
            <w:tcMar>
              <w:top w:w="0" w:type="dxa"/>
              <w:left w:w="0" w:type="dxa"/>
              <w:bottom w:w="0" w:type="dxa"/>
              <w:right w:w="0" w:type="dxa"/>
            </w:tcMar>
            <w:vAlign w:val="bottom"/>
            <w:hideMark/>
          </w:tcPr>
          <w:p w14:paraId="2D892990" w14:textId="77777777" w:rsidR="00000000" w:rsidRDefault="00097612">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020C515B" w14:textId="77777777" w:rsidR="00000000" w:rsidRDefault="00097612">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14:paraId="2D99D3F2" w14:textId="77777777" w:rsidR="00000000" w:rsidRDefault="00097612">
            <w:pPr>
              <w:pStyle w:val="a3"/>
              <w:spacing w:before="0" w:beforeAutospacing="0" w:after="0" w:afterAutospacing="0"/>
              <w:ind w:right="60"/>
              <w:jc w:val="right"/>
              <w:rPr>
                <w:sz w:val="20"/>
                <w:szCs w:val="20"/>
              </w:rPr>
            </w:pPr>
            <w:r>
              <w:rPr>
                <w:sz w:val="20"/>
                <w:szCs w:val="20"/>
              </w:rPr>
              <w:t>7</w:t>
            </w:r>
          </w:p>
        </w:tc>
        <w:tc>
          <w:tcPr>
            <w:tcW w:w="89" w:type="pct"/>
            <w:shd w:val="clear" w:color="auto" w:fill="CCEEFF"/>
            <w:noWrap/>
            <w:tcMar>
              <w:top w:w="0" w:type="dxa"/>
              <w:left w:w="0" w:type="dxa"/>
              <w:bottom w:w="0" w:type="dxa"/>
              <w:right w:w="0" w:type="dxa"/>
            </w:tcMar>
            <w:vAlign w:val="bottom"/>
            <w:hideMark/>
          </w:tcPr>
          <w:p w14:paraId="0164B420" w14:textId="77777777" w:rsidR="00000000" w:rsidRDefault="00097612">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0F5EE580" w14:textId="77777777" w:rsidR="00000000" w:rsidRDefault="00097612">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14:paraId="469729FB" w14:textId="77777777" w:rsidR="00000000" w:rsidRDefault="00097612">
            <w:pPr>
              <w:pStyle w:val="a3"/>
              <w:spacing w:before="0" w:beforeAutospacing="0" w:after="0" w:afterAutospacing="0"/>
              <w:ind w:right="60"/>
              <w:jc w:val="right"/>
              <w:rPr>
                <w:sz w:val="20"/>
                <w:szCs w:val="20"/>
              </w:rPr>
            </w:pPr>
            <w:r>
              <w:rPr>
                <w:sz w:val="20"/>
                <w:szCs w:val="20"/>
              </w:rPr>
              <w:t>21,661</w:t>
            </w:r>
          </w:p>
        </w:tc>
        <w:tc>
          <w:tcPr>
            <w:tcW w:w="89" w:type="pct"/>
            <w:shd w:val="clear" w:color="auto" w:fill="CCEEFF"/>
            <w:noWrap/>
            <w:tcMar>
              <w:top w:w="0" w:type="dxa"/>
              <w:left w:w="0" w:type="dxa"/>
              <w:bottom w:w="0" w:type="dxa"/>
              <w:right w:w="0" w:type="dxa"/>
            </w:tcMar>
            <w:vAlign w:val="bottom"/>
            <w:hideMark/>
          </w:tcPr>
          <w:p w14:paraId="3032564B" w14:textId="77777777" w:rsidR="00000000" w:rsidRDefault="00097612">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16253DC9" w14:textId="77777777" w:rsidR="00000000" w:rsidRDefault="00097612">
            <w:pPr>
              <w:pStyle w:val="a3"/>
              <w:spacing w:before="0" w:beforeAutospacing="0" w:after="0" w:afterAutospacing="0"/>
              <w:jc w:val="center"/>
              <w:rPr>
                <w:sz w:val="20"/>
                <w:szCs w:val="20"/>
              </w:rPr>
            </w:pPr>
            <w:r>
              <w:rPr>
                <w:sz w:val="20"/>
                <w:szCs w:val="20"/>
              </w:rPr>
              <w:t>$</w:t>
            </w:r>
          </w:p>
        </w:tc>
        <w:tc>
          <w:tcPr>
            <w:tcW w:w="337" w:type="pct"/>
            <w:shd w:val="clear" w:color="auto" w:fill="CCEEFF"/>
            <w:noWrap/>
            <w:tcMar>
              <w:top w:w="0" w:type="dxa"/>
              <w:left w:w="0" w:type="dxa"/>
              <w:bottom w:w="0" w:type="dxa"/>
              <w:right w:w="0" w:type="dxa"/>
            </w:tcMar>
            <w:vAlign w:val="bottom"/>
            <w:hideMark/>
          </w:tcPr>
          <w:p w14:paraId="2DC006E3" w14:textId="77777777" w:rsidR="00000000" w:rsidRDefault="00097612">
            <w:pPr>
              <w:pStyle w:val="a3"/>
              <w:spacing w:before="0" w:beforeAutospacing="0" w:after="0" w:afterAutospacing="0"/>
              <w:ind w:right="60"/>
              <w:jc w:val="right"/>
              <w:rPr>
                <w:sz w:val="20"/>
                <w:szCs w:val="20"/>
              </w:rPr>
            </w:pPr>
            <w:r>
              <w:rPr>
                <w:sz w:val="20"/>
                <w:szCs w:val="20"/>
              </w:rPr>
              <w:t>39</w:t>
            </w:r>
          </w:p>
        </w:tc>
      </w:tr>
      <w:tr w:rsidR="00000000" w14:paraId="24C71DC2" w14:textId="77777777">
        <w:trPr>
          <w:divId w:val="1949894663"/>
        </w:trPr>
        <w:tc>
          <w:tcPr>
            <w:tcW w:w="2871" w:type="pct"/>
            <w:tcMar>
              <w:top w:w="0" w:type="dxa"/>
              <w:left w:w="0" w:type="dxa"/>
              <w:bottom w:w="0" w:type="dxa"/>
              <w:right w:w="0" w:type="dxa"/>
            </w:tcMar>
            <w:hideMark/>
          </w:tcPr>
          <w:p w14:paraId="16CDA5F9" w14:textId="77777777" w:rsidR="00000000" w:rsidRDefault="00097612">
            <w:pPr>
              <w:pStyle w:val="a3"/>
              <w:spacing w:before="0" w:beforeAutospacing="0" w:after="0" w:afterAutospacing="0"/>
              <w:rPr>
                <w:sz w:val="20"/>
                <w:szCs w:val="20"/>
              </w:rPr>
            </w:pPr>
            <w:r>
              <w:rPr>
                <w:sz w:val="20"/>
                <w:szCs w:val="20"/>
              </w:rPr>
              <w:t>Performance obligations satisfied in previous period</w:t>
            </w:r>
          </w:p>
        </w:tc>
        <w:tc>
          <w:tcPr>
            <w:tcW w:w="90" w:type="pct"/>
            <w:noWrap/>
            <w:tcMar>
              <w:top w:w="0" w:type="dxa"/>
              <w:left w:w="0" w:type="dxa"/>
              <w:bottom w:w="0" w:type="dxa"/>
              <w:right w:w="0" w:type="dxa"/>
            </w:tcMar>
            <w:vAlign w:val="bottom"/>
            <w:hideMark/>
          </w:tcPr>
          <w:p w14:paraId="6A64FBE6" w14:textId="77777777" w:rsidR="00000000" w:rsidRDefault="00097612">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14:paraId="3F209A78" w14:textId="77777777" w:rsidR="00000000" w:rsidRDefault="00097612">
            <w:pPr>
              <w:pStyle w:val="a3"/>
              <w:spacing w:before="0" w:beforeAutospacing="0" w:after="0" w:afterAutospacing="0"/>
              <w:jc w:val="center"/>
              <w:rPr>
                <w:sz w:val="20"/>
                <w:szCs w:val="20"/>
              </w:rPr>
            </w:pPr>
            <w:r>
              <w:rPr>
                <w:sz w:val="20"/>
                <w:szCs w:val="20"/>
              </w:rPr>
              <w:t>​</w:t>
            </w:r>
          </w:p>
        </w:tc>
        <w:tc>
          <w:tcPr>
            <w:tcW w:w="357" w:type="pct"/>
            <w:noWrap/>
            <w:tcMar>
              <w:top w:w="0" w:type="dxa"/>
              <w:left w:w="0" w:type="dxa"/>
              <w:bottom w:w="0" w:type="dxa"/>
              <w:right w:w="0" w:type="dxa"/>
            </w:tcMar>
            <w:vAlign w:val="bottom"/>
            <w:hideMark/>
          </w:tcPr>
          <w:p w14:paraId="60D2C75B" w14:textId="77777777" w:rsidR="00000000" w:rsidRDefault="00097612">
            <w:pPr>
              <w:pStyle w:val="a3"/>
              <w:spacing w:before="0" w:beforeAutospacing="0" w:after="0" w:afterAutospacing="0"/>
              <w:ind w:right="60"/>
              <w:jc w:val="right"/>
              <w:rPr>
                <w:sz w:val="20"/>
                <w:szCs w:val="20"/>
              </w:rPr>
            </w:pPr>
            <w:r>
              <w:rPr>
                <w:sz w:val="20"/>
                <w:szCs w:val="20"/>
              </w:rPr>
              <w:t>—</w:t>
            </w:r>
          </w:p>
        </w:tc>
        <w:tc>
          <w:tcPr>
            <w:tcW w:w="89" w:type="pct"/>
            <w:noWrap/>
            <w:tcMar>
              <w:top w:w="0" w:type="dxa"/>
              <w:left w:w="0" w:type="dxa"/>
              <w:bottom w:w="0" w:type="dxa"/>
              <w:right w:w="0" w:type="dxa"/>
            </w:tcMar>
            <w:vAlign w:val="bottom"/>
            <w:hideMark/>
          </w:tcPr>
          <w:p w14:paraId="1136DF21" w14:textId="77777777" w:rsidR="00000000" w:rsidRDefault="00097612">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011AAC24" w14:textId="77777777" w:rsidR="00000000" w:rsidRDefault="00097612">
            <w:pPr>
              <w:pStyle w:val="a3"/>
              <w:spacing w:before="0" w:beforeAutospacing="0" w:after="0" w:afterAutospacing="0"/>
              <w:jc w:val="center"/>
              <w:rPr>
                <w:sz w:val="20"/>
                <w:szCs w:val="20"/>
              </w:rPr>
            </w:pPr>
            <w:r>
              <w:rPr>
                <w:sz w:val="20"/>
                <w:szCs w:val="20"/>
              </w:rPr>
              <w:t>​</w:t>
            </w:r>
          </w:p>
        </w:tc>
        <w:tc>
          <w:tcPr>
            <w:tcW w:w="357" w:type="pct"/>
            <w:noWrap/>
            <w:tcMar>
              <w:top w:w="0" w:type="dxa"/>
              <w:left w:w="0" w:type="dxa"/>
              <w:bottom w:w="0" w:type="dxa"/>
              <w:right w:w="0" w:type="dxa"/>
            </w:tcMar>
            <w:vAlign w:val="bottom"/>
            <w:hideMark/>
          </w:tcPr>
          <w:p w14:paraId="774A8890" w14:textId="77777777" w:rsidR="00000000" w:rsidRDefault="00097612">
            <w:pPr>
              <w:pStyle w:val="a3"/>
              <w:spacing w:before="0" w:beforeAutospacing="0" w:after="0" w:afterAutospacing="0"/>
              <w:ind w:right="60"/>
              <w:jc w:val="right"/>
              <w:rPr>
                <w:sz w:val="20"/>
                <w:szCs w:val="20"/>
              </w:rPr>
            </w:pPr>
            <w:r>
              <w:rPr>
                <w:sz w:val="20"/>
                <w:szCs w:val="20"/>
              </w:rPr>
              <w:t>—</w:t>
            </w:r>
          </w:p>
        </w:tc>
        <w:tc>
          <w:tcPr>
            <w:tcW w:w="89" w:type="pct"/>
            <w:noWrap/>
            <w:tcMar>
              <w:top w:w="0" w:type="dxa"/>
              <w:left w:w="0" w:type="dxa"/>
              <w:bottom w:w="0" w:type="dxa"/>
              <w:right w:w="0" w:type="dxa"/>
            </w:tcMar>
            <w:vAlign w:val="bottom"/>
            <w:hideMark/>
          </w:tcPr>
          <w:p w14:paraId="0165F1F5" w14:textId="77777777" w:rsidR="00000000" w:rsidRDefault="00097612">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3EFFE366" w14:textId="77777777" w:rsidR="00000000" w:rsidRDefault="00097612">
            <w:pPr>
              <w:pStyle w:val="a3"/>
              <w:spacing w:before="0" w:beforeAutospacing="0" w:after="0" w:afterAutospacing="0"/>
              <w:jc w:val="center"/>
              <w:rPr>
                <w:sz w:val="20"/>
                <w:szCs w:val="20"/>
              </w:rPr>
            </w:pPr>
            <w:r>
              <w:rPr>
                <w:sz w:val="20"/>
                <w:szCs w:val="20"/>
              </w:rPr>
              <w:t>​</w:t>
            </w:r>
          </w:p>
        </w:tc>
        <w:tc>
          <w:tcPr>
            <w:tcW w:w="357" w:type="pct"/>
            <w:noWrap/>
            <w:tcMar>
              <w:top w:w="0" w:type="dxa"/>
              <w:left w:w="0" w:type="dxa"/>
              <w:bottom w:w="0" w:type="dxa"/>
              <w:right w:w="0" w:type="dxa"/>
            </w:tcMar>
            <w:vAlign w:val="bottom"/>
            <w:hideMark/>
          </w:tcPr>
          <w:p w14:paraId="79C39E03" w14:textId="77777777" w:rsidR="00000000" w:rsidRDefault="00097612">
            <w:pPr>
              <w:pStyle w:val="a3"/>
              <w:spacing w:before="0" w:beforeAutospacing="0" w:after="0" w:afterAutospacing="0"/>
              <w:ind w:right="60"/>
              <w:jc w:val="right"/>
              <w:rPr>
                <w:sz w:val="20"/>
                <w:szCs w:val="20"/>
              </w:rPr>
            </w:pPr>
            <w:r>
              <w:rPr>
                <w:sz w:val="20"/>
                <w:szCs w:val="20"/>
              </w:rPr>
              <w:t>—</w:t>
            </w:r>
          </w:p>
        </w:tc>
        <w:tc>
          <w:tcPr>
            <w:tcW w:w="89" w:type="pct"/>
            <w:noWrap/>
            <w:tcMar>
              <w:top w:w="0" w:type="dxa"/>
              <w:left w:w="0" w:type="dxa"/>
              <w:bottom w:w="0" w:type="dxa"/>
              <w:right w:w="0" w:type="dxa"/>
            </w:tcMar>
            <w:vAlign w:val="bottom"/>
            <w:hideMark/>
          </w:tcPr>
          <w:p w14:paraId="6091DC36" w14:textId="77777777" w:rsidR="00000000" w:rsidRDefault="00097612">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14:paraId="56B9FF06" w14:textId="77777777" w:rsidR="00000000" w:rsidRDefault="00097612">
            <w:pPr>
              <w:pStyle w:val="a3"/>
              <w:spacing w:before="0" w:beforeAutospacing="0" w:after="0" w:afterAutospacing="0"/>
              <w:jc w:val="center"/>
              <w:rPr>
                <w:sz w:val="20"/>
                <w:szCs w:val="20"/>
              </w:rPr>
            </w:pPr>
            <w:r>
              <w:rPr>
                <w:sz w:val="20"/>
                <w:szCs w:val="20"/>
              </w:rPr>
              <w:t>​</w:t>
            </w:r>
          </w:p>
        </w:tc>
        <w:tc>
          <w:tcPr>
            <w:tcW w:w="337" w:type="pct"/>
            <w:noWrap/>
            <w:tcMar>
              <w:top w:w="0" w:type="dxa"/>
              <w:left w:w="0" w:type="dxa"/>
              <w:bottom w:w="0" w:type="dxa"/>
              <w:right w:w="0" w:type="dxa"/>
            </w:tcMar>
            <w:vAlign w:val="bottom"/>
            <w:hideMark/>
          </w:tcPr>
          <w:p w14:paraId="3879693D" w14:textId="77777777" w:rsidR="00000000" w:rsidRDefault="00097612">
            <w:pPr>
              <w:pStyle w:val="a3"/>
              <w:spacing w:before="0" w:beforeAutospacing="0" w:after="0" w:afterAutospacing="0"/>
              <w:ind w:right="60"/>
              <w:jc w:val="right"/>
              <w:rPr>
                <w:sz w:val="20"/>
                <w:szCs w:val="20"/>
              </w:rPr>
            </w:pPr>
            <w:r>
              <w:rPr>
                <w:sz w:val="20"/>
                <w:szCs w:val="20"/>
              </w:rPr>
              <w:t>—</w:t>
            </w:r>
          </w:p>
        </w:tc>
      </w:tr>
    </w:tbl>
    <w:p w14:paraId="05CD51BB" w14:textId="77777777" w:rsidR="00000000" w:rsidRDefault="00097612">
      <w:pPr>
        <w:pStyle w:val="a3"/>
        <w:spacing w:before="0" w:beforeAutospacing="0" w:after="0" w:afterAutospacing="0"/>
        <w:divId w:val="1949894663"/>
        <w:rPr>
          <w:sz w:val="20"/>
          <w:szCs w:val="20"/>
        </w:rPr>
      </w:pPr>
      <w:r>
        <w:rPr>
          <w:sz w:val="2"/>
          <w:szCs w:val="2"/>
        </w:rPr>
        <w:t>​</w:t>
      </w:r>
    </w:p>
    <w:p w14:paraId="30C51387" w14:textId="77777777" w:rsidR="00000000" w:rsidRDefault="00097612">
      <w:pPr>
        <w:pStyle w:val="a3"/>
        <w:spacing w:before="240" w:beforeAutospacing="0" w:after="0" w:afterAutospacing="0"/>
        <w:divId w:val="1949894663"/>
        <w:rPr>
          <w:sz w:val="20"/>
          <w:szCs w:val="20"/>
        </w:rPr>
      </w:pPr>
      <w:r>
        <w:rPr>
          <w:b/>
          <w:bCs/>
          <w:i/>
          <w:iCs/>
          <w:sz w:val="20"/>
          <w:szCs w:val="20"/>
        </w:rPr>
        <w:t>Janssen Biotech</w:t>
      </w:r>
    </w:p>
    <w:p w14:paraId="138AFC69" w14:textId="77777777" w:rsidR="00000000" w:rsidRDefault="00097612">
      <w:pPr>
        <w:pStyle w:val="a3"/>
        <w:spacing w:before="0" w:beforeAutospacing="0" w:after="0" w:afterAutospacing="0"/>
        <w:divId w:val="1949894663"/>
        <w:rPr>
          <w:sz w:val="20"/>
          <w:szCs w:val="20"/>
        </w:rPr>
      </w:pPr>
      <w:r>
        <w:rPr>
          <w:sz w:val="10"/>
          <w:szCs w:val="10"/>
        </w:rPr>
        <w:t>​</w:t>
      </w:r>
    </w:p>
    <w:p w14:paraId="5601FDDE" w14:textId="77777777" w:rsidR="00000000" w:rsidRDefault="00097612">
      <w:pPr>
        <w:pStyle w:val="a3"/>
        <w:spacing w:before="0" w:beforeAutospacing="0" w:after="0" w:afterAutospacing="0"/>
        <w:ind w:firstLine="720"/>
        <w:divId w:val="1949894663"/>
        <w:rPr>
          <w:sz w:val="20"/>
          <w:szCs w:val="20"/>
        </w:rPr>
      </w:pPr>
      <w:r>
        <w:rPr>
          <w:sz w:val="20"/>
          <w:szCs w:val="20"/>
        </w:rPr>
        <w:t>In February 2018, the Company entered into a global co-development and commercialization agreement with Janssen Biotech, Inc. (“Janssen”) for TD-1473 and related back-up compounds for inflammatory intestinal diseases, including ulcerative colitis and Crohn</w:t>
      </w:r>
      <w:r>
        <w:rPr>
          <w:sz w:val="20"/>
          <w:szCs w:val="20"/>
        </w:rPr>
        <w:t>’s disease (the “Janssen Agreement”). Under the terms of the Janssen Agreement, the Company received an upfront payment of $100.0 million. The Company is conducting a Phase 2 (DIONE) study of TD-1473 in Crohn’s disease and a Phase 2b/3 (RHEA) induction and</w:t>
      </w:r>
      <w:r>
        <w:rPr>
          <w:sz w:val="20"/>
          <w:szCs w:val="20"/>
        </w:rPr>
        <w:t xml:space="preserve"> maintenance study of TD-1473 in ulcerative colitis.</w:t>
      </w:r>
      <w:r>
        <w:rPr>
          <w:i/>
          <w:iCs/>
          <w:sz w:val="20"/>
          <w:szCs w:val="20"/>
        </w:rPr>
        <w:t xml:space="preserve"> </w:t>
      </w:r>
      <w:r>
        <w:rPr>
          <w:sz w:val="20"/>
          <w:szCs w:val="20"/>
        </w:rPr>
        <w:t xml:space="preserve">Following the initial Phase 2 development period, including the completion of the Phase 2 Crohn’s study and the Phase 2b induction portion of the ulcerative colitis study, Janssen can elect to obtain an </w:t>
      </w:r>
      <w:r>
        <w:rPr>
          <w:sz w:val="20"/>
          <w:szCs w:val="20"/>
        </w:rPr>
        <w:t>exclusive license to develop and commercialize TD-1473 and certain related back-up compounds by paying us a fee of $200.0 million. Upon any such election, the Company and Janssen will jointly develop and commercialize TD-1473 in inflammatory intestinal dis</w:t>
      </w:r>
      <w:r>
        <w:rPr>
          <w:sz w:val="20"/>
          <w:szCs w:val="20"/>
        </w:rPr>
        <w:t xml:space="preserve">eases and share profits in the United States (“US”) and expenses related to Phase 3 development and registration activities (67% to Janssen; 33% to Theravance Biopharma). The Company would receive royalties on ex-US sales at double-digit tiered percentage </w:t>
      </w:r>
      <w:r>
        <w:rPr>
          <w:sz w:val="20"/>
          <w:szCs w:val="20"/>
        </w:rPr>
        <w:t>royalty rates, and the Company would be eligible to receive up to an additional $700.0 million in development and commercialization milestone payments from Janssen.</w:t>
      </w:r>
    </w:p>
    <w:p w14:paraId="2575108E" w14:textId="77777777" w:rsidR="00000000" w:rsidRDefault="00097612">
      <w:pPr>
        <w:pStyle w:val="a3"/>
        <w:spacing w:before="0" w:beforeAutospacing="0" w:after="0" w:afterAutospacing="0"/>
        <w:ind w:firstLine="720"/>
        <w:divId w:val="1949894663"/>
        <w:rPr>
          <w:sz w:val="20"/>
          <w:szCs w:val="20"/>
        </w:rPr>
      </w:pPr>
      <w:r>
        <w:rPr>
          <w:sz w:val="20"/>
          <w:szCs w:val="20"/>
        </w:rPr>
        <w:t>​</w:t>
      </w:r>
    </w:p>
    <w:p w14:paraId="1708E870" w14:textId="77777777" w:rsidR="00000000" w:rsidRDefault="00097612">
      <w:pPr>
        <w:pStyle w:val="a3"/>
        <w:spacing w:before="0" w:beforeAutospacing="0" w:after="0" w:afterAutospacing="0"/>
        <w:ind w:firstLine="720"/>
        <w:divId w:val="1949894663"/>
        <w:rPr>
          <w:sz w:val="20"/>
          <w:szCs w:val="20"/>
        </w:rPr>
      </w:pPr>
      <w:r>
        <w:rPr>
          <w:sz w:val="20"/>
          <w:szCs w:val="20"/>
        </w:rPr>
        <w:t xml:space="preserve">The Janssen Agreement is considered to be within the scope of Accounting Standards Codification, Topic 808, </w:t>
      </w:r>
      <w:r>
        <w:rPr>
          <w:i/>
          <w:iCs/>
          <w:sz w:val="20"/>
          <w:szCs w:val="20"/>
        </w:rPr>
        <w:t xml:space="preserve">Collaborative Arrangements </w:t>
      </w:r>
      <w:r>
        <w:rPr>
          <w:sz w:val="20"/>
          <w:szCs w:val="20"/>
        </w:rPr>
        <w:t>(“ASC 808”), as the parties are active participants and exposed to the risks and rewards of the collaborative activity. T</w:t>
      </w:r>
      <w:r>
        <w:rPr>
          <w:sz w:val="20"/>
          <w:szCs w:val="20"/>
        </w:rPr>
        <w:t xml:space="preserve">he Company evaluated the terms of the Janssen Agreement and have analogized to Accounting Standards Codification, Topic 606, </w:t>
      </w:r>
      <w:r>
        <w:rPr>
          <w:i/>
          <w:iCs/>
          <w:sz w:val="20"/>
          <w:szCs w:val="20"/>
        </w:rPr>
        <w:t>Revenue from Contracts with Customers</w:t>
      </w:r>
      <w:r>
        <w:rPr>
          <w:sz w:val="20"/>
          <w:szCs w:val="20"/>
        </w:rPr>
        <w:t xml:space="preserve"> (“ASC 606”) for the research and development activities to be performed through the initial P</w:t>
      </w:r>
      <w:r>
        <w:rPr>
          <w:sz w:val="20"/>
          <w:szCs w:val="20"/>
        </w:rPr>
        <w:t>hase 2 development period of the collaborative arrangement that are considered to be part of the Company’s ongoing major or central operations. Using the concepts of ASC 606, the Company has identified research and development activities as its only perfor</w:t>
      </w:r>
      <w:r>
        <w:rPr>
          <w:sz w:val="20"/>
          <w:szCs w:val="20"/>
        </w:rPr>
        <w:t>mance obligation. The Company further determined that the transaction price under the arrangement was the $100.0 million upfront payment which was allocated to the single performance obligation.</w:t>
      </w:r>
    </w:p>
    <w:p w14:paraId="4BC9C3CA" w14:textId="77777777" w:rsidR="00000000" w:rsidRDefault="00097612">
      <w:pPr>
        <w:pStyle w:val="a3"/>
        <w:spacing w:before="0" w:beforeAutospacing="0" w:after="0" w:afterAutospacing="0"/>
        <w:divId w:val="1949894663"/>
        <w:rPr>
          <w:sz w:val="20"/>
          <w:szCs w:val="20"/>
        </w:rPr>
      </w:pPr>
      <w:r>
        <w:rPr>
          <w:sz w:val="20"/>
          <w:szCs w:val="20"/>
        </w:rPr>
        <w:t>​</w:t>
      </w:r>
    </w:p>
    <w:p w14:paraId="1668F194" w14:textId="77777777" w:rsidR="00000000" w:rsidRDefault="00097612">
      <w:pPr>
        <w:pStyle w:val="a3"/>
        <w:spacing w:before="0" w:beforeAutospacing="0" w:after="0" w:afterAutospacing="0"/>
        <w:ind w:firstLine="720"/>
        <w:divId w:val="1949894663"/>
        <w:rPr>
          <w:sz w:val="20"/>
          <w:szCs w:val="20"/>
        </w:rPr>
      </w:pPr>
      <w:r>
        <w:rPr>
          <w:sz w:val="20"/>
          <w:szCs w:val="20"/>
        </w:rPr>
        <w:t xml:space="preserve">The $900.0 million in future potential payments, inclusive </w:t>
      </w:r>
      <w:r>
        <w:rPr>
          <w:sz w:val="20"/>
          <w:szCs w:val="20"/>
        </w:rPr>
        <w:t>of the $200.0 million opt-in fee and $700.0 million future development and commercialization milestones, is considered variable consideration if Janssen elects to remain in the collaboration arrangement following completion of the initial Phase 2 developme</w:t>
      </w:r>
      <w:r>
        <w:rPr>
          <w:sz w:val="20"/>
          <w:szCs w:val="20"/>
        </w:rPr>
        <w:t>nt period, as described above and, as such, was not included in the transaction price, as the potential payments were all determined to be fully constrained under ASC 606. As part of the Company’s evaluation of this variable consideration constraint, it de</w:t>
      </w:r>
      <w:r>
        <w:rPr>
          <w:sz w:val="20"/>
          <w:szCs w:val="20"/>
        </w:rPr>
        <w:t xml:space="preserve">termined that the potential payments </w:t>
      </w:r>
    </w:p>
    <w:p w14:paraId="53088265" w14:textId="77777777" w:rsidR="00000000" w:rsidRDefault="00097612">
      <w:pPr>
        <w:pStyle w:val="a3"/>
        <w:spacing w:before="360" w:beforeAutospacing="0" w:after="0" w:afterAutospacing="0"/>
        <w:jc w:val="center"/>
        <w:divId w:val="243610941"/>
        <w:rPr>
          <w:sz w:val="20"/>
          <w:szCs w:val="20"/>
        </w:rPr>
      </w:pPr>
      <w:r>
        <w:rPr>
          <w:sz w:val="20"/>
          <w:szCs w:val="20"/>
        </w:rPr>
        <w:t>10</w:t>
      </w:r>
    </w:p>
    <w:p w14:paraId="087F4F69" w14:textId="77777777" w:rsidR="00000000" w:rsidRDefault="00097612">
      <w:pPr>
        <w:pStyle w:val="a3"/>
        <w:spacing w:before="0" w:beforeAutospacing="0" w:after="600" w:afterAutospacing="0"/>
        <w:divId w:val="1715083361"/>
        <w:rPr>
          <w:sz w:val="20"/>
          <w:szCs w:val="20"/>
        </w:rPr>
      </w:pPr>
      <w:hyperlink w:anchor="TOC" w:history="1">
        <w:r>
          <w:rPr>
            <w:rStyle w:val="a4"/>
            <w:sz w:val="20"/>
            <w:szCs w:val="20"/>
          </w:rPr>
          <w:t>Table of Contents</w:t>
        </w:r>
      </w:hyperlink>
    </w:p>
    <w:p w14:paraId="17162625" w14:textId="77777777" w:rsidR="00000000" w:rsidRDefault="00097612">
      <w:pPr>
        <w:pStyle w:val="a3"/>
        <w:spacing w:before="0" w:beforeAutospacing="0" w:after="0" w:afterAutospacing="0"/>
        <w:divId w:val="1076249874"/>
        <w:rPr>
          <w:sz w:val="20"/>
          <w:szCs w:val="20"/>
        </w:rPr>
      </w:pPr>
      <w:r>
        <w:rPr>
          <w:sz w:val="20"/>
          <w:szCs w:val="20"/>
        </w:rPr>
        <w:t>are contingent upon developmental and regulatory milestones that are uncertain and are highly susceptible to factors outside of its control. The Company expects that any c</w:t>
      </w:r>
      <w:r>
        <w:rPr>
          <w:sz w:val="20"/>
          <w:szCs w:val="20"/>
        </w:rPr>
        <w:t>onsideration related to royalties and sales-based milestones will be recognized when the subsequent sales occur.</w:t>
      </w:r>
      <w:r>
        <w:rPr>
          <w:sz w:val="20"/>
          <w:szCs w:val="20"/>
        </w:rPr>
        <w:t xml:space="preserve"> </w:t>
      </w:r>
    </w:p>
    <w:p w14:paraId="47C2195B" w14:textId="77777777" w:rsidR="00000000" w:rsidRDefault="00097612">
      <w:pPr>
        <w:pStyle w:val="a3"/>
        <w:spacing w:before="0" w:beforeAutospacing="0" w:after="0" w:afterAutospacing="0"/>
        <w:divId w:val="1076249874"/>
        <w:rPr>
          <w:sz w:val="20"/>
          <w:szCs w:val="20"/>
        </w:rPr>
      </w:pPr>
      <w:r>
        <w:rPr>
          <w:sz w:val="20"/>
          <w:szCs w:val="20"/>
        </w:rPr>
        <w:t>​</w:t>
      </w:r>
    </w:p>
    <w:p w14:paraId="7C538F92" w14:textId="77777777" w:rsidR="00000000" w:rsidRDefault="00097612">
      <w:pPr>
        <w:pStyle w:val="a3"/>
        <w:spacing w:before="0" w:beforeAutospacing="0" w:after="0" w:afterAutospacing="0"/>
        <w:ind w:firstLine="720"/>
        <w:divId w:val="1076249874"/>
        <w:rPr>
          <w:sz w:val="20"/>
          <w:szCs w:val="20"/>
        </w:rPr>
      </w:pPr>
      <w:r>
        <w:rPr>
          <w:sz w:val="20"/>
          <w:szCs w:val="20"/>
        </w:rPr>
        <w:t>For the three and nine months ended September 30, 2019, the Company recognized $8.8 million and $21.5 million, respectively, as revenue from</w:t>
      </w:r>
      <w:r>
        <w:rPr>
          <w:sz w:val="20"/>
          <w:szCs w:val="20"/>
        </w:rPr>
        <w:t xml:space="preserve"> collaboration arrangements related to the Janssen Agreement. The remaining transaction price of $47.4 million was recorded in deferred revenue on the condensed consolidated balance sheets and is expected to be recognized as collaboration revenue as the re</w:t>
      </w:r>
      <w:r>
        <w:rPr>
          <w:sz w:val="20"/>
          <w:szCs w:val="20"/>
        </w:rPr>
        <w:t>search and development services are delivered over the initial Phase 2 development period. Collaboration revenue is recognized for the research and development services based on a measure of the Company’s efforts toward satisfying the performance obligatio</w:t>
      </w:r>
      <w:r>
        <w:rPr>
          <w:sz w:val="20"/>
          <w:szCs w:val="20"/>
        </w:rPr>
        <w:t>n relative to the total expected efforts or inputs to satisfy the performance obligation (e.g., costs incurred compared to total budget). For the three and nine months ended September 30, 2019, the Company incurred $11.5 million and $29.1 million, respecti</w:t>
      </w:r>
      <w:r>
        <w:rPr>
          <w:sz w:val="20"/>
          <w:szCs w:val="20"/>
        </w:rPr>
        <w:t>vely, in research and development costs related to the Janssen Agreement, and for the three and nine months ended September 30, 2018, the Company incurred $10.5 million and $28.1 million, respectively, in research and development costs related to the Janss</w:t>
      </w:r>
      <w:r>
        <w:rPr>
          <w:sz w:val="20"/>
          <w:szCs w:val="20"/>
        </w:rPr>
        <w:t>en Agreement. In future reporting periods, the Company will reevaluate the estimates related to its efforts towards satisfying the performance obligation and may record a change in estimate if deemed necessary.</w:t>
      </w:r>
    </w:p>
    <w:p w14:paraId="2CB7DA3D" w14:textId="77777777" w:rsidR="00000000" w:rsidRDefault="00097612">
      <w:pPr>
        <w:pStyle w:val="a3"/>
        <w:spacing w:before="0" w:beforeAutospacing="0" w:after="0" w:afterAutospacing="0"/>
        <w:divId w:val="1076249874"/>
        <w:rPr>
          <w:sz w:val="20"/>
          <w:szCs w:val="20"/>
        </w:rPr>
      </w:pPr>
      <w:r>
        <w:rPr>
          <w:sz w:val="20"/>
          <w:szCs w:val="20"/>
        </w:rPr>
        <w:t>​</w:t>
      </w:r>
    </w:p>
    <w:p w14:paraId="243C15ED" w14:textId="77777777" w:rsidR="00000000" w:rsidRDefault="00097612">
      <w:pPr>
        <w:pStyle w:val="a3"/>
        <w:shd w:val="clear" w:color="auto" w:fill="FFFFFF"/>
        <w:spacing w:before="0" w:beforeAutospacing="0" w:after="0" w:afterAutospacing="0"/>
        <w:divId w:val="1076249874"/>
        <w:rPr>
          <w:sz w:val="20"/>
          <w:szCs w:val="20"/>
        </w:rPr>
      </w:pPr>
      <w:r>
        <w:rPr>
          <w:rFonts w:ascii="Times" w:hAnsi="Times"/>
          <w:b/>
          <w:bCs/>
          <w:i/>
          <w:iCs/>
          <w:sz w:val="20"/>
          <w:szCs w:val="20"/>
        </w:rPr>
        <w:t>Mylan</w:t>
      </w:r>
    </w:p>
    <w:p w14:paraId="3021EEAE" w14:textId="77777777" w:rsidR="00000000" w:rsidRDefault="00097612">
      <w:pPr>
        <w:pStyle w:val="a3"/>
        <w:shd w:val="clear" w:color="auto" w:fill="FFFFFF"/>
        <w:spacing w:before="0" w:beforeAutospacing="0" w:after="0" w:afterAutospacing="0"/>
        <w:divId w:val="1076249874"/>
        <w:rPr>
          <w:sz w:val="20"/>
          <w:szCs w:val="20"/>
        </w:rPr>
      </w:pPr>
      <w:r>
        <w:rPr>
          <w:rFonts w:ascii="Times" w:hAnsi="Times"/>
          <w:b/>
          <w:bCs/>
          <w:i/>
          <w:iCs/>
          <w:sz w:val="10"/>
          <w:szCs w:val="10"/>
        </w:rPr>
        <w:t>​</w:t>
      </w:r>
    </w:p>
    <w:p w14:paraId="20CE4AED" w14:textId="77777777" w:rsidR="00000000" w:rsidRDefault="00097612">
      <w:pPr>
        <w:pStyle w:val="a3"/>
        <w:spacing w:before="0" w:beforeAutospacing="0" w:after="0" w:afterAutospacing="0"/>
        <w:ind w:firstLine="720"/>
        <w:divId w:val="1076249874"/>
        <w:rPr>
          <w:sz w:val="20"/>
          <w:szCs w:val="20"/>
        </w:rPr>
      </w:pPr>
      <w:r>
        <w:rPr>
          <w:sz w:val="20"/>
          <w:szCs w:val="20"/>
        </w:rPr>
        <w:t>In January 2015, the Company and My</w:t>
      </w:r>
      <w:r>
        <w:rPr>
          <w:sz w:val="20"/>
          <w:szCs w:val="20"/>
        </w:rPr>
        <w:t>lan Ireland Limited (“Mylan”) established a strategic collaboration (the “Mylan Agreement”) for the development and commercialization of revefenacin, including YUPELRI</w:t>
      </w:r>
      <w:r>
        <w:rPr>
          <w:sz w:val="15"/>
          <w:szCs w:val="15"/>
          <w:vertAlign w:val="superscript"/>
        </w:rPr>
        <w:t>®</w:t>
      </w:r>
      <w:r>
        <w:rPr>
          <w:sz w:val="20"/>
          <w:szCs w:val="20"/>
        </w:rPr>
        <w:t xml:space="preserve"> (revefenacin) inhalation solution. The Company entered into the collaboration to expand</w:t>
      </w:r>
      <w:r>
        <w:rPr>
          <w:sz w:val="20"/>
          <w:szCs w:val="20"/>
        </w:rPr>
        <w:t xml:space="preserve"> the breadth of its revefenacin development program and extend its commercial reach beyond the hospital setting.</w:t>
      </w:r>
    </w:p>
    <w:p w14:paraId="251D250A" w14:textId="77777777" w:rsidR="00000000" w:rsidRDefault="00097612">
      <w:pPr>
        <w:pStyle w:val="a3"/>
        <w:spacing w:before="0" w:beforeAutospacing="0" w:after="0" w:afterAutospacing="0"/>
        <w:divId w:val="1076249874"/>
        <w:rPr>
          <w:sz w:val="20"/>
          <w:szCs w:val="20"/>
        </w:rPr>
      </w:pPr>
      <w:r>
        <w:rPr>
          <w:sz w:val="20"/>
          <w:szCs w:val="20"/>
        </w:rPr>
        <w:t>​</w:t>
      </w:r>
    </w:p>
    <w:p w14:paraId="6A22BA49" w14:textId="77777777" w:rsidR="00000000" w:rsidRDefault="00097612">
      <w:pPr>
        <w:pStyle w:val="a3"/>
        <w:spacing w:before="0" w:beforeAutospacing="0" w:after="0" w:afterAutospacing="0"/>
        <w:ind w:firstLine="720"/>
        <w:divId w:val="1076249874"/>
        <w:rPr>
          <w:sz w:val="20"/>
          <w:szCs w:val="20"/>
        </w:rPr>
      </w:pPr>
      <w:r>
        <w:rPr>
          <w:sz w:val="20"/>
          <w:szCs w:val="20"/>
        </w:rPr>
        <w:t>Under the Mylan Agreement, Mylan paid the Company an upfront fee of $15.0 million for the delivery of the revefenacin license in 2015 and, in</w:t>
      </w:r>
      <w:r>
        <w:rPr>
          <w:sz w:val="20"/>
          <w:szCs w:val="20"/>
        </w:rPr>
        <w:t xml:space="preserve"> 2016, Mylan paid the Company a milestone payment $15.0 million for the achievement of 50% enrollment in the Phase 3 twelve-month safety study. Separately, pursuant to an agreement to purchase ordinary shares entered into on January 30, 2015, Mylan Inc., a</w:t>
      </w:r>
      <w:r>
        <w:rPr>
          <w:sz w:val="20"/>
          <w:szCs w:val="20"/>
        </w:rPr>
        <w:t xml:space="preserve"> subsidiary of Mylan N.V., made a $30.0 million equity investment in the Company, buying 1,585,790 ordinary shares from the Company in February 2015 in a private placement transaction at a price of approximately $18.918 per share, which represented a 10% p</w:t>
      </w:r>
      <w:r>
        <w:rPr>
          <w:sz w:val="20"/>
          <w:szCs w:val="20"/>
        </w:rPr>
        <w:t>remium, equal to $4.2 million, over the volume weighted-average price per share of the Company’s ordinary shares for the five trading days ending on January</w:t>
      </w:r>
      <w:r>
        <w:rPr>
          <w:sz w:val="20"/>
          <w:szCs w:val="20"/>
        </w:rPr>
        <w:t> </w:t>
      </w:r>
      <w:r>
        <w:rPr>
          <w:sz w:val="20"/>
          <w:szCs w:val="20"/>
        </w:rPr>
        <w:t>30, 2015.</w:t>
      </w:r>
      <w:r>
        <w:rPr>
          <w:sz w:val="20"/>
          <w:szCs w:val="20"/>
        </w:rPr>
        <w:t xml:space="preserve"> </w:t>
      </w:r>
    </w:p>
    <w:p w14:paraId="51517190" w14:textId="77777777" w:rsidR="00000000" w:rsidRDefault="00097612">
      <w:pPr>
        <w:pStyle w:val="a3"/>
        <w:spacing w:before="0" w:beforeAutospacing="0" w:after="0" w:afterAutospacing="0"/>
        <w:divId w:val="1076249874"/>
        <w:rPr>
          <w:sz w:val="20"/>
          <w:szCs w:val="20"/>
        </w:rPr>
      </w:pPr>
      <w:r>
        <w:rPr>
          <w:sz w:val="20"/>
          <w:szCs w:val="20"/>
        </w:rPr>
        <w:t>​</w:t>
      </w:r>
    </w:p>
    <w:p w14:paraId="3C7E827F" w14:textId="77777777" w:rsidR="00000000" w:rsidRDefault="00097612">
      <w:pPr>
        <w:pStyle w:val="a3"/>
        <w:spacing w:before="0" w:beforeAutospacing="0" w:after="0" w:afterAutospacing="0"/>
        <w:ind w:firstLine="720"/>
        <w:divId w:val="1076249874"/>
        <w:rPr>
          <w:sz w:val="20"/>
          <w:szCs w:val="20"/>
        </w:rPr>
      </w:pPr>
      <w:r>
        <w:rPr>
          <w:sz w:val="20"/>
          <w:szCs w:val="20"/>
        </w:rPr>
        <w:t>Under the Mylan Agreement, as of September 30, 2019, the Company is eligible to receiv</w:t>
      </w:r>
      <w:r>
        <w:rPr>
          <w:sz w:val="20"/>
          <w:szCs w:val="20"/>
        </w:rPr>
        <w:t xml:space="preserve">e from Mylan potential global (ex-China and </w:t>
      </w:r>
      <w:r>
        <w:rPr>
          <w:sz w:val="20"/>
          <w:szCs w:val="20"/>
          <w:shd w:val="clear" w:color="auto" w:fill="FFFFFF"/>
        </w:rPr>
        <w:t>adjacent territories)</w:t>
      </w:r>
      <w:r>
        <w:rPr>
          <w:sz w:val="20"/>
          <w:szCs w:val="20"/>
        </w:rPr>
        <w:t xml:space="preserve"> development, regulatory and sales milestone payments totaling up to $205.0 million in the aggregate, with $160.0 million associated with YUPELRI monotherapy, and $45.0 million associated wit</w:t>
      </w:r>
      <w:r>
        <w:rPr>
          <w:sz w:val="20"/>
          <w:szCs w:val="20"/>
        </w:rPr>
        <w:t>h future potential combination products. Of the $160.0 million associated with monotherapy, $150.0 million relates to sales milestones based on achieving certain levels of net sales and $10.0 million relates to regulatory actions in the European Union (“EU</w:t>
      </w:r>
      <w:r>
        <w:rPr>
          <w:sz w:val="20"/>
          <w:szCs w:val="20"/>
        </w:rPr>
        <w:t>”). The $45.0 million associated with future potential combination products relates solely to development and regulatory actions.</w:t>
      </w:r>
    </w:p>
    <w:p w14:paraId="5C610C2A" w14:textId="77777777" w:rsidR="00000000" w:rsidRDefault="00097612">
      <w:pPr>
        <w:pStyle w:val="a3"/>
        <w:spacing w:before="0" w:beforeAutospacing="0" w:after="0" w:afterAutospacing="0"/>
        <w:ind w:firstLine="720"/>
        <w:divId w:val="1076249874"/>
        <w:rPr>
          <w:sz w:val="20"/>
          <w:szCs w:val="20"/>
        </w:rPr>
      </w:pPr>
      <w:r>
        <w:rPr>
          <w:sz w:val="20"/>
          <w:szCs w:val="20"/>
        </w:rPr>
        <w:t>​</w:t>
      </w:r>
    </w:p>
    <w:p w14:paraId="121C92C8" w14:textId="77777777" w:rsidR="00000000" w:rsidRDefault="00097612">
      <w:pPr>
        <w:pStyle w:val="a3"/>
        <w:spacing w:before="0" w:beforeAutospacing="0" w:after="0" w:afterAutospacing="0"/>
        <w:ind w:firstLine="720"/>
        <w:divId w:val="1076249874"/>
        <w:rPr>
          <w:sz w:val="20"/>
          <w:szCs w:val="20"/>
        </w:rPr>
      </w:pPr>
      <w:r>
        <w:rPr>
          <w:sz w:val="20"/>
          <w:szCs w:val="20"/>
        </w:rPr>
        <w:t>The Mylan Agreement is considered to be within the scope of ASC 808, as the parties are active participants and exposed to t</w:t>
      </w:r>
      <w:r>
        <w:rPr>
          <w:sz w:val="20"/>
          <w:szCs w:val="20"/>
        </w:rPr>
        <w:t>he risks and rewards of the collaborative activity. Under the terms of the Mylan Agreement, Mylan was responsible for reimbursement of the Company’s costs related to the registrational program up until the approval of the first new drug application in Nove</w:t>
      </w:r>
      <w:r>
        <w:rPr>
          <w:sz w:val="20"/>
          <w:szCs w:val="20"/>
        </w:rPr>
        <w:t>mber 2018, thereafter, research and development (“R&amp;D”) expenses are shared. Performing R&amp;D services for reimbursement is considered to be a collaborative activity under the scope of ASC 808. Reimbursable program costs are recognized proportionately with t</w:t>
      </w:r>
      <w:r>
        <w:rPr>
          <w:sz w:val="20"/>
          <w:szCs w:val="20"/>
        </w:rPr>
        <w:t>he performance of the underlying services and accounted for as reductions to R&amp;D expense. For this unit of account, the Company did not recognize revenue or analogize to ASC 606 and, as such, the reimbursable program costs are excluded from the transaction</w:t>
      </w:r>
      <w:r>
        <w:rPr>
          <w:sz w:val="20"/>
          <w:szCs w:val="20"/>
        </w:rPr>
        <w:t xml:space="preserve"> price.</w:t>
      </w:r>
    </w:p>
    <w:p w14:paraId="6D37CF3B" w14:textId="77777777" w:rsidR="00000000" w:rsidRDefault="00097612">
      <w:pPr>
        <w:pStyle w:val="a3"/>
        <w:spacing w:before="0" w:beforeAutospacing="0" w:after="0" w:afterAutospacing="0"/>
        <w:divId w:val="1076249874"/>
        <w:rPr>
          <w:sz w:val="20"/>
          <w:szCs w:val="20"/>
        </w:rPr>
      </w:pPr>
      <w:r>
        <w:rPr>
          <w:sz w:val="20"/>
          <w:szCs w:val="20"/>
        </w:rPr>
        <w:t>​</w:t>
      </w:r>
    </w:p>
    <w:p w14:paraId="1115FCB4" w14:textId="77777777" w:rsidR="00000000" w:rsidRDefault="00097612">
      <w:pPr>
        <w:pStyle w:val="a3"/>
        <w:spacing w:before="0" w:beforeAutospacing="0" w:after="0" w:afterAutospacing="0"/>
        <w:ind w:firstLine="720"/>
        <w:divId w:val="1076249874"/>
        <w:rPr>
          <w:sz w:val="20"/>
          <w:szCs w:val="20"/>
        </w:rPr>
      </w:pPr>
      <w:r>
        <w:rPr>
          <w:sz w:val="20"/>
          <w:szCs w:val="20"/>
        </w:rPr>
        <w:t>The Company analogized to ASC 606 for the accounting for two performance obligations: (1) delivery of the license to develop and commercialize revefenacin; and (2) joint steering committee participation. The Company determined the license to be d</w:t>
      </w:r>
      <w:r>
        <w:rPr>
          <w:sz w:val="20"/>
          <w:szCs w:val="20"/>
        </w:rPr>
        <w:t>istinct from the joint steering committee participation. The Company further determined that the transaction price under the arrangement was comprised of the following: (1) $15.0 million upfront license fee received in 2015; (2) $4.2 million premium relate</w:t>
      </w:r>
      <w:r>
        <w:rPr>
          <w:sz w:val="20"/>
          <w:szCs w:val="20"/>
        </w:rPr>
        <w:t xml:space="preserve">d to the ordinary share purchase agreement received in 2015; and (3) $15.0 million milestone for 50% enrollment in the Phase 3 twelve-month safety study received in 2016. The total transaction price of $34.2 million was </w:t>
      </w:r>
    </w:p>
    <w:p w14:paraId="138C3905" w14:textId="77777777" w:rsidR="00000000" w:rsidRDefault="00097612">
      <w:pPr>
        <w:pStyle w:val="a3"/>
        <w:spacing w:before="360" w:beforeAutospacing="0" w:after="0" w:afterAutospacing="0"/>
        <w:jc w:val="center"/>
        <w:divId w:val="1766419787"/>
        <w:rPr>
          <w:sz w:val="20"/>
          <w:szCs w:val="20"/>
        </w:rPr>
      </w:pPr>
      <w:r>
        <w:rPr>
          <w:sz w:val="20"/>
          <w:szCs w:val="20"/>
        </w:rPr>
        <w:t>11</w:t>
      </w:r>
    </w:p>
    <w:p w14:paraId="05742E11" w14:textId="77777777" w:rsidR="00000000" w:rsidRDefault="00097612">
      <w:pPr>
        <w:pStyle w:val="a3"/>
        <w:spacing w:before="0" w:beforeAutospacing="0" w:after="600" w:afterAutospacing="0"/>
        <w:divId w:val="1283610804"/>
        <w:rPr>
          <w:sz w:val="20"/>
          <w:szCs w:val="20"/>
        </w:rPr>
      </w:pPr>
      <w:hyperlink w:anchor="TOC" w:history="1">
        <w:r>
          <w:rPr>
            <w:rStyle w:val="a4"/>
            <w:sz w:val="20"/>
            <w:szCs w:val="20"/>
          </w:rPr>
          <w:t>Table of Contents</w:t>
        </w:r>
      </w:hyperlink>
    </w:p>
    <w:p w14:paraId="5517ECF5" w14:textId="77777777" w:rsidR="00000000" w:rsidRDefault="00097612">
      <w:pPr>
        <w:pStyle w:val="a3"/>
        <w:spacing w:before="0" w:beforeAutospacing="0" w:after="0" w:afterAutospacing="0"/>
        <w:divId w:val="609777483"/>
        <w:rPr>
          <w:sz w:val="20"/>
          <w:szCs w:val="20"/>
        </w:rPr>
      </w:pPr>
      <w:r>
        <w:rPr>
          <w:sz w:val="20"/>
          <w:szCs w:val="20"/>
        </w:rPr>
        <w:t>allocated to the two performance obligations based on the Company’s best estimate of the relative stand-alone selling price. For the delivery of the license, the Company based the stand-alone selling price on a d</w:t>
      </w:r>
      <w:r>
        <w:rPr>
          <w:sz w:val="20"/>
          <w:szCs w:val="20"/>
        </w:rPr>
        <w:t>iscounted cash flow approach and considered several factors including, but not limited to: discount rate, development timeline, regulatory risks, estimated market demand and future revenue potential. For the committee participation, the Company based the s</w:t>
      </w:r>
      <w:r>
        <w:rPr>
          <w:sz w:val="20"/>
          <w:szCs w:val="20"/>
        </w:rPr>
        <w:t xml:space="preserve">tand-alone selling price on the average compensation of its committee members estimated to be incurred over the performance period. The Company expects to recognize collaboration revenue from the committee participation ratably over the performance period </w:t>
      </w:r>
      <w:r>
        <w:rPr>
          <w:sz w:val="20"/>
          <w:szCs w:val="20"/>
        </w:rPr>
        <w:t>of approximately seventeen years.</w:t>
      </w:r>
    </w:p>
    <w:p w14:paraId="11EA6858" w14:textId="77777777" w:rsidR="00000000" w:rsidRDefault="00097612">
      <w:pPr>
        <w:pStyle w:val="a3"/>
        <w:spacing w:before="0" w:beforeAutospacing="0" w:after="0" w:afterAutospacing="0"/>
        <w:divId w:val="609777483"/>
        <w:rPr>
          <w:sz w:val="20"/>
          <w:szCs w:val="20"/>
        </w:rPr>
      </w:pPr>
      <w:r>
        <w:rPr>
          <w:sz w:val="20"/>
          <w:szCs w:val="20"/>
        </w:rPr>
        <w:t>​</w:t>
      </w:r>
    </w:p>
    <w:p w14:paraId="68B1BCAD" w14:textId="77777777" w:rsidR="00000000" w:rsidRDefault="00097612">
      <w:pPr>
        <w:pStyle w:val="a3"/>
        <w:spacing w:before="0" w:beforeAutospacing="0" w:after="0" w:afterAutospacing="0"/>
        <w:ind w:firstLine="720"/>
        <w:divId w:val="609777483"/>
        <w:rPr>
          <w:sz w:val="20"/>
          <w:szCs w:val="20"/>
        </w:rPr>
      </w:pPr>
      <w:r>
        <w:rPr>
          <w:sz w:val="20"/>
          <w:szCs w:val="20"/>
        </w:rPr>
        <w:t>The future potential milestone amounts for</w:t>
      </w:r>
      <w:r>
        <w:rPr>
          <w:color w:val="FF0000"/>
          <w:sz w:val="20"/>
          <w:szCs w:val="20"/>
        </w:rPr>
        <w:t xml:space="preserve"> </w:t>
      </w:r>
      <w:r>
        <w:rPr>
          <w:sz w:val="20"/>
          <w:szCs w:val="20"/>
        </w:rPr>
        <w:t>the Mylan Agreement were not included in the transaction price, as they were all determined to be fully constrained following the concepts of ASC 606. As part of the Company’s e</w:t>
      </w:r>
      <w:r>
        <w:rPr>
          <w:sz w:val="20"/>
          <w:szCs w:val="20"/>
        </w:rPr>
        <w:t xml:space="preserve">valuation of the development and regulatory milestones constraint, the Company determined that the achievement of such milestones are contingent upon success in future clinical trials and regulatory approvals which are not within its control and uncertain </w:t>
      </w:r>
      <w:r>
        <w:rPr>
          <w:sz w:val="20"/>
          <w:szCs w:val="20"/>
        </w:rPr>
        <w:t>at this stage. The Company expects that the sales-based milestone payments and royalty arrangements will be recognized when the sales occur or the milestone is achieved. The Company will re-evaluate the transaction price each quarter and as uncertain event</w:t>
      </w:r>
      <w:r>
        <w:rPr>
          <w:sz w:val="20"/>
          <w:szCs w:val="20"/>
        </w:rPr>
        <w:t xml:space="preserve">s are resolved or other changes in circumstances occur. </w:t>
      </w:r>
    </w:p>
    <w:p w14:paraId="05A02858" w14:textId="77777777" w:rsidR="00000000" w:rsidRDefault="00097612">
      <w:pPr>
        <w:pStyle w:val="a3"/>
        <w:spacing w:before="0" w:beforeAutospacing="0" w:after="0" w:afterAutospacing="0"/>
        <w:ind w:firstLine="720"/>
        <w:divId w:val="609777483"/>
        <w:rPr>
          <w:sz w:val="20"/>
          <w:szCs w:val="20"/>
        </w:rPr>
      </w:pPr>
      <w:r>
        <w:rPr>
          <w:sz w:val="20"/>
          <w:szCs w:val="20"/>
        </w:rPr>
        <w:t>​</w:t>
      </w:r>
    </w:p>
    <w:p w14:paraId="6C38763B" w14:textId="77777777" w:rsidR="00000000" w:rsidRDefault="00097612">
      <w:pPr>
        <w:pStyle w:val="a3"/>
        <w:spacing w:before="0" w:beforeAutospacing="0" w:after="0" w:afterAutospacing="0"/>
        <w:ind w:firstLine="720"/>
        <w:divId w:val="609777483"/>
        <w:rPr>
          <w:sz w:val="20"/>
          <w:szCs w:val="20"/>
        </w:rPr>
      </w:pPr>
      <w:r>
        <w:rPr>
          <w:sz w:val="20"/>
          <w:szCs w:val="20"/>
        </w:rPr>
        <w:t>As of September 30, 2019, $0.3 million was recorded in deferred revenue on the condensed consolidated balance sheets under the Mylan Agreement. This amount reflects revenue allocated to joint steer</w:t>
      </w:r>
      <w:r>
        <w:rPr>
          <w:sz w:val="20"/>
          <w:szCs w:val="20"/>
        </w:rPr>
        <w:t xml:space="preserve">ing committee participation which will be recognized as collaboration revenue over the course of the remaining performance period of approximately twelve years. </w:t>
      </w:r>
    </w:p>
    <w:p w14:paraId="4D1CB376" w14:textId="77777777" w:rsidR="00000000" w:rsidRDefault="00097612">
      <w:pPr>
        <w:pStyle w:val="a3"/>
        <w:spacing w:before="0" w:beforeAutospacing="0" w:after="0" w:afterAutospacing="0"/>
        <w:divId w:val="609777483"/>
        <w:rPr>
          <w:sz w:val="20"/>
          <w:szCs w:val="20"/>
        </w:rPr>
      </w:pPr>
      <w:r>
        <w:rPr>
          <w:b/>
          <w:bCs/>
          <w:i/>
          <w:iCs/>
          <w:sz w:val="20"/>
          <w:szCs w:val="20"/>
        </w:rPr>
        <w:t>​</w:t>
      </w:r>
    </w:p>
    <w:p w14:paraId="611DA3C9" w14:textId="77777777" w:rsidR="00000000" w:rsidRDefault="00097612">
      <w:pPr>
        <w:pStyle w:val="a3"/>
        <w:spacing w:before="0" w:beforeAutospacing="0" w:after="0" w:afterAutospacing="0"/>
        <w:ind w:firstLine="720"/>
        <w:divId w:val="609777483"/>
        <w:rPr>
          <w:sz w:val="20"/>
          <w:szCs w:val="20"/>
        </w:rPr>
      </w:pPr>
      <w:r>
        <w:rPr>
          <w:sz w:val="20"/>
          <w:szCs w:val="20"/>
        </w:rPr>
        <w:t>The Company is also entitled to a share of US profits and losses (65% to Mylan; 35% to Thera</w:t>
      </w:r>
      <w:r>
        <w:rPr>
          <w:sz w:val="20"/>
          <w:szCs w:val="20"/>
        </w:rPr>
        <w:t xml:space="preserve">vance Biopharma) received in connection with commercialization of YUPELRI, and the Company is entitled to low double-digit tiered royalties on ex-US net sales. Mylan is the principal in the sales transactions, and as a result, the Company does not reflect </w:t>
      </w:r>
      <w:r>
        <w:rPr>
          <w:sz w:val="20"/>
          <w:szCs w:val="20"/>
        </w:rPr>
        <w:t xml:space="preserve">the product sales in its financial statements. </w:t>
      </w:r>
    </w:p>
    <w:p w14:paraId="492141C4" w14:textId="77777777" w:rsidR="00000000" w:rsidRDefault="00097612">
      <w:pPr>
        <w:pStyle w:val="a3"/>
        <w:spacing w:before="0" w:beforeAutospacing="0" w:after="0" w:afterAutospacing="0"/>
        <w:ind w:firstLine="720"/>
        <w:divId w:val="609777483"/>
        <w:rPr>
          <w:sz w:val="20"/>
          <w:szCs w:val="20"/>
        </w:rPr>
      </w:pPr>
      <w:r>
        <w:rPr>
          <w:sz w:val="20"/>
          <w:szCs w:val="20"/>
        </w:rPr>
        <w:t>​</w:t>
      </w:r>
    </w:p>
    <w:p w14:paraId="1BE4DDB0" w14:textId="77777777" w:rsidR="00000000" w:rsidRDefault="00097612">
      <w:pPr>
        <w:pStyle w:val="a3"/>
        <w:spacing w:before="0" w:beforeAutospacing="0" w:after="0" w:afterAutospacing="0"/>
        <w:ind w:firstLine="720"/>
        <w:divId w:val="609777483"/>
        <w:rPr>
          <w:sz w:val="20"/>
          <w:szCs w:val="20"/>
        </w:rPr>
      </w:pPr>
      <w:r>
        <w:rPr>
          <w:sz w:val="20"/>
          <w:szCs w:val="20"/>
        </w:rPr>
        <w:t xml:space="preserve">Following the US Food and Drug Administration (“FDA”) approval of YUPELRI in November 2018, net amounts payable to or receivable from Mylan each quarter under the profit sharing structure are disaggregated </w:t>
      </w:r>
      <w:r>
        <w:rPr>
          <w:sz w:val="20"/>
          <w:szCs w:val="20"/>
        </w:rPr>
        <w:t>according to their individual components. Any reimbursement received from Mylan for the Company’s R&amp;D expense is characterized as a reduction of R&amp;D expense, as the Company does not consider performing research and development services for reimbursement to</w:t>
      </w:r>
      <w:r>
        <w:rPr>
          <w:sz w:val="20"/>
          <w:szCs w:val="20"/>
        </w:rPr>
        <w:t xml:space="preserve"> be a part of its ongoing major or central operations. All other amounts receivable from, or payable to, Mylan in connection with the commercialization of YUPELRI are recorded within the condensed consolidated statements of operations as revenue from “Myla</w:t>
      </w:r>
      <w:r>
        <w:rPr>
          <w:sz w:val="20"/>
          <w:szCs w:val="20"/>
        </w:rPr>
        <w:t>n collaboration agreement” or as a collaboration loss within selling, general and administrative expenses, respectively. The following YUPLERI-related amounts were recognized in the Company’s condensed consolidated statements of operations:</w:t>
      </w:r>
    </w:p>
    <w:p w14:paraId="3619687A" w14:textId="77777777" w:rsidR="00000000" w:rsidRDefault="00097612">
      <w:pPr>
        <w:pStyle w:val="a3"/>
        <w:spacing w:before="0" w:beforeAutospacing="0" w:after="0" w:afterAutospacing="0"/>
        <w:ind w:firstLine="720"/>
        <w:divId w:val="60977748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85"/>
        <w:gridCol w:w="141"/>
        <w:gridCol w:w="207"/>
        <w:gridCol w:w="812"/>
        <w:gridCol w:w="142"/>
        <w:gridCol w:w="207"/>
        <w:gridCol w:w="812"/>
      </w:tblGrid>
      <w:tr w:rsidR="00000000" w14:paraId="233DD89E" w14:textId="77777777">
        <w:trPr>
          <w:divId w:val="609777483"/>
          <w:trHeight w:val="20"/>
        </w:trPr>
        <w:tc>
          <w:tcPr>
            <w:tcW w:w="3631" w:type="pct"/>
            <w:tcMar>
              <w:top w:w="0" w:type="dxa"/>
              <w:left w:w="0" w:type="dxa"/>
              <w:bottom w:w="0" w:type="dxa"/>
              <w:right w:w="0" w:type="dxa"/>
            </w:tcMar>
            <w:vAlign w:val="center"/>
            <w:hideMark/>
          </w:tcPr>
          <w:p w14:paraId="07C9EB5D" w14:textId="77777777" w:rsidR="00000000" w:rsidRDefault="00097612">
            <w:pPr>
              <w:pStyle w:val="a3"/>
              <w:spacing w:before="0" w:beforeAutospacing="0" w:after="0" w:afterAutospacing="0"/>
              <w:divId w:val="640497972"/>
              <w:rPr>
                <w:sz w:val="20"/>
                <w:szCs w:val="20"/>
              </w:rPr>
            </w:pPr>
            <w:r>
              <w:rPr>
                <w:sz w:val="2"/>
                <w:szCs w:val="2"/>
              </w:rPr>
              <w:t>​</w:t>
            </w:r>
          </w:p>
        </w:tc>
        <w:tc>
          <w:tcPr>
            <w:tcW w:w="115" w:type="pct"/>
            <w:tcMar>
              <w:top w:w="0" w:type="dxa"/>
              <w:left w:w="0" w:type="dxa"/>
              <w:bottom w:w="0" w:type="dxa"/>
              <w:right w:w="0" w:type="dxa"/>
            </w:tcMar>
            <w:vAlign w:val="bottom"/>
            <w:hideMark/>
          </w:tcPr>
          <w:p w14:paraId="6856F67F" w14:textId="77777777" w:rsidR="00000000" w:rsidRDefault="00097612">
            <w:pPr>
              <w:pStyle w:val="a3"/>
              <w:spacing w:before="0" w:beforeAutospacing="0" w:after="0" w:afterAutospacing="0"/>
              <w:divId w:val="735396000"/>
              <w:rPr>
                <w:sz w:val="20"/>
                <w:szCs w:val="20"/>
              </w:rPr>
            </w:pPr>
            <w:r>
              <w:rPr>
                <w:sz w:val="2"/>
                <w:szCs w:val="2"/>
              </w:rPr>
              <w:t>​</w:t>
            </w:r>
          </w:p>
        </w:tc>
        <w:tc>
          <w:tcPr>
            <w:tcW w:w="115" w:type="pct"/>
            <w:noWrap/>
            <w:tcMar>
              <w:top w:w="0" w:type="dxa"/>
              <w:left w:w="0" w:type="dxa"/>
              <w:bottom w:w="0" w:type="dxa"/>
              <w:right w:w="0" w:type="dxa"/>
            </w:tcMar>
            <w:vAlign w:val="bottom"/>
            <w:hideMark/>
          </w:tcPr>
          <w:p w14:paraId="6B3B4A50" w14:textId="77777777" w:rsidR="00000000" w:rsidRDefault="00097612">
            <w:pPr>
              <w:pStyle w:val="a3"/>
              <w:spacing w:before="0" w:beforeAutospacing="0" w:after="0" w:afterAutospacing="0"/>
              <w:divId w:val="1769540564"/>
              <w:rPr>
                <w:sz w:val="20"/>
                <w:szCs w:val="20"/>
              </w:rPr>
            </w:pPr>
            <w:r>
              <w:rPr>
                <w:sz w:val="2"/>
                <w:szCs w:val="2"/>
              </w:rPr>
              <w:t>​</w:t>
            </w:r>
          </w:p>
        </w:tc>
        <w:tc>
          <w:tcPr>
            <w:tcW w:w="453" w:type="pct"/>
            <w:noWrap/>
            <w:tcMar>
              <w:top w:w="0" w:type="dxa"/>
              <w:left w:w="0" w:type="dxa"/>
              <w:bottom w:w="0" w:type="dxa"/>
              <w:right w:w="0" w:type="dxa"/>
            </w:tcMar>
            <w:vAlign w:val="bottom"/>
            <w:hideMark/>
          </w:tcPr>
          <w:p w14:paraId="5C9ED9A5" w14:textId="77777777" w:rsidR="00000000" w:rsidRDefault="00097612">
            <w:pPr>
              <w:pStyle w:val="a3"/>
              <w:spacing w:before="0" w:beforeAutospacing="0" w:after="0" w:afterAutospacing="0"/>
              <w:divId w:val="345449912"/>
              <w:rPr>
                <w:sz w:val="20"/>
                <w:szCs w:val="20"/>
              </w:rPr>
            </w:pPr>
            <w:r>
              <w:rPr>
                <w:sz w:val="2"/>
                <w:szCs w:val="2"/>
              </w:rPr>
              <w:t>​</w:t>
            </w:r>
          </w:p>
        </w:tc>
        <w:tc>
          <w:tcPr>
            <w:tcW w:w="115" w:type="pct"/>
            <w:noWrap/>
            <w:tcMar>
              <w:top w:w="0" w:type="dxa"/>
              <w:left w:w="0" w:type="dxa"/>
              <w:bottom w:w="0" w:type="dxa"/>
              <w:right w:w="0" w:type="dxa"/>
            </w:tcMar>
            <w:vAlign w:val="bottom"/>
            <w:hideMark/>
          </w:tcPr>
          <w:p w14:paraId="55106F13" w14:textId="77777777" w:rsidR="00000000" w:rsidRDefault="00097612">
            <w:pPr>
              <w:pStyle w:val="a3"/>
              <w:spacing w:before="0" w:beforeAutospacing="0" w:after="0" w:afterAutospacing="0"/>
              <w:divId w:val="783621842"/>
              <w:rPr>
                <w:sz w:val="20"/>
                <w:szCs w:val="20"/>
              </w:rPr>
            </w:pPr>
            <w:r>
              <w:rPr>
                <w:sz w:val="2"/>
                <w:szCs w:val="2"/>
              </w:rPr>
              <w:t>​</w:t>
            </w:r>
          </w:p>
        </w:tc>
        <w:tc>
          <w:tcPr>
            <w:tcW w:w="115" w:type="pct"/>
            <w:noWrap/>
            <w:tcMar>
              <w:top w:w="0" w:type="dxa"/>
              <w:left w:w="0" w:type="dxa"/>
              <w:bottom w:w="0" w:type="dxa"/>
              <w:right w:w="0" w:type="dxa"/>
            </w:tcMar>
            <w:vAlign w:val="bottom"/>
            <w:hideMark/>
          </w:tcPr>
          <w:p w14:paraId="72820776" w14:textId="77777777" w:rsidR="00000000" w:rsidRDefault="00097612">
            <w:pPr>
              <w:pStyle w:val="a3"/>
              <w:spacing w:before="0" w:beforeAutospacing="0" w:after="0" w:afterAutospacing="0"/>
              <w:divId w:val="1274291271"/>
              <w:rPr>
                <w:sz w:val="20"/>
                <w:szCs w:val="20"/>
              </w:rPr>
            </w:pPr>
            <w:r>
              <w:rPr>
                <w:sz w:val="2"/>
                <w:szCs w:val="2"/>
              </w:rPr>
              <w:t>​</w:t>
            </w:r>
          </w:p>
        </w:tc>
        <w:tc>
          <w:tcPr>
            <w:tcW w:w="453" w:type="pct"/>
            <w:noWrap/>
            <w:tcMar>
              <w:top w:w="0" w:type="dxa"/>
              <w:left w:w="0" w:type="dxa"/>
              <w:bottom w:w="0" w:type="dxa"/>
              <w:right w:w="0" w:type="dxa"/>
            </w:tcMar>
            <w:vAlign w:val="bottom"/>
            <w:hideMark/>
          </w:tcPr>
          <w:p w14:paraId="016538BA" w14:textId="77777777" w:rsidR="00000000" w:rsidRDefault="00097612">
            <w:pPr>
              <w:pStyle w:val="a3"/>
              <w:spacing w:before="0" w:beforeAutospacing="0" w:after="0" w:afterAutospacing="0"/>
              <w:divId w:val="379012353"/>
              <w:rPr>
                <w:sz w:val="20"/>
                <w:szCs w:val="20"/>
              </w:rPr>
            </w:pPr>
            <w:r>
              <w:rPr>
                <w:sz w:val="2"/>
                <w:szCs w:val="2"/>
              </w:rPr>
              <w:t>​</w:t>
            </w:r>
          </w:p>
        </w:tc>
      </w:tr>
      <w:tr w:rsidR="00000000" w14:paraId="1572049F" w14:textId="77777777">
        <w:trPr>
          <w:divId w:val="609777483"/>
        </w:trPr>
        <w:tc>
          <w:tcPr>
            <w:tcW w:w="3631" w:type="pct"/>
            <w:shd w:val="clear" w:color="auto" w:fill="auto"/>
            <w:tcMar>
              <w:top w:w="0" w:type="dxa"/>
              <w:left w:w="0" w:type="dxa"/>
              <w:bottom w:w="0" w:type="dxa"/>
              <w:right w:w="0" w:type="dxa"/>
            </w:tcMar>
            <w:vAlign w:val="bottom"/>
            <w:hideMark/>
          </w:tcPr>
          <w:p w14:paraId="16ABDCD9" w14:textId="77777777" w:rsidR="00000000" w:rsidRDefault="00097612">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14:paraId="5A443FB1" w14:textId="77777777" w:rsidR="00000000" w:rsidRDefault="00097612">
            <w:pPr>
              <w:pStyle w:val="a3"/>
              <w:spacing w:before="0" w:beforeAutospacing="0" w:after="0" w:afterAutospacing="0"/>
              <w:rPr>
                <w:sz w:val="20"/>
                <w:szCs w:val="20"/>
              </w:rPr>
            </w:pPr>
            <w:r>
              <w:rPr>
                <w:b/>
                <w:bCs/>
                <w:sz w:val="16"/>
                <w:szCs w:val="16"/>
              </w:rPr>
              <w:t>​</w:t>
            </w:r>
          </w:p>
        </w:tc>
        <w:tc>
          <w:tcPr>
            <w:tcW w:w="568" w:type="pct"/>
            <w:gridSpan w:val="2"/>
            <w:shd w:val="clear" w:color="auto" w:fill="auto"/>
            <w:tcMar>
              <w:top w:w="0" w:type="dxa"/>
              <w:left w:w="0" w:type="dxa"/>
              <w:bottom w:w="0" w:type="dxa"/>
              <w:right w:w="0" w:type="dxa"/>
            </w:tcMar>
            <w:vAlign w:val="bottom"/>
            <w:hideMark/>
          </w:tcPr>
          <w:p w14:paraId="074C5D1B"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115" w:type="pct"/>
            <w:shd w:val="clear" w:color="auto" w:fill="auto"/>
            <w:tcMar>
              <w:top w:w="0" w:type="dxa"/>
              <w:left w:w="0" w:type="dxa"/>
              <w:bottom w:w="0" w:type="dxa"/>
              <w:right w:w="0" w:type="dxa"/>
            </w:tcMar>
            <w:vAlign w:val="bottom"/>
            <w:hideMark/>
          </w:tcPr>
          <w:p w14:paraId="179C90E7" w14:textId="77777777" w:rsidR="00000000" w:rsidRDefault="00097612">
            <w:pPr>
              <w:pStyle w:val="a3"/>
              <w:spacing w:before="0" w:beforeAutospacing="0" w:after="0" w:afterAutospacing="0"/>
              <w:rPr>
                <w:sz w:val="20"/>
                <w:szCs w:val="20"/>
              </w:rPr>
            </w:pPr>
            <w:r>
              <w:rPr>
                <w:b/>
                <w:bCs/>
                <w:sz w:val="16"/>
                <w:szCs w:val="16"/>
              </w:rPr>
              <w:t>​</w:t>
            </w:r>
          </w:p>
        </w:tc>
        <w:tc>
          <w:tcPr>
            <w:tcW w:w="568" w:type="pct"/>
            <w:gridSpan w:val="2"/>
            <w:shd w:val="clear" w:color="auto" w:fill="auto"/>
            <w:tcMar>
              <w:top w:w="0" w:type="dxa"/>
              <w:left w:w="0" w:type="dxa"/>
              <w:bottom w:w="0" w:type="dxa"/>
              <w:right w:w="0" w:type="dxa"/>
            </w:tcMar>
            <w:vAlign w:val="bottom"/>
            <w:hideMark/>
          </w:tcPr>
          <w:p w14:paraId="6C6FBB51"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r>
      <w:tr w:rsidR="00000000" w14:paraId="04964D2A" w14:textId="77777777">
        <w:trPr>
          <w:divId w:val="609777483"/>
        </w:trPr>
        <w:tc>
          <w:tcPr>
            <w:tcW w:w="3631" w:type="pct"/>
            <w:shd w:val="clear" w:color="auto" w:fill="auto"/>
            <w:tcMar>
              <w:top w:w="0" w:type="dxa"/>
              <w:left w:w="0" w:type="dxa"/>
              <w:bottom w:w="0" w:type="dxa"/>
              <w:right w:w="0" w:type="dxa"/>
            </w:tcMar>
            <w:vAlign w:val="bottom"/>
            <w:hideMark/>
          </w:tcPr>
          <w:p w14:paraId="5227F458" w14:textId="77777777" w:rsidR="00000000" w:rsidRDefault="00097612">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14:paraId="61D5B0BA" w14:textId="77777777" w:rsidR="00000000" w:rsidRDefault="00097612">
            <w:pPr>
              <w:pStyle w:val="a3"/>
              <w:spacing w:before="0" w:beforeAutospacing="0" w:after="0" w:afterAutospacing="0"/>
              <w:rPr>
                <w:sz w:val="20"/>
                <w:szCs w:val="20"/>
              </w:rPr>
            </w:pPr>
            <w:r>
              <w:rPr>
                <w:b/>
                <w:bCs/>
                <w:sz w:val="16"/>
                <w:szCs w:val="16"/>
              </w:rPr>
              <w:t>​</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14:paraId="5DE9CAD3"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115" w:type="pct"/>
            <w:shd w:val="clear" w:color="auto" w:fill="auto"/>
            <w:noWrap/>
            <w:tcMar>
              <w:top w:w="0" w:type="dxa"/>
              <w:left w:w="0" w:type="dxa"/>
              <w:bottom w:w="0" w:type="dxa"/>
              <w:right w:w="0" w:type="dxa"/>
            </w:tcMar>
            <w:vAlign w:val="bottom"/>
            <w:hideMark/>
          </w:tcPr>
          <w:p w14:paraId="6D16F922" w14:textId="77777777" w:rsidR="00000000" w:rsidRDefault="00097612">
            <w:pPr>
              <w:pStyle w:val="a3"/>
              <w:spacing w:before="0" w:beforeAutospacing="0" w:after="0" w:afterAutospacing="0"/>
              <w:rPr>
                <w:sz w:val="20"/>
                <w:szCs w:val="20"/>
              </w:rPr>
            </w:pPr>
            <w:r>
              <w:rPr>
                <w:sz w:val="16"/>
                <w:szCs w:val="16"/>
              </w:rPr>
              <w:t>​</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14:paraId="2560908E" w14:textId="77777777" w:rsidR="00000000" w:rsidRDefault="00097612">
            <w:pPr>
              <w:pStyle w:val="a3"/>
              <w:spacing w:before="0" w:beforeAutospacing="0" w:after="0" w:afterAutospacing="0"/>
              <w:jc w:val="center"/>
              <w:rPr>
                <w:sz w:val="16"/>
                <w:szCs w:val="16"/>
              </w:rPr>
            </w:pPr>
            <w:r>
              <w:rPr>
                <w:b/>
                <w:bCs/>
                <w:sz w:val="16"/>
                <w:szCs w:val="16"/>
              </w:rPr>
              <w:t>September 30, </w:t>
            </w:r>
          </w:p>
        </w:tc>
      </w:tr>
      <w:tr w:rsidR="00000000" w14:paraId="71126148" w14:textId="77777777">
        <w:trPr>
          <w:divId w:val="609777483"/>
        </w:trPr>
        <w:tc>
          <w:tcPr>
            <w:tcW w:w="3631" w:type="pct"/>
            <w:tcBorders>
              <w:bottom w:val="single" w:sz="6" w:space="0" w:color="000000"/>
            </w:tcBorders>
            <w:shd w:val="clear" w:color="auto" w:fill="auto"/>
            <w:tcMar>
              <w:top w:w="0" w:type="dxa"/>
              <w:left w:w="0" w:type="dxa"/>
              <w:bottom w:w="0" w:type="dxa"/>
              <w:right w:w="0" w:type="dxa"/>
            </w:tcMar>
            <w:vAlign w:val="bottom"/>
            <w:hideMark/>
          </w:tcPr>
          <w:p w14:paraId="151AF2DE" w14:textId="77777777" w:rsidR="00000000" w:rsidRDefault="00097612">
            <w:pPr>
              <w:pStyle w:val="a3"/>
              <w:spacing w:before="0" w:beforeAutospacing="0" w:after="0" w:afterAutospacing="0"/>
              <w:rPr>
                <w:sz w:val="16"/>
                <w:szCs w:val="16"/>
              </w:rPr>
            </w:pPr>
            <w:r>
              <w:rPr>
                <w:b/>
                <w:bCs/>
                <w:sz w:val="16"/>
                <w:szCs w:val="16"/>
              </w:rPr>
              <w:t>(In thousands)</w:t>
            </w:r>
          </w:p>
        </w:tc>
        <w:tc>
          <w:tcPr>
            <w:tcW w:w="115" w:type="pct"/>
            <w:shd w:val="clear" w:color="auto" w:fill="auto"/>
            <w:noWrap/>
            <w:tcMar>
              <w:top w:w="0" w:type="dxa"/>
              <w:left w:w="0" w:type="dxa"/>
              <w:bottom w:w="0" w:type="dxa"/>
              <w:right w:w="0" w:type="dxa"/>
            </w:tcMar>
            <w:vAlign w:val="bottom"/>
            <w:hideMark/>
          </w:tcPr>
          <w:p w14:paraId="45E3E160" w14:textId="77777777" w:rsidR="00000000" w:rsidRDefault="00097612">
            <w:pPr>
              <w:pStyle w:val="a3"/>
              <w:spacing w:before="0" w:beforeAutospacing="0" w:after="0" w:afterAutospacing="0"/>
              <w:rPr>
                <w:sz w:val="20"/>
                <w:szCs w:val="20"/>
              </w:rPr>
            </w:pPr>
            <w:r>
              <w:rPr>
                <w:sz w:val="16"/>
                <w:szCs w:val="16"/>
              </w:rPr>
              <w:t>​</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14:paraId="5249F897" w14:textId="77777777" w:rsidR="00000000" w:rsidRDefault="00097612">
            <w:pPr>
              <w:pStyle w:val="a3"/>
              <w:spacing w:before="0" w:beforeAutospacing="0" w:after="0" w:afterAutospacing="0"/>
              <w:jc w:val="center"/>
              <w:rPr>
                <w:sz w:val="16"/>
                <w:szCs w:val="16"/>
              </w:rPr>
            </w:pPr>
            <w:r>
              <w:rPr>
                <w:b/>
                <w:bCs/>
                <w:sz w:val="16"/>
                <w:szCs w:val="16"/>
              </w:rPr>
              <w:t>2019</w:t>
            </w:r>
          </w:p>
        </w:tc>
        <w:tc>
          <w:tcPr>
            <w:tcW w:w="115" w:type="pct"/>
            <w:shd w:val="clear" w:color="auto" w:fill="auto"/>
            <w:noWrap/>
            <w:tcMar>
              <w:top w:w="0" w:type="dxa"/>
              <w:left w:w="0" w:type="dxa"/>
              <w:bottom w:w="0" w:type="dxa"/>
              <w:right w:w="0" w:type="dxa"/>
            </w:tcMar>
            <w:vAlign w:val="bottom"/>
            <w:hideMark/>
          </w:tcPr>
          <w:p w14:paraId="7AD29517" w14:textId="77777777" w:rsidR="00000000" w:rsidRDefault="00097612">
            <w:pPr>
              <w:pStyle w:val="a3"/>
              <w:spacing w:before="0" w:beforeAutospacing="0" w:after="0" w:afterAutospacing="0"/>
              <w:rPr>
                <w:sz w:val="20"/>
                <w:szCs w:val="20"/>
              </w:rPr>
            </w:pPr>
            <w:r>
              <w:rPr>
                <w:sz w:val="16"/>
                <w:szCs w:val="16"/>
              </w:rPr>
              <w:t>​</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14:paraId="7BAE8432" w14:textId="77777777" w:rsidR="00000000" w:rsidRDefault="00097612">
            <w:pPr>
              <w:pStyle w:val="a3"/>
              <w:spacing w:before="0" w:beforeAutospacing="0" w:after="0" w:afterAutospacing="0"/>
              <w:jc w:val="center"/>
              <w:rPr>
                <w:sz w:val="16"/>
                <w:szCs w:val="16"/>
              </w:rPr>
            </w:pPr>
            <w:r>
              <w:rPr>
                <w:b/>
                <w:bCs/>
                <w:sz w:val="16"/>
                <w:szCs w:val="16"/>
              </w:rPr>
              <w:t>2019</w:t>
            </w:r>
          </w:p>
        </w:tc>
      </w:tr>
      <w:tr w:rsidR="00000000" w14:paraId="5339C4B7" w14:textId="77777777">
        <w:trPr>
          <w:divId w:val="609777483"/>
        </w:trPr>
        <w:tc>
          <w:tcPr>
            <w:tcW w:w="3631" w:type="pct"/>
            <w:shd w:val="clear" w:color="auto" w:fill="CCEEFF"/>
            <w:tcMar>
              <w:top w:w="0" w:type="dxa"/>
              <w:left w:w="0" w:type="dxa"/>
              <w:bottom w:w="0" w:type="dxa"/>
              <w:right w:w="0" w:type="dxa"/>
            </w:tcMar>
            <w:vAlign w:val="center"/>
            <w:hideMark/>
          </w:tcPr>
          <w:p w14:paraId="692AEF61" w14:textId="77777777" w:rsidR="00000000" w:rsidRDefault="00097612">
            <w:pPr>
              <w:pStyle w:val="a3"/>
              <w:spacing w:before="0" w:beforeAutospacing="0" w:after="0" w:afterAutospacing="0"/>
              <w:rPr>
                <w:sz w:val="20"/>
                <w:szCs w:val="20"/>
              </w:rPr>
            </w:pPr>
            <w:r>
              <w:rPr>
                <w:sz w:val="20"/>
                <w:szCs w:val="20"/>
              </w:rPr>
              <w:t xml:space="preserve">Mylan collaboration agreement - </w:t>
            </w:r>
            <w:r>
              <w:rPr>
                <w:i/>
                <w:iCs/>
                <w:sz w:val="20"/>
                <w:szCs w:val="20"/>
              </w:rPr>
              <w:t>Amounts receivable from Mylan</w:t>
            </w:r>
          </w:p>
        </w:tc>
        <w:tc>
          <w:tcPr>
            <w:tcW w:w="115" w:type="pct"/>
            <w:shd w:val="clear" w:color="auto" w:fill="CCEEFF"/>
            <w:tcMar>
              <w:top w:w="0" w:type="dxa"/>
              <w:left w:w="0" w:type="dxa"/>
              <w:bottom w:w="0" w:type="dxa"/>
              <w:right w:w="0" w:type="dxa"/>
            </w:tcMar>
            <w:vAlign w:val="bottom"/>
            <w:hideMark/>
          </w:tcPr>
          <w:p w14:paraId="2F2E4F8E" w14:textId="77777777" w:rsidR="00000000" w:rsidRDefault="00097612">
            <w:pPr>
              <w:pStyle w:val="a3"/>
              <w:spacing w:before="0" w:beforeAutospacing="0" w:after="0" w:afterAutospacing="0"/>
              <w:rPr>
                <w:sz w:val="20"/>
                <w:szCs w:val="20"/>
              </w:rPr>
            </w:pPr>
            <w:r>
              <w:rPr>
                <w:b/>
                <w:bCs/>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1EAEC2F8" w14:textId="77777777" w:rsidR="00000000" w:rsidRDefault="00097612">
            <w:pPr>
              <w:pStyle w:val="a3"/>
              <w:spacing w:before="0" w:beforeAutospacing="0" w:after="0" w:afterAutospacing="0"/>
              <w:jc w:val="center"/>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14:paraId="317A6967" w14:textId="77777777" w:rsidR="00000000" w:rsidRDefault="00097612">
            <w:pPr>
              <w:pStyle w:val="a3"/>
              <w:spacing w:before="0" w:beforeAutospacing="0" w:after="0" w:afterAutospacing="0"/>
              <w:ind w:right="60"/>
              <w:jc w:val="right"/>
              <w:rPr>
                <w:sz w:val="20"/>
                <w:szCs w:val="20"/>
              </w:rPr>
            </w:pPr>
            <w:r>
              <w:rPr>
                <w:sz w:val="20"/>
                <w:szCs w:val="20"/>
              </w:rPr>
              <w:t>3,591</w:t>
            </w:r>
          </w:p>
        </w:tc>
        <w:tc>
          <w:tcPr>
            <w:tcW w:w="115" w:type="pct"/>
            <w:shd w:val="clear" w:color="auto" w:fill="CCEEFF"/>
            <w:noWrap/>
            <w:tcMar>
              <w:top w:w="0" w:type="dxa"/>
              <w:left w:w="0" w:type="dxa"/>
              <w:bottom w:w="0" w:type="dxa"/>
              <w:right w:w="0" w:type="dxa"/>
            </w:tcMar>
            <w:vAlign w:val="bottom"/>
            <w:hideMark/>
          </w:tcPr>
          <w:p w14:paraId="402A6EEF" w14:textId="77777777" w:rsidR="00000000" w:rsidRDefault="00097612">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36EE8A7C" w14:textId="77777777" w:rsidR="00000000" w:rsidRDefault="00097612">
            <w:pPr>
              <w:pStyle w:val="a3"/>
              <w:spacing w:before="0" w:beforeAutospacing="0" w:after="0" w:afterAutospacing="0"/>
              <w:jc w:val="center"/>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14:paraId="784391B5" w14:textId="77777777" w:rsidR="00000000" w:rsidRDefault="00097612">
            <w:pPr>
              <w:pStyle w:val="a3"/>
              <w:spacing w:before="0" w:beforeAutospacing="0" w:after="0" w:afterAutospacing="0"/>
              <w:ind w:right="60"/>
              <w:jc w:val="right"/>
              <w:rPr>
                <w:sz w:val="20"/>
                <w:szCs w:val="20"/>
              </w:rPr>
            </w:pPr>
            <w:r>
              <w:rPr>
                <w:sz w:val="20"/>
                <w:szCs w:val="20"/>
              </w:rPr>
              <w:t>3,749</w:t>
            </w:r>
          </w:p>
        </w:tc>
      </w:tr>
      <w:tr w:rsidR="00000000" w14:paraId="49A551AB" w14:textId="77777777">
        <w:trPr>
          <w:divId w:val="609777483"/>
        </w:trPr>
        <w:tc>
          <w:tcPr>
            <w:tcW w:w="3631" w:type="pct"/>
            <w:tcMar>
              <w:top w:w="0" w:type="dxa"/>
              <w:left w:w="0" w:type="dxa"/>
              <w:bottom w:w="0" w:type="dxa"/>
              <w:right w:w="0" w:type="dxa"/>
            </w:tcMar>
            <w:vAlign w:val="center"/>
            <w:hideMark/>
          </w:tcPr>
          <w:p w14:paraId="6A3C72F9" w14:textId="77777777" w:rsidR="00000000" w:rsidRDefault="00097612">
            <w:pPr>
              <w:pStyle w:val="a3"/>
              <w:spacing w:before="0" w:beforeAutospacing="0" w:after="0" w:afterAutospacing="0"/>
              <w:rPr>
                <w:sz w:val="20"/>
                <w:szCs w:val="20"/>
              </w:rPr>
            </w:pPr>
            <w:r>
              <w:rPr>
                <w:sz w:val="20"/>
                <w:szCs w:val="20"/>
              </w:rPr>
              <w:t xml:space="preserve">Collaboration loss - </w:t>
            </w:r>
            <w:r>
              <w:rPr>
                <w:i/>
                <w:iCs/>
                <w:sz w:val="20"/>
                <w:szCs w:val="20"/>
              </w:rPr>
              <w:t>Amounts payable to Mylan</w:t>
            </w:r>
          </w:p>
        </w:tc>
        <w:tc>
          <w:tcPr>
            <w:tcW w:w="115" w:type="pct"/>
            <w:tcMar>
              <w:top w:w="0" w:type="dxa"/>
              <w:left w:w="0" w:type="dxa"/>
              <w:bottom w:w="0" w:type="dxa"/>
              <w:right w:w="0" w:type="dxa"/>
            </w:tcMar>
            <w:vAlign w:val="bottom"/>
            <w:hideMark/>
          </w:tcPr>
          <w:p w14:paraId="2C13BA23" w14:textId="77777777" w:rsidR="00000000" w:rsidRDefault="00097612">
            <w:pPr>
              <w:pStyle w:val="a3"/>
              <w:spacing w:before="0" w:beforeAutospacing="0" w:after="0" w:afterAutospacing="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14:paraId="0BD897FA" w14:textId="77777777" w:rsidR="00000000" w:rsidRDefault="00097612">
            <w:pPr>
              <w:pStyle w:val="a3"/>
              <w:spacing w:before="0" w:beforeAutospacing="0" w:after="0" w:afterAutospacing="0"/>
              <w:jc w:val="center"/>
              <w:rPr>
                <w:sz w:val="20"/>
                <w:szCs w:val="20"/>
              </w:rPr>
            </w:pPr>
            <w:r>
              <w:rPr>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14:paraId="0F4AFB55" w14:textId="77777777" w:rsidR="00000000" w:rsidRDefault="00097612">
            <w:pPr>
              <w:pStyle w:val="a3"/>
              <w:spacing w:before="0" w:beforeAutospacing="0" w:after="0"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14:paraId="4A98B77B" w14:textId="77777777" w:rsidR="00000000" w:rsidRDefault="00097612">
            <w:pPr>
              <w:pStyle w:val="a3"/>
              <w:spacing w:before="0" w:beforeAutospacing="0" w:after="0" w:afterAutospacing="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14:paraId="5FC3CE16" w14:textId="77777777" w:rsidR="00000000" w:rsidRDefault="00097612">
            <w:pPr>
              <w:pStyle w:val="a3"/>
              <w:spacing w:before="0" w:beforeAutospacing="0" w:after="0" w:afterAutospacing="0"/>
              <w:jc w:val="center"/>
              <w:rPr>
                <w:sz w:val="20"/>
                <w:szCs w:val="20"/>
              </w:rPr>
            </w:pPr>
            <w:r>
              <w:rPr>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14:paraId="75C60B1D" w14:textId="77777777" w:rsidR="00000000" w:rsidRDefault="00097612">
            <w:pPr>
              <w:pStyle w:val="a3"/>
              <w:spacing w:before="0" w:beforeAutospacing="0" w:after="0" w:afterAutospacing="0"/>
              <w:ind w:right="60"/>
              <w:jc w:val="right"/>
              <w:rPr>
                <w:sz w:val="20"/>
                <w:szCs w:val="20"/>
              </w:rPr>
            </w:pPr>
            <w:r>
              <w:rPr>
                <w:sz w:val="20"/>
                <w:szCs w:val="20"/>
              </w:rPr>
              <w:t>1,582</w:t>
            </w:r>
          </w:p>
        </w:tc>
      </w:tr>
    </w:tbl>
    <w:p w14:paraId="663AE9F5" w14:textId="77777777" w:rsidR="00000000" w:rsidRDefault="00097612">
      <w:pPr>
        <w:pStyle w:val="a3"/>
        <w:spacing w:before="0" w:beforeAutospacing="0" w:after="0" w:afterAutospacing="0"/>
        <w:divId w:val="609777483"/>
        <w:rPr>
          <w:sz w:val="20"/>
          <w:szCs w:val="20"/>
        </w:rPr>
      </w:pPr>
      <w:r>
        <w:rPr>
          <w:sz w:val="20"/>
          <w:szCs w:val="20"/>
        </w:rPr>
        <w:t>​</w:t>
      </w:r>
    </w:p>
    <w:p w14:paraId="7D2E37DD" w14:textId="77777777" w:rsidR="00000000" w:rsidRDefault="00097612">
      <w:pPr>
        <w:pStyle w:val="a3"/>
        <w:spacing w:before="0" w:beforeAutospacing="0" w:after="0" w:afterAutospacing="0"/>
        <w:ind w:firstLine="720"/>
        <w:divId w:val="609777483"/>
        <w:rPr>
          <w:sz w:val="20"/>
          <w:szCs w:val="20"/>
        </w:rPr>
      </w:pPr>
      <w:r>
        <w:rPr>
          <w:sz w:val="20"/>
          <w:szCs w:val="20"/>
        </w:rPr>
        <w:t>Prior to the FDA approval of YUPELRI in late 2018, the Company recognized its 35% share of expenses within R&amp;</w:t>
      </w:r>
      <w:r>
        <w:rPr>
          <w:sz w:val="20"/>
          <w:szCs w:val="20"/>
        </w:rPr>
        <w:t>D expense and selling, general and administrative expense on its condensed consolidated statements of operations. For the three and nine months ended September 30, 2018, the arrangement resulted in total collaboration expense, net of reimbursements from My</w:t>
      </w:r>
      <w:r>
        <w:rPr>
          <w:sz w:val="20"/>
          <w:szCs w:val="20"/>
        </w:rPr>
        <w:t>lan, of $1.5 million and $3.3 million, respectively.</w:t>
      </w:r>
    </w:p>
    <w:p w14:paraId="71220DA5" w14:textId="77777777" w:rsidR="00000000" w:rsidRDefault="00097612">
      <w:pPr>
        <w:pStyle w:val="a3"/>
        <w:spacing w:before="0" w:beforeAutospacing="0" w:after="0" w:afterAutospacing="0"/>
        <w:ind w:firstLine="720"/>
        <w:divId w:val="609777483"/>
        <w:rPr>
          <w:sz w:val="20"/>
          <w:szCs w:val="20"/>
        </w:rPr>
      </w:pPr>
      <w:r>
        <w:rPr>
          <w:sz w:val="20"/>
          <w:szCs w:val="20"/>
        </w:rPr>
        <w:t>​</w:t>
      </w:r>
    </w:p>
    <w:p w14:paraId="42727697" w14:textId="77777777" w:rsidR="00000000" w:rsidRDefault="00097612">
      <w:pPr>
        <w:pStyle w:val="a3"/>
        <w:spacing w:before="0" w:beforeAutospacing="0" w:after="0" w:afterAutospacing="0"/>
        <w:divId w:val="609777483"/>
        <w:rPr>
          <w:sz w:val="20"/>
          <w:szCs w:val="20"/>
        </w:rPr>
      </w:pPr>
      <w:r>
        <w:rPr>
          <w:b/>
          <w:bCs/>
          <w:i/>
          <w:iCs/>
          <w:sz w:val="20"/>
          <w:szCs w:val="20"/>
        </w:rPr>
        <w:t>Reimbursement of R&amp;D Expense</w:t>
      </w:r>
    </w:p>
    <w:p w14:paraId="3C3C5E3D" w14:textId="77777777" w:rsidR="00000000" w:rsidRDefault="00097612">
      <w:pPr>
        <w:pStyle w:val="a3"/>
        <w:spacing w:before="0" w:beforeAutospacing="0" w:after="0" w:afterAutospacing="0"/>
        <w:divId w:val="609777483"/>
        <w:rPr>
          <w:sz w:val="20"/>
          <w:szCs w:val="20"/>
        </w:rPr>
      </w:pPr>
      <w:r>
        <w:rPr>
          <w:sz w:val="10"/>
          <w:szCs w:val="10"/>
        </w:rPr>
        <w:t>​</w:t>
      </w:r>
    </w:p>
    <w:p w14:paraId="72F82CC3" w14:textId="77777777" w:rsidR="00000000" w:rsidRDefault="00097612">
      <w:pPr>
        <w:pStyle w:val="a3"/>
        <w:spacing w:before="0" w:beforeAutospacing="0" w:after="0" w:afterAutospacing="0"/>
        <w:ind w:firstLine="720"/>
        <w:divId w:val="609777483"/>
        <w:rPr>
          <w:sz w:val="20"/>
          <w:szCs w:val="20"/>
        </w:rPr>
      </w:pPr>
      <w:r>
        <w:rPr>
          <w:sz w:val="20"/>
          <w:szCs w:val="20"/>
        </w:rPr>
        <w:t>Under certain collaborative arrangements, the Company is entitled to reimbursement of certain R&amp;D expenses. Activities under collaborative arrangements for which the Comp</w:t>
      </w:r>
      <w:r>
        <w:rPr>
          <w:sz w:val="20"/>
          <w:szCs w:val="20"/>
        </w:rPr>
        <w:t xml:space="preserve">any is entitled to reimbursement are considered to be collaborative activities under the scope of ASC 808. For these units of account, the Company does not analogize to ASC 606 or recognize revenue. The Company records reimbursement payments received from </w:t>
      </w:r>
      <w:r>
        <w:rPr>
          <w:sz w:val="20"/>
          <w:szCs w:val="20"/>
        </w:rPr>
        <w:t>its collaboration partners as reductions to R&amp;D expense.</w:t>
      </w:r>
    </w:p>
    <w:p w14:paraId="35DA368B" w14:textId="77777777" w:rsidR="00000000" w:rsidRDefault="00097612">
      <w:pPr>
        <w:pStyle w:val="a3"/>
        <w:spacing w:before="360" w:beforeAutospacing="0" w:after="0" w:afterAutospacing="0"/>
        <w:jc w:val="center"/>
        <w:divId w:val="796534453"/>
        <w:rPr>
          <w:sz w:val="20"/>
          <w:szCs w:val="20"/>
        </w:rPr>
      </w:pPr>
      <w:r>
        <w:rPr>
          <w:sz w:val="20"/>
          <w:szCs w:val="20"/>
        </w:rPr>
        <w:t>12</w:t>
      </w:r>
    </w:p>
    <w:p w14:paraId="0F6B3629" w14:textId="77777777" w:rsidR="00000000" w:rsidRDefault="00097612">
      <w:pPr>
        <w:pStyle w:val="a3"/>
        <w:spacing w:before="0" w:beforeAutospacing="0" w:after="600" w:afterAutospacing="0"/>
        <w:divId w:val="1435859443"/>
        <w:rPr>
          <w:sz w:val="20"/>
          <w:szCs w:val="20"/>
        </w:rPr>
      </w:pPr>
      <w:hyperlink w:anchor="TOC" w:history="1">
        <w:r>
          <w:rPr>
            <w:rStyle w:val="a4"/>
            <w:sz w:val="20"/>
            <w:szCs w:val="20"/>
          </w:rPr>
          <w:t>Table of Contents</w:t>
        </w:r>
      </w:hyperlink>
    </w:p>
    <w:p w14:paraId="1F097732" w14:textId="77777777" w:rsidR="00000000" w:rsidRDefault="00097612">
      <w:pPr>
        <w:pStyle w:val="a3"/>
        <w:spacing w:before="0" w:beforeAutospacing="0" w:after="0" w:afterAutospacing="0"/>
        <w:divId w:val="954486307"/>
        <w:rPr>
          <w:sz w:val="20"/>
          <w:szCs w:val="20"/>
        </w:rPr>
      </w:pPr>
      <w:r>
        <w:rPr>
          <w:sz w:val="20"/>
          <w:szCs w:val="20"/>
        </w:rPr>
        <w:t>​</w:t>
      </w:r>
    </w:p>
    <w:p w14:paraId="492E8AC3" w14:textId="77777777" w:rsidR="00000000" w:rsidRDefault="00097612">
      <w:pPr>
        <w:pStyle w:val="a3"/>
        <w:spacing w:before="0" w:beforeAutospacing="0" w:after="0" w:afterAutospacing="0"/>
        <w:ind w:firstLine="720"/>
        <w:divId w:val="954486307"/>
        <w:rPr>
          <w:sz w:val="20"/>
          <w:szCs w:val="20"/>
        </w:rPr>
      </w:pPr>
      <w:r>
        <w:rPr>
          <w:sz w:val="20"/>
          <w:szCs w:val="20"/>
        </w:rPr>
        <w:t>The following table summarizes the reductions to R&amp;D expense related to the reimbursement payments:</w:t>
      </w:r>
    </w:p>
    <w:p w14:paraId="198E2D43" w14:textId="77777777" w:rsidR="00000000" w:rsidRDefault="00097612">
      <w:pPr>
        <w:pStyle w:val="a3"/>
        <w:spacing w:before="0" w:beforeAutospacing="0" w:after="0" w:afterAutospacing="0"/>
        <w:ind w:firstLine="720"/>
        <w:divId w:val="954486307"/>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661"/>
        <w:gridCol w:w="160"/>
        <w:gridCol w:w="137"/>
        <w:gridCol w:w="572"/>
        <w:gridCol w:w="160"/>
        <w:gridCol w:w="137"/>
        <w:gridCol w:w="576"/>
        <w:gridCol w:w="160"/>
        <w:gridCol w:w="137"/>
        <w:gridCol w:w="572"/>
        <w:gridCol w:w="160"/>
        <w:gridCol w:w="137"/>
        <w:gridCol w:w="577"/>
        <w:gridCol w:w="160"/>
      </w:tblGrid>
      <w:tr w:rsidR="00000000" w14:paraId="4FD25303" w14:textId="77777777">
        <w:trPr>
          <w:divId w:val="954486307"/>
          <w:trHeight w:val="20"/>
        </w:trPr>
        <w:tc>
          <w:tcPr>
            <w:tcW w:w="2809" w:type="pct"/>
            <w:tcMar>
              <w:top w:w="0" w:type="dxa"/>
              <w:left w:w="0" w:type="dxa"/>
              <w:bottom w:w="0" w:type="dxa"/>
              <w:right w:w="0" w:type="dxa"/>
            </w:tcMar>
            <w:vAlign w:val="bottom"/>
            <w:hideMark/>
          </w:tcPr>
          <w:p w14:paraId="7E6B35AF" w14:textId="77777777" w:rsidR="00000000" w:rsidRDefault="00097612">
            <w:pPr>
              <w:pStyle w:val="a3"/>
              <w:spacing w:before="0" w:beforeAutospacing="0" w:after="0" w:afterAutospacing="0"/>
              <w:divId w:val="450976526"/>
              <w:rPr>
                <w:sz w:val="20"/>
                <w:szCs w:val="20"/>
              </w:rPr>
            </w:pPr>
            <w:r>
              <w:rPr>
                <w:sz w:val="2"/>
                <w:szCs w:val="2"/>
              </w:rPr>
              <w:t>​</w:t>
            </w:r>
          </w:p>
        </w:tc>
        <w:tc>
          <w:tcPr>
            <w:tcW w:w="88" w:type="pct"/>
            <w:noWrap/>
            <w:tcMar>
              <w:top w:w="0" w:type="dxa"/>
              <w:left w:w="0" w:type="dxa"/>
              <w:bottom w:w="0" w:type="dxa"/>
              <w:right w:w="0" w:type="dxa"/>
            </w:tcMar>
            <w:vAlign w:val="bottom"/>
            <w:hideMark/>
          </w:tcPr>
          <w:p w14:paraId="71F76C50" w14:textId="77777777" w:rsidR="00000000" w:rsidRDefault="00097612">
            <w:pPr>
              <w:pStyle w:val="a3"/>
              <w:spacing w:before="0" w:beforeAutospacing="0" w:after="0" w:afterAutospacing="0"/>
              <w:divId w:val="1137801698"/>
              <w:rPr>
                <w:sz w:val="20"/>
                <w:szCs w:val="20"/>
              </w:rPr>
            </w:pPr>
            <w:r>
              <w:rPr>
                <w:sz w:val="2"/>
                <w:szCs w:val="2"/>
              </w:rPr>
              <w:t>​</w:t>
            </w:r>
          </w:p>
        </w:tc>
        <w:tc>
          <w:tcPr>
            <w:tcW w:w="88" w:type="pct"/>
            <w:noWrap/>
            <w:tcMar>
              <w:top w:w="0" w:type="dxa"/>
              <w:left w:w="0" w:type="dxa"/>
              <w:bottom w:w="0" w:type="dxa"/>
              <w:right w:w="0" w:type="dxa"/>
            </w:tcMar>
            <w:vAlign w:val="bottom"/>
            <w:hideMark/>
          </w:tcPr>
          <w:p w14:paraId="3C032F13" w14:textId="77777777" w:rsidR="00000000" w:rsidRDefault="00097612">
            <w:pPr>
              <w:pStyle w:val="a3"/>
              <w:spacing w:before="0" w:beforeAutospacing="0" w:after="0" w:afterAutospacing="0"/>
              <w:divId w:val="183833536"/>
              <w:rPr>
                <w:sz w:val="20"/>
                <w:szCs w:val="20"/>
              </w:rPr>
            </w:pPr>
            <w:r>
              <w:rPr>
                <w:sz w:val="2"/>
                <w:szCs w:val="2"/>
              </w:rPr>
              <w:t>​</w:t>
            </w:r>
          </w:p>
        </w:tc>
        <w:tc>
          <w:tcPr>
            <w:tcW w:w="350" w:type="pct"/>
            <w:noWrap/>
            <w:tcMar>
              <w:top w:w="0" w:type="dxa"/>
              <w:left w:w="0" w:type="dxa"/>
              <w:bottom w:w="0" w:type="dxa"/>
              <w:right w:w="0" w:type="dxa"/>
            </w:tcMar>
            <w:vAlign w:val="center"/>
            <w:hideMark/>
          </w:tcPr>
          <w:p w14:paraId="6131C909" w14:textId="77777777" w:rsidR="00000000" w:rsidRDefault="00097612">
            <w:pPr>
              <w:pStyle w:val="a3"/>
              <w:spacing w:before="0" w:beforeAutospacing="0" w:after="0" w:afterAutospacing="0"/>
              <w:divId w:val="1914849740"/>
              <w:rPr>
                <w:sz w:val="20"/>
                <w:szCs w:val="20"/>
              </w:rPr>
            </w:pPr>
            <w:r>
              <w:rPr>
                <w:sz w:val="2"/>
                <w:szCs w:val="2"/>
              </w:rPr>
              <w:t>​</w:t>
            </w:r>
          </w:p>
        </w:tc>
        <w:tc>
          <w:tcPr>
            <w:tcW w:w="88" w:type="pct"/>
            <w:noWrap/>
            <w:tcMar>
              <w:top w:w="0" w:type="dxa"/>
              <w:left w:w="0" w:type="dxa"/>
              <w:bottom w:w="0" w:type="dxa"/>
              <w:right w:w="0" w:type="dxa"/>
            </w:tcMar>
            <w:vAlign w:val="bottom"/>
            <w:hideMark/>
          </w:tcPr>
          <w:p w14:paraId="4DFA5601" w14:textId="77777777" w:rsidR="00000000" w:rsidRDefault="00097612">
            <w:pPr>
              <w:pStyle w:val="a3"/>
              <w:spacing w:before="0" w:beforeAutospacing="0" w:after="0" w:afterAutospacing="0"/>
              <w:divId w:val="340475969"/>
              <w:rPr>
                <w:sz w:val="20"/>
                <w:szCs w:val="20"/>
              </w:rPr>
            </w:pPr>
            <w:r>
              <w:rPr>
                <w:sz w:val="2"/>
                <w:szCs w:val="2"/>
              </w:rPr>
              <w:t>​</w:t>
            </w:r>
          </w:p>
        </w:tc>
        <w:tc>
          <w:tcPr>
            <w:tcW w:w="88" w:type="pct"/>
            <w:noWrap/>
            <w:tcMar>
              <w:top w:w="0" w:type="dxa"/>
              <w:left w:w="0" w:type="dxa"/>
              <w:bottom w:w="0" w:type="dxa"/>
              <w:right w:w="0" w:type="dxa"/>
            </w:tcMar>
            <w:vAlign w:val="bottom"/>
            <w:hideMark/>
          </w:tcPr>
          <w:p w14:paraId="17C2483F" w14:textId="77777777" w:rsidR="00000000" w:rsidRDefault="00097612">
            <w:pPr>
              <w:pStyle w:val="a3"/>
              <w:spacing w:before="0" w:beforeAutospacing="0" w:after="0" w:afterAutospacing="0"/>
              <w:divId w:val="1752115093"/>
              <w:rPr>
                <w:sz w:val="20"/>
                <w:szCs w:val="20"/>
              </w:rPr>
            </w:pPr>
            <w:r>
              <w:rPr>
                <w:sz w:val="2"/>
                <w:szCs w:val="2"/>
              </w:rPr>
              <w:t>​</w:t>
            </w:r>
          </w:p>
        </w:tc>
        <w:tc>
          <w:tcPr>
            <w:tcW w:w="350" w:type="pct"/>
            <w:noWrap/>
            <w:tcMar>
              <w:top w:w="0" w:type="dxa"/>
              <w:left w:w="0" w:type="dxa"/>
              <w:bottom w:w="0" w:type="dxa"/>
              <w:right w:w="0" w:type="dxa"/>
            </w:tcMar>
            <w:vAlign w:val="center"/>
            <w:hideMark/>
          </w:tcPr>
          <w:p w14:paraId="135A513C" w14:textId="77777777" w:rsidR="00000000" w:rsidRDefault="00097612">
            <w:pPr>
              <w:pStyle w:val="a3"/>
              <w:spacing w:before="0" w:beforeAutospacing="0" w:after="0" w:afterAutospacing="0"/>
              <w:divId w:val="1746299383"/>
              <w:rPr>
                <w:sz w:val="20"/>
                <w:szCs w:val="20"/>
              </w:rPr>
            </w:pPr>
            <w:r>
              <w:rPr>
                <w:sz w:val="2"/>
                <w:szCs w:val="2"/>
              </w:rPr>
              <w:t>​</w:t>
            </w:r>
          </w:p>
        </w:tc>
        <w:tc>
          <w:tcPr>
            <w:tcW w:w="88" w:type="pct"/>
            <w:noWrap/>
            <w:tcMar>
              <w:top w:w="0" w:type="dxa"/>
              <w:left w:w="0" w:type="dxa"/>
              <w:bottom w:w="0" w:type="dxa"/>
              <w:right w:w="0" w:type="dxa"/>
            </w:tcMar>
            <w:vAlign w:val="bottom"/>
            <w:hideMark/>
          </w:tcPr>
          <w:p w14:paraId="0AEB350E" w14:textId="77777777" w:rsidR="00000000" w:rsidRDefault="00097612">
            <w:pPr>
              <w:pStyle w:val="a3"/>
              <w:spacing w:before="0" w:beforeAutospacing="0" w:after="0" w:afterAutospacing="0"/>
              <w:divId w:val="65537707"/>
              <w:rPr>
                <w:sz w:val="20"/>
                <w:szCs w:val="20"/>
              </w:rPr>
            </w:pPr>
            <w:r>
              <w:rPr>
                <w:sz w:val="2"/>
                <w:szCs w:val="2"/>
              </w:rPr>
              <w:t>​</w:t>
            </w:r>
          </w:p>
        </w:tc>
        <w:tc>
          <w:tcPr>
            <w:tcW w:w="88" w:type="pct"/>
            <w:noWrap/>
            <w:tcMar>
              <w:top w:w="0" w:type="dxa"/>
              <w:left w:w="0" w:type="dxa"/>
              <w:bottom w:w="0" w:type="dxa"/>
              <w:right w:w="0" w:type="dxa"/>
            </w:tcMar>
            <w:vAlign w:val="bottom"/>
            <w:hideMark/>
          </w:tcPr>
          <w:p w14:paraId="7C5F0DC8" w14:textId="77777777" w:rsidR="00000000" w:rsidRDefault="00097612">
            <w:pPr>
              <w:pStyle w:val="a3"/>
              <w:spacing w:before="0" w:beforeAutospacing="0" w:after="0" w:afterAutospacing="0"/>
              <w:divId w:val="595869906"/>
              <w:rPr>
                <w:sz w:val="20"/>
                <w:szCs w:val="20"/>
              </w:rPr>
            </w:pPr>
            <w:r>
              <w:rPr>
                <w:sz w:val="2"/>
                <w:szCs w:val="2"/>
              </w:rPr>
              <w:t>​</w:t>
            </w:r>
          </w:p>
        </w:tc>
        <w:tc>
          <w:tcPr>
            <w:tcW w:w="350" w:type="pct"/>
            <w:noWrap/>
            <w:tcMar>
              <w:top w:w="0" w:type="dxa"/>
              <w:left w:w="0" w:type="dxa"/>
              <w:bottom w:w="0" w:type="dxa"/>
              <w:right w:w="0" w:type="dxa"/>
            </w:tcMar>
            <w:vAlign w:val="center"/>
            <w:hideMark/>
          </w:tcPr>
          <w:p w14:paraId="65A0BE98" w14:textId="77777777" w:rsidR="00000000" w:rsidRDefault="00097612">
            <w:pPr>
              <w:pStyle w:val="a3"/>
              <w:spacing w:before="0" w:beforeAutospacing="0" w:after="0" w:afterAutospacing="0"/>
              <w:divId w:val="1194727349"/>
              <w:rPr>
                <w:sz w:val="20"/>
                <w:szCs w:val="20"/>
              </w:rPr>
            </w:pPr>
            <w:r>
              <w:rPr>
                <w:sz w:val="2"/>
                <w:szCs w:val="2"/>
              </w:rPr>
              <w:t>​</w:t>
            </w:r>
          </w:p>
        </w:tc>
        <w:tc>
          <w:tcPr>
            <w:tcW w:w="88" w:type="pct"/>
            <w:noWrap/>
            <w:tcMar>
              <w:top w:w="0" w:type="dxa"/>
              <w:left w:w="0" w:type="dxa"/>
              <w:bottom w:w="0" w:type="dxa"/>
              <w:right w:w="0" w:type="dxa"/>
            </w:tcMar>
            <w:vAlign w:val="bottom"/>
            <w:hideMark/>
          </w:tcPr>
          <w:p w14:paraId="62BCC0AE" w14:textId="77777777" w:rsidR="00000000" w:rsidRDefault="00097612">
            <w:pPr>
              <w:pStyle w:val="a3"/>
              <w:spacing w:before="0" w:beforeAutospacing="0" w:after="0" w:afterAutospacing="0"/>
              <w:divId w:val="823206689"/>
              <w:rPr>
                <w:sz w:val="20"/>
                <w:szCs w:val="20"/>
              </w:rPr>
            </w:pPr>
            <w:r>
              <w:rPr>
                <w:sz w:val="2"/>
                <w:szCs w:val="2"/>
              </w:rPr>
              <w:t>​</w:t>
            </w:r>
          </w:p>
        </w:tc>
        <w:tc>
          <w:tcPr>
            <w:tcW w:w="88" w:type="pct"/>
            <w:noWrap/>
            <w:tcMar>
              <w:top w:w="0" w:type="dxa"/>
              <w:left w:w="0" w:type="dxa"/>
              <w:bottom w:w="0" w:type="dxa"/>
              <w:right w:w="0" w:type="dxa"/>
            </w:tcMar>
            <w:vAlign w:val="bottom"/>
            <w:hideMark/>
          </w:tcPr>
          <w:p w14:paraId="7E38CFE3" w14:textId="77777777" w:rsidR="00000000" w:rsidRDefault="00097612">
            <w:pPr>
              <w:pStyle w:val="a3"/>
              <w:spacing w:before="0" w:beforeAutospacing="0" w:after="0" w:afterAutospacing="0"/>
              <w:divId w:val="1038704284"/>
              <w:rPr>
                <w:sz w:val="20"/>
                <w:szCs w:val="20"/>
              </w:rPr>
            </w:pPr>
            <w:r>
              <w:rPr>
                <w:sz w:val="2"/>
                <w:szCs w:val="2"/>
              </w:rPr>
              <w:t>​</w:t>
            </w:r>
          </w:p>
        </w:tc>
        <w:tc>
          <w:tcPr>
            <w:tcW w:w="350" w:type="pct"/>
            <w:noWrap/>
            <w:tcMar>
              <w:top w:w="0" w:type="dxa"/>
              <w:left w:w="0" w:type="dxa"/>
              <w:bottom w:w="0" w:type="dxa"/>
              <w:right w:w="0" w:type="dxa"/>
            </w:tcMar>
            <w:vAlign w:val="center"/>
            <w:hideMark/>
          </w:tcPr>
          <w:p w14:paraId="648C4142" w14:textId="77777777" w:rsidR="00000000" w:rsidRDefault="00097612">
            <w:pPr>
              <w:pStyle w:val="a3"/>
              <w:spacing w:before="0" w:beforeAutospacing="0" w:after="0" w:afterAutospacing="0"/>
              <w:divId w:val="909849449"/>
              <w:rPr>
                <w:sz w:val="20"/>
                <w:szCs w:val="20"/>
              </w:rPr>
            </w:pPr>
            <w:r>
              <w:rPr>
                <w:sz w:val="2"/>
                <w:szCs w:val="2"/>
              </w:rPr>
              <w:t>​</w:t>
            </w:r>
          </w:p>
        </w:tc>
        <w:tc>
          <w:tcPr>
            <w:tcW w:w="79" w:type="pct"/>
            <w:noWrap/>
            <w:tcMar>
              <w:top w:w="0" w:type="dxa"/>
              <w:left w:w="0" w:type="dxa"/>
              <w:bottom w:w="0" w:type="dxa"/>
              <w:right w:w="0" w:type="dxa"/>
            </w:tcMar>
            <w:vAlign w:val="bottom"/>
            <w:hideMark/>
          </w:tcPr>
          <w:p w14:paraId="73B05C50" w14:textId="77777777" w:rsidR="00000000" w:rsidRDefault="00097612">
            <w:pPr>
              <w:pStyle w:val="a3"/>
              <w:spacing w:before="0" w:beforeAutospacing="0" w:after="0" w:afterAutospacing="0"/>
              <w:divId w:val="874851173"/>
              <w:rPr>
                <w:sz w:val="20"/>
                <w:szCs w:val="20"/>
              </w:rPr>
            </w:pPr>
            <w:r>
              <w:rPr>
                <w:sz w:val="2"/>
                <w:szCs w:val="2"/>
              </w:rPr>
              <w:t>​</w:t>
            </w:r>
          </w:p>
        </w:tc>
      </w:tr>
      <w:tr w:rsidR="00000000" w14:paraId="3BAB8E01" w14:textId="77777777">
        <w:trPr>
          <w:divId w:val="954486307"/>
        </w:trPr>
        <w:tc>
          <w:tcPr>
            <w:tcW w:w="2809" w:type="pct"/>
            <w:shd w:val="clear" w:color="auto" w:fill="auto"/>
            <w:tcMar>
              <w:top w:w="0" w:type="dxa"/>
              <w:left w:w="0" w:type="dxa"/>
              <w:bottom w:w="0" w:type="dxa"/>
              <w:right w:w="0" w:type="dxa"/>
            </w:tcMar>
            <w:vAlign w:val="bottom"/>
            <w:hideMark/>
          </w:tcPr>
          <w:p w14:paraId="52C76DEF" w14:textId="77777777" w:rsidR="00000000" w:rsidRDefault="00097612">
            <w:pPr>
              <w:pStyle w:val="a3"/>
              <w:spacing w:before="0" w:beforeAutospacing="0" w:after="0" w:afterAutospacing="0"/>
              <w:rPr>
                <w:sz w:val="20"/>
                <w:szCs w:val="20"/>
              </w:rPr>
            </w:pPr>
            <w:r>
              <w:rPr>
                <w:b/>
                <w:bCs/>
                <w:sz w:val="16"/>
                <w:szCs w:val="16"/>
              </w:rPr>
              <w:t>​</w:t>
            </w:r>
          </w:p>
        </w:tc>
        <w:tc>
          <w:tcPr>
            <w:tcW w:w="88" w:type="pct"/>
            <w:shd w:val="clear" w:color="auto" w:fill="auto"/>
            <w:noWrap/>
            <w:tcMar>
              <w:top w:w="0" w:type="dxa"/>
              <w:left w:w="0" w:type="dxa"/>
              <w:bottom w:w="0" w:type="dxa"/>
              <w:right w:w="0" w:type="dxa"/>
            </w:tcMar>
            <w:vAlign w:val="bottom"/>
            <w:hideMark/>
          </w:tcPr>
          <w:p w14:paraId="47D14D7B" w14:textId="77777777" w:rsidR="00000000" w:rsidRDefault="00097612">
            <w:pPr>
              <w:pStyle w:val="a3"/>
              <w:spacing w:before="0" w:beforeAutospacing="0" w:after="0" w:afterAutospacing="0"/>
              <w:rPr>
                <w:sz w:val="20"/>
                <w:szCs w:val="20"/>
              </w:rPr>
            </w:pPr>
            <w:r>
              <w:rPr>
                <w:b/>
                <w:bCs/>
                <w:sz w:val="16"/>
                <w:szCs w:val="16"/>
              </w:rPr>
              <w:t>​</w:t>
            </w:r>
          </w:p>
        </w:tc>
        <w:tc>
          <w:tcPr>
            <w:tcW w:w="966" w:type="pct"/>
            <w:gridSpan w:val="5"/>
            <w:shd w:val="clear" w:color="auto" w:fill="auto"/>
            <w:tcMar>
              <w:top w:w="0" w:type="dxa"/>
              <w:left w:w="0" w:type="dxa"/>
              <w:bottom w:w="0" w:type="dxa"/>
              <w:right w:w="0" w:type="dxa"/>
            </w:tcMar>
            <w:vAlign w:val="bottom"/>
            <w:hideMark/>
          </w:tcPr>
          <w:p w14:paraId="4396317D"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88" w:type="pct"/>
            <w:shd w:val="clear" w:color="auto" w:fill="auto"/>
            <w:noWrap/>
            <w:tcMar>
              <w:top w:w="0" w:type="dxa"/>
              <w:left w:w="0" w:type="dxa"/>
              <w:bottom w:w="0" w:type="dxa"/>
              <w:right w:w="0" w:type="dxa"/>
            </w:tcMar>
            <w:vAlign w:val="bottom"/>
            <w:hideMark/>
          </w:tcPr>
          <w:p w14:paraId="73F55F06" w14:textId="77777777" w:rsidR="00000000" w:rsidRDefault="00097612">
            <w:pPr>
              <w:pStyle w:val="a3"/>
              <w:spacing w:before="0" w:beforeAutospacing="0" w:after="0" w:afterAutospacing="0"/>
              <w:rPr>
                <w:sz w:val="20"/>
                <w:szCs w:val="20"/>
              </w:rPr>
            </w:pPr>
            <w:r>
              <w:rPr>
                <w:b/>
                <w:bCs/>
                <w:sz w:val="16"/>
                <w:szCs w:val="16"/>
              </w:rPr>
              <w:t>​</w:t>
            </w:r>
          </w:p>
        </w:tc>
        <w:tc>
          <w:tcPr>
            <w:tcW w:w="966" w:type="pct"/>
            <w:gridSpan w:val="5"/>
            <w:shd w:val="clear" w:color="auto" w:fill="auto"/>
            <w:tcMar>
              <w:top w:w="0" w:type="dxa"/>
              <w:left w:w="0" w:type="dxa"/>
              <w:bottom w:w="0" w:type="dxa"/>
              <w:right w:w="0" w:type="dxa"/>
            </w:tcMar>
            <w:vAlign w:val="bottom"/>
            <w:hideMark/>
          </w:tcPr>
          <w:p w14:paraId="274B687C"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79" w:type="pct"/>
            <w:shd w:val="clear" w:color="auto" w:fill="auto"/>
            <w:noWrap/>
            <w:tcMar>
              <w:top w:w="0" w:type="dxa"/>
              <w:left w:w="0" w:type="dxa"/>
              <w:bottom w:w="0" w:type="dxa"/>
              <w:right w:w="0" w:type="dxa"/>
            </w:tcMar>
            <w:vAlign w:val="bottom"/>
            <w:hideMark/>
          </w:tcPr>
          <w:p w14:paraId="12F427E7" w14:textId="77777777" w:rsidR="00000000" w:rsidRDefault="00097612">
            <w:pPr>
              <w:pStyle w:val="a3"/>
              <w:spacing w:before="0" w:beforeAutospacing="0" w:after="0" w:afterAutospacing="0"/>
              <w:rPr>
                <w:sz w:val="20"/>
                <w:szCs w:val="20"/>
              </w:rPr>
            </w:pPr>
            <w:r>
              <w:rPr>
                <w:b/>
                <w:bCs/>
                <w:sz w:val="16"/>
                <w:szCs w:val="16"/>
              </w:rPr>
              <w:t>​</w:t>
            </w:r>
          </w:p>
        </w:tc>
      </w:tr>
      <w:tr w:rsidR="00000000" w14:paraId="7148499E" w14:textId="77777777">
        <w:trPr>
          <w:divId w:val="954486307"/>
        </w:trPr>
        <w:tc>
          <w:tcPr>
            <w:tcW w:w="2809" w:type="pct"/>
            <w:shd w:val="clear" w:color="auto" w:fill="auto"/>
            <w:tcMar>
              <w:top w:w="0" w:type="dxa"/>
              <w:left w:w="0" w:type="dxa"/>
              <w:bottom w:w="0" w:type="dxa"/>
              <w:right w:w="0" w:type="dxa"/>
            </w:tcMar>
            <w:vAlign w:val="bottom"/>
            <w:hideMark/>
          </w:tcPr>
          <w:p w14:paraId="3F7381F9" w14:textId="77777777" w:rsidR="00000000" w:rsidRDefault="00097612">
            <w:pPr>
              <w:pStyle w:val="a3"/>
              <w:spacing w:before="0" w:beforeAutospacing="0" w:after="0" w:afterAutospacing="0"/>
              <w:rPr>
                <w:sz w:val="20"/>
                <w:szCs w:val="20"/>
              </w:rPr>
            </w:pPr>
            <w:r>
              <w:rPr>
                <w:b/>
                <w:bCs/>
                <w:sz w:val="16"/>
                <w:szCs w:val="16"/>
              </w:rPr>
              <w:t>​</w:t>
            </w:r>
          </w:p>
        </w:tc>
        <w:tc>
          <w:tcPr>
            <w:tcW w:w="88" w:type="pct"/>
            <w:shd w:val="clear" w:color="auto" w:fill="auto"/>
            <w:noWrap/>
            <w:tcMar>
              <w:top w:w="0" w:type="dxa"/>
              <w:left w:w="0" w:type="dxa"/>
              <w:bottom w:w="0" w:type="dxa"/>
              <w:right w:w="0" w:type="dxa"/>
            </w:tcMar>
            <w:vAlign w:val="bottom"/>
            <w:hideMark/>
          </w:tcPr>
          <w:p w14:paraId="4D4DFD7B" w14:textId="77777777" w:rsidR="00000000" w:rsidRDefault="00097612">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shd w:val="clear" w:color="auto" w:fill="auto"/>
            <w:tcMar>
              <w:top w:w="0" w:type="dxa"/>
              <w:left w:w="0" w:type="dxa"/>
              <w:bottom w:w="0" w:type="dxa"/>
              <w:right w:w="0" w:type="dxa"/>
            </w:tcMar>
            <w:vAlign w:val="bottom"/>
            <w:hideMark/>
          </w:tcPr>
          <w:p w14:paraId="44023139"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88" w:type="pct"/>
            <w:shd w:val="clear" w:color="auto" w:fill="auto"/>
            <w:noWrap/>
            <w:tcMar>
              <w:top w:w="0" w:type="dxa"/>
              <w:left w:w="0" w:type="dxa"/>
              <w:bottom w:w="0" w:type="dxa"/>
              <w:right w:w="0" w:type="dxa"/>
            </w:tcMar>
            <w:vAlign w:val="bottom"/>
            <w:hideMark/>
          </w:tcPr>
          <w:p w14:paraId="232733DF" w14:textId="77777777" w:rsidR="00000000" w:rsidRDefault="00097612">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shd w:val="clear" w:color="auto" w:fill="auto"/>
            <w:tcMar>
              <w:top w:w="0" w:type="dxa"/>
              <w:left w:w="0" w:type="dxa"/>
              <w:bottom w:w="0" w:type="dxa"/>
              <w:right w:w="0" w:type="dxa"/>
            </w:tcMar>
            <w:vAlign w:val="bottom"/>
            <w:hideMark/>
          </w:tcPr>
          <w:p w14:paraId="31FDB586"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6D29A267" w14:textId="77777777" w:rsidR="00000000" w:rsidRDefault="00097612">
            <w:pPr>
              <w:pStyle w:val="a3"/>
              <w:spacing w:before="0" w:beforeAutospacing="0" w:after="0" w:afterAutospacing="0"/>
              <w:rPr>
                <w:sz w:val="20"/>
                <w:szCs w:val="20"/>
              </w:rPr>
            </w:pPr>
            <w:r>
              <w:rPr>
                <w:b/>
                <w:bCs/>
                <w:sz w:val="16"/>
                <w:szCs w:val="16"/>
              </w:rPr>
              <w:t>​</w:t>
            </w:r>
          </w:p>
        </w:tc>
      </w:tr>
      <w:tr w:rsidR="00000000" w14:paraId="25C45F9D" w14:textId="77777777">
        <w:trPr>
          <w:divId w:val="954486307"/>
        </w:trPr>
        <w:tc>
          <w:tcPr>
            <w:tcW w:w="2809" w:type="pct"/>
            <w:tcBorders>
              <w:bottom w:val="single" w:sz="6" w:space="0" w:color="000000"/>
            </w:tcBorders>
            <w:shd w:val="clear" w:color="auto" w:fill="auto"/>
            <w:tcMar>
              <w:top w:w="0" w:type="dxa"/>
              <w:left w:w="0" w:type="dxa"/>
              <w:bottom w:w="0" w:type="dxa"/>
              <w:right w:w="0" w:type="dxa"/>
            </w:tcMar>
            <w:vAlign w:val="bottom"/>
            <w:hideMark/>
          </w:tcPr>
          <w:p w14:paraId="7D3D2A81" w14:textId="77777777" w:rsidR="00000000" w:rsidRDefault="00097612">
            <w:pPr>
              <w:pStyle w:val="a3"/>
              <w:spacing w:before="0" w:beforeAutospacing="0" w:after="0" w:afterAutospacing="0"/>
              <w:rPr>
                <w:sz w:val="16"/>
                <w:szCs w:val="16"/>
              </w:rPr>
            </w:pPr>
            <w:r>
              <w:rPr>
                <w:b/>
                <w:bCs/>
                <w:sz w:val="16"/>
                <w:szCs w:val="16"/>
              </w:rPr>
              <w:t>(In thousands)</w:t>
            </w:r>
          </w:p>
        </w:tc>
        <w:tc>
          <w:tcPr>
            <w:tcW w:w="88" w:type="pct"/>
            <w:shd w:val="clear" w:color="auto" w:fill="auto"/>
            <w:noWrap/>
            <w:tcMar>
              <w:top w:w="0" w:type="dxa"/>
              <w:left w:w="0" w:type="dxa"/>
              <w:bottom w:w="0" w:type="dxa"/>
              <w:right w:w="0" w:type="dxa"/>
            </w:tcMar>
            <w:vAlign w:val="bottom"/>
            <w:hideMark/>
          </w:tcPr>
          <w:p w14:paraId="2E949DA9" w14:textId="77777777" w:rsidR="00000000" w:rsidRDefault="00097612">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14:paraId="16712D8B" w14:textId="77777777" w:rsidR="00000000" w:rsidRDefault="00097612">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14:paraId="0EECFC79" w14:textId="77777777" w:rsidR="00000000" w:rsidRDefault="00097612">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14:paraId="349E72AB" w14:textId="77777777" w:rsidR="00000000" w:rsidRDefault="00097612">
            <w:pPr>
              <w:pStyle w:val="a3"/>
              <w:spacing w:before="0" w:beforeAutospacing="0" w:after="0" w:afterAutospacing="0"/>
              <w:jc w:val="center"/>
              <w:rPr>
                <w:sz w:val="16"/>
                <w:szCs w:val="16"/>
              </w:rPr>
            </w:pPr>
            <w:r>
              <w:rPr>
                <w:b/>
                <w:bCs/>
                <w:sz w:val="16"/>
                <w:szCs w:val="16"/>
              </w:rPr>
              <w:t>2018</w:t>
            </w:r>
          </w:p>
        </w:tc>
        <w:tc>
          <w:tcPr>
            <w:tcW w:w="88" w:type="pct"/>
            <w:shd w:val="clear" w:color="auto" w:fill="auto"/>
            <w:noWrap/>
            <w:tcMar>
              <w:top w:w="0" w:type="dxa"/>
              <w:left w:w="0" w:type="dxa"/>
              <w:bottom w:w="0" w:type="dxa"/>
              <w:right w:w="0" w:type="dxa"/>
            </w:tcMar>
            <w:vAlign w:val="bottom"/>
            <w:hideMark/>
          </w:tcPr>
          <w:p w14:paraId="3DA1D340" w14:textId="77777777" w:rsidR="00000000" w:rsidRDefault="00097612">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14:paraId="043222E2" w14:textId="77777777" w:rsidR="00000000" w:rsidRDefault="00097612">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14:paraId="1270E968" w14:textId="77777777" w:rsidR="00000000" w:rsidRDefault="00097612">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14:paraId="10B70231"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57DBC93F" w14:textId="77777777" w:rsidR="00000000" w:rsidRDefault="00097612">
            <w:pPr>
              <w:pStyle w:val="a3"/>
              <w:spacing w:before="0" w:beforeAutospacing="0" w:after="0" w:afterAutospacing="0"/>
              <w:rPr>
                <w:sz w:val="16"/>
                <w:szCs w:val="16"/>
              </w:rPr>
            </w:pPr>
            <w:r>
              <w:rPr>
                <w:b/>
                <w:bCs/>
                <w:sz w:val="16"/>
                <w:szCs w:val="16"/>
              </w:rPr>
              <w:t>    </w:t>
            </w:r>
          </w:p>
        </w:tc>
      </w:tr>
      <w:tr w:rsidR="00000000" w14:paraId="6850633F" w14:textId="77777777">
        <w:trPr>
          <w:divId w:val="954486307"/>
        </w:trPr>
        <w:tc>
          <w:tcPr>
            <w:tcW w:w="2809" w:type="pct"/>
            <w:shd w:val="clear" w:color="auto" w:fill="CCEEFF"/>
            <w:tcMar>
              <w:top w:w="0" w:type="dxa"/>
              <w:left w:w="0" w:type="dxa"/>
              <w:bottom w:w="0" w:type="dxa"/>
              <w:right w:w="0" w:type="dxa"/>
            </w:tcMar>
            <w:vAlign w:val="bottom"/>
            <w:hideMark/>
          </w:tcPr>
          <w:p w14:paraId="7994C8D2" w14:textId="77777777" w:rsidR="00000000" w:rsidRDefault="00097612">
            <w:pPr>
              <w:pStyle w:val="a3"/>
              <w:spacing w:before="0" w:beforeAutospacing="0" w:after="0" w:afterAutospacing="0"/>
              <w:rPr>
                <w:sz w:val="20"/>
                <w:szCs w:val="20"/>
              </w:rPr>
            </w:pPr>
            <w:r>
              <w:rPr>
                <w:sz w:val="20"/>
                <w:szCs w:val="20"/>
              </w:rPr>
              <w:t>Janssen</w:t>
            </w:r>
          </w:p>
        </w:tc>
        <w:tc>
          <w:tcPr>
            <w:tcW w:w="88" w:type="pct"/>
            <w:shd w:val="clear" w:color="auto" w:fill="CCEEFF"/>
            <w:noWrap/>
            <w:tcMar>
              <w:top w:w="0" w:type="dxa"/>
              <w:left w:w="0" w:type="dxa"/>
              <w:bottom w:w="0" w:type="dxa"/>
              <w:right w:w="0" w:type="dxa"/>
            </w:tcMar>
            <w:vAlign w:val="bottom"/>
            <w:hideMark/>
          </w:tcPr>
          <w:p w14:paraId="5BE928BB" w14:textId="77777777" w:rsidR="00000000" w:rsidRDefault="00097612">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1ACC854C"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332275A6" w14:textId="77777777" w:rsidR="00000000" w:rsidRDefault="00097612">
            <w:pPr>
              <w:pStyle w:val="a3"/>
              <w:spacing w:before="0" w:beforeAutospacing="0" w:after="0" w:afterAutospacing="0"/>
              <w:ind w:right="60"/>
              <w:jc w:val="right"/>
              <w:rPr>
                <w:sz w:val="20"/>
                <w:szCs w:val="20"/>
              </w:rPr>
            </w:pPr>
            <w:r>
              <w:rPr>
                <w:sz w:val="20"/>
                <w:szCs w:val="20"/>
              </w:rPr>
              <w:t>930</w:t>
            </w:r>
          </w:p>
        </w:tc>
        <w:tc>
          <w:tcPr>
            <w:tcW w:w="88" w:type="pct"/>
            <w:shd w:val="clear" w:color="auto" w:fill="CCEEFF"/>
            <w:noWrap/>
            <w:tcMar>
              <w:top w:w="0" w:type="dxa"/>
              <w:left w:w="0" w:type="dxa"/>
              <w:bottom w:w="0" w:type="dxa"/>
              <w:right w:w="0" w:type="dxa"/>
            </w:tcMar>
            <w:vAlign w:val="bottom"/>
            <w:hideMark/>
          </w:tcPr>
          <w:p w14:paraId="4C082E41" w14:textId="77777777" w:rsidR="00000000" w:rsidRDefault="00097612">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70E3625B"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5E4128BB" w14:textId="77777777" w:rsidR="00000000" w:rsidRDefault="00097612">
            <w:pPr>
              <w:pStyle w:val="a3"/>
              <w:spacing w:before="0" w:beforeAutospacing="0" w:after="0" w:afterAutospacing="0"/>
              <w:ind w:right="60"/>
              <w:jc w:val="right"/>
              <w:rPr>
                <w:sz w:val="20"/>
                <w:szCs w:val="20"/>
              </w:rPr>
            </w:pPr>
            <w:r>
              <w:rPr>
                <w:sz w:val="20"/>
                <w:szCs w:val="20"/>
              </w:rPr>
              <w:t>610</w:t>
            </w:r>
          </w:p>
        </w:tc>
        <w:tc>
          <w:tcPr>
            <w:tcW w:w="88" w:type="pct"/>
            <w:shd w:val="clear" w:color="auto" w:fill="CCEEFF"/>
            <w:noWrap/>
            <w:tcMar>
              <w:top w:w="0" w:type="dxa"/>
              <w:left w:w="0" w:type="dxa"/>
              <w:bottom w:w="0" w:type="dxa"/>
              <w:right w:w="0" w:type="dxa"/>
            </w:tcMar>
            <w:vAlign w:val="bottom"/>
            <w:hideMark/>
          </w:tcPr>
          <w:p w14:paraId="04C46887" w14:textId="77777777" w:rsidR="00000000" w:rsidRDefault="00097612">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7DEAA74E"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2E21583E" w14:textId="77777777" w:rsidR="00000000" w:rsidRDefault="00097612">
            <w:pPr>
              <w:pStyle w:val="a3"/>
              <w:spacing w:before="0" w:beforeAutospacing="0" w:after="0" w:afterAutospacing="0"/>
              <w:ind w:right="60"/>
              <w:jc w:val="right"/>
              <w:rPr>
                <w:sz w:val="20"/>
                <w:szCs w:val="20"/>
              </w:rPr>
            </w:pPr>
            <w:r>
              <w:rPr>
                <w:sz w:val="20"/>
                <w:szCs w:val="20"/>
              </w:rPr>
              <w:t>3,125</w:t>
            </w:r>
          </w:p>
        </w:tc>
        <w:tc>
          <w:tcPr>
            <w:tcW w:w="88" w:type="pct"/>
            <w:shd w:val="clear" w:color="auto" w:fill="CCEEFF"/>
            <w:noWrap/>
            <w:tcMar>
              <w:top w:w="0" w:type="dxa"/>
              <w:left w:w="0" w:type="dxa"/>
              <w:bottom w:w="0" w:type="dxa"/>
              <w:right w:w="0" w:type="dxa"/>
            </w:tcMar>
            <w:vAlign w:val="bottom"/>
            <w:hideMark/>
          </w:tcPr>
          <w:p w14:paraId="50431492" w14:textId="77777777" w:rsidR="00000000" w:rsidRDefault="00097612">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14:paraId="3878FAE8"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143E7644" w14:textId="77777777" w:rsidR="00000000" w:rsidRDefault="00097612">
            <w:pPr>
              <w:pStyle w:val="a3"/>
              <w:spacing w:before="0" w:beforeAutospacing="0" w:after="0" w:afterAutospacing="0"/>
              <w:ind w:right="60"/>
              <w:jc w:val="right"/>
              <w:rPr>
                <w:sz w:val="20"/>
                <w:szCs w:val="20"/>
              </w:rPr>
            </w:pPr>
            <w:r>
              <w:rPr>
                <w:sz w:val="20"/>
                <w:szCs w:val="20"/>
              </w:rPr>
              <w:t>610</w:t>
            </w:r>
          </w:p>
        </w:tc>
        <w:tc>
          <w:tcPr>
            <w:tcW w:w="79" w:type="pct"/>
            <w:shd w:val="clear" w:color="auto" w:fill="CCEEFF"/>
            <w:noWrap/>
            <w:tcMar>
              <w:top w:w="0" w:type="dxa"/>
              <w:left w:w="0" w:type="dxa"/>
              <w:bottom w:w="0" w:type="dxa"/>
              <w:right w:w="0" w:type="dxa"/>
            </w:tcMar>
            <w:vAlign w:val="bottom"/>
            <w:hideMark/>
          </w:tcPr>
          <w:p w14:paraId="3B4BDC54" w14:textId="77777777" w:rsidR="00000000" w:rsidRDefault="00097612">
            <w:pPr>
              <w:pStyle w:val="a3"/>
              <w:spacing w:before="0" w:beforeAutospacing="0" w:after="0" w:afterAutospacing="0"/>
              <w:rPr>
                <w:sz w:val="20"/>
                <w:szCs w:val="20"/>
              </w:rPr>
            </w:pPr>
            <w:r>
              <w:rPr>
                <w:b/>
                <w:bCs/>
                <w:sz w:val="20"/>
                <w:szCs w:val="20"/>
              </w:rPr>
              <w:t>​</w:t>
            </w:r>
          </w:p>
        </w:tc>
      </w:tr>
      <w:tr w:rsidR="00000000" w14:paraId="74AB2B43" w14:textId="77777777">
        <w:trPr>
          <w:divId w:val="954486307"/>
        </w:trPr>
        <w:tc>
          <w:tcPr>
            <w:tcW w:w="2809" w:type="pct"/>
            <w:tcMar>
              <w:top w:w="0" w:type="dxa"/>
              <w:left w:w="0" w:type="dxa"/>
              <w:bottom w:w="0" w:type="dxa"/>
              <w:right w:w="0" w:type="dxa"/>
            </w:tcMar>
            <w:vAlign w:val="bottom"/>
            <w:hideMark/>
          </w:tcPr>
          <w:p w14:paraId="6EFC54D4" w14:textId="77777777" w:rsidR="00000000" w:rsidRDefault="00097612">
            <w:pPr>
              <w:pStyle w:val="a3"/>
              <w:spacing w:before="0" w:beforeAutospacing="0" w:after="0" w:afterAutospacing="0"/>
              <w:rPr>
                <w:sz w:val="20"/>
                <w:szCs w:val="20"/>
              </w:rPr>
            </w:pPr>
            <w:r>
              <w:rPr>
                <w:sz w:val="20"/>
                <w:szCs w:val="20"/>
              </w:rPr>
              <w:t>Mylan</w:t>
            </w:r>
          </w:p>
        </w:tc>
        <w:tc>
          <w:tcPr>
            <w:tcW w:w="88" w:type="pct"/>
            <w:noWrap/>
            <w:tcMar>
              <w:top w:w="0" w:type="dxa"/>
              <w:left w:w="0" w:type="dxa"/>
              <w:bottom w:w="0" w:type="dxa"/>
              <w:right w:w="0" w:type="dxa"/>
            </w:tcMar>
            <w:vAlign w:val="bottom"/>
            <w:hideMark/>
          </w:tcPr>
          <w:p w14:paraId="614F4D43" w14:textId="77777777" w:rsidR="00000000" w:rsidRDefault="00097612">
            <w:pPr>
              <w:pStyle w:val="a3"/>
              <w:spacing w:before="0" w:beforeAutospacing="0" w:after="0" w:afterAutospacing="0"/>
              <w:rPr>
                <w:sz w:val="20"/>
                <w:szCs w:val="20"/>
              </w:rPr>
            </w:pPr>
            <w:r>
              <w:rPr>
                <w:b/>
                <w:bCs/>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3A53F41C"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center"/>
            <w:hideMark/>
          </w:tcPr>
          <w:p w14:paraId="41C897CF" w14:textId="77777777" w:rsidR="00000000" w:rsidRDefault="00097612">
            <w:pPr>
              <w:pStyle w:val="a3"/>
              <w:spacing w:before="0" w:beforeAutospacing="0" w:after="0" w:afterAutospacing="0"/>
              <w:ind w:right="60"/>
              <w:jc w:val="right"/>
              <w:rPr>
                <w:sz w:val="20"/>
                <w:szCs w:val="20"/>
              </w:rPr>
            </w:pPr>
            <w:r>
              <w:rPr>
                <w:sz w:val="20"/>
                <w:szCs w:val="20"/>
              </w:rPr>
              <w:t>53</w:t>
            </w:r>
          </w:p>
        </w:tc>
        <w:tc>
          <w:tcPr>
            <w:tcW w:w="88" w:type="pct"/>
            <w:noWrap/>
            <w:tcMar>
              <w:top w:w="0" w:type="dxa"/>
              <w:left w:w="0" w:type="dxa"/>
              <w:bottom w:w="0" w:type="dxa"/>
              <w:right w:w="0" w:type="dxa"/>
            </w:tcMar>
            <w:vAlign w:val="bottom"/>
            <w:hideMark/>
          </w:tcPr>
          <w:p w14:paraId="4774BE89" w14:textId="77777777" w:rsidR="00000000" w:rsidRDefault="00097612">
            <w:pPr>
              <w:pStyle w:val="a3"/>
              <w:spacing w:before="0" w:beforeAutospacing="0" w:after="0" w:afterAutospacing="0"/>
              <w:rPr>
                <w:sz w:val="20"/>
                <w:szCs w:val="20"/>
              </w:rPr>
            </w:pPr>
            <w:r>
              <w:rPr>
                <w:b/>
                <w:bCs/>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64BE5B8B"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center"/>
            <w:hideMark/>
          </w:tcPr>
          <w:p w14:paraId="75CAD22A" w14:textId="77777777" w:rsidR="00000000" w:rsidRDefault="00097612">
            <w:pPr>
              <w:pStyle w:val="a3"/>
              <w:spacing w:before="0" w:beforeAutospacing="0" w:after="0" w:afterAutospacing="0"/>
              <w:ind w:right="60"/>
              <w:jc w:val="right"/>
              <w:rPr>
                <w:sz w:val="20"/>
                <w:szCs w:val="20"/>
              </w:rPr>
            </w:pPr>
            <w:r>
              <w:rPr>
                <w:sz w:val="20"/>
                <w:szCs w:val="20"/>
              </w:rPr>
              <w:t>2,598</w:t>
            </w:r>
          </w:p>
        </w:tc>
        <w:tc>
          <w:tcPr>
            <w:tcW w:w="88" w:type="pct"/>
            <w:noWrap/>
            <w:tcMar>
              <w:top w:w="0" w:type="dxa"/>
              <w:left w:w="0" w:type="dxa"/>
              <w:bottom w:w="0" w:type="dxa"/>
              <w:right w:w="0" w:type="dxa"/>
            </w:tcMar>
            <w:vAlign w:val="bottom"/>
            <w:hideMark/>
          </w:tcPr>
          <w:p w14:paraId="00ED79F7" w14:textId="77777777" w:rsidR="00000000" w:rsidRDefault="00097612">
            <w:pPr>
              <w:pStyle w:val="a3"/>
              <w:spacing w:before="0" w:beforeAutospacing="0" w:after="0" w:afterAutospacing="0"/>
              <w:rPr>
                <w:sz w:val="20"/>
                <w:szCs w:val="20"/>
              </w:rPr>
            </w:pPr>
            <w:r>
              <w:rPr>
                <w:b/>
                <w:bCs/>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316CB101"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center"/>
            <w:hideMark/>
          </w:tcPr>
          <w:p w14:paraId="31CF36A7" w14:textId="77777777" w:rsidR="00000000" w:rsidRDefault="00097612">
            <w:pPr>
              <w:pStyle w:val="a3"/>
              <w:spacing w:before="0" w:beforeAutospacing="0" w:after="0" w:afterAutospacing="0"/>
              <w:ind w:right="60"/>
              <w:jc w:val="right"/>
              <w:rPr>
                <w:sz w:val="20"/>
                <w:szCs w:val="20"/>
              </w:rPr>
            </w:pPr>
            <w:r>
              <w:rPr>
                <w:sz w:val="20"/>
                <w:szCs w:val="20"/>
              </w:rPr>
              <w:t>287</w:t>
            </w:r>
          </w:p>
        </w:tc>
        <w:tc>
          <w:tcPr>
            <w:tcW w:w="88" w:type="pct"/>
            <w:noWrap/>
            <w:tcMar>
              <w:top w:w="0" w:type="dxa"/>
              <w:left w:w="0" w:type="dxa"/>
              <w:bottom w:w="0" w:type="dxa"/>
              <w:right w:w="0" w:type="dxa"/>
            </w:tcMar>
            <w:vAlign w:val="bottom"/>
            <w:hideMark/>
          </w:tcPr>
          <w:p w14:paraId="757067FD" w14:textId="77777777" w:rsidR="00000000" w:rsidRDefault="00097612">
            <w:pPr>
              <w:pStyle w:val="a3"/>
              <w:spacing w:before="0" w:beforeAutospacing="0" w:after="0" w:afterAutospacing="0"/>
              <w:rPr>
                <w:sz w:val="20"/>
                <w:szCs w:val="20"/>
              </w:rPr>
            </w:pPr>
            <w:r>
              <w:rPr>
                <w:b/>
                <w:bCs/>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745249C2"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center"/>
            <w:hideMark/>
          </w:tcPr>
          <w:p w14:paraId="13E48ED7" w14:textId="77777777" w:rsidR="00000000" w:rsidRDefault="00097612">
            <w:pPr>
              <w:pStyle w:val="a3"/>
              <w:spacing w:before="0" w:beforeAutospacing="0" w:after="0" w:afterAutospacing="0"/>
              <w:ind w:right="60"/>
              <w:jc w:val="right"/>
              <w:rPr>
                <w:sz w:val="20"/>
                <w:szCs w:val="20"/>
              </w:rPr>
            </w:pPr>
            <w:r>
              <w:rPr>
                <w:sz w:val="20"/>
                <w:szCs w:val="20"/>
              </w:rPr>
              <w:t>5,843</w:t>
            </w:r>
          </w:p>
        </w:tc>
        <w:tc>
          <w:tcPr>
            <w:tcW w:w="79" w:type="pct"/>
            <w:noWrap/>
            <w:tcMar>
              <w:top w:w="0" w:type="dxa"/>
              <w:left w:w="0" w:type="dxa"/>
              <w:bottom w:w="0" w:type="dxa"/>
              <w:right w:w="0" w:type="dxa"/>
            </w:tcMar>
            <w:vAlign w:val="bottom"/>
            <w:hideMark/>
          </w:tcPr>
          <w:p w14:paraId="42488F38" w14:textId="77777777" w:rsidR="00000000" w:rsidRDefault="00097612">
            <w:pPr>
              <w:pStyle w:val="a3"/>
              <w:spacing w:before="0" w:beforeAutospacing="0" w:after="0" w:afterAutospacing="0"/>
              <w:rPr>
                <w:sz w:val="20"/>
                <w:szCs w:val="20"/>
              </w:rPr>
            </w:pPr>
            <w:r>
              <w:rPr>
                <w:b/>
                <w:bCs/>
                <w:sz w:val="20"/>
                <w:szCs w:val="20"/>
              </w:rPr>
              <w:t>​</w:t>
            </w:r>
          </w:p>
        </w:tc>
      </w:tr>
      <w:tr w:rsidR="00000000" w14:paraId="47293621" w14:textId="77777777">
        <w:trPr>
          <w:divId w:val="954486307"/>
        </w:trPr>
        <w:tc>
          <w:tcPr>
            <w:tcW w:w="2809" w:type="pct"/>
            <w:shd w:val="clear" w:color="auto" w:fill="CCEEFF"/>
            <w:tcMar>
              <w:top w:w="0" w:type="dxa"/>
              <w:left w:w="0" w:type="dxa"/>
              <w:bottom w:w="0" w:type="dxa"/>
              <w:right w:w="0" w:type="dxa"/>
            </w:tcMar>
            <w:vAlign w:val="bottom"/>
            <w:hideMark/>
          </w:tcPr>
          <w:p w14:paraId="65A793F6" w14:textId="77777777" w:rsidR="00000000" w:rsidRDefault="00097612">
            <w:pPr>
              <w:pStyle w:val="a3"/>
              <w:spacing w:before="0" w:beforeAutospacing="0" w:after="0" w:afterAutospacing="0"/>
              <w:ind w:left="240"/>
              <w:rPr>
                <w:sz w:val="20"/>
                <w:szCs w:val="20"/>
              </w:rPr>
            </w:pPr>
            <w:r>
              <w:rPr>
                <w:sz w:val="20"/>
                <w:szCs w:val="20"/>
              </w:rPr>
              <w:t>Total reduction to R&amp;D expense</w:t>
            </w:r>
          </w:p>
        </w:tc>
        <w:tc>
          <w:tcPr>
            <w:tcW w:w="88" w:type="pct"/>
            <w:shd w:val="clear" w:color="auto" w:fill="CCEEFF"/>
            <w:noWrap/>
            <w:tcMar>
              <w:top w:w="0" w:type="dxa"/>
              <w:left w:w="0" w:type="dxa"/>
              <w:bottom w:w="0" w:type="dxa"/>
              <w:right w:w="0" w:type="dxa"/>
            </w:tcMar>
            <w:vAlign w:val="bottom"/>
            <w:hideMark/>
          </w:tcPr>
          <w:p w14:paraId="68E4307D"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15250960"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48E552CF" w14:textId="77777777" w:rsidR="00000000" w:rsidRDefault="00097612">
            <w:pPr>
              <w:pStyle w:val="a3"/>
              <w:spacing w:before="0" w:beforeAutospacing="0" w:after="0" w:afterAutospacing="0"/>
              <w:ind w:right="60"/>
              <w:jc w:val="right"/>
              <w:rPr>
                <w:sz w:val="20"/>
                <w:szCs w:val="20"/>
              </w:rPr>
            </w:pPr>
            <w:r>
              <w:rPr>
                <w:sz w:val="20"/>
                <w:szCs w:val="20"/>
              </w:rPr>
              <w:t>983</w:t>
            </w:r>
          </w:p>
        </w:tc>
        <w:tc>
          <w:tcPr>
            <w:tcW w:w="88" w:type="pct"/>
            <w:shd w:val="clear" w:color="auto" w:fill="CCEEFF"/>
            <w:noWrap/>
            <w:tcMar>
              <w:top w:w="0" w:type="dxa"/>
              <w:left w:w="0" w:type="dxa"/>
              <w:bottom w:w="0" w:type="dxa"/>
              <w:right w:w="0" w:type="dxa"/>
            </w:tcMar>
            <w:vAlign w:val="bottom"/>
            <w:hideMark/>
          </w:tcPr>
          <w:p w14:paraId="20A6AC1D"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35259101"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7D389D3D" w14:textId="77777777" w:rsidR="00000000" w:rsidRDefault="00097612">
            <w:pPr>
              <w:pStyle w:val="a3"/>
              <w:spacing w:before="0" w:beforeAutospacing="0" w:after="0" w:afterAutospacing="0"/>
              <w:ind w:right="60"/>
              <w:jc w:val="right"/>
              <w:rPr>
                <w:sz w:val="20"/>
                <w:szCs w:val="20"/>
              </w:rPr>
            </w:pPr>
            <w:r>
              <w:rPr>
                <w:sz w:val="20"/>
                <w:szCs w:val="20"/>
              </w:rPr>
              <w:t>3,208</w:t>
            </w:r>
          </w:p>
        </w:tc>
        <w:tc>
          <w:tcPr>
            <w:tcW w:w="88" w:type="pct"/>
            <w:shd w:val="clear" w:color="auto" w:fill="CCEEFF"/>
            <w:noWrap/>
            <w:tcMar>
              <w:top w:w="0" w:type="dxa"/>
              <w:left w:w="0" w:type="dxa"/>
              <w:bottom w:w="0" w:type="dxa"/>
              <w:right w:w="0" w:type="dxa"/>
            </w:tcMar>
            <w:vAlign w:val="bottom"/>
            <w:hideMark/>
          </w:tcPr>
          <w:p w14:paraId="7FF5311B"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7C69D410"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02F96260" w14:textId="77777777" w:rsidR="00000000" w:rsidRDefault="00097612">
            <w:pPr>
              <w:pStyle w:val="a3"/>
              <w:spacing w:before="0" w:beforeAutospacing="0" w:after="0" w:afterAutospacing="0"/>
              <w:ind w:right="60"/>
              <w:jc w:val="right"/>
              <w:rPr>
                <w:sz w:val="20"/>
                <w:szCs w:val="20"/>
              </w:rPr>
            </w:pPr>
            <w:r>
              <w:rPr>
                <w:sz w:val="20"/>
                <w:szCs w:val="20"/>
              </w:rPr>
              <w:t>3,412</w:t>
            </w:r>
          </w:p>
        </w:tc>
        <w:tc>
          <w:tcPr>
            <w:tcW w:w="88" w:type="pct"/>
            <w:shd w:val="clear" w:color="auto" w:fill="CCEEFF"/>
            <w:noWrap/>
            <w:tcMar>
              <w:top w:w="0" w:type="dxa"/>
              <w:left w:w="0" w:type="dxa"/>
              <w:bottom w:w="0" w:type="dxa"/>
              <w:right w:w="0" w:type="dxa"/>
            </w:tcMar>
            <w:vAlign w:val="bottom"/>
            <w:hideMark/>
          </w:tcPr>
          <w:p w14:paraId="343FBA64"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0BDE6D0B"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6F09F9E3" w14:textId="77777777" w:rsidR="00000000" w:rsidRDefault="00097612">
            <w:pPr>
              <w:pStyle w:val="a3"/>
              <w:spacing w:before="0" w:beforeAutospacing="0" w:after="0" w:afterAutospacing="0"/>
              <w:ind w:right="60"/>
              <w:jc w:val="right"/>
              <w:rPr>
                <w:sz w:val="20"/>
                <w:szCs w:val="20"/>
              </w:rPr>
            </w:pPr>
            <w:r>
              <w:rPr>
                <w:sz w:val="20"/>
                <w:szCs w:val="20"/>
              </w:rPr>
              <w:t>6,453</w:t>
            </w:r>
          </w:p>
        </w:tc>
        <w:tc>
          <w:tcPr>
            <w:tcW w:w="79" w:type="pct"/>
            <w:shd w:val="clear" w:color="auto" w:fill="CCEEFF"/>
            <w:noWrap/>
            <w:tcMar>
              <w:top w:w="0" w:type="dxa"/>
              <w:left w:w="0" w:type="dxa"/>
              <w:bottom w:w="0" w:type="dxa"/>
              <w:right w:w="0" w:type="dxa"/>
            </w:tcMar>
            <w:vAlign w:val="bottom"/>
            <w:hideMark/>
          </w:tcPr>
          <w:p w14:paraId="6CC470D3" w14:textId="77777777" w:rsidR="00000000" w:rsidRDefault="00097612">
            <w:pPr>
              <w:pStyle w:val="a3"/>
              <w:spacing w:before="0" w:beforeAutospacing="0" w:after="0" w:afterAutospacing="0"/>
              <w:rPr>
                <w:sz w:val="20"/>
                <w:szCs w:val="20"/>
              </w:rPr>
            </w:pPr>
            <w:r>
              <w:rPr>
                <w:sz w:val="20"/>
                <w:szCs w:val="20"/>
              </w:rPr>
              <w:t>​</w:t>
            </w:r>
          </w:p>
        </w:tc>
      </w:tr>
    </w:tbl>
    <w:p w14:paraId="130E63FC" w14:textId="77777777" w:rsidR="00000000" w:rsidRDefault="00097612">
      <w:pPr>
        <w:pStyle w:val="a3"/>
        <w:spacing w:before="0" w:beforeAutospacing="0" w:after="0" w:afterAutospacing="0"/>
        <w:divId w:val="954486307"/>
        <w:rPr>
          <w:sz w:val="20"/>
          <w:szCs w:val="20"/>
        </w:rPr>
      </w:pPr>
      <w:r>
        <w:rPr>
          <w:sz w:val="20"/>
          <w:szCs w:val="20"/>
        </w:rPr>
        <w:t>​</w:t>
      </w:r>
    </w:p>
    <w:p w14:paraId="2A1E85C7" w14:textId="77777777" w:rsidR="00000000" w:rsidRDefault="00097612">
      <w:pPr>
        <w:pStyle w:val="a3"/>
        <w:spacing w:before="0" w:beforeAutospacing="0" w:after="0" w:afterAutospacing="0"/>
        <w:divId w:val="954486307"/>
        <w:rPr>
          <w:sz w:val="20"/>
          <w:szCs w:val="20"/>
        </w:rPr>
      </w:pPr>
      <w:r>
        <w:rPr>
          <w:b/>
          <w:bCs/>
          <w:i/>
          <w:iCs/>
          <w:sz w:val="20"/>
          <w:szCs w:val="20"/>
        </w:rPr>
        <w:t>Revenue from Licensing Arrangements</w:t>
      </w:r>
    </w:p>
    <w:p w14:paraId="6FFEE4DA" w14:textId="77777777" w:rsidR="00000000" w:rsidRDefault="00097612">
      <w:pPr>
        <w:pStyle w:val="a3"/>
        <w:spacing w:before="0" w:beforeAutospacing="0" w:after="0" w:afterAutospacing="0"/>
        <w:divId w:val="954486307"/>
        <w:rPr>
          <w:sz w:val="20"/>
          <w:szCs w:val="20"/>
        </w:rPr>
      </w:pPr>
      <w:r>
        <w:rPr>
          <w:b/>
          <w:bCs/>
          <w:i/>
          <w:iCs/>
          <w:sz w:val="10"/>
          <w:szCs w:val="10"/>
        </w:rPr>
        <w:t>​</w:t>
      </w:r>
    </w:p>
    <w:p w14:paraId="209E7CED" w14:textId="77777777" w:rsidR="00000000" w:rsidRDefault="00097612">
      <w:pPr>
        <w:pStyle w:val="a3"/>
        <w:spacing w:before="0" w:beforeAutospacing="0" w:after="0" w:afterAutospacing="0"/>
        <w:ind w:firstLine="720"/>
        <w:divId w:val="954486307"/>
        <w:rPr>
          <w:sz w:val="20"/>
          <w:szCs w:val="20"/>
        </w:rPr>
      </w:pPr>
      <w:r>
        <w:rPr>
          <w:sz w:val="20"/>
          <w:szCs w:val="20"/>
          <w:shd w:val="clear" w:color="auto" w:fill="FFFFFF"/>
        </w:rPr>
        <w:t>In June 2019, the Company announced the expansion of the Mylan Agreement (the “Mylan Amendment”</w:t>
      </w:r>
      <w:r>
        <w:rPr>
          <w:sz w:val="20"/>
          <w:szCs w:val="20"/>
          <w:shd w:val="clear" w:color="auto" w:fill="FFFFFF"/>
        </w:rPr>
        <w:t>) to grant Mylan exclusive development and commercialization rights to nebulized revefenacin in China and adjacent territories. In exchange, the Company received an upfront payment of $18.5 million (before a required tax withholding) and will be eligible t</w:t>
      </w:r>
      <w:r>
        <w:rPr>
          <w:sz w:val="20"/>
          <w:szCs w:val="20"/>
          <w:shd w:val="clear" w:color="auto" w:fill="FFFFFF"/>
        </w:rPr>
        <w:t>o receive potential development and sales milestones totaling $54.0 million together with low double-digit tiered royalties on net sales of nebulized revefenacin, if approved. Of the $54.0 million in potential milestones, $9.0 million is associated with th</w:t>
      </w:r>
      <w:r>
        <w:rPr>
          <w:sz w:val="20"/>
          <w:szCs w:val="20"/>
          <w:shd w:val="clear" w:color="auto" w:fill="FFFFFF"/>
        </w:rPr>
        <w:t xml:space="preserve">e development of </w:t>
      </w:r>
      <w:r>
        <w:rPr>
          <w:sz w:val="20"/>
          <w:szCs w:val="20"/>
        </w:rPr>
        <w:t xml:space="preserve">YUPELRI monotherapy, $7.5 million associated with the development of future potential combination products, and </w:t>
      </w:r>
      <w:r>
        <w:rPr>
          <w:sz w:val="20"/>
          <w:szCs w:val="20"/>
          <w:shd w:val="clear" w:color="auto" w:fill="FFFFFF"/>
        </w:rPr>
        <w:t>$37.5 million is associated with sales milestones. Mylan will be responsible for all aspects of development and commercializati</w:t>
      </w:r>
      <w:r>
        <w:rPr>
          <w:sz w:val="20"/>
          <w:szCs w:val="20"/>
          <w:shd w:val="clear" w:color="auto" w:fill="FFFFFF"/>
        </w:rPr>
        <w:t xml:space="preserve">on in the partnered regions, including pre- and post-launch activities and product registration and all associated costs. </w:t>
      </w:r>
    </w:p>
    <w:p w14:paraId="7B2B6224" w14:textId="77777777" w:rsidR="00000000" w:rsidRDefault="00097612">
      <w:pPr>
        <w:pStyle w:val="a3"/>
        <w:spacing w:before="0" w:beforeAutospacing="0" w:after="0" w:afterAutospacing="0"/>
        <w:divId w:val="954486307"/>
        <w:rPr>
          <w:sz w:val="20"/>
          <w:szCs w:val="20"/>
        </w:rPr>
      </w:pPr>
      <w:r>
        <w:rPr>
          <w:sz w:val="20"/>
          <w:szCs w:val="20"/>
        </w:rPr>
        <w:t>​</w:t>
      </w:r>
    </w:p>
    <w:p w14:paraId="4A60FB4F" w14:textId="77777777" w:rsidR="00000000" w:rsidRDefault="00097612">
      <w:pPr>
        <w:pStyle w:val="a3"/>
        <w:spacing w:before="0" w:beforeAutospacing="0" w:after="0" w:afterAutospacing="0"/>
        <w:ind w:firstLine="720"/>
        <w:divId w:val="954486307"/>
        <w:rPr>
          <w:sz w:val="20"/>
          <w:szCs w:val="20"/>
        </w:rPr>
      </w:pPr>
      <w:r>
        <w:rPr>
          <w:sz w:val="20"/>
          <w:szCs w:val="20"/>
          <w:shd w:val="clear" w:color="auto" w:fill="FFFFFF"/>
        </w:rPr>
        <w:t>The Mylan Amendment is accounted for under ASC 606 as a separate contract from the original Mylan Agreement that was entered into in January 2015. The Company identified a</w:t>
      </w:r>
      <w:r>
        <w:rPr>
          <w:sz w:val="20"/>
          <w:szCs w:val="20"/>
        </w:rPr>
        <w:t xml:space="preserve"> single performance obligation comprising of the delivery of the license to develop a</w:t>
      </w:r>
      <w:r>
        <w:rPr>
          <w:sz w:val="20"/>
          <w:szCs w:val="20"/>
        </w:rPr>
        <w:t>nd commercialize revefenacin in China and adjacent territories. The transaction price was determined to be the upfront payment of $18.5 million</w:t>
      </w:r>
      <w:r>
        <w:rPr>
          <w:sz w:val="20"/>
          <w:szCs w:val="20"/>
          <w:shd w:val="clear" w:color="auto" w:fill="FFFFFF"/>
        </w:rPr>
        <w:t xml:space="preserve"> </w:t>
      </w:r>
      <w:r>
        <w:rPr>
          <w:sz w:val="20"/>
          <w:szCs w:val="20"/>
        </w:rPr>
        <w:t>which the Company recognized as licensing revenue following the completion of the performance obligation in June</w:t>
      </w:r>
      <w:r>
        <w:rPr>
          <w:sz w:val="20"/>
          <w:szCs w:val="20"/>
        </w:rPr>
        <w:t xml:space="preserve"> 2019. </w:t>
      </w:r>
    </w:p>
    <w:p w14:paraId="0595E5D6" w14:textId="77777777" w:rsidR="00000000" w:rsidRDefault="00097612">
      <w:pPr>
        <w:pStyle w:val="a3"/>
        <w:spacing w:before="0" w:beforeAutospacing="0" w:after="0" w:afterAutospacing="0"/>
        <w:ind w:firstLine="720"/>
        <w:divId w:val="954486307"/>
        <w:rPr>
          <w:sz w:val="20"/>
          <w:szCs w:val="20"/>
        </w:rPr>
      </w:pPr>
      <w:r>
        <w:rPr>
          <w:sz w:val="20"/>
          <w:szCs w:val="20"/>
        </w:rPr>
        <w:t>​</w:t>
      </w:r>
    </w:p>
    <w:p w14:paraId="629EF7F1" w14:textId="77777777" w:rsidR="00000000" w:rsidRDefault="00097612">
      <w:pPr>
        <w:pStyle w:val="a3"/>
        <w:spacing w:before="0" w:beforeAutospacing="0" w:after="0" w:afterAutospacing="0"/>
        <w:ind w:firstLine="720"/>
        <w:divId w:val="954486307"/>
        <w:rPr>
          <w:sz w:val="20"/>
          <w:szCs w:val="20"/>
        </w:rPr>
      </w:pPr>
      <w:r>
        <w:rPr>
          <w:sz w:val="20"/>
          <w:szCs w:val="20"/>
        </w:rPr>
        <w:t>The future potential milestone amounts for</w:t>
      </w:r>
      <w:r>
        <w:rPr>
          <w:color w:val="FF0000"/>
          <w:sz w:val="20"/>
          <w:szCs w:val="20"/>
        </w:rPr>
        <w:t xml:space="preserve"> </w:t>
      </w:r>
      <w:r>
        <w:rPr>
          <w:sz w:val="20"/>
          <w:szCs w:val="20"/>
        </w:rPr>
        <w:t>the Mylan Amendment were not included in the transaction price, as they were all determined to be fully constrained following the concepts of ASC 606. As part of the Company’s evaluation of the developme</w:t>
      </w:r>
      <w:r>
        <w:rPr>
          <w:sz w:val="20"/>
          <w:szCs w:val="20"/>
        </w:rPr>
        <w:t>nt milestones constraint, the Company determined that the achievement of such milestones is contingent upon success in future clinical trials and regulatory approvals which are not within its control and uncertain at this stage. The Company expects that th</w:t>
      </w:r>
      <w:r>
        <w:rPr>
          <w:sz w:val="20"/>
          <w:szCs w:val="20"/>
        </w:rPr>
        <w:t>e sales-based milestone payments and royalty arrangements will be recognized when the sales occur or the milestone is achieved. The Company will re-evaluate the transaction price each quarter and as uncertain events are resolved or other changes in circums</w:t>
      </w:r>
      <w:r>
        <w:rPr>
          <w:sz w:val="20"/>
          <w:szCs w:val="20"/>
        </w:rPr>
        <w:t xml:space="preserve">tances occur. </w:t>
      </w:r>
    </w:p>
    <w:p w14:paraId="079AB10B" w14:textId="77777777" w:rsidR="00000000" w:rsidRDefault="00097612">
      <w:pPr>
        <w:pStyle w:val="a3"/>
        <w:spacing w:before="0" w:beforeAutospacing="0" w:after="0" w:afterAutospacing="0"/>
        <w:divId w:val="954486307"/>
        <w:rPr>
          <w:sz w:val="20"/>
          <w:szCs w:val="20"/>
        </w:rPr>
      </w:pPr>
      <w:r>
        <w:rPr>
          <w:sz w:val="2"/>
          <w:szCs w:val="2"/>
        </w:rPr>
        <w:t>​</w:t>
      </w:r>
    </w:p>
    <w:p w14:paraId="5486BA54" w14:textId="77777777" w:rsidR="00000000" w:rsidRDefault="00097612">
      <w:pPr>
        <w:pStyle w:val="a3"/>
        <w:spacing w:before="0" w:beforeAutospacing="0" w:after="0" w:afterAutospacing="0"/>
        <w:divId w:val="954486307"/>
        <w:rPr>
          <w:sz w:val="20"/>
          <w:szCs w:val="20"/>
        </w:rPr>
      </w:pPr>
      <w:r>
        <w:rPr>
          <w:sz w:val="20"/>
          <w:szCs w:val="20"/>
        </w:rPr>
        <w:t>​</w:t>
      </w:r>
    </w:p>
    <w:p w14:paraId="4FA6FF5B" w14:textId="77777777" w:rsidR="00000000" w:rsidRDefault="00097612">
      <w:pPr>
        <w:pStyle w:val="a3"/>
        <w:spacing w:before="0" w:beforeAutospacing="0" w:after="0" w:afterAutospacing="0"/>
        <w:divId w:val="954486307"/>
        <w:rPr>
          <w:sz w:val="20"/>
          <w:szCs w:val="20"/>
        </w:rPr>
      </w:pPr>
      <w:r>
        <w:rPr>
          <w:b/>
          <w:bCs/>
          <w:sz w:val="20"/>
          <w:szCs w:val="20"/>
        </w:rPr>
        <w:t>4. Cash, Cash Equivalents, and Restricted Cash</w:t>
      </w:r>
    </w:p>
    <w:p w14:paraId="549F33E7" w14:textId="77777777" w:rsidR="00000000" w:rsidRDefault="00097612">
      <w:pPr>
        <w:pStyle w:val="a3"/>
        <w:spacing w:before="0" w:beforeAutospacing="0" w:after="0" w:afterAutospacing="0"/>
        <w:divId w:val="954486307"/>
        <w:rPr>
          <w:sz w:val="20"/>
          <w:szCs w:val="20"/>
        </w:rPr>
      </w:pPr>
      <w:r>
        <w:rPr>
          <w:b/>
          <w:bCs/>
          <w:sz w:val="10"/>
          <w:szCs w:val="10"/>
        </w:rPr>
        <w:t>​</w:t>
      </w:r>
    </w:p>
    <w:p w14:paraId="7A9709B1" w14:textId="77777777" w:rsidR="00000000" w:rsidRDefault="00097612">
      <w:pPr>
        <w:pStyle w:val="a3"/>
        <w:spacing w:before="0" w:beforeAutospacing="0" w:after="0" w:afterAutospacing="0"/>
        <w:ind w:firstLine="720"/>
        <w:divId w:val="954486307"/>
        <w:rPr>
          <w:sz w:val="20"/>
          <w:szCs w:val="20"/>
        </w:rPr>
      </w:pPr>
      <w:r>
        <w:rPr>
          <w:sz w:val="20"/>
          <w:szCs w:val="20"/>
        </w:rPr>
        <w:t>The following table provides a reconciliation of cash, cash equivalents, and restricted cash reported within the condensed consolidated balance sheets that sum to the total of the same suc</w:t>
      </w:r>
      <w:r>
        <w:rPr>
          <w:sz w:val="20"/>
          <w:szCs w:val="20"/>
        </w:rPr>
        <w:t>h amount shown on the condensed consolidated statements of cash flows.</w:t>
      </w:r>
    </w:p>
    <w:p w14:paraId="0F5BD745" w14:textId="77777777" w:rsidR="00000000" w:rsidRDefault="00097612">
      <w:pPr>
        <w:pStyle w:val="a3"/>
        <w:spacing w:before="0" w:beforeAutospacing="0" w:after="0" w:afterAutospacing="0"/>
        <w:ind w:firstLine="720"/>
        <w:divId w:val="95448630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899"/>
        <w:gridCol w:w="186"/>
        <w:gridCol w:w="186"/>
        <w:gridCol w:w="738"/>
        <w:gridCol w:w="186"/>
        <w:gridCol w:w="186"/>
        <w:gridCol w:w="739"/>
        <w:gridCol w:w="186"/>
      </w:tblGrid>
      <w:tr w:rsidR="00000000" w14:paraId="366F6B66" w14:textId="77777777">
        <w:trPr>
          <w:divId w:val="954486307"/>
          <w:trHeight w:val="20"/>
        </w:trPr>
        <w:tc>
          <w:tcPr>
            <w:tcW w:w="3550" w:type="pct"/>
            <w:tcMar>
              <w:top w:w="0" w:type="dxa"/>
              <w:left w:w="0" w:type="dxa"/>
              <w:bottom w:w="0" w:type="dxa"/>
              <w:right w:w="0" w:type="dxa"/>
            </w:tcMar>
            <w:vAlign w:val="center"/>
            <w:hideMark/>
          </w:tcPr>
          <w:p w14:paraId="515E313B" w14:textId="77777777" w:rsidR="00000000" w:rsidRDefault="00097612">
            <w:pPr>
              <w:pStyle w:val="a3"/>
              <w:spacing w:before="0" w:beforeAutospacing="0" w:after="0" w:afterAutospacing="0"/>
              <w:divId w:val="1543400992"/>
              <w:rPr>
                <w:sz w:val="20"/>
                <w:szCs w:val="20"/>
              </w:rPr>
            </w:pPr>
            <w:r>
              <w:rPr>
                <w:sz w:val="2"/>
                <w:szCs w:val="2"/>
              </w:rPr>
              <w:t>​</w:t>
            </w:r>
          </w:p>
        </w:tc>
        <w:tc>
          <w:tcPr>
            <w:tcW w:w="112" w:type="pct"/>
            <w:tcMar>
              <w:top w:w="0" w:type="dxa"/>
              <w:left w:w="0" w:type="dxa"/>
              <w:bottom w:w="0" w:type="dxa"/>
              <w:right w:w="0" w:type="dxa"/>
            </w:tcMar>
            <w:vAlign w:val="center"/>
            <w:hideMark/>
          </w:tcPr>
          <w:p w14:paraId="259382FF" w14:textId="77777777" w:rsidR="00000000" w:rsidRDefault="00097612">
            <w:pPr>
              <w:pStyle w:val="a3"/>
              <w:spacing w:before="0" w:beforeAutospacing="0" w:after="0" w:afterAutospacing="0"/>
              <w:divId w:val="216666937"/>
              <w:rPr>
                <w:sz w:val="20"/>
                <w:szCs w:val="20"/>
              </w:rPr>
            </w:pPr>
            <w:r>
              <w:rPr>
                <w:sz w:val="2"/>
                <w:szCs w:val="2"/>
              </w:rPr>
              <w:t>​</w:t>
            </w:r>
          </w:p>
        </w:tc>
        <w:tc>
          <w:tcPr>
            <w:tcW w:w="112" w:type="pct"/>
            <w:tcMar>
              <w:top w:w="0" w:type="dxa"/>
              <w:left w:w="0" w:type="dxa"/>
              <w:bottom w:w="0" w:type="dxa"/>
              <w:right w:w="0" w:type="dxa"/>
            </w:tcMar>
            <w:vAlign w:val="center"/>
            <w:hideMark/>
          </w:tcPr>
          <w:p w14:paraId="27152CF5" w14:textId="77777777" w:rsidR="00000000" w:rsidRDefault="00097612">
            <w:pPr>
              <w:pStyle w:val="a3"/>
              <w:spacing w:before="0" w:beforeAutospacing="0" w:after="0" w:afterAutospacing="0"/>
              <w:divId w:val="867789701"/>
              <w:rPr>
                <w:sz w:val="20"/>
                <w:szCs w:val="20"/>
              </w:rPr>
            </w:pPr>
            <w:r>
              <w:rPr>
                <w:sz w:val="2"/>
                <w:szCs w:val="2"/>
              </w:rPr>
              <w:t>​</w:t>
            </w:r>
          </w:p>
        </w:tc>
        <w:tc>
          <w:tcPr>
            <w:tcW w:w="443" w:type="pct"/>
            <w:noWrap/>
            <w:tcMar>
              <w:top w:w="0" w:type="dxa"/>
              <w:left w:w="0" w:type="dxa"/>
              <w:bottom w:w="0" w:type="dxa"/>
              <w:right w:w="0" w:type="dxa"/>
            </w:tcMar>
            <w:vAlign w:val="center"/>
            <w:hideMark/>
          </w:tcPr>
          <w:p w14:paraId="726A6EF2" w14:textId="77777777" w:rsidR="00000000" w:rsidRDefault="00097612">
            <w:pPr>
              <w:pStyle w:val="a3"/>
              <w:spacing w:before="0" w:beforeAutospacing="0" w:after="0" w:afterAutospacing="0"/>
              <w:divId w:val="1683773560"/>
              <w:rPr>
                <w:sz w:val="20"/>
                <w:szCs w:val="20"/>
              </w:rPr>
            </w:pPr>
            <w:r>
              <w:rPr>
                <w:sz w:val="2"/>
                <w:szCs w:val="2"/>
              </w:rPr>
              <w:t>​</w:t>
            </w:r>
          </w:p>
        </w:tc>
        <w:tc>
          <w:tcPr>
            <w:tcW w:w="112" w:type="pct"/>
            <w:noWrap/>
            <w:tcMar>
              <w:top w:w="0" w:type="dxa"/>
              <w:left w:w="0" w:type="dxa"/>
              <w:bottom w:w="0" w:type="dxa"/>
              <w:right w:w="0" w:type="dxa"/>
            </w:tcMar>
            <w:vAlign w:val="bottom"/>
            <w:hideMark/>
          </w:tcPr>
          <w:p w14:paraId="782F1FBD" w14:textId="77777777" w:rsidR="00000000" w:rsidRDefault="00097612">
            <w:pPr>
              <w:pStyle w:val="a3"/>
              <w:spacing w:before="0" w:beforeAutospacing="0" w:after="0" w:afterAutospacing="0"/>
              <w:divId w:val="1092553064"/>
              <w:rPr>
                <w:sz w:val="20"/>
                <w:szCs w:val="20"/>
              </w:rPr>
            </w:pPr>
            <w:r>
              <w:rPr>
                <w:sz w:val="2"/>
                <w:szCs w:val="2"/>
              </w:rPr>
              <w:t>​</w:t>
            </w:r>
          </w:p>
        </w:tc>
        <w:tc>
          <w:tcPr>
            <w:tcW w:w="112" w:type="pct"/>
            <w:noWrap/>
            <w:tcMar>
              <w:top w:w="0" w:type="dxa"/>
              <w:left w:w="0" w:type="dxa"/>
              <w:bottom w:w="0" w:type="dxa"/>
              <w:right w:w="0" w:type="dxa"/>
            </w:tcMar>
            <w:vAlign w:val="bottom"/>
            <w:hideMark/>
          </w:tcPr>
          <w:p w14:paraId="42E1902B" w14:textId="77777777" w:rsidR="00000000" w:rsidRDefault="00097612">
            <w:pPr>
              <w:pStyle w:val="a3"/>
              <w:spacing w:before="0" w:beforeAutospacing="0" w:after="0" w:afterAutospacing="0"/>
              <w:divId w:val="1303543153"/>
              <w:rPr>
                <w:sz w:val="20"/>
                <w:szCs w:val="20"/>
              </w:rPr>
            </w:pPr>
            <w:r>
              <w:rPr>
                <w:sz w:val="2"/>
                <w:szCs w:val="2"/>
              </w:rPr>
              <w:t>​</w:t>
            </w:r>
          </w:p>
        </w:tc>
        <w:tc>
          <w:tcPr>
            <w:tcW w:w="444" w:type="pct"/>
            <w:noWrap/>
            <w:tcMar>
              <w:top w:w="0" w:type="dxa"/>
              <w:left w:w="0" w:type="dxa"/>
              <w:bottom w:w="0" w:type="dxa"/>
              <w:right w:w="0" w:type="dxa"/>
            </w:tcMar>
            <w:vAlign w:val="center"/>
            <w:hideMark/>
          </w:tcPr>
          <w:p w14:paraId="62649ADC" w14:textId="77777777" w:rsidR="00000000" w:rsidRDefault="00097612">
            <w:pPr>
              <w:pStyle w:val="a3"/>
              <w:spacing w:before="0" w:beforeAutospacing="0" w:after="0" w:afterAutospacing="0"/>
              <w:divId w:val="1203596636"/>
              <w:rPr>
                <w:sz w:val="20"/>
                <w:szCs w:val="20"/>
              </w:rPr>
            </w:pPr>
            <w:r>
              <w:rPr>
                <w:sz w:val="2"/>
                <w:szCs w:val="2"/>
              </w:rPr>
              <w:t>​</w:t>
            </w:r>
          </w:p>
        </w:tc>
        <w:tc>
          <w:tcPr>
            <w:tcW w:w="112" w:type="pct"/>
            <w:tcMar>
              <w:top w:w="0" w:type="dxa"/>
              <w:left w:w="0" w:type="dxa"/>
              <w:bottom w:w="0" w:type="dxa"/>
              <w:right w:w="0" w:type="dxa"/>
            </w:tcMar>
            <w:vAlign w:val="center"/>
            <w:hideMark/>
          </w:tcPr>
          <w:p w14:paraId="4895D093" w14:textId="77777777" w:rsidR="00000000" w:rsidRDefault="00097612">
            <w:pPr>
              <w:pStyle w:val="a3"/>
              <w:spacing w:before="0" w:beforeAutospacing="0" w:after="0" w:afterAutospacing="0"/>
              <w:divId w:val="238640396"/>
              <w:rPr>
                <w:sz w:val="20"/>
                <w:szCs w:val="20"/>
              </w:rPr>
            </w:pPr>
            <w:r>
              <w:rPr>
                <w:sz w:val="2"/>
                <w:szCs w:val="2"/>
              </w:rPr>
              <w:t>​</w:t>
            </w:r>
          </w:p>
        </w:tc>
      </w:tr>
      <w:tr w:rsidR="00000000" w14:paraId="2EF63A77" w14:textId="77777777">
        <w:trPr>
          <w:divId w:val="954486307"/>
        </w:trPr>
        <w:tc>
          <w:tcPr>
            <w:tcW w:w="3550" w:type="pct"/>
            <w:shd w:val="clear" w:color="auto" w:fill="auto"/>
            <w:tcMar>
              <w:top w:w="0" w:type="dxa"/>
              <w:left w:w="0" w:type="dxa"/>
              <w:bottom w:w="0" w:type="dxa"/>
              <w:right w:w="0" w:type="dxa"/>
            </w:tcMar>
            <w:vAlign w:val="center"/>
            <w:hideMark/>
          </w:tcPr>
          <w:p w14:paraId="6B77F348" w14:textId="77777777" w:rsidR="00000000" w:rsidRDefault="00097612">
            <w:pPr>
              <w:pStyle w:val="a3"/>
              <w:spacing w:before="0" w:beforeAutospacing="0" w:after="0" w:afterAutospacing="0"/>
              <w:rPr>
                <w:sz w:val="20"/>
                <w:szCs w:val="20"/>
              </w:rPr>
            </w:pPr>
            <w:r>
              <w:rPr>
                <w:b/>
                <w:bCs/>
                <w:sz w:val="16"/>
                <w:szCs w:val="16"/>
              </w:rPr>
              <w:t>​</w:t>
            </w:r>
          </w:p>
        </w:tc>
        <w:tc>
          <w:tcPr>
            <w:tcW w:w="112" w:type="pct"/>
            <w:shd w:val="clear" w:color="auto" w:fill="auto"/>
            <w:tcMar>
              <w:top w:w="0" w:type="dxa"/>
              <w:left w:w="0" w:type="dxa"/>
              <w:bottom w:w="0" w:type="dxa"/>
              <w:right w:w="0" w:type="dxa"/>
            </w:tcMar>
            <w:vAlign w:val="center"/>
            <w:hideMark/>
          </w:tcPr>
          <w:p w14:paraId="73BCF914" w14:textId="77777777" w:rsidR="00000000" w:rsidRDefault="00097612">
            <w:pPr>
              <w:pStyle w:val="a3"/>
              <w:spacing w:before="0" w:beforeAutospacing="0" w:after="0" w:afterAutospacing="0"/>
              <w:jc w:val="center"/>
              <w:rPr>
                <w:sz w:val="20"/>
                <w:szCs w:val="20"/>
              </w:rPr>
            </w:pPr>
            <w:r>
              <w:rPr>
                <w:b/>
                <w:bCs/>
                <w:sz w:val="16"/>
                <w:szCs w:val="16"/>
              </w:rPr>
              <w:t>​</w:t>
            </w:r>
          </w:p>
        </w:tc>
        <w:tc>
          <w:tcPr>
            <w:tcW w:w="1225" w:type="pct"/>
            <w:gridSpan w:val="5"/>
            <w:tcBorders>
              <w:bottom w:val="single" w:sz="6" w:space="0" w:color="000000"/>
            </w:tcBorders>
            <w:shd w:val="clear" w:color="auto" w:fill="auto"/>
            <w:tcMar>
              <w:top w:w="0" w:type="dxa"/>
              <w:left w:w="0" w:type="dxa"/>
              <w:bottom w:w="0" w:type="dxa"/>
              <w:right w:w="0" w:type="dxa"/>
            </w:tcMar>
            <w:vAlign w:val="bottom"/>
            <w:hideMark/>
          </w:tcPr>
          <w:p w14:paraId="33AC7212"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112" w:type="pct"/>
            <w:shd w:val="clear" w:color="auto" w:fill="auto"/>
            <w:tcMar>
              <w:top w:w="0" w:type="dxa"/>
              <w:left w:w="0" w:type="dxa"/>
              <w:bottom w:w="0" w:type="dxa"/>
              <w:right w:w="0" w:type="dxa"/>
            </w:tcMar>
            <w:vAlign w:val="center"/>
            <w:hideMark/>
          </w:tcPr>
          <w:p w14:paraId="79A0F57A" w14:textId="77777777" w:rsidR="00000000" w:rsidRDefault="00097612">
            <w:pPr>
              <w:pStyle w:val="a3"/>
              <w:spacing w:before="0" w:beforeAutospacing="0" w:after="0" w:afterAutospacing="0"/>
              <w:jc w:val="center"/>
              <w:rPr>
                <w:sz w:val="20"/>
                <w:szCs w:val="20"/>
              </w:rPr>
            </w:pPr>
            <w:r>
              <w:rPr>
                <w:b/>
                <w:bCs/>
                <w:sz w:val="16"/>
                <w:szCs w:val="16"/>
              </w:rPr>
              <w:t>​</w:t>
            </w:r>
          </w:p>
        </w:tc>
      </w:tr>
      <w:tr w:rsidR="00000000" w14:paraId="77FB9A5D" w14:textId="77777777">
        <w:trPr>
          <w:divId w:val="954486307"/>
        </w:trPr>
        <w:tc>
          <w:tcPr>
            <w:tcW w:w="3550" w:type="pct"/>
            <w:tcBorders>
              <w:bottom w:val="single" w:sz="6" w:space="0" w:color="000000"/>
            </w:tcBorders>
            <w:shd w:val="clear" w:color="auto" w:fill="auto"/>
            <w:tcMar>
              <w:top w:w="0" w:type="dxa"/>
              <w:left w:w="0" w:type="dxa"/>
              <w:bottom w:w="0" w:type="dxa"/>
              <w:right w:w="0" w:type="dxa"/>
            </w:tcMar>
            <w:vAlign w:val="center"/>
            <w:hideMark/>
          </w:tcPr>
          <w:p w14:paraId="372DA57F" w14:textId="77777777" w:rsidR="00000000" w:rsidRDefault="00097612">
            <w:pPr>
              <w:pStyle w:val="a3"/>
              <w:spacing w:before="0" w:beforeAutospacing="0" w:after="0" w:afterAutospacing="0"/>
              <w:rPr>
                <w:sz w:val="16"/>
                <w:szCs w:val="16"/>
              </w:rPr>
            </w:pPr>
            <w:r>
              <w:rPr>
                <w:b/>
                <w:bCs/>
                <w:sz w:val="16"/>
                <w:szCs w:val="16"/>
              </w:rPr>
              <w:t>(In thousands)</w:t>
            </w:r>
          </w:p>
        </w:tc>
        <w:tc>
          <w:tcPr>
            <w:tcW w:w="112" w:type="pct"/>
            <w:shd w:val="clear" w:color="auto" w:fill="auto"/>
            <w:tcMar>
              <w:top w:w="0" w:type="dxa"/>
              <w:left w:w="0" w:type="dxa"/>
              <w:bottom w:w="0" w:type="dxa"/>
              <w:right w:w="0" w:type="dxa"/>
            </w:tcMar>
            <w:vAlign w:val="center"/>
            <w:hideMark/>
          </w:tcPr>
          <w:p w14:paraId="6D32D0CD" w14:textId="77777777" w:rsidR="00000000" w:rsidRDefault="00097612">
            <w:pPr>
              <w:pStyle w:val="a3"/>
              <w:spacing w:before="0" w:beforeAutospacing="0" w:after="0" w:afterAutospacing="0"/>
              <w:jc w:val="center"/>
              <w:rPr>
                <w:sz w:val="20"/>
                <w:szCs w:val="20"/>
              </w:rPr>
            </w:pPr>
            <w:r>
              <w:rPr>
                <w:b/>
                <w:bCs/>
                <w:sz w:val="16"/>
                <w:szCs w:val="16"/>
              </w:rPr>
              <w:t>​</w:t>
            </w:r>
          </w:p>
        </w:tc>
        <w:tc>
          <w:tcPr>
            <w:tcW w:w="556" w:type="pct"/>
            <w:gridSpan w:val="2"/>
            <w:tcBorders>
              <w:bottom w:val="single" w:sz="6" w:space="0" w:color="000000"/>
            </w:tcBorders>
            <w:shd w:val="clear" w:color="auto" w:fill="auto"/>
            <w:noWrap/>
            <w:tcMar>
              <w:top w:w="0" w:type="dxa"/>
              <w:left w:w="0" w:type="dxa"/>
              <w:bottom w:w="0" w:type="dxa"/>
              <w:right w:w="0" w:type="dxa"/>
            </w:tcMar>
            <w:vAlign w:val="bottom"/>
            <w:hideMark/>
          </w:tcPr>
          <w:p w14:paraId="5181363E" w14:textId="77777777" w:rsidR="00000000" w:rsidRDefault="00097612">
            <w:pPr>
              <w:pStyle w:val="a3"/>
              <w:spacing w:before="0" w:beforeAutospacing="0" w:after="0" w:afterAutospacing="0"/>
              <w:jc w:val="center"/>
              <w:rPr>
                <w:sz w:val="16"/>
                <w:szCs w:val="16"/>
              </w:rPr>
            </w:pPr>
            <w:r>
              <w:rPr>
                <w:b/>
                <w:bCs/>
                <w:sz w:val="16"/>
                <w:szCs w:val="16"/>
              </w:rPr>
              <w:t>2019</w:t>
            </w:r>
          </w:p>
        </w:tc>
        <w:tc>
          <w:tcPr>
            <w:tcW w:w="112" w:type="pct"/>
            <w:shd w:val="clear" w:color="auto" w:fill="auto"/>
            <w:tcMar>
              <w:top w:w="0" w:type="dxa"/>
              <w:left w:w="0" w:type="dxa"/>
              <w:bottom w:w="0" w:type="dxa"/>
              <w:right w:w="0" w:type="dxa"/>
            </w:tcMar>
            <w:vAlign w:val="center"/>
            <w:hideMark/>
          </w:tcPr>
          <w:p w14:paraId="650AC668" w14:textId="77777777" w:rsidR="00000000" w:rsidRDefault="00097612">
            <w:pPr>
              <w:pStyle w:val="a3"/>
              <w:spacing w:before="0" w:beforeAutospacing="0" w:after="0" w:afterAutospacing="0"/>
              <w:jc w:val="center"/>
              <w:rPr>
                <w:sz w:val="20"/>
                <w:szCs w:val="20"/>
              </w:rPr>
            </w:pPr>
            <w:r>
              <w:rPr>
                <w:b/>
                <w:bCs/>
                <w:sz w:val="16"/>
                <w:szCs w:val="16"/>
              </w:rPr>
              <w:t>​</w:t>
            </w:r>
          </w:p>
        </w:tc>
        <w:tc>
          <w:tcPr>
            <w:tcW w:w="556" w:type="pct"/>
            <w:gridSpan w:val="2"/>
            <w:tcBorders>
              <w:bottom w:val="single" w:sz="6" w:space="0" w:color="000000"/>
            </w:tcBorders>
            <w:shd w:val="clear" w:color="auto" w:fill="auto"/>
            <w:noWrap/>
            <w:tcMar>
              <w:top w:w="0" w:type="dxa"/>
              <w:left w:w="0" w:type="dxa"/>
              <w:bottom w:w="0" w:type="dxa"/>
              <w:right w:w="0" w:type="dxa"/>
            </w:tcMar>
            <w:vAlign w:val="bottom"/>
            <w:hideMark/>
          </w:tcPr>
          <w:p w14:paraId="696A7479" w14:textId="77777777" w:rsidR="00000000" w:rsidRDefault="00097612">
            <w:pPr>
              <w:pStyle w:val="a3"/>
              <w:spacing w:before="0" w:beforeAutospacing="0" w:after="0" w:afterAutospacing="0"/>
              <w:jc w:val="center"/>
              <w:rPr>
                <w:sz w:val="16"/>
                <w:szCs w:val="16"/>
              </w:rPr>
            </w:pPr>
            <w:r>
              <w:rPr>
                <w:b/>
                <w:bCs/>
                <w:sz w:val="16"/>
                <w:szCs w:val="16"/>
              </w:rPr>
              <w:t>2018</w:t>
            </w:r>
          </w:p>
        </w:tc>
        <w:tc>
          <w:tcPr>
            <w:tcW w:w="112" w:type="pct"/>
            <w:shd w:val="clear" w:color="auto" w:fill="auto"/>
            <w:tcMar>
              <w:top w:w="0" w:type="dxa"/>
              <w:left w:w="0" w:type="dxa"/>
              <w:bottom w:w="0" w:type="dxa"/>
              <w:right w:w="0" w:type="dxa"/>
            </w:tcMar>
            <w:vAlign w:val="center"/>
            <w:hideMark/>
          </w:tcPr>
          <w:p w14:paraId="340326FD" w14:textId="77777777" w:rsidR="00000000" w:rsidRDefault="00097612">
            <w:pPr>
              <w:pStyle w:val="a3"/>
              <w:spacing w:before="0" w:beforeAutospacing="0" w:after="0" w:afterAutospacing="0"/>
              <w:jc w:val="center"/>
              <w:rPr>
                <w:sz w:val="20"/>
                <w:szCs w:val="20"/>
              </w:rPr>
            </w:pPr>
            <w:r>
              <w:rPr>
                <w:b/>
                <w:bCs/>
                <w:sz w:val="16"/>
                <w:szCs w:val="16"/>
              </w:rPr>
              <w:t>​</w:t>
            </w:r>
          </w:p>
        </w:tc>
      </w:tr>
      <w:tr w:rsidR="00000000" w14:paraId="5C8B0718" w14:textId="77777777">
        <w:trPr>
          <w:divId w:val="954486307"/>
        </w:trPr>
        <w:tc>
          <w:tcPr>
            <w:tcW w:w="3550" w:type="pct"/>
            <w:shd w:val="clear" w:color="auto" w:fill="CCEEFF"/>
            <w:tcMar>
              <w:top w:w="0" w:type="dxa"/>
              <w:left w:w="0" w:type="dxa"/>
              <w:bottom w:w="0" w:type="dxa"/>
              <w:right w:w="0" w:type="dxa"/>
            </w:tcMar>
            <w:vAlign w:val="center"/>
            <w:hideMark/>
          </w:tcPr>
          <w:p w14:paraId="0A5DD58E" w14:textId="77777777" w:rsidR="00000000" w:rsidRDefault="00097612">
            <w:pPr>
              <w:pStyle w:val="a3"/>
              <w:spacing w:before="0" w:beforeAutospacing="0" w:after="0" w:afterAutospacing="0"/>
              <w:rPr>
                <w:sz w:val="20"/>
                <w:szCs w:val="20"/>
              </w:rPr>
            </w:pPr>
            <w:r>
              <w:rPr>
                <w:sz w:val="20"/>
                <w:szCs w:val="20"/>
              </w:rPr>
              <w:t>Cash and cash equivalents</w:t>
            </w:r>
          </w:p>
        </w:tc>
        <w:tc>
          <w:tcPr>
            <w:tcW w:w="112" w:type="pct"/>
            <w:shd w:val="clear" w:color="auto" w:fill="CCEEFF"/>
            <w:tcMar>
              <w:top w:w="0" w:type="dxa"/>
              <w:left w:w="0" w:type="dxa"/>
              <w:bottom w:w="0" w:type="dxa"/>
              <w:right w:w="0" w:type="dxa"/>
            </w:tcMar>
            <w:vAlign w:val="center"/>
            <w:hideMark/>
          </w:tcPr>
          <w:p w14:paraId="4CD64E20" w14:textId="77777777" w:rsidR="00000000" w:rsidRDefault="00097612">
            <w:pPr>
              <w:pStyle w:val="a3"/>
              <w:spacing w:before="0" w:beforeAutospacing="0" w:after="0" w:afterAutospacing="0"/>
              <w:rPr>
                <w:sz w:val="20"/>
                <w:szCs w:val="20"/>
              </w:rPr>
            </w:pPr>
            <w:r>
              <w:rPr>
                <w:sz w:val="20"/>
                <w:szCs w:val="20"/>
              </w:rPr>
              <w:t>​</w:t>
            </w:r>
          </w:p>
        </w:tc>
        <w:tc>
          <w:tcPr>
            <w:tcW w:w="112" w:type="pct"/>
            <w:shd w:val="clear" w:color="auto" w:fill="CCEEFF"/>
            <w:tcMar>
              <w:top w:w="0" w:type="dxa"/>
              <w:left w:w="0" w:type="dxa"/>
              <w:bottom w:w="0" w:type="dxa"/>
              <w:right w:w="0" w:type="dxa"/>
            </w:tcMar>
            <w:vAlign w:val="center"/>
            <w:hideMark/>
          </w:tcPr>
          <w:p w14:paraId="547FFB8A" w14:textId="77777777" w:rsidR="00000000" w:rsidRDefault="00097612">
            <w:pPr>
              <w:pStyle w:val="a3"/>
              <w:spacing w:before="0" w:beforeAutospacing="0" w:after="0" w:afterAutospacing="0"/>
              <w:jc w:val="center"/>
              <w:rPr>
                <w:sz w:val="20"/>
                <w:szCs w:val="20"/>
              </w:rPr>
            </w:pPr>
            <w:r>
              <w:rPr>
                <w:sz w:val="20"/>
                <w:szCs w:val="20"/>
              </w:rPr>
              <w:t>$</w:t>
            </w:r>
          </w:p>
        </w:tc>
        <w:tc>
          <w:tcPr>
            <w:tcW w:w="443" w:type="pct"/>
            <w:shd w:val="clear" w:color="auto" w:fill="CCEEFF"/>
            <w:noWrap/>
            <w:tcMar>
              <w:top w:w="0" w:type="dxa"/>
              <w:left w:w="0" w:type="dxa"/>
              <w:bottom w:w="0" w:type="dxa"/>
              <w:right w:w="0" w:type="dxa"/>
            </w:tcMar>
            <w:vAlign w:val="center"/>
            <w:hideMark/>
          </w:tcPr>
          <w:p w14:paraId="4CE1B5C6" w14:textId="77777777" w:rsidR="00000000" w:rsidRDefault="00097612">
            <w:pPr>
              <w:pStyle w:val="a3"/>
              <w:spacing w:before="0" w:beforeAutospacing="0" w:after="0" w:afterAutospacing="0"/>
              <w:ind w:right="60"/>
              <w:jc w:val="right"/>
              <w:rPr>
                <w:sz w:val="20"/>
                <w:szCs w:val="20"/>
              </w:rPr>
            </w:pPr>
            <w:r>
              <w:rPr>
                <w:sz w:val="20"/>
                <w:szCs w:val="20"/>
              </w:rPr>
              <w:t>102,403</w:t>
            </w:r>
          </w:p>
        </w:tc>
        <w:tc>
          <w:tcPr>
            <w:tcW w:w="112" w:type="pct"/>
            <w:shd w:val="clear" w:color="auto" w:fill="CCEEFF"/>
            <w:noWrap/>
            <w:tcMar>
              <w:top w:w="0" w:type="dxa"/>
              <w:left w:w="0" w:type="dxa"/>
              <w:bottom w:w="0" w:type="dxa"/>
              <w:right w:w="0" w:type="dxa"/>
            </w:tcMar>
            <w:vAlign w:val="bottom"/>
            <w:hideMark/>
          </w:tcPr>
          <w:p w14:paraId="0A074234" w14:textId="77777777" w:rsidR="00000000" w:rsidRDefault="00097612">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53836D20" w14:textId="77777777" w:rsidR="00000000" w:rsidRDefault="00097612">
            <w:pPr>
              <w:pStyle w:val="a3"/>
              <w:spacing w:before="0" w:beforeAutospacing="0" w:after="0" w:afterAutospacing="0"/>
              <w:jc w:val="center"/>
              <w:rPr>
                <w:sz w:val="20"/>
                <w:szCs w:val="20"/>
              </w:rPr>
            </w:pPr>
            <w:r>
              <w:rPr>
                <w:sz w:val="20"/>
                <w:szCs w:val="20"/>
              </w:rPr>
              <w:t>$</w:t>
            </w:r>
          </w:p>
        </w:tc>
        <w:tc>
          <w:tcPr>
            <w:tcW w:w="444" w:type="pct"/>
            <w:shd w:val="clear" w:color="auto" w:fill="CCEEFF"/>
            <w:noWrap/>
            <w:tcMar>
              <w:top w:w="0" w:type="dxa"/>
              <w:left w:w="0" w:type="dxa"/>
              <w:bottom w:w="0" w:type="dxa"/>
              <w:right w:w="0" w:type="dxa"/>
            </w:tcMar>
            <w:vAlign w:val="center"/>
            <w:hideMark/>
          </w:tcPr>
          <w:p w14:paraId="73FE5337" w14:textId="77777777" w:rsidR="00000000" w:rsidRDefault="00097612">
            <w:pPr>
              <w:pStyle w:val="a3"/>
              <w:spacing w:before="0" w:beforeAutospacing="0" w:after="0" w:afterAutospacing="0"/>
              <w:ind w:right="60"/>
              <w:jc w:val="right"/>
              <w:rPr>
                <w:sz w:val="20"/>
                <w:szCs w:val="20"/>
              </w:rPr>
            </w:pPr>
            <w:r>
              <w:rPr>
                <w:sz w:val="20"/>
                <w:szCs w:val="20"/>
              </w:rPr>
              <w:t>101,202</w:t>
            </w:r>
          </w:p>
        </w:tc>
        <w:tc>
          <w:tcPr>
            <w:tcW w:w="112" w:type="pct"/>
            <w:shd w:val="clear" w:color="auto" w:fill="CCEEFF"/>
            <w:tcMar>
              <w:top w:w="0" w:type="dxa"/>
              <w:left w:w="0" w:type="dxa"/>
              <w:bottom w:w="0" w:type="dxa"/>
              <w:right w:w="0" w:type="dxa"/>
            </w:tcMar>
            <w:vAlign w:val="center"/>
            <w:hideMark/>
          </w:tcPr>
          <w:p w14:paraId="7ECB6913" w14:textId="77777777" w:rsidR="00000000" w:rsidRDefault="00097612">
            <w:pPr>
              <w:pStyle w:val="a3"/>
              <w:spacing w:before="0" w:beforeAutospacing="0" w:after="0" w:afterAutospacing="0"/>
              <w:rPr>
                <w:sz w:val="20"/>
                <w:szCs w:val="20"/>
              </w:rPr>
            </w:pPr>
            <w:r>
              <w:rPr>
                <w:sz w:val="20"/>
                <w:szCs w:val="20"/>
              </w:rPr>
              <w:t>​</w:t>
            </w:r>
          </w:p>
        </w:tc>
      </w:tr>
      <w:tr w:rsidR="00000000" w14:paraId="4EAA2EB5" w14:textId="77777777">
        <w:trPr>
          <w:divId w:val="954486307"/>
        </w:trPr>
        <w:tc>
          <w:tcPr>
            <w:tcW w:w="3550" w:type="pct"/>
            <w:tcMar>
              <w:top w:w="0" w:type="dxa"/>
              <w:left w:w="0" w:type="dxa"/>
              <w:bottom w:w="0" w:type="dxa"/>
              <w:right w:w="0" w:type="dxa"/>
            </w:tcMar>
            <w:vAlign w:val="center"/>
            <w:hideMark/>
          </w:tcPr>
          <w:p w14:paraId="5C9C1409" w14:textId="77777777" w:rsidR="00000000" w:rsidRDefault="00097612">
            <w:pPr>
              <w:pStyle w:val="a3"/>
              <w:spacing w:before="0" w:beforeAutospacing="0" w:after="0" w:afterAutospacing="0"/>
              <w:rPr>
                <w:sz w:val="20"/>
                <w:szCs w:val="20"/>
              </w:rPr>
            </w:pPr>
            <w:r>
              <w:rPr>
                <w:sz w:val="20"/>
                <w:szCs w:val="20"/>
              </w:rPr>
              <w:t>Restricted cash</w:t>
            </w:r>
          </w:p>
        </w:tc>
        <w:tc>
          <w:tcPr>
            <w:tcW w:w="112" w:type="pct"/>
            <w:tcMar>
              <w:top w:w="0" w:type="dxa"/>
              <w:left w:w="0" w:type="dxa"/>
              <w:bottom w:w="0" w:type="dxa"/>
              <w:right w:w="0" w:type="dxa"/>
            </w:tcMar>
            <w:vAlign w:val="center"/>
            <w:hideMark/>
          </w:tcPr>
          <w:p w14:paraId="6AB981D2" w14:textId="77777777" w:rsidR="00000000" w:rsidRDefault="00097612">
            <w:pPr>
              <w:pStyle w:val="a3"/>
              <w:spacing w:before="0" w:beforeAutospacing="0" w:after="0" w:afterAutospacing="0"/>
              <w:rPr>
                <w:sz w:val="20"/>
                <w:szCs w:val="20"/>
              </w:rPr>
            </w:pPr>
            <w:r>
              <w:rPr>
                <w:sz w:val="20"/>
                <w:szCs w:val="20"/>
              </w:rPr>
              <w:t>​</w:t>
            </w:r>
          </w:p>
        </w:tc>
        <w:tc>
          <w:tcPr>
            <w:tcW w:w="112" w:type="pct"/>
            <w:tcBorders>
              <w:bottom w:val="single" w:sz="6" w:space="0" w:color="000000"/>
            </w:tcBorders>
            <w:tcMar>
              <w:top w:w="0" w:type="dxa"/>
              <w:left w:w="0" w:type="dxa"/>
              <w:bottom w:w="0" w:type="dxa"/>
              <w:right w:w="0" w:type="dxa"/>
            </w:tcMar>
            <w:vAlign w:val="center"/>
            <w:hideMark/>
          </w:tcPr>
          <w:p w14:paraId="69B64C59" w14:textId="77777777" w:rsidR="00000000" w:rsidRDefault="00097612">
            <w:pPr>
              <w:pStyle w:val="a3"/>
              <w:spacing w:before="0" w:beforeAutospacing="0" w:after="0" w:afterAutospacing="0"/>
              <w:rPr>
                <w:sz w:val="20"/>
                <w:szCs w:val="20"/>
              </w:rPr>
            </w:pPr>
            <w:r>
              <w:rPr>
                <w:sz w:val="20"/>
                <w:szCs w:val="20"/>
              </w:rPr>
              <w:t>​</w:t>
            </w:r>
          </w:p>
        </w:tc>
        <w:tc>
          <w:tcPr>
            <w:tcW w:w="443" w:type="pct"/>
            <w:tcBorders>
              <w:bottom w:val="single" w:sz="6" w:space="0" w:color="000000"/>
            </w:tcBorders>
            <w:noWrap/>
            <w:tcMar>
              <w:top w:w="0" w:type="dxa"/>
              <w:left w:w="0" w:type="dxa"/>
              <w:bottom w:w="0" w:type="dxa"/>
              <w:right w:w="0" w:type="dxa"/>
            </w:tcMar>
            <w:vAlign w:val="center"/>
            <w:hideMark/>
          </w:tcPr>
          <w:p w14:paraId="119BE43A" w14:textId="77777777" w:rsidR="00000000" w:rsidRDefault="00097612">
            <w:pPr>
              <w:pStyle w:val="a3"/>
              <w:spacing w:before="0" w:beforeAutospacing="0" w:after="0" w:afterAutospacing="0"/>
              <w:ind w:right="60"/>
              <w:jc w:val="right"/>
              <w:rPr>
                <w:sz w:val="20"/>
                <w:szCs w:val="20"/>
              </w:rPr>
            </w:pPr>
            <w:r>
              <w:rPr>
                <w:sz w:val="20"/>
                <w:szCs w:val="20"/>
              </w:rPr>
              <w:t>8,329</w:t>
            </w:r>
          </w:p>
        </w:tc>
        <w:tc>
          <w:tcPr>
            <w:tcW w:w="112" w:type="pct"/>
            <w:noWrap/>
            <w:tcMar>
              <w:top w:w="0" w:type="dxa"/>
              <w:left w:w="0" w:type="dxa"/>
              <w:bottom w:w="0" w:type="dxa"/>
              <w:right w:w="0" w:type="dxa"/>
            </w:tcMar>
            <w:vAlign w:val="bottom"/>
            <w:hideMark/>
          </w:tcPr>
          <w:p w14:paraId="248F3C25" w14:textId="77777777" w:rsidR="00000000" w:rsidRDefault="00097612">
            <w:pPr>
              <w:pStyle w:val="a3"/>
              <w:spacing w:before="0" w:beforeAutospacing="0" w:after="0" w:afterAutospacing="0"/>
              <w:rPr>
                <w:sz w:val="20"/>
                <w:szCs w:val="20"/>
              </w:rPr>
            </w:pPr>
            <w:r>
              <w:rPr>
                <w:sz w:val="20"/>
                <w:szCs w:val="20"/>
              </w:rPr>
              <w:t>​</w:t>
            </w:r>
          </w:p>
        </w:tc>
        <w:tc>
          <w:tcPr>
            <w:tcW w:w="112" w:type="pct"/>
            <w:tcBorders>
              <w:bottom w:val="single" w:sz="6" w:space="0" w:color="000000"/>
            </w:tcBorders>
            <w:noWrap/>
            <w:tcMar>
              <w:top w:w="0" w:type="dxa"/>
              <w:left w:w="0" w:type="dxa"/>
              <w:bottom w:w="0" w:type="dxa"/>
              <w:right w:w="0" w:type="dxa"/>
            </w:tcMar>
            <w:vAlign w:val="bottom"/>
            <w:hideMark/>
          </w:tcPr>
          <w:p w14:paraId="26031E53" w14:textId="77777777" w:rsidR="00000000" w:rsidRDefault="00097612">
            <w:pPr>
              <w:pStyle w:val="a3"/>
              <w:spacing w:before="0" w:beforeAutospacing="0" w:after="0" w:afterAutospacing="0"/>
              <w:rPr>
                <w:sz w:val="20"/>
                <w:szCs w:val="20"/>
              </w:rPr>
            </w:pPr>
            <w:r>
              <w:rPr>
                <w:sz w:val="20"/>
                <w:szCs w:val="20"/>
              </w:rPr>
              <w:t>​</w:t>
            </w:r>
          </w:p>
        </w:tc>
        <w:tc>
          <w:tcPr>
            <w:tcW w:w="444" w:type="pct"/>
            <w:tcBorders>
              <w:bottom w:val="single" w:sz="6" w:space="0" w:color="000000"/>
            </w:tcBorders>
            <w:noWrap/>
            <w:tcMar>
              <w:top w:w="0" w:type="dxa"/>
              <w:left w:w="0" w:type="dxa"/>
              <w:bottom w:w="0" w:type="dxa"/>
              <w:right w:w="0" w:type="dxa"/>
            </w:tcMar>
            <w:vAlign w:val="center"/>
            <w:hideMark/>
          </w:tcPr>
          <w:p w14:paraId="60AF298C" w14:textId="77777777" w:rsidR="00000000" w:rsidRDefault="00097612">
            <w:pPr>
              <w:pStyle w:val="a3"/>
              <w:spacing w:before="0" w:beforeAutospacing="0" w:after="0" w:afterAutospacing="0"/>
              <w:ind w:right="60"/>
              <w:jc w:val="right"/>
              <w:rPr>
                <w:sz w:val="20"/>
                <w:szCs w:val="20"/>
              </w:rPr>
            </w:pPr>
            <w:r>
              <w:rPr>
                <w:sz w:val="20"/>
                <w:szCs w:val="20"/>
              </w:rPr>
              <w:t>833</w:t>
            </w:r>
          </w:p>
        </w:tc>
        <w:tc>
          <w:tcPr>
            <w:tcW w:w="112" w:type="pct"/>
            <w:tcMar>
              <w:top w:w="0" w:type="dxa"/>
              <w:left w:w="0" w:type="dxa"/>
              <w:bottom w:w="0" w:type="dxa"/>
              <w:right w:w="0" w:type="dxa"/>
            </w:tcMar>
            <w:vAlign w:val="center"/>
            <w:hideMark/>
          </w:tcPr>
          <w:p w14:paraId="3AD9C011" w14:textId="77777777" w:rsidR="00000000" w:rsidRDefault="00097612">
            <w:pPr>
              <w:pStyle w:val="a3"/>
              <w:spacing w:before="0" w:beforeAutospacing="0" w:after="0" w:afterAutospacing="0"/>
              <w:rPr>
                <w:sz w:val="20"/>
                <w:szCs w:val="20"/>
              </w:rPr>
            </w:pPr>
            <w:r>
              <w:rPr>
                <w:sz w:val="20"/>
                <w:szCs w:val="20"/>
              </w:rPr>
              <w:t>​</w:t>
            </w:r>
          </w:p>
        </w:tc>
      </w:tr>
      <w:tr w:rsidR="00000000" w14:paraId="64EAFC35" w14:textId="77777777">
        <w:trPr>
          <w:divId w:val="954486307"/>
        </w:trPr>
        <w:tc>
          <w:tcPr>
            <w:tcW w:w="3550" w:type="pct"/>
            <w:shd w:val="clear" w:color="auto" w:fill="CCEEFF"/>
            <w:tcMar>
              <w:top w:w="0" w:type="dxa"/>
              <w:left w:w="0" w:type="dxa"/>
              <w:bottom w:w="0" w:type="dxa"/>
              <w:right w:w="0" w:type="dxa"/>
            </w:tcMar>
            <w:vAlign w:val="center"/>
            <w:hideMark/>
          </w:tcPr>
          <w:p w14:paraId="71CEAA1F" w14:textId="77777777" w:rsidR="00000000" w:rsidRDefault="00097612">
            <w:pPr>
              <w:pStyle w:val="a3"/>
              <w:spacing w:before="0" w:beforeAutospacing="0" w:after="0" w:afterAutospacing="0"/>
              <w:ind w:left="240"/>
              <w:rPr>
                <w:sz w:val="20"/>
                <w:szCs w:val="20"/>
              </w:rPr>
            </w:pPr>
            <w:r>
              <w:rPr>
                <w:sz w:val="20"/>
                <w:szCs w:val="20"/>
              </w:rPr>
              <w:t xml:space="preserve">Total cash, cash equivalents, and restricted cash shown on the </w:t>
            </w:r>
            <w:r>
              <w:rPr>
                <w:sz w:val="20"/>
                <w:szCs w:val="20"/>
              </w:rPr>
              <w:br/>
              <w:t>condensed consolidated statements of cash flows</w:t>
            </w:r>
          </w:p>
        </w:tc>
        <w:tc>
          <w:tcPr>
            <w:tcW w:w="112" w:type="pct"/>
            <w:shd w:val="clear" w:color="auto" w:fill="CCEEFF"/>
            <w:tcMar>
              <w:top w:w="0" w:type="dxa"/>
              <w:left w:w="0" w:type="dxa"/>
              <w:bottom w:w="0" w:type="dxa"/>
              <w:right w:w="0" w:type="dxa"/>
            </w:tcMar>
            <w:vAlign w:val="center"/>
            <w:hideMark/>
          </w:tcPr>
          <w:p w14:paraId="20615555" w14:textId="77777777" w:rsidR="00000000" w:rsidRDefault="00097612">
            <w:pPr>
              <w:pStyle w:val="a3"/>
              <w:spacing w:before="0" w:beforeAutospacing="0" w:after="0" w:afterAutospacing="0"/>
              <w:rPr>
                <w:sz w:val="20"/>
                <w:szCs w:val="20"/>
              </w:rPr>
            </w:pPr>
            <w:r>
              <w:rPr>
                <w:sz w:val="20"/>
                <w:szCs w:val="20"/>
              </w:rPr>
              <w:t>​</w:t>
            </w:r>
          </w:p>
        </w:tc>
        <w:tc>
          <w:tcPr>
            <w:tcW w:w="112" w:type="pct"/>
            <w:tcBorders>
              <w:bottom w:val="double" w:sz="6" w:space="0" w:color="000000"/>
            </w:tcBorders>
            <w:shd w:val="clear" w:color="auto" w:fill="CCEEFF"/>
            <w:noWrap/>
            <w:tcMar>
              <w:top w:w="0" w:type="dxa"/>
              <w:left w:w="0" w:type="dxa"/>
              <w:bottom w:w="0" w:type="dxa"/>
              <w:right w:w="0" w:type="dxa"/>
            </w:tcMar>
            <w:vAlign w:val="bottom"/>
            <w:hideMark/>
          </w:tcPr>
          <w:p w14:paraId="51137146" w14:textId="77777777" w:rsidR="00000000" w:rsidRDefault="00097612">
            <w:pPr>
              <w:pStyle w:val="a3"/>
              <w:spacing w:before="0" w:beforeAutospacing="0" w:after="0" w:afterAutospacing="0"/>
              <w:jc w:val="center"/>
              <w:rPr>
                <w:sz w:val="20"/>
                <w:szCs w:val="20"/>
              </w:rPr>
            </w:pPr>
            <w:r>
              <w:rPr>
                <w:sz w:val="20"/>
                <w:szCs w:val="20"/>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14:paraId="71ED6AA3" w14:textId="77777777" w:rsidR="00000000" w:rsidRDefault="00097612">
            <w:pPr>
              <w:pStyle w:val="a3"/>
              <w:spacing w:before="0" w:beforeAutospacing="0" w:after="0" w:afterAutospacing="0"/>
              <w:ind w:right="60"/>
              <w:jc w:val="right"/>
              <w:rPr>
                <w:sz w:val="20"/>
                <w:szCs w:val="20"/>
              </w:rPr>
            </w:pPr>
            <w:r>
              <w:rPr>
                <w:sz w:val="20"/>
                <w:szCs w:val="20"/>
              </w:rPr>
              <w:t>110,732</w:t>
            </w:r>
          </w:p>
        </w:tc>
        <w:tc>
          <w:tcPr>
            <w:tcW w:w="112" w:type="pct"/>
            <w:shd w:val="clear" w:color="auto" w:fill="CCEEFF"/>
            <w:noWrap/>
            <w:tcMar>
              <w:top w:w="0" w:type="dxa"/>
              <w:left w:w="0" w:type="dxa"/>
              <w:bottom w:w="0" w:type="dxa"/>
              <w:right w:w="0" w:type="dxa"/>
            </w:tcMar>
            <w:vAlign w:val="bottom"/>
            <w:hideMark/>
          </w:tcPr>
          <w:p w14:paraId="3C20D1BF" w14:textId="77777777" w:rsidR="00000000" w:rsidRDefault="00097612">
            <w:pPr>
              <w:pStyle w:val="a3"/>
              <w:spacing w:before="0" w:beforeAutospacing="0" w:after="0" w:afterAutospacing="0"/>
              <w:rPr>
                <w:sz w:val="20"/>
                <w:szCs w:val="20"/>
              </w:rPr>
            </w:pPr>
            <w:r>
              <w:rPr>
                <w:sz w:val="20"/>
                <w:szCs w:val="20"/>
              </w:rPr>
              <w:t>​</w:t>
            </w:r>
          </w:p>
        </w:tc>
        <w:tc>
          <w:tcPr>
            <w:tcW w:w="112" w:type="pct"/>
            <w:tcBorders>
              <w:bottom w:val="double" w:sz="6" w:space="0" w:color="000000"/>
            </w:tcBorders>
            <w:shd w:val="clear" w:color="auto" w:fill="CCEEFF"/>
            <w:noWrap/>
            <w:tcMar>
              <w:top w:w="0" w:type="dxa"/>
              <w:left w:w="0" w:type="dxa"/>
              <w:bottom w:w="0" w:type="dxa"/>
              <w:right w:w="0" w:type="dxa"/>
            </w:tcMar>
            <w:vAlign w:val="bottom"/>
            <w:hideMark/>
          </w:tcPr>
          <w:p w14:paraId="521B60D5" w14:textId="77777777" w:rsidR="00000000" w:rsidRDefault="00097612">
            <w:pPr>
              <w:pStyle w:val="a3"/>
              <w:spacing w:before="0" w:beforeAutospacing="0" w:after="0" w:afterAutospacing="0"/>
              <w:jc w:val="center"/>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14:paraId="7F5E9A0D" w14:textId="77777777" w:rsidR="00000000" w:rsidRDefault="00097612">
            <w:pPr>
              <w:pStyle w:val="a3"/>
              <w:spacing w:before="0" w:beforeAutospacing="0" w:after="0" w:afterAutospacing="0"/>
              <w:ind w:right="60"/>
              <w:jc w:val="right"/>
              <w:rPr>
                <w:sz w:val="20"/>
                <w:szCs w:val="20"/>
              </w:rPr>
            </w:pPr>
            <w:r>
              <w:rPr>
                <w:sz w:val="20"/>
                <w:szCs w:val="20"/>
              </w:rPr>
              <w:t>102,035</w:t>
            </w:r>
          </w:p>
        </w:tc>
        <w:tc>
          <w:tcPr>
            <w:tcW w:w="112" w:type="pct"/>
            <w:shd w:val="clear" w:color="auto" w:fill="CCEEFF"/>
            <w:tcMar>
              <w:top w:w="0" w:type="dxa"/>
              <w:left w:w="0" w:type="dxa"/>
              <w:bottom w:w="0" w:type="dxa"/>
              <w:right w:w="0" w:type="dxa"/>
            </w:tcMar>
            <w:vAlign w:val="center"/>
            <w:hideMark/>
          </w:tcPr>
          <w:p w14:paraId="6B48DA48" w14:textId="77777777" w:rsidR="00000000" w:rsidRDefault="00097612">
            <w:pPr>
              <w:pStyle w:val="a3"/>
              <w:spacing w:before="0" w:beforeAutospacing="0" w:after="0" w:afterAutospacing="0"/>
              <w:rPr>
                <w:sz w:val="20"/>
                <w:szCs w:val="20"/>
              </w:rPr>
            </w:pPr>
            <w:r>
              <w:rPr>
                <w:sz w:val="20"/>
                <w:szCs w:val="20"/>
              </w:rPr>
              <w:t>​</w:t>
            </w:r>
          </w:p>
        </w:tc>
      </w:tr>
    </w:tbl>
    <w:p w14:paraId="25DA676E" w14:textId="77777777" w:rsidR="00000000" w:rsidRDefault="00097612">
      <w:pPr>
        <w:pStyle w:val="a3"/>
        <w:spacing w:before="0" w:beforeAutospacing="0" w:after="0" w:afterAutospacing="0"/>
        <w:ind w:firstLine="720"/>
        <w:divId w:val="954486307"/>
        <w:rPr>
          <w:sz w:val="20"/>
          <w:szCs w:val="20"/>
        </w:rPr>
      </w:pPr>
      <w:r>
        <w:rPr>
          <w:sz w:val="20"/>
          <w:szCs w:val="20"/>
        </w:rPr>
        <w:t>​</w:t>
      </w:r>
    </w:p>
    <w:p w14:paraId="46BEA933" w14:textId="77777777" w:rsidR="00000000" w:rsidRDefault="00097612">
      <w:pPr>
        <w:pStyle w:val="a3"/>
        <w:spacing w:before="0" w:beforeAutospacing="0" w:after="0" w:afterAutospacing="0"/>
        <w:ind w:firstLine="720"/>
        <w:divId w:val="954486307"/>
        <w:rPr>
          <w:sz w:val="20"/>
          <w:szCs w:val="20"/>
        </w:rPr>
      </w:pPr>
      <w:r>
        <w:rPr>
          <w:sz w:val="20"/>
          <w:szCs w:val="20"/>
        </w:rPr>
        <w:t xml:space="preserve">As of September 30, 2019, the Company maintained restricted cash to secure a line of credit and debt servicing of its 9.0% non-recourse notes, due on or before 2033. See </w:t>
      </w:r>
      <w:r>
        <w:rPr>
          <w:i/>
          <w:iCs/>
          <w:sz w:val="20"/>
          <w:szCs w:val="20"/>
        </w:rPr>
        <w:t>“Note 6. Long-Term Debt”</w:t>
      </w:r>
      <w:r>
        <w:rPr>
          <w:sz w:val="20"/>
          <w:szCs w:val="20"/>
        </w:rPr>
        <w:t xml:space="preserve"> for further information regarding the Company’s 9.0% non-reco</w:t>
      </w:r>
      <w:r>
        <w:rPr>
          <w:sz w:val="20"/>
          <w:szCs w:val="20"/>
        </w:rPr>
        <w:t>urse notes, due on or before 2033.</w:t>
      </w:r>
    </w:p>
    <w:p w14:paraId="1B6DD2E2" w14:textId="77777777" w:rsidR="00000000" w:rsidRDefault="00097612">
      <w:pPr>
        <w:pStyle w:val="a3"/>
        <w:spacing w:before="0" w:beforeAutospacing="0" w:after="0" w:afterAutospacing="0"/>
        <w:divId w:val="954486307"/>
        <w:rPr>
          <w:sz w:val="20"/>
          <w:szCs w:val="20"/>
        </w:rPr>
      </w:pPr>
      <w:r>
        <w:rPr>
          <w:sz w:val="10"/>
          <w:szCs w:val="10"/>
        </w:rPr>
        <w:t>​</w:t>
      </w:r>
    </w:p>
    <w:p w14:paraId="5F3FFB45" w14:textId="77777777" w:rsidR="00000000" w:rsidRDefault="00097612">
      <w:pPr>
        <w:pStyle w:val="a3"/>
        <w:spacing w:before="0" w:beforeAutospacing="0" w:after="0" w:afterAutospacing="0"/>
        <w:divId w:val="954486307"/>
        <w:rPr>
          <w:sz w:val="20"/>
          <w:szCs w:val="20"/>
        </w:rPr>
      </w:pPr>
      <w:r>
        <w:rPr>
          <w:sz w:val="2"/>
          <w:szCs w:val="2"/>
        </w:rPr>
        <w:t>​</w:t>
      </w:r>
    </w:p>
    <w:p w14:paraId="349777BC" w14:textId="77777777" w:rsidR="00000000" w:rsidRDefault="00097612">
      <w:pPr>
        <w:pStyle w:val="a3"/>
        <w:spacing w:before="0" w:beforeAutospacing="0" w:after="0" w:afterAutospacing="0"/>
        <w:divId w:val="954486307"/>
        <w:rPr>
          <w:sz w:val="20"/>
          <w:szCs w:val="20"/>
        </w:rPr>
      </w:pPr>
      <w:r>
        <w:rPr>
          <w:sz w:val="20"/>
          <w:szCs w:val="20"/>
        </w:rPr>
        <w:t>​</w:t>
      </w:r>
    </w:p>
    <w:p w14:paraId="31D92FD4" w14:textId="77777777" w:rsidR="00000000" w:rsidRDefault="00097612">
      <w:pPr>
        <w:pStyle w:val="a3"/>
        <w:spacing w:before="360" w:beforeAutospacing="0" w:after="0" w:afterAutospacing="0"/>
        <w:jc w:val="center"/>
        <w:divId w:val="680426874"/>
        <w:rPr>
          <w:sz w:val="20"/>
          <w:szCs w:val="20"/>
        </w:rPr>
      </w:pPr>
      <w:r>
        <w:rPr>
          <w:sz w:val="20"/>
          <w:szCs w:val="20"/>
        </w:rPr>
        <w:t>13</w:t>
      </w:r>
    </w:p>
    <w:p w14:paraId="740CAB42" w14:textId="77777777" w:rsidR="00000000" w:rsidRDefault="00097612">
      <w:pPr>
        <w:pStyle w:val="a3"/>
        <w:spacing w:before="0" w:beforeAutospacing="0" w:after="600" w:afterAutospacing="0"/>
        <w:divId w:val="2099710112"/>
        <w:rPr>
          <w:sz w:val="20"/>
          <w:szCs w:val="20"/>
        </w:rPr>
      </w:pPr>
      <w:hyperlink w:anchor="TOC" w:history="1">
        <w:r>
          <w:rPr>
            <w:rStyle w:val="a4"/>
            <w:sz w:val="20"/>
            <w:szCs w:val="20"/>
          </w:rPr>
          <w:t>Table of Contents</w:t>
        </w:r>
      </w:hyperlink>
    </w:p>
    <w:p w14:paraId="2512FB9D" w14:textId="77777777" w:rsidR="00000000" w:rsidRDefault="00097612">
      <w:pPr>
        <w:pStyle w:val="a3"/>
        <w:spacing w:before="0" w:beforeAutospacing="0" w:after="0" w:afterAutospacing="0"/>
        <w:divId w:val="791941229"/>
        <w:rPr>
          <w:sz w:val="20"/>
          <w:szCs w:val="20"/>
        </w:rPr>
      </w:pPr>
      <w:r>
        <w:rPr>
          <w:b/>
          <w:bCs/>
          <w:sz w:val="20"/>
          <w:szCs w:val="20"/>
        </w:rPr>
        <w:t>5.</w:t>
      </w:r>
      <w:r>
        <w:rPr>
          <w:sz w:val="20"/>
          <w:szCs w:val="20"/>
        </w:rPr>
        <w:t xml:space="preserve"> </w:t>
      </w:r>
      <w:r>
        <w:rPr>
          <w:b/>
          <w:bCs/>
          <w:sz w:val="20"/>
          <w:szCs w:val="20"/>
        </w:rPr>
        <w:t>Investments and Fair Value Measurements</w:t>
      </w:r>
    </w:p>
    <w:p w14:paraId="644B7A98" w14:textId="77777777" w:rsidR="00000000" w:rsidRDefault="00097612">
      <w:pPr>
        <w:pStyle w:val="a3"/>
        <w:spacing w:before="0" w:beforeAutospacing="0" w:after="0" w:afterAutospacing="0"/>
        <w:divId w:val="791941229"/>
        <w:rPr>
          <w:sz w:val="20"/>
          <w:szCs w:val="20"/>
        </w:rPr>
      </w:pPr>
      <w:r>
        <w:rPr>
          <w:sz w:val="10"/>
          <w:szCs w:val="10"/>
        </w:rPr>
        <w:t>​</w:t>
      </w:r>
    </w:p>
    <w:p w14:paraId="3EAAFAC7" w14:textId="77777777" w:rsidR="00000000" w:rsidRDefault="00097612">
      <w:pPr>
        <w:pStyle w:val="a3"/>
        <w:spacing w:before="0" w:beforeAutospacing="0" w:after="0" w:afterAutospacing="0"/>
        <w:divId w:val="791941229"/>
        <w:rPr>
          <w:sz w:val="20"/>
          <w:szCs w:val="20"/>
        </w:rPr>
      </w:pPr>
      <w:r>
        <w:rPr>
          <w:b/>
          <w:bCs/>
          <w:i/>
          <w:iCs/>
          <w:sz w:val="20"/>
          <w:szCs w:val="20"/>
        </w:rPr>
        <w:t>Available-for-Sale Securities</w:t>
      </w:r>
    </w:p>
    <w:p w14:paraId="40636ACD" w14:textId="77777777" w:rsidR="00000000" w:rsidRDefault="00097612">
      <w:pPr>
        <w:pStyle w:val="a3"/>
        <w:spacing w:before="0" w:beforeAutospacing="0" w:after="0" w:afterAutospacing="0"/>
        <w:divId w:val="791941229"/>
        <w:rPr>
          <w:sz w:val="20"/>
          <w:szCs w:val="20"/>
        </w:rPr>
      </w:pPr>
      <w:r>
        <w:rPr>
          <w:sz w:val="10"/>
          <w:szCs w:val="10"/>
        </w:rPr>
        <w:t>​</w:t>
      </w:r>
    </w:p>
    <w:p w14:paraId="41051164" w14:textId="77777777" w:rsidR="00000000" w:rsidRDefault="00097612">
      <w:pPr>
        <w:pStyle w:val="a3"/>
        <w:spacing w:before="0" w:beforeAutospacing="0" w:after="0" w:afterAutospacing="0"/>
        <w:ind w:firstLine="720"/>
        <w:divId w:val="791941229"/>
        <w:rPr>
          <w:sz w:val="20"/>
          <w:szCs w:val="20"/>
        </w:rPr>
      </w:pPr>
      <w:r>
        <w:rPr>
          <w:sz w:val="20"/>
          <w:szCs w:val="20"/>
        </w:rPr>
        <w:t>The estimated fair value of marketable securities is based on quoted market prices for these or similar investments obtained from a commercial pricing service. The fair market value of marketable securities classified within Level 1 is based on quoted pric</w:t>
      </w:r>
      <w:r>
        <w:rPr>
          <w:sz w:val="20"/>
          <w:szCs w:val="20"/>
        </w:rPr>
        <w:t>es for identical instruments in active markets. The fair value of marketable securities classified within Level 2 is based on quoted prices for similar instruments in active markets; quoted prices for identical or similar instruments in markets that are no</w:t>
      </w:r>
      <w:r>
        <w:rPr>
          <w:sz w:val="20"/>
          <w:szCs w:val="20"/>
        </w:rPr>
        <w:t>t active; or model-driven valuations whose inputs are observable or whose significant value drivers are observable. Observable inputs that may include benchmark yields, reported trades, broker/dealer quotes, issuer spreads, two-sided markets, benchmark sec</w:t>
      </w:r>
      <w:r>
        <w:rPr>
          <w:sz w:val="20"/>
          <w:szCs w:val="20"/>
        </w:rPr>
        <w:t xml:space="preserve">urities, bids, offers and reference data including market research publications. </w:t>
      </w:r>
    </w:p>
    <w:p w14:paraId="7A78F7C6" w14:textId="77777777" w:rsidR="00000000" w:rsidRDefault="00097612">
      <w:pPr>
        <w:pStyle w:val="a3"/>
        <w:spacing w:before="0" w:beforeAutospacing="0" w:after="0" w:afterAutospacing="0"/>
        <w:ind w:firstLine="720"/>
        <w:divId w:val="791941229"/>
        <w:rPr>
          <w:sz w:val="20"/>
          <w:szCs w:val="20"/>
        </w:rPr>
      </w:pPr>
      <w:r>
        <w:rPr>
          <w:sz w:val="20"/>
          <w:szCs w:val="20"/>
        </w:rPr>
        <w:t>​</w:t>
      </w:r>
    </w:p>
    <w:p w14:paraId="0DC66DF4" w14:textId="77777777" w:rsidR="00000000" w:rsidRDefault="00097612">
      <w:pPr>
        <w:pStyle w:val="a3"/>
        <w:spacing w:before="0" w:beforeAutospacing="0" w:after="0" w:afterAutospacing="0"/>
        <w:divId w:val="791941229"/>
        <w:rPr>
          <w:sz w:val="20"/>
          <w:szCs w:val="20"/>
        </w:rPr>
      </w:pPr>
      <w:r>
        <w:rPr>
          <w:sz w:val="20"/>
          <w:szCs w:val="20"/>
        </w:rPr>
        <w:t>Available-for-sale securities are summarized below:</w:t>
      </w:r>
    </w:p>
    <w:p w14:paraId="1074E968" w14:textId="77777777" w:rsidR="00000000" w:rsidRDefault="00097612">
      <w:pPr>
        <w:pStyle w:val="a3"/>
        <w:spacing w:before="0" w:beforeAutospacing="0" w:after="0" w:afterAutospacing="0"/>
        <w:ind w:firstLine="720"/>
        <w:divId w:val="791941229"/>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26"/>
        <w:gridCol w:w="160"/>
        <w:gridCol w:w="604"/>
        <w:gridCol w:w="160"/>
        <w:gridCol w:w="148"/>
        <w:gridCol w:w="710"/>
        <w:gridCol w:w="160"/>
        <w:gridCol w:w="152"/>
        <w:gridCol w:w="628"/>
        <w:gridCol w:w="160"/>
        <w:gridCol w:w="152"/>
        <w:gridCol w:w="628"/>
        <w:gridCol w:w="160"/>
        <w:gridCol w:w="148"/>
        <w:gridCol w:w="710"/>
      </w:tblGrid>
      <w:tr w:rsidR="00000000" w14:paraId="3DAA65B9" w14:textId="77777777">
        <w:trPr>
          <w:divId w:val="791941229"/>
          <w:trHeight w:val="20"/>
        </w:trPr>
        <w:tc>
          <w:tcPr>
            <w:tcW w:w="2187" w:type="pct"/>
            <w:tcMar>
              <w:top w:w="0" w:type="dxa"/>
              <w:left w:w="0" w:type="dxa"/>
              <w:bottom w:w="0" w:type="dxa"/>
              <w:right w:w="0" w:type="dxa"/>
            </w:tcMar>
            <w:vAlign w:val="center"/>
            <w:hideMark/>
          </w:tcPr>
          <w:p w14:paraId="702B045C" w14:textId="77777777" w:rsidR="00000000" w:rsidRDefault="00097612">
            <w:pPr>
              <w:pStyle w:val="a3"/>
              <w:spacing w:before="0" w:beforeAutospacing="0" w:after="0" w:afterAutospacing="0"/>
              <w:divId w:val="1737584524"/>
              <w:rPr>
                <w:sz w:val="20"/>
                <w:szCs w:val="20"/>
              </w:rPr>
            </w:pPr>
            <w:r>
              <w:rPr>
                <w:sz w:val="2"/>
                <w:szCs w:val="2"/>
              </w:rPr>
              <w:t>​</w:t>
            </w:r>
          </w:p>
        </w:tc>
        <w:tc>
          <w:tcPr>
            <w:tcW w:w="97" w:type="pct"/>
            <w:noWrap/>
            <w:tcMar>
              <w:top w:w="0" w:type="dxa"/>
              <w:left w:w="0" w:type="dxa"/>
              <w:bottom w:w="0" w:type="dxa"/>
              <w:right w:w="0" w:type="dxa"/>
            </w:tcMar>
            <w:vAlign w:val="bottom"/>
            <w:hideMark/>
          </w:tcPr>
          <w:p w14:paraId="3D53257F" w14:textId="77777777" w:rsidR="00000000" w:rsidRDefault="00097612">
            <w:pPr>
              <w:pStyle w:val="a3"/>
              <w:spacing w:before="0" w:beforeAutospacing="0" w:after="0" w:afterAutospacing="0"/>
              <w:divId w:val="2072265088"/>
              <w:rPr>
                <w:sz w:val="20"/>
                <w:szCs w:val="20"/>
              </w:rPr>
            </w:pPr>
            <w:r>
              <w:rPr>
                <w:sz w:val="2"/>
                <w:szCs w:val="2"/>
              </w:rPr>
              <w:t>​</w:t>
            </w:r>
          </w:p>
        </w:tc>
        <w:tc>
          <w:tcPr>
            <w:tcW w:w="374" w:type="pct"/>
            <w:tcMar>
              <w:top w:w="0" w:type="dxa"/>
              <w:left w:w="0" w:type="dxa"/>
              <w:bottom w:w="0" w:type="dxa"/>
              <w:right w:w="0" w:type="dxa"/>
            </w:tcMar>
            <w:vAlign w:val="center"/>
            <w:hideMark/>
          </w:tcPr>
          <w:p w14:paraId="39D25E84" w14:textId="77777777" w:rsidR="00000000" w:rsidRDefault="00097612">
            <w:pPr>
              <w:pStyle w:val="a3"/>
              <w:spacing w:before="0" w:beforeAutospacing="0" w:after="0" w:afterAutospacing="0"/>
              <w:divId w:val="730424528"/>
              <w:rPr>
                <w:sz w:val="20"/>
                <w:szCs w:val="20"/>
              </w:rPr>
            </w:pPr>
            <w:r>
              <w:rPr>
                <w:sz w:val="2"/>
                <w:szCs w:val="2"/>
              </w:rPr>
              <w:t>​</w:t>
            </w:r>
          </w:p>
        </w:tc>
        <w:tc>
          <w:tcPr>
            <w:tcW w:w="98" w:type="pct"/>
            <w:noWrap/>
            <w:tcMar>
              <w:top w:w="0" w:type="dxa"/>
              <w:left w:w="0" w:type="dxa"/>
              <w:bottom w:w="0" w:type="dxa"/>
              <w:right w:w="0" w:type="dxa"/>
            </w:tcMar>
            <w:vAlign w:val="bottom"/>
            <w:hideMark/>
          </w:tcPr>
          <w:p w14:paraId="5680BE93" w14:textId="77777777" w:rsidR="00000000" w:rsidRDefault="00097612">
            <w:pPr>
              <w:pStyle w:val="a3"/>
              <w:spacing w:before="0" w:beforeAutospacing="0" w:after="0" w:afterAutospacing="0"/>
              <w:divId w:val="1775855911"/>
              <w:rPr>
                <w:sz w:val="20"/>
                <w:szCs w:val="20"/>
              </w:rPr>
            </w:pPr>
            <w:r>
              <w:rPr>
                <w:sz w:val="2"/>
                <w:szCs w:val="2"/>
              </w:rPr>
              <w:t>​</w:t>
            </w:r>
          </w:p>
        </w:tc>
        <w:tc>
          <w:tcPr>
            <w:tcW w:w="98" w:type="pct"/>
            <w:noWrap/>
            <w:tcMar>
              <w:top w:w="0" w:type="dxa"/>
              <w:left w:w="0" w:type="dxa"/>
              <w:bottom w:w="0" w:type="dxa"/>
              <w:right w:w="0" w:type="dxa"/>
            </w:tcMar>
            <w:vAlign w:val="bottom"/>
            <w:hideMark/>
          </w:tcPr>
          <w:p w14:paraId="241BF854" w14:textId="77777777" w:rsidR="00000000" w:rsidRDefault="00097612">
            <w:pPr>
              <w:pStyle w:val="a3"/>
              <w:spacing w:before="0" w:beforeAutospacing="0" w:after="0" w:afterAutospacing="0"/>
              <w:divId w:val="685012611"/>
              <w:rPr>
                <w:sz w:val="20"/>
                <w:szCs w:val="20"/>
              </w:rPr>
            </w:pPr>
            <w:r>
              <w:rPr>
                <w:sz w:val="2"/>
                <w:szCs w:val="2"/>
              </w:rPr>
              <w:t>​</w:t>
            </w:r>
          </w:p>
        </w:tc>
        <w:tc>
          <w:tcPr>
            <w:tcW w:w="385" w:type="pct"/>
            <w:tcMar>
              <w:top w:w="0" w:type="dxa"/>
              <w:left w:w="0" w:type="dxa"/>
              <w:bottom w:w="0" w:type="dxa"/>
              <w:right w:w="0" w:type="dxa"/>
            </w:tcMar>
            <w:vAlign w:val="center"/>
            <w:hideMark/>
          </w:tcPr>
          <w:p w14:paraId="601269B5" w14:textId="77777777" w:rsidR="00000000" w:rsidRDefault="00097612">
            <w:pPr>
              <w:pStyle w:val="a3"/>
              <w:spacing w:before="0" w:beforeAutospacing="0" w:after="0" w:afterAutospacing="0"/>
              <w:divId w:val="1914316459"/>
              <w:rPr>
                <w:sz w:val="20"/>
                <w:szCs w:val="20"/>
              </w:rPr>
            </w:pPr>
            <w:r>
              <w:rPr>
                <w:sz w:val="2"/>
                <w:szCs w:val="2"/>
              </w:rPr>
              <w:t>​</w:t>
            </w:r>
          </w:p>
        </w:tc>
        <w:tc>
          <w:tcPr>
            <w:tcW w:w="98" w:type="pct"/>
            <w:noWrap/>
            <w:tcMar>
              <w:top w:w="0" w:type="dxa"/>
              <w:left w:w="0" w:type="dxa"/>
              <w:bottom w:w="0" w:type="dxa"/>
              <w:right w:w="0" w:type="dxa"/>
            </w:tcMar>
            <w:vAlign w:val="bottom"/>
            <w:hideMark/>
          </w:tcPr>
          <w:p w14:paraId="3D6E31A0" w14:textId="77777777" w:rsidR="00000000" w:rsidRDefault="00097612">
            <w:pPr>
              <w:pStyle w:val="a3"/>
              <w:spacing w:before="0" w:beforeAutospacing="0" w:after="0" w:afterAutospacing="0"/>
              <w:divId w:val="420953206"/>
              <w:rPr>
                <w:sz w:val="20"/>
                <w:szCs w:val="20"/>
              </w:rPr>
            </w:pPr>
            <w:r>
              <w:rPr>
                <w:sz w:val="2"/>
                <w:szCs w:val="2"/>
              </w:rPr>
              <w:t>​</w:t>
            </w:r>
          </w:p>
        </w:tc>
        <w:tc>
          <w:tcPr>
            <w:tcW w:w="98" w:type="pct"/>
            <w:noWrap/>
            <w:tcMar>
              <w:top w:w="0" w:type="dxa"/>
              <w:left w:w="0" w:type="dxa"/>
              <w:bottom w:w="0" w:type="dxa"/>
              <w:right w:w="0" w:type="dxa"/>
            </w:tcMar>
            <w:vAlign w:val="bottom"/>
            <w:hideMark/>
          </w:tcPr>
          <w:p w14:paraId="47729E0B" w14:textId="77777777" w:rsidR="00000000" w:rsidRDefault="00097612">
            <w:pPr>
              <w:pStyle w:val="a3"/>
              <w:spacing w:before="0" w:beforeAutospacing="0" w:after="0" w:afterAutospacing="0"/>
              <w:divId w:val="1933856929"/>
              <w:rPr>
                <w:sz w:val="20"/>
                <w:szCs w:val="20"/>
              </w:rPr>
            </w:pPr>
            <w:r>
              <w:rPr>
                <w:sz w:val="2"/>
                <w:szCs w:val="2"/>
              </w:rPr>
              <w:t>​</w:t>
            </w:r>
          </w:p>
        </w:tc>
        <w:tc>
          <w:tcPr>
            <w:tcW w:w="385" w:type="pct"/>
            <w:tcMar>
              <w:top w:w="0" w:type="dxa"/>
              <w:left w:w="0" w:type="dxa"/>
              <w:bottom w:w="0" w:type="dxa"/>
              <w:right w:w="0" w:type="dxa"/>
            </w:tcMar>
            <w:vAlign w:val="center"/>
            <w:hideMark/>
          </w:tcPr>
          <w:p w14:paraId="1325DA73" w14:textId="77777777" w:rsidR="00000000" w:rsidRDefault="00097612">
            <w:pPr>
              <w:pStyle w:val="a3"/>
              <w:spacing w:before="0" w:beforeAutospacing="0" w:after="0" w:afterAutospacing="0"/>
              <w:divId w:val="1784224507"/>
              <w:rPr>
                <w:sz w:val="20"/>
                <w:szCs w:val="20"/>
              </w:rPr>
            </w:pPr>
            <w:r>
              <w:rPr>
                <w:sz w:val="2"/>
                <w:szCs w:val="2"/>
              </w:rPr>
              <w:t>​</w:t>
            </w:r>
          </w:p>
        </w:tc>
        <w:tc>
          <w:tcPr>
            <w:tcW w:w="98" w:type="pct"/>
            <w:noWrap/>
            <w:tcMar>
              <w:top w:w="0" w:type="dxa"/>
              <w:left w:w="0" w:type="dxa"/>
              <w:bottom w:w="0" w:type="dxa"/>
              <w:right w:w="0" w:type="dxa"/>
            </w:tcMar>
            <w:vAlign w:val="bottom"/>
            <w:hideMark/>
          </w:tcPr>
          <w:p w14:paraId="2E3A2813" w14:textId="77777777" w:rsidR="00000000" w:rsidRDefault="00097612">
            <w:pPr>
              <w:pStyle w:val="a3"/>
              <w:spacing w:before="0" w:beforeAutospacing="0" w:after="0" w:afterAutospacing="0"/>
              <w:divId w:val="993220444"/>
              <w:rPr>
                <w:sz w:val="20"/>
                <w:szCs w:val="20"/>
              </w:rPr>
            </w:pPr>
            <w:r>
              <w:rPr>
                <w:sz w:val="2"/>
                <w:szCs w:val="2"/>
              </w:rPr>
              <w:t>​</w:t>
            </w:r>
          </w:p>
        </w:tc>
        <w:tc>
          <w:tcPr>
            <w:tcW w:w="98" w:type="pct"/>
            <w:noWrap/>
            <w:tcMar>
              <w:top w:w="0" w:type="dxa"/>
              <w:left w:w="0" w:type="dxa"/>
              <w:bottom w:w="0" w:type="dxa"/>
              <w:right w:w="0" w:type="dxa"/>
            </w:tcMar>
            <w:vAlign w:val="bottom"/>
            <w:hideMark/>
          </w:tcPr>
          <w:p w14:paraId="08202085" w14:textId="77777777" w:rsidR="00000000" w:rsidRDefault="00097612">
            <w:pPr>
              <w:pStyle w:val="a3"/>
              <w:spacing w:before="0" w:beforeAutospacing="0" w:after="0" w:afterAutospacing="0"/>
              <w:divId w:val="1540361352"/>
              <w:rPr>
                <w:sz w:val="20"/>
                <w:szCs w:val="20"/>
              </w:rPr>
            </w:pPr>
            <w:r>
              <w:rPr>
                <w:sz w:val="2"/>
                <w:szCs w:val="2"/>
              </w:rPr>
              <w:t>​</w:t>
            </w:r>
          </w:p>
        </w:tc>
        <w:tc>
          <w:tcPr>
            <w:tcW w:w="385" w:type="pct"/>
            <w:tcMar>
              <w:top w:w="0" w:type="dxa"/>
              <w:left w:w="0" w:type="dxa"/>
              <w:bottom w:w="0" w:type="dxa"/>
              <w:right w:w="0" w:type="dxa"/>
            </w:tcMar>
            <w:vAlign w:val="center"/>
            <w:hideMark/>
          </w:tcPr>
          <w:p w14:paraId="538C49F5" w14:textId="77777777" w:rsidR="00000000" w:rsidRDefault="00097612">
            <w:pPr>
              <w:pStyle w:val="a3"/>
              <w:spacing w:before="0" w:beforeAutospacing="0" w:after="0" w:afterAutospacing="0"/>
              <w:divId w:val="2013289282"/>
              <w:rPr>
                <w:sz w:val="20"/>
                <w:szCs w:val="20"/>
              </w:rPr>
            </w:pPr>
            <w:r>
              <w:rPr>
                <w:sz w:val="2"/>
                <w:szCs w:val="2"/>
              </w:rPr>
              <w:t>​</w:t>
            </w:r>
          </w:p>
        </w:tc>
        <w:tc>
          <w:tcPr>
            <w:tcW w:w="98" w:type="pct"/>
            <w:noWrap/>
            <w:tcMar>
              <w:top w:w="0" w:type="dxa"/>
              <w:left w:w="0" w:type="dxa"/>
              <w:bottom w:w="0" w:type="dxa"/>
              <w:right w:w="0" w:type="dxa"/>
            </w:tcMar>
            <w:vAlign w:val="bottom"/>
            <w:hideMark/>
          </w:tcPr>
          <w:p w14:paraId="47FE2C52" w14:textId="77777777" w:rsidR="00000000" w:rsidRDefault="00097612">
            <w:pPr>
              <w:pStyle w:val="a3"/>
              <w:spacing w:before="0" w:beforeAutospacing="0" w:after="0" w:afterAutospacing="0"/>
              <w:divId w:val="625694945"/>
              <w:rPr>
                <w:sz w:val="20"/>
                <w:szCs w:val="20"/>
              </w:rPr>
            </w:pPr>
            <w:r>
              <w:rPr>
                <w:sz w:val="2"/>
                <w:szCs w:val="2"/>
              </w:rPr>
              <w:t>​</w:t>
            </w:r>
          </w:p>
        </w:tc>
        <w:tc>
          <w:tcPr>
            <w:tcW w:w="98" w:type="pct"/>
            <w:noWrap/>
            <w:tcMar>
              <w:top w:w="0" w:type="dxa"/>
              <w:left w:w="0" w:type="dxa"/>
              <w:bottom w:w="0" w:type="dxa"/>
              <w:right w:w="0" w:type="dxa"/>
            </w:tcMar>
            <w:vAlign w:val="bottom"/>
            <w:hideMark/>
          </w:tcPr>
          <w:p w14:paraId="7CF72A57" w14:textId="77777777" w:rsidR="00000000" w:rsidRDefault="00097612">
            <w:pPr>
              <w:pStyle w:val="a3"/>
              <w:spacing w:before="0" w:beforeAutospacing="0" w:after="0" w:afterAutospacing="0"/>
              <w:divId w:val="653536023"/>
              <w:rPr>
                <w:sz w:val="20"/>
                <w:szCs w:val="20"/>
              </w:rPr>
            </w:pPr>
            <w:r>
              <w:rPr>
                <w:sz w:val="2"/>
                <w:szCs w:val="2"/>
              </w:rPr>
              <w:t>​</w:t>
            </w:r>
          </w:p>
        </w:tc>
        <w:tc>
          <w:tcPr>
            <w:tcW w:w="396" w:type="pct"/>
            <w:tcMar>
              <w:top w:w="0" w:type="dxa"/>
              <w:left w:w="0" w:type="dxa"/>
              <w:bottom w:w="0" w:type="dxa"/>
              <w:right w:w="0" w:type="dxa"/>
            </w:tcMar>
            <w:vAlign w:val="center"/>
            <w:hideMark/>
          </w:tcPr>
          <w:p w14:paraId="312042AB" w14:textId="77777777" w:rsidR="00000000" w:rsidRDefault="00097612">
            <w:pPr>
              <w:pStyle w:val="a3"/>
              <w:spacing w:before="0" w:beforeAutospacing="0" w:after="0" w:afterAutospacing="0"/>
              <w:divId w:val="1017463253"/>
              <w:rPr>
                <w:sz w:val="20"/>
                <w:szCs w:val="20"/>
              </w:rPr>
            </w:pPr>
            <w:r>
              <w:rPr>
                <w:sz w:val="2"/>
                <w:szCs w:val="2"/>
              </w:rPr>
              <w:t>​</w:t>
            </w:r>
          </w:p>
        </w:tc>
      </w:tr>
      <w:tr w:rsidR="00000000" w14:paraId="1D179DED" w14:textId="77777777">
        <w:trPr>
          <w:divId w:val="791941229"/>
        </w:trPr>
        <w:tc>
          <w:tcPr>
            <w:tcW w:w="2187" w:type="pct"/>
            <w:shd w:val="clear" w:color="auto" w:fill="auto"/>
            <w:tcMar>
              <w:top w:w="0" w:type="dxa"/>
              <w:left w:w="0" w:type="dxa"/>
              <w:bottom w:w="0" w:type="dxa"/>
              <w:right w:w="0" w:type="dxa"/>
            </w:tcMar>
            <w:vAlign w:val="bottom"/>
            <w:hideMark/>
          </w:tcPr>
          <w:p w14:paraId="4D0D4E9C" w14:textId="77777777" w:rsidR="00000000" w:rsidRDefault="00097612">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128D9FCD" w14:textId="77777777" w:rsidR="00000000" w:rsidRDefault="00097612">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14:paraId="5E3828E1" w14:textId="77777777" w:rsidR="00000000" w:rsidRDefault="00097612">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14:paraId="2B851C6D" w14:textId="77777777" w:rsidR="00000000" w:rsidRDefault="00097612">
            <w:pPr>
              <w:pStyle w:val="a3"/>
              <w:spacing w:before="0" w:beforeAutospacing="0" w:after="0" w:afterAutospacing="0"/>
              <w:rPr>
                <w:sz w:val="20"/>
                <w:szCs w:val="20"/>
              </w:rPr>
            </w:pPr>
            <w:r>
              <w:rPr>
                <w:b/>
                <w:bCs/>
                <w:sz w:val="16"/>
                <w:szCs w:val="16"/>
              </w:rPr>
              <w:t>​</w:t>
            </w:r>
          </w:p>
        </w:tc>
        <w:tc>
          <w:tcPr>
            <w:tcW w:w="2242" w:type="pct"/>
            <w:gridSpan w:val="11"/>
            <w:tcBorders>
              <w:bottom w:val="single" w:sz="6" w:space="0" w:color="000000"/>
            </w:tcBorders>
            <w:shd w:val="clear" w:color="auto" w:fill="auto"/>
            <w:noWrap/>
            <w:tcMar>
              <w:top w:w="0" w:type="dxa"/>
              <w:left w:w="0" w:type="dxa"/>
              <w:bottom w:w="0" w:type="dxa"/>
              <w:right w:w="0" w:type="dxa"/>
            </w:tcMar>
            <w:vAlign w:val="bottom"/>
            <w:hideMark/>
          </w:tcPr>
          <w:p w14:paraId="2CA04F86" w14:textId="77777777" w:rsidR="00000000" w:rsidRDefault="00097612">
            <w:pPr>
              <w:pStyle w:val="a3"/>
              <w:spacing w:before="0" w:beforeAutospacing="0" w:after="0" w:afterAutospacing="0"/>
              <w:jc w:val="center"/>
              <w:rPr>
                <w:sz w:val="16"/>
                <w:szCs w:val="16"/>
              </w:rPr>
            </w:pPr>
            <w:r>
              <w:rPr>
                <w:b/>
                <w:bCs/>
                <w:sz w:val="16"/>
                <w:szCs w:val="16"/>
              </w:rPr>
              <w:t>September 30, 2019</w:t>
            </w:r>
          </w:p>
        </w:tc>
      </w:tr>
      <w:tr w:rsidR="00000000" w14:paraId="29F58858" w14:textId="77777777">
        <w:trPr>
          <w:divId w:val="791941229"/>
        </w:trPr>
        <w:tc>
          <w:tcPr>
            <w:tcW w:w="2187" w:type="pct"/>
            <w:shd w:val="clear" w:color="auto" w:fill="auto"/>
            <w:tcMar>
              <w:top w:w="0" w:type="dxa"/>
              <w:left w:w="0" w:type="dxa"/>
              <w:bottom w:w="0" w:type="dxa"/>
              <w:right w:w="0" w:type="dxa"/>
            </w:tcMar>
            <w:vAlign w:val="bottom"/>
            <w:hideMark/>
          </w:tcPr>
          <w:p w14:paraId="2E124333" w14:textId="77777777" w:rsidR="00000000" w:rsidRDefault="00097612">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0DA8B48D" w14:textId="77777777" w:rsidR="00000000" w:rsidRDefault="00097612">
            <w:pPr>
              <w:pStyle w:val="a3"/>
              <w:spacing w:before="0" w:beforeAutospacing="0" w:after="0" w:afterAutospacing="0"/>
              <w:rPr>
                <w:sz w:val="16"/>
                <w:szCs w:val="16"/>
              </w:rPr>
            </w:pPr>
            <w:r>
              <w:rPr>
                <w:b/>
                <w:bCs/>
                <w:sz w:val="16"/>
                <w:szCs w:val="16"/>
              </w:rPr>
              <w:t>    </w:t>
            </w:r>
          </w:p>
        </w:tc>
        <w:tc>
          <w:tcPr>
            <w:tcW w:w="374" w:type="pct"/>
            <w:shd w:val="clear" w:color="auto" w:fill="auto"/>
            <w:tcMar>
              <w:top w:w="0" w:type="dxa"/>
              <w:left w:w="0" w:type="dxa"/>
              <w:bottom w:w="0" w:type="dxa"/>
              <w:right w:w="0" w:type="dxa"/>
            </w:tcMar>
            <w:vAlign w:val="bottom"/>
            <w:hideMark/>
          </w:tcPr>
          <w:p w14:paraId="1C234178" w14:textId="77777777" w:rsidR="00000000" w:rsidRDefault="00097612">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14:paraId="0F934D92" w14:textId="77777777" w:rsidR="00000000" w:rsidRDefault="00097612">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14:paraId="21139DA0" w14:textId="77777777" w:rsidR="00000000" w:rsidRDefault="00097612">
            <w:pPr>
              <w:pStyle w:val="a3"/>
              <w:spacing w:before="0" w:beforeAutospacing="0" w:after="0" w:afterAutospacing="0"/>
              <w:jc w:val="center"/>
              <w:rPr>
                <w:sz w:val="20"/>
                <w:szCs w:val="20"/>
              </w:rPr>
            </w:pPr>
            <w:r>
              <w:rPr>
                <w:b/>
                <w:bCs/>
                <w:sz w:val="16"/>
                <w:szCs w:val="16"/>
              </w:rPr>
              <w:t>​</w:t>
            </w:r>
          </w:p>
        </w:tc>
        <w:tc>
          <w:tcPr>
            <w:tcW w:w="385" w:type="pct"/>
            <w:shd w:val="clear" w:color="auto" w:fill="auto"/>
            <w:noWrap/>
            <w:tcMar>
              <w:top w:w="0" w:type="dxa"/>
              <w:left w:w="0" w:type="dxa"/>
              <w:bottom w:w="0" w:type="dxa"/>
              <w:right w:w="0" w:type="dxa"/>
            </w:tcMar>
            <w:vAlign w:val="bottom"/>
            <w:hideMark/>
          </w:tcPr>
          <w:p w14:paraId="0892D6D3" w14:textId="77777777" w:rsidR="00000000" w:rsidRDefault="00097612">
            <w:pPr>
              <w:pStyle w:val="a3"/>
              <w:spacing w:before="0" w:beforeAutospacing="0" w:after="0" w:afterAutospacing="0"/>
              <w:jc w:val="center"/>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14:paraId="04480C03" w14:textId="77777777" w:rsidR="00000000" w:rsidRDefault="00097612">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14:paraId="5B017AC6" w14:textId="77777777" w:rsidR="00000000" w:rsidRDefault="00097612">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14:paraId="62CFD3CC" w14:textId="77777777" w:rsidR="00000000" w:rsidRDefault="00097612">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14:paraId="59FD1917" w14:textId="77777777" w:rsidR="00000000" w:rsidRDefault="00097612">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14:paraId="5DB87B58" w14:textId="77777777" w:rsidR="00000000" w:rsidRDefault="00097612">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14:paraId="0960BFB4" w14:textId="77777777" w:rsidR="00000000" w:rsidRDefault="00097612">
            <w:pPr>
              <w:pStyle w:val="a3"/>
              <w:spacing w:before="0" w:beforeAutospacing="0" w:after="0" w:afterAutospacing="0"/>
              <w:jc w:val="center"/>
              <w:rPr>
                <w:sz w:val="20"/>
                <w:szCs w:val="20"/>
              </w:rPr>
            </w:pPr>
            <w:r>
              <w:rPr>
                <w:b/>
                <w:bCs/>
                <w:sz w:val="16"/>
                <w:szCs w:val="16"/>
              </w:rPr>
              <w:t>​</w:t>
            </w:r>
          </w:p>
        </w:tc>
        <w:tc>
          <w:tcPr>
            <w:tcW w:w="396" w:type="pct"/>
            <w:shd w:val="clear" w:color="auto" w:fill="auto"/>
            <w:noWrap/>
            <w:tcMar>
              <w:top w:w="0" w:type="dxa"/>
              <w:left w:w="0" w:type="dxa"/>
              <w:bottom w:w="0" w:type="dxa"/>
              <w:right w:w="0" w:type="dxa"/>
            </w:tcMar>
            <w:vAlign w:val="bottom"/>
            <w:hideMark/>
          </w:tcPr>
          <w:p w14:paraId="5FA722F9" w14:textId="77777777" w:rsidR="00000000" w:rsidRDefault="00097612">
            <w:pPr>
              <w:pStyle w:val="a3"/>
              <w:spacing w:before="0" w:beforeAutospacing="0" w:after="0" w:afterAutospacing="0"/>
              <w:jc w:val="center"/>
              <w:rPr>
                <w:sz w:val="20"/>
                <w:szCs w:val="20"/>
              </w:rPr>
            </w:pPr>
            <w:r>
              <w:rPr>
                <w:b/>
                <w:bCs/>
                <w:sz w:val="16"/>
                <w:szCs w:val="16"/>
              </w:rPr>
              <w:t>​</w:t>
            </w:r>
          </w:p>
        </w:tc>
      </w:tr>
      <w:tr w:rsidR="00000000" w14:paraId="49A51B59" w14:textId="77777777">
        <w:trPr>
          <w:divId w:val="791941229"/>
        </w:trPr>
        <w:tc>
          <w:tcPr>
            <w:tcW w:w="2187" w:type="pct"/>
            <w:shd w:val="clear" w:color="auto" w:fill="auto"/>
            <w:tcMar>
              <w:top w:w="0" w:type="dxa"/>
              <w:left w:w="0" w:type="dxa"/>
              <w:bottom w:w="0" w:type="dxa"/>
              <w:right w:w="0" w:type="dxa"/>
            </w:tcMar>
            <w:vAlign w:val="bottom"/>
            <w:hideMark/>
          </w:tcPr>
          <w:p w14:paraId="4B7C624C" w14:textId="77777777" w:rsidR="00000000" w:rsidRDefault="00097612">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7DD3DEA3" w14:textId="77777777" w:rsidR="00000000" w:rsidRDefault="00097612">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14:paraId="44111C09" w14:textId="77777777" w:rsidR="00000000" w:rsidRDefault="00097612">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14:paraId="5F6D52D2"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14:paraId="000F1C0F" w14:textId="77777777" w:rsidR="00000000" w:rsidRDefault="00097612">
            <w:pPr>
              <w:pStyle w:val="a3"/>
              <w:spacing w:before="0" w:beforeAutospacing="0" w:after="0" w:afterAutospacing="0"/>
              <w:jc w:val="center"/>
              <w:rPr>
                <w:sz w:val="16"/>
                <w:szCs w:val="16"/>
              </w:rPr>
            </w:pPr>
            <w:r>
              <w:rPr>
                <w:b/>
                <w:bCs/>
                <w:sz w:val="16"/>
                <w:szCs w:val="16"/>
              </w:rPr>
              <w:t>Amortized</w:t>
            </w:r>
          </w:p>
        </w:tc>
        <w:tc>
          <w:tcPr>
            <w:tcW w:w="98" w:type="pct"/>
            <w:shd w:val="clear" w:color="auto" w:fill="auto"/>
            <w:noWrap/>
            <w:tcMar>
              <w:top w:w="0" w:type="dxa"/>
              <w:left w:w="0" w:type="dxa"/>
              <w:bottom w:w="0" w:type="dxa"/>
              <w:right w:w="0" w:type="dxa"/>
            </w:tcMar>
            <w:vAlign w:val="bottom"/>
            <w:hideMark/>
          </w:tcPr>
          <w:p w14:paraId="5EB40FCA"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14:paraId="3CCE95E5" w14:textId="77777777" w:rsidR="00000000" w:rsidRDefault="00097612">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14:paraId="5C594DAD"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14:paraId="6905DDBB" w14:textId="77777777" w:rsidR="00000000" w:rsidRDefault="00097612">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14:paraId="211840C0" w14:textId="77777777" w:rsidR="00000000" w:rsidRDefault="00097612">
            <w:pPr>
              <w:pStyle w:val="a3"/>
              <w:spacing w:before="0" w:beforeAutospacing="0" w:after="0" w:afterAutospacing="0"/>
              <w:rPr>
                <w:sz w:val="20"/>
                <w:szCs w:val="20"/>
              </w:rPr>
            </w:pPr>
            <w:r>
              <w:rPr>
                <w:b/>
                <w:bCs/>
                <w:sz w:val="16"/>
                <w:szCs w:val="16"/>
              </w:rPr>
              <w:t>​</w:t>
            </w:r>
          </w:p>
        </w:tc>
        <w:tc>
          <w:tcPr>
            <w:tcW w:w="495" w:type="pct"/>
            <w:gridSpan w:val="2"/>
            <w:shd w:val="clear" w:color="auto" w:fill="auto"/>
            <w:noWrap/>
            <w:tcMar>
              <w:top w:w="0" w:type="dxa"/>
              <w:left w:w="0" w:type="dxa"/>
              <w:bottom w:w="0" w:type="dxa"/>
              <w:right w:w="0" w:type="dxa"/>
            </w:tcMar>
            <w:vAlign w:val="bottom"/>
            <w:hideMark/>
          </w:tcPr>
          <w:p w14:paraId="3A78DC38" w14:textId="77777777" w:rsidR="00000000" w:rsidRDefault="00097612">
            <w:pPr>
              <w:pStyle w:val="a3"/>
              <w:spacing w:before="0" w:beforeAutospacing="0" w:after="0" w:afterAutospacing="0"/>
              <w:jc w:val="center"/>
              <w:rPr>
                <w:sz w:val="16"/>
                <w:szCs w:val="16"/>
              </w:rPr>
            </w:pPr>
            <w:r>
              <w:rPr>
                <w:b/>
                <w:bCs/>
                <w:sz w:val="16"/>
                <w:szCs w:val="16"/>
              </w:rPr>
              <w:t>Estimated</w:t>
            </w:r>
          </w:p>
        </w:tc>
      </w:tr>
      <w:tr w:rsidR="00000000" w14:paraId="1E9F7427" w14:textId="77777777">
        <w:trPr>
          <w:divId w:val="791941229"/>
        </w:trPr>
        <w:tc>
          <w:tcPr>
            <w:tcW w:w="2187" w:type="pct"/>
            <w:tcBorders>
              <w:bottom w:val="single" w:sz="6" w:space="0" w:color="000000"/>
            </w:tcBorders>
            <w:shd w:val="clear" w:color="auto" w:fill="auto"/>
            <w:tcMar>
              <w:top w:w="0" w:type="dxa"/>
              <w:left w:w="0" w:type="dxa"/>
              <w:bottom w:w="0" w:type="dxa"/>
              <w:right w:w="0" w:type="dxa"/>
            </w:tcMar>
            <w:vAlign w:val="bottom"/>
            <w:hideMark/>
          </w:tcPr>
          <w:p w14:paraId="5E16F85A" w14:textId="77777777" w:rsidR="00000000" w:rsidRDefault="00097612">
            <w:pPr>
              <w:pStyle w:val="a3"/>
              <w:spacing w:before="0" w:beforeAutospacing="0" w:after="0" w:afterAutospacing="0"/>
              <w:rPr>
                <w:sz w:val="16"/>
                <w:szCs w:val="16"/>
              </w:rPr>
            </w:pPr>
            <w:r>
              <w:rPr>
                <w:b/>
                <w:bCs/>
                <w:sz w:val="16"/>
                <w:szCs w:val="16"/>
              </w:rPr>
              <w:t>(In thousands)</w:t>
            </w:r>
          </w:p>
        </w:tc>
        <w:tc>
          <w:tcPr>
            <w:tcW w:w="97" w:type="pct"/>
            <w:shd w:val="clear" w:color="auto" w:fill="auto"/>
            <w:tcMar>
              <w:top w:w="0" w:type="dxa"/>
              <w:left w:w="0" w:type="dxa"/>
              <w:bottom w:w="0" w:type="dxa"/>
              <w:right w:w="0" w:type="dxa"/>
            </w:tcMar>
            <w:vAlign w:val="bottom"/>
            <w:hideMark/>
          </w:tcPr>
          <w:p w14:paraId="3242786D" w14:textId="77777777" w:rsidR="00000000" w:rsidRDefault="00097612">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14:paraId="3B12BE5F" w14:textId="77777777" w:rsidR="00000000" w:rsidRDefault="00097612">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14:paraId="591E1502"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14:paraId="7218C70A" w14:textId="77777777" w:rsidR="00000000" w:rsidRDefault="00097612">
            <w:pPr>
              <w:pStyle w:val="a3"/>
              <w:spacing w:before="0" w:beforeAutospacing="0" w:after="0" w:afterAutospacing="0"/>
              <w:jc w:val="center"/>
              <w:rPr>
                <w:sz w:val="16"/>
                <w:szCs w:val="16"/>
              </w:rPr>
            </w:pPr>
            <w:r>
              <w:rPr>
                <w:b/>
                <w:bCs/>
                <w:sz w:val="16"/>
                <w:szCs w:val="16"/>
              </w:rPr>
              <w:t>Cost</w:t>
            </w:r>
          </w:p>
        </w:tc>
        <w:tc>
          <w:tcPr>
            <w:tcW w:w="98" w:type="pct"/>
            <w:shd w:val="clear" w:color="auto" w:fill="auto"/>
            <w:noWrap/>
            <w:tcMar>
              <w:top w:w="0" w:type="dxa"/>
              <w:left w:w="0" w:type="dxa"/>
              <w:bottom w:w="0" w:type="dxa"/>
              <w:right w:w="0" w:type="dxa"/>
            </w:tcMar>
            <w:vAlign w:val="bottom"/>
            <w:hideMark/>
          </w:tcPr>
          <w:p w14:paraId="3B98B841"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14:paraId="6CE1658F" w14:textId="77777777" w:rsidR="00000000" w:rsidRDefault="00097612">
            <w:pPr>
              <w:pStyle w:val="a3"/>
              <w:spacing w:before="0" w:beforeAutospacing="0" w:after="0" w:afterAutospacing="0"/>
              <w:jc w:val="center"/>
              <w:rPr>
                <w:sz w:val="16"/>
                <w:szCs w:val="16"/>
              </w:rPr>
            </w:pPr>
            <w:r>
              <w:rPr>
                <w:b/>
                <w:bCs/>
                <w:sz w:val="16"/>
                <w:szCs w:val="16"/>
              </w:rPr>
              <w:t>Gains</w:t>
            </w:r>
          </w:p>
        </w:tc>
        <w:tc>
          <w:tcPr>
            <w:tcW w:w="98" w:type="pct"/>
            <w:shd w:val="clear" w:color="auto" w:fill="auto"/>
            <w:noWrap/>
            <w:tcMar>
              <w:top w:w="0" w:type="dxa"/>
              <w:left w:w="0" w:type="dxa"/>
              <w:bottom w:w="0" w:type="dxa"/>
              <w:right w:w="0" w:type="dxa"/>
            </w:tcMar>
            <w:vAlign w:val="bottom"/>
            <w:hideMark/>
          </w:tcPr>
          <w:p w14:paraId="1E0217E3"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14:paraId="515B1989" w14:textId="77777777" w:rsidR="00000000" w:rsidRDefault="00097612">
            <w:pPr>
              <w:pStyle w:val="a3"/>
              <w:spacing w:before="0" w:beforeAutospacing="0" w:after="0" w:afterAutospacing="0"/>
              <w:jc w:val="center"/>
              <w:rPr>
                <w:sz w:val="16"/>
                <w:szCs w:val="16"/>
              </w:rPr>
            </w:pPr>
            <w:r>
              <w:rPr>
                <w:b/>
                <w:bCs/>
                <w:sz w:val="16"/>
                <w:szCs w:val="16"/>
              </w:rPr>
              <w:t>Losses</w:t>
            </w:r>
          </w:p>
        </w:tc>
        <w:tc>
          <w:tcPr>
            <w:tcW w:w="98" w:type="pct"/>
            <w:shd w:val="clear" w:color="auto" w:fill="auto"/>
            <w:noWrap/>
            <w:tcMar>
              <w:top w:w="0" w:type="dxa"/>
              <w:left w:w="0" w:type="dxa"/>
              <w:bottom w:w="0" w:type="dxa"/>
              <w:right w:w="0" w:type="dxa"/>
            </w:tcMar>
            <w:vAlign w:val="bottom"/>
            <w:hideMark/>
          </w:tcPr>
          <w:p w14:paraId="2EEF6DD8" w14:textId="77777777" w:rsidR="00000000" w:rsidRDefault="00097612">
            <w:pPr>
              <w:pStyle w:val="a3"/>
              <w:spacing w:before="0" w:beforeAutospacing="0" w:after="0" w:afterAutospacing="0"/>
              <w:rPr>
                <w:sz w:val="20"/>
                <w:szCs w:val="20"/>
              </w:rPr>
            </w:pPr>
            <w:r>
              <w:rPr>
                <w:b/>
                <w:bCs/>
                <w:sz w:val="16"/>
                <w:szCs w:val="16"/>
              </w:rPr>
              <w:t>​</w:t>
            </w:r>
          </w:p>
        </w:tc>
        <w:tc>
          <w:tcPr>
            <w:tcW w:w="495" w:type="pct"/>
            <w:gridSpan w:val="2"/>
            <w:tcBorders>
              <w:bottom w:val="single" w:sz="6" w:space="0" w:color="000000"/>
            </w:tcBorders>
            <w:shd w:val="clear" w:color="auto" w:fill="auto"/>
            <w:noWrap/>
            <w:tcMar>
              <w:top w:w="0" w:type="dxa"/>
              <w:left w:w="0" w:type="dxa"/>
              <w:bottom w:w="0" w:type="dxa"/>
              <w:right w:w="0" w:type="dxa"/>
            </w:tcMar>
            <w:vAlign w:val="bottom"/>
            <w:hideMark/>
          </w:tcPr>
          <w:p w14:paraId="3255BF7A" w14:textId="77777777" w:rsidR="00000000" w:rsidRDefault="00097612">
            <w:pPr>
              <w:pStyle w:val="a3"/>
              <w:spacing w:before="0" w:beforeAutospacing="0" w:after="0" w:afterAutospacing="0"/>
              <w:jc w:val="center"/>
              <w:rPr>
                <w:sz w:val="16"/>
                <w:szCs w:val="16"/>
              </w:rPr>
            </w:pPr>
            <w:r>
              <w:rPr>
                <w:b/>
                <w:bCs/>
                <w:sz w:val="16"/>
                <w:szCs w:val="16"/>
              </w:rPr>
              <w:t>Fair Value</w:t>
            </w:r>
          </w:p>
        </w:tc>
      </w:tr>
      <w:tr w:rsidR="00000000" w14:paraId="17CB2A30" w14:textId="77777777">
        <w:trPr>
          <w:divId w:val="791941229"/>
        </w:trPr>
        <w:tc>
          <w:tcPr>
            <w:tcW w:w="2187" w:type="pct"/>
            <w:shd w:val="clear" w:color="auto" w:fill="CCEEFF"/>
            <w:tcMar>
              <w:top w:w="0" w:type="dxa"/>
              <w:left w:w="0" w:type="dxa"/>
              <w:bottom w:w="0" w:type="dxa"/>
              <w:right w:w="0" w:type="dxa"/>
            </w:tcMar>
            <w:vAlign w:val="center"/>
            <w:hideMark/>
          </w:tcPr>
          <w:p w14:paraId="6637C4EC" w14:textId="77777777" w:rsidR="00000000" w:rsidRDefault="00097612">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14:paraId="048A79E3" w14:textId="77777777" w:rsidR="00000000" w:rsidRDefault="00097612">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14:paraId="4F72BF5F" w14:textId="77777777" w:rsidR="00000000" w:rsidRDefault="00097612">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14:paraId="00248B6A"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15050434" w14:textId="77777777" w:rsidR="00000000" w:rsidRDefault="00097612">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14:paraId="7C7EF630" w14:textId="77777777" w:rsidR="00000000" w:rsidRDefault="00097612">
            <w:pPr>
              <w:pStyle w:val="a3"/>
              <w:spacing w:before="0" w:beforeAutospacing="0" w:after="0" w:afterAutospacing="0"/>
              <w:ind w:right="60"/>
              <w:jc w:val="right"/>
              <w:rPr>
                <w:sz w:val="20"/>
                <w:szCs w:val="20"/>
              </w:rPr>
            </w:pPr>
            <w:r>
              <w:rPr>
                <w:sz w:val="20"/>
                <w:szCs w:val="20"/>
              </w:rPr>
              <w:t>132,492</w:t>
            </w:r>
          </w:p>
        </w:tc>
        <w:tc>
          <w:tcPr>
            <w:tcW w:w="98" w:type="pct"/>
            <w:shd w:val="clear" w:color="auto" w:fill="CCEEFF"/>
            <w:noWrap/>
            <w:tcMar>
              <w:top w:w="0" w:type="dxa"/>
              <w:left w:w="0" w:type="dxa"/>
              <w:bottom w:w="0" w:type="dxa"/>
              <w:right w:w="0" w:type="dxa"/>
            </w:tcMar>
            <w:vAlign w:val="bottom"/>
            <w:hideMark/>
          </w:tcPr>
          <w:p w14:paraId="2DB77998"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72C08652" w14:textId="77777777" w:rsidR="00000000" w:rsidRDefault="00097612">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14:paraId="5EEDEA47" w14:textId="77777777" w:rsidR="00000000" w:rsidRDefault="00097612">
            <w:pPr>
              <w:pStyle w:val="a3"/>
              <w:spacing w:before="0" w:beforeAutospacing="0" w:after="0" w:afterAutospacing="0"/>
              <w:ind w:right="60"/>
              <w:jc w:val="right"/>
              <w:rPr>
                <w:sz w:val="20"/>
                <w:szCs w:val="20"/>
              </w:rPr>
            </w:pPr>
            <w:r>
              <w:rPr>
                <w:sz w:val="20"/>
                <w:szCs w:val="20"/>
              </w:rPr>
              <w:t>61</w:t>
            </w:r>
          </w:p>
        </w:tc>
        <w:tc>
          <w:tcPr>
            <w:tcW w:w="98" w:type="pct"/>
            <w:shd w:val="clear" w:color="auto" w:fill="CCEEFF"/>
            <w:noWrap/>
            <w:tcMar>
              <w:top w:w="0" w:type="dxa"/>
              <w:left w:w="0" w:type="dxa"/>
              <w:bottom w:w="0" w:type="dxa"/>
              <w:right w:w="0" w:type="dxa"/>
            </w:tcMar>
            <w:vAlign w:val="bottom"/>
            <w:hideMark/>
          </w:tcPr>
          <w:p w14:paraId="6841949C"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6EF1750" w14:textId="77777777" w:rsidR="00000000" w:rsidRDefault="00097612">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14:paraId="0D5E2E75" w14:textId="77777777" w:rsidR="00000000" w:rsidRDefault="00097612">
            <w:pPr>
              <w:pStyle w:val="a3"/>
              <w:spacing w:before="0" w:beforeAutospacing="0" w:after="0" w:afterAutospacing="0"/>
              <w:jc w:val="right"/>
              <w:rPr>
                <w:sz w:val="20"/>
                <w:szCs w:val="20"/>
              </w:rPr>
            </w:pPr>
            <w:r>
              <w:rPr>
                <w:sz w:val="20"/>
                <w:szCs w:val="20"/>
              </w:rPr>
              <w:t>(15)</w:t>
            </w:r>
          </w:p>
        </w:tc>
        <w:tc>
          <w:tcPr>
            <w:tcW w:w="98" w:type="pct"/>
            <w:shd w:val="clear" w:color="auto" w:fill="CCEEFF"/>
            <w:noWrap/>
            <w:tcMar>
              <w:top w:w="0" w:type="dxa"/>
              <w:left w:w="0" w:type="dxa"/>
              <w:bottom w:w="0" w:type="dxa"/>
              <w:right w:w="0" w:type="dxa"/>
            </w:tcMar>
            <w:vAlign w:val="bottom"/>
            <w:hideMark/>
          </w:tcPr>
          <w:p w14:paraId="71290289"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4D533F46" w14:textId="77777777" w:rsidR="00000000" w:rsidRDefault="00097612">
            <w:pPr>
              <w:pStyle w:val="a3"/>
              <w:spacing w:before="0" w:beforeAutospacing="0" w:after="0" w:afterAutospacing="0"/>
              <w:jc w:val="center"/>
              <w:rPr>
                <w:sz w:val="20"/>
                <w:szCs w:val="20"/>
              </w:rPr>
            </w:pPr>
            <w:r>
              <w:rPr>
                <w:sz w:val="20"/>
                <w:szCs w:val="20"/>
              </w:rPr>
              <w:t>$</w:t>
            </w:r>
          </w:p>
        </w:tc>
        <w:tc>
          <w:tcPr>
            <w:tcW w:w="396" w:type="pct"/>
            <w:shd w:val="clear" w:color="auto" w:fill="CCEEFF"/>
            <w:tcMar>
              <w:top w:w="0" w:type="dxa"/>
              <w:left w:w="0" w:type="dxa"/>
              <w:bottom w:w="0" w:type="dxa"/>
              <w:right w:w="0" w:type="dxa"/>
            </w:tcMar>
            <w:vAlign w:val="center"/>
            <w:hideMark/>
          </w:tcPr>
          <w:p w14:paraId="0DAF43DD" w14:textId="77777777" w:rsidR="00000000" w:rsidRDefault="00097612">
            <w:pPr>
              <w:pStyle w:val="a3"/>
              <w:spacing w:before="0" w:beforeAutospacing="0" w:after="0" w:afterAutospacing="0"/>
              <w:ind w:right="60"/>
              <w:jc w:val="right"/>
              <w:rPr>
                <w:sz w:val="20"/>
                <w:szCs w:val="20"/>
              </w:rPr>
            </w:pPr>
            <w:r>
              <w:rPr>
                <w:sz w:val="20"/>
                <w:szCs w:val="20"/>
              </w:rPr>
              <w:t>132,538</w:t>
            </w:r>
          </w:p>
        </w:tc>
      </w:tr>
      <w:tr w:rsidR="00000000" w14:paraId="4D890E69" w14:textId="77777777">
        <w:trPr>
          <w:divId w:val="791941229"/>
        </w:trPr>
        <w:tc>
          <w:tcPr>
            <w:tcW w:w="2187" w:type="pct"/>
            <w:tcMar>
              <w:top w:w="0" w:type="dxa"/>
              <w:left w:w="0" w:type="dxa"/>
              <w:bottom w:w="0" w:type="dxa"/>
              <w:right w:w="0" w:type="dxa"/>
            </w:tcMar>
            <w:vAlign w:val="center"/>
            <w:hideMark/>
          </w:tcPr>
          <w:p w14:paraId="681E300D" w14:textId="77777777" w:rsidR="00000000" w:rsidRDefault="00097612">
            <w:pPr>
              <w:pStyle w:val="a3"/>
              <w:spacing w:before="0" w:beforeAutospacing="0" w:after="0" w:afterAutospacing="0"/>
              <w:rPr>
                <w:sz w:val="20"/>
                <w:szCs w:val="20"/>
              </w:rPr>
            </w:pPr>
            <w:r>
              <w:rPr>
                <w:sz w:val="20"/>
                <w:szCs w:val="20"/>
              </w:rPr>
              <w:t>Corporate notes</w:t>
            </w:r>
          </w:p>
        </w:tc>
        <w:tc>
          <w:tcPr>
            <w:tcW w:w="97" w:type="pct"/>
            <w:noWrap/>
            <w:tcMar>
              <w:top w:w="0" w:type="dxa"/>
              <w:left w:w="0" w:type="dxa"/>
              <w:bottom w:w="0" w:type="dxa"/>
              <w:right w:w="0" w:type="dxa"/>
            </w:tcMar>
            <w:vAlign w:val="bottom"/>
            <w:hideMark/>
          </w:tcPr>
          <w:p w14:paraId="692660E6" w14:textId="77777777" w:rsidR="00000000" w:rsidRDefault="00097612">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center"/>
            <w:hideMark/>
          </w:tcPr>
          <w:p w14:paraId="00605344" w14:textId="77777777" w:rsidR="00000000" w:rsidRDefault="00097612">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14:paraId="0A6706E9"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2D80DCC2" w14:textId="77777777" w:rsidR="00000000" w:rsidRDefault="00097612">
            <w:pPr>
              <w:pStyle w:val="a3"/>
              <w:spacing w:before="0" w:beforeAutospacing="0" w:after="0" w:afterAutospacing="0"/>
              <w:jc w:val="center"/>
              <w:rPr>
                <w:sz w:val="20"/>
                <w:szCs w:val="20"/>
              </w:rPr>
            </w:pPr>
            <w:r>
              <w:rPr>
                <w:sz w:val="20"/>
                <w:szCs w:val="20"/>
              </w:rPr>
              <w:t> </w:t>
            </w:r>
          </w:p>
        </w:tc>
        <w:tc>
          <w:tcPr>
            <w:tcW w:w="385" w:type="pct"/>
            <w:tcMar>
              <w:top w:w="0" w:type="dxa"/>
              <w:left w:w="0" w:type="dxa"/>
              <w:bottom w:w="0" w:type="dxa"/>
              <w:right w:w="0" w:type="dxa"/>
            </w:tcMar>
            <w:vAlign w:val="center"/>
            <w:hideMark/>
          </w:tcPr>
          <w:p w14:paraId="43A1C49A" w14:textId="77777777" w:rsidR="00000000" w:rsidRDefault="00097612">
            <w:pPr>
              <w:pStyle w:val="a3"/>
              <w:spacing w:before="0" w:beforeAutospacing="0" w:after="0" w:afterAutospacing="0"/>
              <w:ind w:right="60"/>
              <w:jc w:val="right"/>
              <w:rPr>
                <w:sz w:val="20"/>
                <w:szCs w:val="20"/>
              </w:rPr>
            </w:pPr>
            <w:r>
              <w:rPr>
                <w:sz w:val="20"/>
                <w:szCs w:val="20"/>
              </w:rPr>
              <w:t>32,227</w:t>
            </w:r>
          </w:p>
        </w:tc>
        <w:tc>
          <w:tcPr>
            <w:tcW w:w="98" w:type="pct"/>
            <w:noWrap/>
            <w:tcMar>
              <w:top w:w="0" w:type="dxa"/>
              <w:left w:w="0" w:type="dxa"/>
              <w:bottom w:w="0" w:type="dxa"/>
              <w:right w:w="0" w:type="dxa"/>
            </w:tcMar>
            <w:vAlign w:val="bottom"/>
            <w:hideMark/>
          </w:tcPr>
          <w:p w14:paraId="30001323"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0DEAF6F1"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Mar>
              <w:top w:w="0" w:type="dxa"/>
              <w:left w:w="0" w:type="dxa"/>
              <w:bottom w:w="0" w:type="dxa"/>
              <w:right w:w="0" w:type="dxa"/>
            </w:tcMar>
            <w:vAlign w:val="center"/>
            <w:hideMark/>
          </w:tcPr>
          <w:p w14:paraId="0A102B22" w14:textId="77777777" w:rsidR="00000000" w:rsidRDefault="00097612">
            <w:pPr>
              <w:pStyle w:val="a3"/>
              <w:spacing w:before="0" w:beforeAutospacing="0" w:after="0" w:afterAutospacing="0"/>
              <w:ind w:right="60"/>
              <w:jc w:val="right"/>
              <w:rPr>
                <w:sz w:val="20"/>
                <w:szCs w:val="20"/>
              </w:rPr>
            </w:pPr>
            <w:r>
              <w:rPr>
                <w:sz w:val="20"/>
                <w:szCs w:val="20"/>
              </w:rPr>
              <w:t>41</w:t>
            </w:r>
          </w:p>
        </w:tc>
        <w:tc>
          <w:tcPr>
            <w:tcW w:w="98" w:type="pct"/>
            <w:noWrap/>
            <w:tcMar>
              <w:top w:w="0" w:type="dxa"/>
              <w:left w:w="0" w:type="dxa"/>
              <w:bottom w:w="0" w:type="dxa"/>
              <w:right w:w="0" w:type="dxa"/>
            </w:tcMar>
            <w:vAlign w:val="bottom"/>
            <w:hideMark/>
          </w:tcPr>
          <w:p w14:paraId="295377F1"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022D220F"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Mar>
              <w:top w:w="0" w:type="dxa"/>
              <w:left w:w="0" w:type="dxa"/>
              <w:bottom w:w="0" w:type="dxa"/>
              <w:right w:w="0" w:type="dxa"/>
            </w:tcMar>
            <w:vAlign w:val="center"/>
            <w:hideMark/>
          </w:tcPr>
          <w:p w14:paraId="18805432" w14:textId="77777777" w:rsidR="00000000" w:rsidRDefault="00097612">
            <w:pPr>
              <w:pStyle w:val="a3"/>
              <w:spacing w:before="0" w:beforeAutospacing="0" w:after="0" w:afterAutospacing="0"/>
              <w:jc w:val="right"/>
              <w:rPr>
                <w:sz w:val="20"/>
                <w:szCs w:val="20"/>
              </w:rPr>
            </w:pPr>
            <w:r>
              <w:rPr>
                <w:sz w:val="20"/>
                <w:szCs w:val="20"/>
              </w:rPr>
              <w:t>(1)</w:t>
            </w:r>
          </w:p>
        </w:tc>
        <w:tc>
          <w:tcPr>
            <w:tcW w:w="98" w:type="pct"/>
            <w:noWrap/>
            <w:tcMar>
              <w:top w:w="0" w:type="dxa"/>
              <w:left w:w="0" w:type="dxa"/>
              <w:bottom w:w="0" w:type="dxa"/>
              <w:right w:w="0" w:type="dxa"/>
            </w:tcMar>
            <w:vAlign w:val="bottom"/>
            <w:hideMark/>
          </w:tcPr>
          <w:p w14:paraId="0E2AC53B"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19DD225B" w14:textId="77777777" w:rsidR="00000000" w:rsidRDefault="00097612">
            <w:pPr>
              <w:pStyle w:val="a3"/>
              <w:spacing w:before="0" w:beforeAutospacing="0" w:after="0" w:afterAutospacing="0"/>
              <w:jc w:val="center"/>
              <w:rPr>
                <w:sz w:val="20"/>
                <w:szCs w:val="20"/>
              </w:rPr>
            </w:pPr>
            <w:r>
              <w:rPr>
                <w:sz w:val="20"/>
                <w:szCs w:val="20"/>
              </w:rPr>
              <w:t> </w:t>
            </w:r>
          </w:p>
        </w:tc>
        <w:tc>
          <w:tcPr>
            <w:tcW w:w="396" w:type="pct"/>
            <w:tcMar>
              <w:top w:w="0" w:type="dxa"/>
              <w:left w:w="0" w:type="dxa"/>
              <w:bottom w:w="0" w:type="dxa"/>
              <w:right w:w="0" w:type="dxa"/>
            </w:tcMar>
            <w:vAlign w:val="center"/>
            <w:hideMark/>
          </w:tcPr>
          <w:p w14:paraId="537BC032" w14:textId="77777777" w:rsidR="00000000" w:rsidRDefault="00097612">
            <w:pPr>
              <w:pStyle w:val="a3"/>
              <w:spacing w:before="0" w:beforeAutospacing="0" w:after="0" w:afterAutospacing="0"/>
              <w:ind w:right="60"/>
              <w:jc w:val="right"/>
              <w:rPr>
                <w:sz w:val="20"/>
                <w:szCs w:val="20"/>
              </w:rPr>
            </w:pPr>
            <w:r>
              <w:rPr>
                <w:sz w:val="20"/>
                <w:szCs w:val="20"/>
              </w:rPr>
              <w:t>32,267</w:t>
            </w:r>
          </w:p>
        </w:tc>
      </w:tr>
      <w:tr w:rsidR="00000000" w14:paraId="6D58F98B" w14:textId="77777777">
        <w:trPr>
          <w:divId w:val="791941229"/>
        </w:trPr>
        <w:tc>
          <w:tcPr>
            <w:tcW w:w="2187" w:type="pct"/>
            <w:shd w:val="clear" w:color="auto" w:fill="CCEEFF"/>
            <w:tcMar>
              <w:top w:w="0" w:type="dxa"/>
              <w:left w:w="0" w:type="dxa"/>
              <w:bottom w:w="0" w:type="dxa"/>
              <w:right w:w="0" w:type="dxa"/>
            </w:tcMar>
            <w:vAlign w:val="bottom"/>
            <w:hideMark/>
          </w:tcPr>
          <w:p w14:paraId="1DFAC097" w14:textId="77777777" w:rsidR="00000000" w:rsidRDefault="00097612">
            <w:pPr>
              <w:pStyle w:val="a3"/>
              <w:spacing w:before="0" w:beforeAutospacing="0" w:after="0" w:afterAutospacing="0"/>
              <w:rPr>
                <w:sz w:val="20"/>
                <w:szCs w:val="20"/>
              </w:rPr>
            </w:pPr>
            <w:r>
              <w:rPr>
                <w:sz w:val="20"/>
                <w:szCs w:val="20"/>
              </w:rPr>
              <w:t>Commercial paper</w:t>
            </w:r>
          </w:p>
        </w:tc>
        <w:tc>
          <w:tcPr>
            <w:tcW w:w="97" w:type="pct"/>
            <w:shd w:val="clear" w:color="auto" w:fill="CCEEFF"/>
            <w:noWrap/>
            <w:tcMar>
              <w:top w:w="0" w:type="dxa"/>
              <w:left w:w="0" w:type="dxa"/>
              <w:bottom w:w="0" w:type="dxa"/>
              <w:right w:w="0" w:type="dxa"/>
            </w:tcMar>
            <w:vAlign w:val="bottom"/>
            <w:hideMark/>
          </w:tcPr>
          <w:p w14:paraId="37BB30A8" w14:textId="77777777" w:rsidR="00000000" w:rsidRDefault="00097612">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14:paraId="234661AB" w14:textId="77777777" w:rsidR="00000000" w:rsidRDefault="00097612">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14:paraId="5E1D9F48"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317475E8"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tcMar>
              <w:top w:w="0" w:type="dxa"/>
              <w:left w:w="0" w:type="dxa"/>
              <w:bottom w:w="0" w:type="dxa"/>
              <w:right w:w="0" w:type="dxa"/>
            </w:tcMar>
            <w:vAlign w:val="center"/>
            <w:hideMark/>
          </w:tcPr>
          <w:p w14:paraId="5BDC1C92" w14:textId="77777777" w:rsidR="00000000" w:rsidRDefault="00097612">
            <w:pPr>
              <w:pStyle w:val="a3"/>
              <w:spacing w:before="0" w:beforeAutospacing="0" w:after="0" w:afterAutospacing="0"/>
              <w:ind w:right="60"/>
              <w:jc w:val="right"/>
              <w:rPr>
                <w:sz w:val="20"/>
                <w:szCs w:val="20"/>
              </w:rPr>
            </w:pPr>
            <w:r>
              <w:rPr>
                <w:sz w:val="20"/>
                <w:szCs w:val="20"/>
              </w:rPr>
              <w:t>122,328</w:t>
            </w:r>
          </w:p>
        </w:tc>
        <w:tc>
          <w:tcPr>
            <w:tcW w:w="98" w:type="pct"/>
            <w:shd w:val="clear" w:color="auto" w:fill="CCEEFF"/>
            <w:noWrap/>
            <w:tcMar>
              <w:top w:w="0" w:type="dxa"/>
              <w:left w:w="0" w:type="dxa"/>
              <w:bottom w:w="0" w:type="dxa"/>
              <w:right w:w="0" w:type="dxa"/>
            </w:tcMar>
            <w:vAlign w:val="bottom"/>
            <w:hideMark/>
          </w:tcPr>
          <w:p w14:paraId="2640FE55"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2669CEEF"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tcMar>
              <w:top w:w="0" w:type="dxa"/>
              <w:left w:w="0" w:type="dxa"/>
              <w:bottom w:w="0" w:type="dxa"/>
              <w:right w:w="0" w:type="dxa"/>
            </w:tcMar>
            <w:vAlign w:val="center"/>
            <w:hideMark/>
          </w:tcPr>
          <w:p w14:paraId="44346850" w14:textId="77777777" w:rsidR="00000000" w:rsidRDefault="00097612">
            <w:pPr>
              <w:pStyle w:val="a3"/>
              <w:spacing w:before="0" w:beforeAutospacing="0" w:after="0" w:afterAutospacing="0"/>
              <w:ind w:right="60"/>
              <w:jc w:val="right"/>
              <w:rPr>
                <w:sz w:val="20"/>
                <w:szCs w:val="20"/>
              </w:rPr>
            </w:pPr>
            <w:r>
              <w:rPr>
                <w:sz w:val="20"/>
                <w:szCs w:val="20"/>
              </w:rPr>
              <w:t>17</w:t>
            </w:r>
          </w:p>
        </w:tc>
        <w:tc>
          <w:tcPr>
            <w:tcW w:w="98" w:type="pct"/>
            <w:shd w:val="clear" w:color="auto" w:fill="CCEEFF"/>
            <w:noWrap/>
            <w:tcMar>
              <w:top w:w="0" w:type="dxa"/>
              <w:left w:w="0" w:type="dxa"/>
              <w:bottom w:w="0" w:type="dxa"/>
              <w:right w:w="0" w:type="dxa"/>
            </w:tcMar>
            <w:vAlign w:val="bottom"/>
            <w:hideMark/>
          </w:tcPr>
          <w:p w14:paraId="29929576"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777CA5E2"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tcMar>
              <w:top w:w="0" w:type="dxa"/>
              <w:left w:w="0" w:type="dxa"/>
              <w:bottom w:w="0" w:type="dxa"/>
              <w:right w:w="0" w:type="dxa"/>
            </w:tcMar>
            <w:vAlign w:val="center"/>
            <w:hideMark/>
          </w:tcPr>
          <w:p w14:paraId="03F4BD06" w14:textId="77777777" w:rsidR="00000000" w:rsidRDefault="00097612">
            <w:pPr>
              <w:pStyle w:val="a3"/>
              <w:spacing w:before="0" w:beforeAutospacing="0" w:after="0" w:afterAutospacing="0"/>
              <w:jc w:val="right"/>
              <w:rPr>
                <w:sz w:val="20"/>
                <w:szCs w:val="20"/>
              </w:rPr>
            </w:pPr>
            <w:r>
              <w:rPr>
                <w:sz w:val="20"/>
                <w:szCs w:val="20"/>
              </w:rPr>
              <w:t>(7)</w:t>
            </w:r>
          </w:p>
        </w:tc>
        <w:tc>
          <w:tcPr>
            <w:tcW w:w="98" w:type="pct"/>
            <w:shd w:val="clear" w:color="auto" w:fill="CCEEFF"/>
            <w:noWrap/>
            <w:tcMar>
              <w:top w:w="0" w:type="dxa"/>
              <w:left w:w="0" w:type="dxa"/>
              <w:bottom w:w="0" w:type="dxa"/>
              <w:right w:w="0" w:type="dxa"/>
            </w:tcMar>
            <w:vAlign w:val="bottom"/>
            <w:hideMark/>
          </w:tcPr>
          <w:p w14:paraId="5F0454A3"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442FD9AA" w14:textId="77777777" w:rsidR="00000000" w:rsidRDefault="00097612">
            <w:pPr>
              <w:pStyle w:val="a3"/>
              <w:spacing w:before="0" w:beforeAutospacing="0" w:after="0" w:afterAutospacing="0"/>
              <w:jc w:val="center"/>
              <w:rPr>
                <w:sz w:val="20"/>
                <w:szCs w:val="20"/>
              </w:rPr>
            </w:pPr>
            <w:r>
              <w:rPr>
                <w:sz w:val="20"/>
                <w:szCs w:val="20"/>
              </w:rPr>
              <w:t>​</w:t>
            </w:r>
          </w:p>
        </w:tc>
        <w:tc>
          <w:tcPr>
            <w:tcW w:w="396" w:type="pct"/>
            <w:tcBorders>
              <w:bottom w:val="single" w:sz="6" w:space="0" w:color="000000"/>
            </w:tcBorders>
            <w:shd w:val="clear" w:color="auto" w:fill="CCEEFF"/>
            <w:tcMar>
              <w:top w:w="0" w:type="dxa"/>
              <w:left w:w="0" w:type="dxa"/>
              <w:bottom w:w="0" w:type="dxa"/>
              <w:right w:w="0" w:type="dxa"/>
            </w:tcMar>
            <w:vAlign w:val="center"/>
            <w:hideMark/>
          </w:tcPr>
          <w:p w14:paraId="7ABE3089" w14:textId="77777777" w:rsidR="00000000" w:rsidRDefault="00097612">
            <w:pPr>
              <w:pStyle w:val="a3"/>
              <w:spacing w:before="0" w:beforeAutospacing="0" w:after="0" w:afterAutospacing="0"/>
              <w:ind w:right="60"/>
              <w:jc w:val="right"/>
              <w:rPr>
                <w:sz w:val="20"/>
                <w:szCs w:val="20"/>
              </w:rPr>
            </w:pPr>
            <w:r>
              <w:rPr>
                <w:sz w:val="20"/>
                <w:szCs w:val="20"/>
              </w:rPr>
              <w:t>122,338</w:t>
            </w:r>
          </w:p>
        </w:tc>
      </w:tr>
      <w:tr w:rsidR="00000000" w14:paraId="2C6324F7" w14:textId="77777777">
        <w:trPr>
          <w:divId w:val="791941229"/>
        </w:trPr>
        <w:tc>
          <w:tcPr>
            <w:tcW w:w="2187" w:type="pct"/>
            <w:noWrap/>
            <w:tcMar>
              <w:top w:w="0" w:type="dxa"/>
              <w:left w:w="0" w:type="dxa"/>
              <w:bottom w:w="0" w:type="dxa"/>
              <w:right w:w="0" w:type="dxa"/>
            </w:tcMar>
            <w:vAlign w:val="bottom"/>
            <w:hideMark/>
          </w:tcPr>
          <w:p w14:paraId="096A3A6B" w14:textId="77777777" w:rsidR="00000000" w:rsidRDefault="00097612">
            <w:pPr>
              <w:pStyle w:val="a3"/>
              <w:spacing w:before="0" w:beforeAutospacing="0" w:after="0" w:afterAutospacing="0"/>
              <w:ind w:left="120"/>
              <w:rPr>
                <w:sz w:val="20"/>
                <w:szCs w:val="20"/>
              </w:rPr>
            </w:pPr>
            <w:r>
              <w:rPr>
                <w:sz w:val="20"/>
                <w:szCs w:val="20"/>
              </w:rPr>
              <w:t>Marketable securities</w:t>
            </w:r>
          </w:p>
        </w:tc>
        <w:tc>
          <w:tcPr>
            <w:tcW w:w="97" w:type="pct"/>
            <w:noWrap/>
            <w:tcMar>
              <w:top w:w="0" w:type="dxa"/>
              <w:left w:w="0" w:type="dxa"/>
              <w:bottom w:w="0" w:type="dxa"/>
              <w:right w:w="0" w:type="dxa"/>
            </w:tcMar>
            <w:vAlign w:val="bottom"/>
            <w:hideMark/>
          </w:tcPr>
          <w:p w14:paraId="4B4FC428" w14:textId="77777777" w:rsidR="00000000" w:rsidRDefault="00097612">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center"/>
            <w:hideMark/>
          </w:tcPr>
          <w:p w14:paraId="4E250F97" w14:textId="77777777" w:rsidR="00000000" w:rsidRDefault="00097612">
            <w:pPr>
              <w:pStyle w:val="a3"/>
              <w:spacing w:before="0" w:beforeAutospacing="0" w:after="0"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14:paraId="7ED4049E"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26C22FC4"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Mar>
              <w:top w:w="0" w:type="dxa"/>
              <w:left w:w="0" w:type="dxa"/>
              <w:bottom w:w="0" w:type="dxa"/>
              <w:right w:w="0" w:type="dxa"/>
            </w:tcMar>
            <w:vAlign w:val="center"/>
            <w:hideMark/>
          </w:tcPr>
          <w:p w14:paraId="02AF2A2E" w14:textId="77777777" w:rsidR="00000000" w:rsidRDefault="00097612">
            <w:pPr>
              <w:pStyle w:val="a3"/>
              <w:spacing w:before="0" w:beforeAutospacing="0" w:after="0" w:afterAutospacing="0"/>
              <w:ind w:right="60"/>
              <w:jc w:val="right"/>
              <w:rPr>
                <w:sz w:val="20"/>
                <w:szCs w:val="20"/>
              </w:rPr>
            </w:pPr>
            <w:r>
              <w:rPr>
                <w:sz w:val="20"/>
                <w:szCs w:val="20"/>
              </w:rPr>
              <w:t>287,047</w:t>
            </w:r>
          </w:p>
        </w:tc>
        <w:tc>
          <w:tcPr>
            <w:tcW w:w="98" w:type="pct"/>
            <w:noWrap/>
            <w:tcMar>
              <w:top w:w="0" w:type="dxa"/>
              <w:left w:w="0" w:type="dxa"/>
              <w:bottom w:w="0" w:type="dxa"/>
              <w:right w:w="0" w:type="dxa"/>
            </w:tcMar>
            <w:vAlign w:val="bottom"/>
            <w:hideMark/>
          </w:tcPr>
          <w:p w14:paraId="14F1CE20"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1B7D69F0"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Mar>
              <w:top w:w="0" w:type="dxa"/>
              <w:left w:w="0" w:type="dxa"/>
              <w:bottom w:w="0" w:type="dxa"/>
              <w:right w:w="0" w:type="dxa"/>
            </w:tcMar>
            <w:vAlign w:val="center"/>
            <w:hideMark/>
          </w:tcPr>
          <w:p w14:paraId="3555CB2B" w14:textId="77777777" w:rsidR="00000000" w:rsidRDefault="00097612">
            <w:pPr>
              <w:pStyle w:val="a3"/>
              <w:spacing w:before="0" w:beforeAutospacing="0" w:after="0" w:afterAutospacing="0"/>
              <w:ind w:right="60"/>
              <w:jc w:val="right"/>
              <w:rPr>
                <w:sz w:val="20"/>
                <w:szCs w:val="20"/>
              </w:rPr>
            </w:pPr>
            <w:r>
              <w:rPr>
                <w:sz w:val="20"/>
                <w:szCs w:val="20"/>
              </w:rPr>
              <w:t>119</w:t>
            </w:r>
          </w:p>
        </w:tc>
        <w:tc>
          <w:tcPr>
            <w:tcW w:w="98" w:type="pct"/>
            <w:noWrap/>
            <w:tcMar>
              <w:top w:w="0" w:type="dxa"/>
              <w:left w:w="0" w:type="dxa"/>
              <w:bottom w:w="0" w:type="dxa"/>
              <w:right w:w="0" w:type="dxa"/>
            </w:tcMar>
            <w:vAlign w:val="bottom"/>
            <w:hideMark/>
          </w:tcPr>
          <w:p w14:paraId="37600631"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79DA49E8"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Mar>
              <w:top w:w="0" w:type="dxa"/>
              <w:left w:w="0" w:type="dxa"/>
              <w:bottom w:w="0" w:type="dxa"/>
              <w:right w:w="0" w:type="dxa"/>
            </w:tcMar>
            <w:vAlign w:val="center"/>
            <w:hideMark/>
          </w:tcPr>
          <w:p w14:paraId="46524DC1" w14:textId="77777777" w:rsidR="00000000" w:rsidRDefault="00097612">
            <w:pPr>
              <w:pStyle w:val="a3"/>
              <w:spacing w:before="0" w:beforeAutospacing="0" w:after="0" w:afterAutospacing="0"/>
              <w:jc w:val="right"/>
              <w:rPr>
                <w:sz w:val="20"/>
                <w:szCs w:val="20"/>
              </w:rPr>
            </w:pPr>
            <w:r>
              <w:rPr>
                <w:sz w:val="20"/>
                <w:szCs w:val="20"/>
              </w:rPr>
              <w:t>(23)</w:t>
            </w:r>
          </w:p>
        </w:tc>
        <w:tc>
          <w:tcPr>
            <w:tcW w:w="98" w:type="pct"/>
            <w:noWrap/>
            <w:tcMar>
              <w:top w:w="0" w:type="dxa"/>
              <w:left w:w="0" w:type="dxa"/>
              <w:bottom w:w="0" w:type="dxa"/>
              <w:right w:w="0" w:type="dxa"/>
            </w:tcMar>
            <w:vAlign w:val="bottom"/>
            <w:hideMark/>
          </w:tcPr>
          <w:p w14:paraId="5E7DC458"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19E25F01" w14:textId="77777777" w:rsidR="00000000" w:rsidRDefault="00097612">
            <w:pPr>
              <w:pStyle w:val="a3"/>
              <w:spacing w:before="0" w:beforeAutospacing="0" w:after="0" w:afterAutospacing="0"/>
              <w:jc w:val="center"/>
              <w:rPr>
                <w:sz w:val="20"/>
                <w:szCs w:val="20"/>
              </w:rPr>
            </w:pPr>
            <w:r>
              <w:rPr>
                <w:sz w:val="20"/>
                <w:szCs w:val="20"/>
              </w:rPr>
              <w:t>​</w:t>
            </w:r>
          </w:p>
        </w:tc>
        <w:tc>
          <w:tcPr>
            <w:tcW w:w="396" w:type="pct"/>
            <w:tcMar>
              <w:top w:w="0" w:type="dxa"/>
              <w:left w:w="0" w:type="dxa"/>
              <w:bottom w:w="0" w:type="dxa"/>
              <w:right w:w="0" w:type="dxa"/>
            </w:tcMar>
            <w:vAlign w:val="center"/>
            <w:hideMark/>
          </w:tcPr>
          <w:p w14:paraId="1C636695" w14:textId="77777777" w:rsidR="00000000" w:rsidRDefault="00097612">
            <w:pPr>
              <w:pStyle w:val="a3"/>
              <w:spacing w:before="0" w:beforeAutospacing="0" w:after="0" w:afterAutospacing="0"/>
              <w:ind w:right="60"/>
              <w:jc w:val="right"/>
              <w:rPr>
                <w:sz w:val="20"/>
                <w:szCs w:val="20"/>
              </w:rPr>
            </w:pPr>
            <w:r>
              <w:rPr>
                <w:sz w:val="20"/>
                <w:szCs w:val="20"/>
              </w:rPr>
              <w:t>287,143</w:t>
            </w:r>
          </w:p>
        </w:tc>
      </w:tr>
      <w:tr w:rsidR="00000000" w14:paraId="2A2B90B0" w14:textId="77777777">
        <w:trPr>
          <w:divId w:val="791941229"/>
        </w:trPr>
        <w:tc>
          <w:tcPr>
            <w:tcW w:w="2187" w:type="pct"/>
            <w:shd w:val="clear" w:color="auto" w:fill="CCEEFF"/>
            <w:noWrap/>
            <w:tcMar>
              <w:top w:w="0" w:type="dxa"/>
              <w:left w:w="0" w:type="dxa"/>
              <w:bottom w:w="0" w:type="dxa"/>
              <w:right w:w="0" w:type="dxa"/>
            </w:tcMar>
            <w:vAlign w:val="bottom"/>
            <w:hideMark/>
          </w:tcPr>
          <w:p w14:paraId="728DF277" w14:textId="77777777" w:rsidR="00000000" w:rsidRDefault="00097612">
            <w:pPr>
              <w:pStyle w:val="a3"/>
              <w:spacing w:before="0" w:beforeAutospacing="0" w:after="0" w:afterAutospacing="0"/>
              <w:rPr>
                <w:sz w:val="20"/>
                <w:szCs w:val="20"/>
              </w:rPr>
            </w:pPr>
            <w:r>
              <w:rPr>
                <w:sz w:val="20"/>
                <w:szCs w:val="20"/>
              </w:rPr>
              <w:t xml:space="preserve">Money market funds </w:t>
            </w:r>
          </w:p>
        </w:tc>
        <w:tc>
          <w:tcPr>
            <w:tcW w:w="97" w:type="pct"/>
            <w:shd w:val="clear" w:color="auto" w:fill="CCEEFF"/>
            <w:noWrap/>
            <w:tcMar>
              <w:top w:w="0" w:type="dxa"/>
              <w:left w:w="0" w:type="dxa"/>
              <w:bottom w:w="0" w:type="dxa"/>
              <w:right w:w="0" w:type="dxa"/>
            </w:tcMar>
            <w:vAlign w:val="bottom"/>
            <w:hideMark/>
          </w:tcPr>
          <w:p w14:paraId="4A9BBE29" w14:textId="77777777" w:rsidR="00000000" w:rsidRDefault="00097612">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14:paraId="53DAF958" w14:textId="77777777" w:rsidR="00000000" w:rsidRDefault="00097612">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14:paraId="129C85A1"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19BF311B"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tcMar>
              <w:top w:w="0" w:type="dxa"/>
              <w:left w:w="0" w:type="dxa"/>
              <w:bottom w:w="0" w:type="dxa"/>
              <w:right w:w="0" w:type="dxa"/>
            </w:tcMar>
            <w:vAlign w:val="center"/>
            <w:hideMark/>
          </w:tcPr>
          <w:p w14:paraId="56CB9473" w14:textId="77777777" w:rsidR="00000000" w:rsidRDefault="00097612">
            <w:pPr>
              <w:pStyle w:val="a3"/>
              <w:spacing w:before="0" w:beforeAutospacing="0" w:after="0" w:afterAutospacing="0"/>
              <w:ind w:right="60"/>
              <w:jc w:val="right"/>
              <w:rPr>
                <w:sz w:val="20"/>
                <w:szCs w:val="20"/>
              </w:rPr>
            </w:pPr>
            <w:r>
              <w:rPr>
                <w:sz w:val="20"/>
                <w:szCs w:val="20"/>
              </w:rPr>
              <w:t>47,626</w:t>
            </w:r>
          </w:p>
        </w:tc>
        <w:tc>
          <w:tcPr>
            <w:tcW w:w="98" w:type="pct"/>
            <w:shd w:val="clear" w:color="auto" w:fill="CCEEFF"/>
            <w:noWrap/>
            <w:tcMar>
              <w:top w:w="0" w:type="dxa"/>
              <w:left w:w="0" w:type="dxa"/>
              <w:bottom w:w="0" w:type="dxa"/>
              <w:right w:w="0" w:type="dxa"/>
            </w:tcMar>
            <w:vAlign w:val="bottom"/>
            <w:hideMark/>
          </w:tcPr>
          <w:p w14:paraId="5B0AF018"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4DA9AD46"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tcMar>
              <w:top w:w="0" w:type="dxa"/>
              <w:left w:w="0" w:type="dxa"/>
              <w:bottom w:w="0" w:type="dxa"/>
              <w:right w:w="0" w:type="dxa"/>
            </w:tcMar>
            <w:vAlign w:val="center"/>
            <w:hideMark/>
          </w:tcPr>
          <w:p w14:paraId="01692722" w14:textId="77777777" w:rsidR="00000000" w:rsidRDefault="00097612">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A0EE884"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68FAED63"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shd w:val="clear" w:color="auto" w:fill="CCEEFF"/>
            <w:tcMar>
              <w:top w:w="0" w:type="dxa"/>
              <w:left w:w="0" w:type="dxa"/>
              <w:bottom w:w="0" w:type="dxa"/>
              <w:right w:w="0" w:type="dxa"/>
            </w:tcMar>
            <w:vAlign w:val="center"/>
            <w:hideMark/>
          </w:tcPr>
          <w:p w14:paraId="7D71E7AC" w14:textId="77777777" w:rsidR="00000000" w:rsidRDefault="00097612">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15D1A33A"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266FB7B9" w14:textId="77777777" w:rsidR="00000000" w:rsidRDefault="00097612">
            <w:pPr>
              <w:pStyle w:val="a3"/>
              <w:spacing w:before="0" w:beforeAutospacing="0" w:after="0" w:afterAutospacing="0"/>
              <w:jc w:val="center"/>
              <w:rPr>
                <w:sz w:val="20"/>
                <w:szCs w:val="20"/>
              </w:rPr>
            </w:pPr>
            <w:r>
              <w:rPr>
                <w:sz w:val="20"/>
                <w:szCs w:val="20"/>
              </w:rPr>
              <w:t>​</w:t>
            </w:r>
          </w:p>
        </w:tc>
        <w:tc>
          <w:tcPr>
            <w:tcW w:w="396" w:type="pct"/>
            <w:tcBorders>
              <w:bottom w:val="single" w:sz="6" w:space="0" w:color="000000"/>
            </w:tcBorders>
            <w:shd w:val="clear" w:color="auto" w:fill="CCEEFF"/>
            <w:tcMar>
              <w:top w:w="0" w:type="dxa"/>
              <w:left w:w="0" w:type="dxa"/>
              <w:bottom w:w="0" w:type="dxa"/>
              <w:right w:w="0" w:type="dxa"/>
            </w:tcMar>
            <w:vAlign w:val="center"/>
            <w:hideMark/>
          </w:tcPr>
          <w:p w14:paraId="26E7EAE8" w14:textId="77777777" w:rsidR="00000000" w:rsidRDefault="00097612">
            <w:pPr>
              <w:pStyle w:val="a3"/>
              <w:spacing w:before="0" w:beforeAutospacing="0" w:after="0" w:afterAutospacing="0"/>
              <w:ind w:right="60"/>
              <w:jc w:val="right"/>
              <w:rPr>
                <w:sz w:val="20"/>
                <w:szCs w:val="20"/>
              </w:rPr>
            </w:pPr>
            <w:r>
              <w:rPr>
                <w:sz w:val="20"/>
                <w:szCs w:val="20"/>
              </w:rPr>
              <w:t>47,626</w:t>
            </w:r>
          </w:p>
        </w:tc>
      </w:tr>
      <w:tr w:rsidR="00000000" w14:paraId="5BE8C041" w14:textId="77777777">
        <w:trPr>
          <w:divId w:val="791941229"/>
        </w:trPr>
        <w:tc>
          <w:tcPr>
            <w:tcW w:w="2187" w:type="pct"/>
            <w:tcMar>
              <w:top w:w="0" w:type="dxa"/>
              <w:left w:w="0" w:type="dxa"/>
              <w:bottom w:w="0" w:type="dxa"/>
              <w:right w:w="0" w:type="dxa"/>
            </w:tcMar>
            <w:vAlign w:val="center"/>
            <w:hideMark/>
          </w:tcPr>
          <w:p w14:paraId="645A7193" w14:textId="77777777" w:rsidR="00000000" w:rsidRDefault="00097612">
            <w:pPr>
              <w:pStyle w:val="a3"/>
              <w:spacing w:before="0" w:beforeAutospacing="0" w:after="0" w:afterAutospacing="0"/>
              <w:ind w:left="240"/>
              <w:rPr>
                <w:sz w:val="20"/>
                <w:szCs w:val="20"/>
              </w:rPr>
            </w:pPr>
            <w:r>
              <w:rPr>
                <w:sz w:val="20"/>
                <w:szCs w:val="20"/>
              </w:rPr>
              <w:t xml:space="preserve">Total </w:t>
            </w:r>
          </w:p>
        </w:tc>
        <w:tc>
          <w:tcPr>
            <w:tcW w:w="97" w:type="pct"/>
            <w:noWrap/>
            <w:tcMar>
              <w:top w:w="0" w:type="dxa"/>
              <w:left w:w="0" w:type="dxa"/>
              <w:bottom w:w="0" w:type="dxa"/>
              <w:right w:w="0" w:type="dxa"/>
            </w:tcMar>
            <w:vAlign w:val="bottom"/>
            <w:hideMark/>
          </w:tcPr>
          <w:p w14:paraId="7CC3F2BC" w14:textId="77777777" w:rsidR="00000000" w:rsidRDefault="00097612">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bottom"/>
            <w:hideMark/>
          </w:tcPr>
          <w:p w14:paraId="04440A71" w14:textId="77777777" w:rsidR="00000000" w:rsidRDefault="00097612">
            <w:pPr>
              <w:pStyle w:val="a3"/>
              <w:spacing w:before="0" w:beforeAutospacing="0" w:after="0" w:afterAutospacing="0"/>
              <w:ind w:left="240"/>
              <w:rPr>
                <w:sz w:val="20"/>
                <w:szCs w:val="20"/>
              </w:rPr>
            </w:pPr>
            <w:r>
              <w:rPr>
                <w:sz w:val="20"/>
                <w:szCs w:val="20"/>
              </w:rPr>
              <w:t>​</w:t>
            </w:r>
          </w:p>
        </w:tc>
        <w:tc>
          <w:tcPr>
            <w:tcW w:w="98" w:type="pct"/>
            <w:noWrap/>
            <w:tcMar>
              <w:top w:w="0" w:type="dxa"/>
              <w:left w:w="0" w:type="dxa"/>
              <w:bottom w:w="0" w:type="dxa"/>
              <w:right w:w="0" w:type="dxa"/>
            </w:tcMar>
            <w:vAlign w:val="bottom"/>
            <w:hideMark/>
          </w:tcPr>
          <w:p w14:paraId="41513325"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14:paraId="6323DEB7"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tcMar>
              <w:top w:w="0" w:type="dxa"/>
              <w:left w:w="0" w:type="dxa"/>
              <w:bottom w:w="0" w:type="dxa"/>
              <w:right w:w="0" w:type="dxa"/>
            </w:tcMar>
            <w:vAlign w:val="center"/>
            <w:hideMark/>
          </w:tcPr>
          <w:p w14:paraId="72240F3C" w14:textId="77777777" w:rsidR="00000000" w:rsidRDefault="00097612">
            <w:pPr>
              <w:pStyle w:val="a3"/>
              <w:spacing w:before="0" w:beforeAutospacing="0" w:after="0" w:afterAutospacing="0"/>
              <w:ind w:right="60"/>
              <w:jc w:val="right"/>
              <w:rPr>
                <w:sz w:val="20"/>
                <w:szCs w:val="20"/>
              </w:rPr>
            </w:pPr>
            <w:r>
              <w:rPr>
                <w:sz w:val="20"/>
                <w:szCs w:val="20"/>
              </w:rPr>
              <w:t>334,673</w:t>
            </w:r>
          </w:p>
        </w:tc>
        <w:tc>
          <w:tcPr>
            <w:tcW w:w="98" w:type="pct"/>
            <w:noWrap/>
            <w:tcMar>
              <w:top w:w="0" w:type="dxa"/>
              <w:left w:w="0" w:type="dxa"/>
              <w:bottom w:w="0" w:type="dxa"/>
              <w:right w:w="0" w:type="dxa"/>
            </w:tcMar>
            <w:vAlign w:val="bottom"/>
            <w:hideMark/>
          </w:tcPr>
          <w:p w14:paraId="6C695B31"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14:paraId="20DC644F"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tcMar>
              <w:top w:w="0" w:type="dxa"/>
              <w:left w:w="0" w:type="dxa"/>
              <w:bottom w:w="0" w:type="dxa"/>
              <w:right w:w="0" w:type="dxa"/>
            </w:tcMar>
            <w:vAlign w:val="center"/>
            <w:hideMark/>
          </w:tcPr>
          <w:p w14:paraId="4200E7C4" w14:textId="77777777" w:rsidR="00000000" w:rsidRDefault="00097612">
            <w:pPr>
              <w:pStyle w:val="a3"/>
              <w:spacing w:before="0" w:beforeAutospacing="0" w:after="0" w:afterAutospacing="0"/>
              <w:ind w:right="60"/>
              <w:jc w:val="right"/>
              <w:rPr>
                <w:sz w:val="20"/>
                <w:szCs w:val="20"/>
              </w:rPr>
            </w:pPr>
            <w:r>
              <w:rPr>
                <w:sz w:val="20"/>
                <w:szCs w:val="20"/>
              </w:rPr>
              <w:t>119</w:t>
            </w:r>
          </w:p>
        </w:tc>
        <w:tc>
          <w:tcPr>
            <w:tcW w:w="98" w:type="pct"/>
            <w:noWrap/>
            <w:tcMar>
              <w:top w:w="0" w:type="dxa"/>
              <w:left w:w="0" w:type="dxa"/>
              <w:bottom w:w="0" w:type="dxa"/>
              <w:right w:w="0" w:type="dxa"/>
            </w:tcMar>
            <w:vAlign w:val="bottom"/>
            <w:hideMark/>
          </w:tcPr>
          <w:p w14:paraId="37C82577"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14:paraId="14522937"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tcMar>
              <w:top w:w="0" w:type="dxa"/>
              <w:left w:w="0" w:type="dxa"/>
              <w:bottom w:w="0" w:type="dxa"/>
              <w:right w:w="0" w:type="dxa"/>
            </w:tcMar>
            <w:vAlign w:val="center"/>
            <w:hideMark/>
          </w:tcPr>
          <w:p w14:paraId="2F03D46F" w14:textId="77777777" w:rsidR="00000000" w:rsidRDefault="00097612">
            <w:pPr>
              <w:pStyle w:val="a3"/>
              <w:spacing w:before="0" w:beforeAutospacing="0" w:after="0" w:afterAutospacing="0"/>
              <w:jc w:val="right"/>
              <w:rPr>
                <w:sz w:val="20"/>
                <w:szCs w:val="20"/>
              </w:rPr>
            </w:pPr>
            <w:r>
              <w:rPr>
                <w:sz w:val="20"/>
                <w:szCs w:val="20"/>
              </w:rPr>
              <w:t>(23)</w:t>
            </w:r>
          </w:p>
        </w:tc>
        <w:tc>
          <w:tcPr>
            <w:tcW w:w="98" w:type="pct"/>
            <w:noWrap/>
            <w:tcMar>
              <w:top w:w="0" w:type="dxa"/>
              <w:left w:w="0" w:type="dxa"/>
              <w:bottom w:w="0" w:type="dxa"/>
              <w:right w:w="0" w:type="dxa"/>
            </w:tcMar>
            <w:vAlign w:val="bottom"/>
            <w:hideMark/>
          </w:tcPr>
          <w:p w14:paraId="40F97BAB"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14:paraId="3E0A24B1" w14:textId="77777777" w:rsidR="00000000" w:rsidRDefault="00097612">
            <w:pPr>
              <w:pStyle w:val="a3"/>
              <w:spacing w:before="0" w:beforeAutospacing="0" w:after="0" w:afterAutospacing="0"/>
              <w:jc w:val="center"/>
              <w:rPr>
                <w:sz w:val="20"/>
                <w:szCs w:val="20"/>
              </w:rPr>
            </w:pPr>
            <w:r>
              <w:rPr>
                <w:sz w:val="20"/>
                <w:szCs w:val="20"/>
              </w:rPr>
              <w:t>$</w:t>
            </w:r>
          </w:p>
        </w:tc>
        <w:tc>
          <w:tcPr>
            <w:tcW w:w="396" w:type="pct"/>
            <w:tcBorders>
              <w:bottom w:val="double" w:sz="6" w:space="0" w:color="000000"/>
            </w:tcBorders>
            <w:tcMar>
              <w:top w:w="0" w:type="dxa"/>
              <w:left w:w="0" w:type="dxa"/>
              <w:bottom w:w="0" w:type="dxa"/>
              <w:right w:w="0" w:type="dxa"/>
            </w:tcMar>
            <w:vAlign w:val="center"/>
            <w:hideMark/>
          </w:tcPr>
          <w:p w14:paraId="262E5E6A" w14:textId="77777777" w:rsidR="00000000" w:rsidRDefault="00097612">
            <w:pPr>
              <w:pStyle w:val="a3"/>
              <w:spacing w:before="0" w:beforeAutospacing="0" w:after="0" w:afterAutospacing="0"/>
              <w:ind w:right="60"/>
              <w:jc w:val="right"/>
              <w:rPr>
                <w:sz w:val="20"/>
                <w:szCs w:val="20"/>
              </w:rPr>
            </w:pPr>
            <w:r>
              <w:rPr>
                <w:sz w:val="20"/>
                <w:szCs w:val="20"/>
              </w:rPr>
              <w:t>334,769</w:t>
            </w:r>
          </w:p>
        </w:tc>
      </w:tr>
    </w:tbl>
    <w:p w14:paraId="0B245CDA" w14:textId="77777777" w:rsidR="00000000" w:rsidRDefault="00097612">
      <w:pPr>
        <w:pStyle w:val="a3"/>
        <w:spacing w:before="0" w:beforeAutospacing="0" w:after="0" w:afterAutospacing="0"/>
        <w:divId w:val="791941229"/>
        <w:rPr>
          <w:sz w:val="20"/>
          <w:szCs w:val="20"/>
        </w:rPr>
      </w:pPr>
      <w:r>
        <w:rPr>
          <w:sz w:val="10"/>
          <w:szCs w:val="10"/>
        </w:rPr>
        <w:t>​</w:t>
      </w:r>
    </w:p>
    <w:p w14:paraId="0D0AC581" w14:textId="77777777" w:rsidR="00000000" w:rsidRDefault="00097612">
      <w:pPr>
        <w:pStyle w:val="a3"/>
        <w:spacing w:before="0" w:beforeAutospacing="0" w:after="0" w:afterAutospacing="0"/>
        <w:divId w:val="791941229"/>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26"/>
        <w:gridCol w:w="160"/>
        <w:gridCol w:w="604"/>
        <w:gridCol w:w="160"/>
        <w:gridCol w:w="148"/>
        <w:gridCol w:w="710"/>
        <w:gridCol w:w="160"/>
        <w:gridCol w:w="152"/>
        <w:gridCol w:w="628"/>
        <w:gridCol w:w="160"/>
        <w:gridCol w:w="152"/>
        <w:gridCol w:w="628"/>
        <w:gridCol w:w="160"/>
        <w:gridCol w:w="148"/>
        <w:gridCol w:w="710"/>
      </w:tblGrid>
      <w:tr w:rsidR="00000000" w14:paraId="7DAAE284" w14:textId="77777777">
        <w:trPr>
          <w:divId w:val="791941229"/>
          <w:trHeight w:val="20"/>
        </w:trPr>
        <w:tc>
          <w:tcPr>
            <w:tcW w:w="2187" w:type="pct"/>
            <w:tcMar>
              <w:top w:w="0" w:type="dxa"/>
              <w:left w:w="0" w:type="dxa"/>
              <w:bottom w:w="0" w:type="dxa"/>
              <w:right w:w="0" w:type="dxa"/>
            </w:tcMar>
            <w:vAlign w:val="center"/>
            <w:hideMark/>
          </w:tcPr>
          <w:p w14:paraId="7147A314" w14:textId="77777777" w:rsidR="00000000" w:rsidRDefault="00097612">
            <w:pPr>
              <w:pStyle w:val="a3"/>
              <w:spacing w:before="0" w:beforeAutospacing="0" w:after="0" w:afterAutospacing="0"/>
              <w:divId w:val="2016565851"/>
              <w:rPr>
                <w:sz w:val="20"/>
                <w:szCs w:val="20"/>
              </w:rPr>
            </w:pPr>
            <w:r>
              <w:rPr>
                <w:sz w:val="2"/>
                <w:szCs w:val="2"/>
              </w:rPr>
              <w:t>​</w:t>
            </w:r>
          </w:p>
        </w:tc>
        <w:tc>
          <w:tcPr>
            <w:tcW w:w="97" w:type="pct"/>
            <w:noWrap/>
            <w:tcMar>
              <w:top w:w="0" w:type="dxa"/>
              <w:left w:w="0" w:type="dxa"/>
              <w:bottom w:w="0" w:type="dxa"/>
              <w:right w:w="0" w:type="dxa"/>
            </w:tcMar>
            <w:vAlign w:val="bottom"/>
            <w:hideMark/>
          </w:tcPr>
          <w:p w14:paraId="64481F77" w14:textId="77777777" w:rsidR="00000000" w:rsidRDefault="00097612">
            <w:pPr>
              <w:pStyle w:val="a3"/>
              <w:spacing w:before="0" w:beforeAutospacing="0" w:after="0" w:afterAutospacing="0"/>
              <w:divId w:val="581067814"/>
              <w:rPr>
                <w:sz w:val="20"/>
                <w:szCs w:val="20"/>
              </w:rPr>
            </w:pPr>
            <w:r>
              <w:rPr>
                <w:sz w:val="2"/>
                <w:szCs w:val="2"/>
              </w:rPr>
              <w:t>​</w:t>
            </w:r>
          </w:p>
        </w:tc>
        <w:tc>
          <w:tcPr>
            <w:tcW w:w="374" w:type="pct"/>
            <w:tcMar>
              <w:top w:w="0" w:type="dxa"/>
              <w:left w:w="0" w:type="dxa"/>
              <w:bottom w:w="0" w:type="dxa"/>
              <w:right w:w="0" w:type="dxa"/>
            </w:tcMar>
            <w:vAlign w:val="center"/>
            <w:hideMark/>
          </w:tcPr>
          <w:p w14:paraId="3DEBF2F8" w14:textId="77777777" w:rsidR="00000000" w:rsidRDefault="00097612">
            <w:pPr>
              <w:pStyle w:val="a3"/>
              <w:spacing w:before="0" w:beforeAutospacing="0" w:after="0" w:afterAutospacing="0"/>
              <w:divId w:val="2109344947"/>
              <w:rPr>
                <w:sz w:val="20"/>
                <w:szCs w:val="20"/>
              </w:rPr>
            </w:pPr>
            <w:r>
              <w:rPr>
                <w:sz w:val="2"/>
                <w:szCs w:val="2"/>
              </w:rPr>
              <w:t>​</w:t>
            </w:r>
          </w:p>
        </w:tc>
        <w:tc>
          <w:tcPr>
            <w:tcW w:w="98" w:type="pct"/>
            <w:noWrap/>
            <w:tcMar>
              <w:top w:w="0" w:type="dxa"/>
              <w:left w:w="0" w:type="dxa"/>
              <w:bottom w:w="0" w:type="dxa"/>
              <w:right w:w="0" w:type="dxa"/>
            </w:tcMar>
            <w:vAlign w:val="bottom"/>
            <w:hideMark/>
          </w:tcPr>
          <w:p w14:paraId="1FD4ECA9" w14:textId="77777777" w:rsidR="00000000" w:rsidRDefault="00097612">
            <w:pPr>
              <w:pStyle w:val="a3"/>
              <w:spacing w:before="0" w:beforeAutospacing="0" w:after="0" w:afterAutospacing="0"/>
              <w:divId w:val="1093555176"/>
              <w:rPr>
                <w:sz w:val="20"/>
                <w:szCs w:val="20"/>
              </w:rPr>
            </w:pPr>
            <w:r>
              <w:rPr>
                <w:sz w:val="2"/>
                <w:szCs w:val="2"/>
              </w:rPr>
              <w:t>​</w:t>
            </w:r>
          </w:p>
        </w:tc>
        <w:tc>
          <w:tcPr>
            <w:tcW w:w="98" w:type="pct"/>
            <w:noWrap/>
            <w:tcMar>
              <w:top w:w="0" w:type="dxa"/>
              <w:left w:w="0" w:type="dxa"/>
              <w:bottom w:w="0" w:type="dxa"/>
              <w:right w:w="0" w:type="dxa"/>
            </w:tcMar>
            <w:vAlign w:val="bottom"/>
            <w:hideMark/>
          </w:tcPr>
          <w:p w14:paraId="4687DDB2" w14:textId="77777777" w:rsidR="00000000" w:rsidRDefault="00097612">
            <w:pPr>
              <w:pStyle w:val="a3"/>
              <w:spacing w:before="0" w:beforeAutospacing="0" w:after="0" w:afterAutospacing="0"/>
              <w:divId w:val="1533611943"/>
              <w:rPr>
                <w:sz w:val="20"/>
                <w:szCs w:val="20"/>
              </w:rPr>
            </w:pPr>
            <w:r>
              <w:rPr>
                <w:sz w:val="2"/>
                <w:szCs w:val="2"/>
              </w:rPr>
              <w:t>​</w:t>
            </w:r>
          </w:p>
        </w:tc>
        <w:tc>
          <w:tcPr>
            <w:tcW w:w="385" w:type="pct"/>
            <w:tcMar>
              <w:top w:w="0" w:type="dxa"/>
              <w:left w:w="0" w:type="dxa"/>
              <w:bottom w:w="0" w:type="dxa"/>
              <w:right w:w="0" w:type="dxa"/>
            </w:tcMar>
            <w:vAlign w:val="center"/>
            <w:hideMark/>
          </w:tcPr>
          <w:p w14:paraId="6550C862" w14:textId="77777777" w:rsidR="00000000" w:rsidRDefault="00097612">
            <w:pPr>
              <w:pStyle w:val="a3"/>
              <w:spacing w:before="0" w:beforeAutospacing="0" w:after="0" w:afterAutospacing="0"/>
              <w:divId w:val="1638485332"/>
              <w:rPr>
                <w:sz w:val="20"/>
                <w:szCs w:val="20"/>
              </w:rPr>
            </w:pPr>
            <w:r>
              <w:rPr>
                <w:sz w:val="2"/>
                <w:szCs w:val="2"/>
              </w:rPr>
              <w:t>​</w:t>
            </w:r>
          </w:p>
        </w:tc>
        <w:tc>
          <w:tcPr>
            <w:tcW w:w="98" w:type="pct"/>
            <w:noWrap/>
            <w:tcMar>
              <w:top w:w="0" w:type="dxa"/>
              <w:left w:w="0" w:type="dxa"/>
              <w:bottom w:w="0" w:type="dxa"/>
              <w:right w:w="0" w:type="dxa"/>
            </w:tcMar>
            <w:vAlign w:val="bottom"/>
            <w:hideMark/>
          </w:tcPr>
          <w:p w14:paraId="672445D2" w14:textId="77777777" w:rsidR="00000000" w:rsidRDefault="00097612">
            <w:pPr>
              <w:pStyle w:val="a3"/>
              <w:spacing w:before="0" w:beforeAutospacing="0" w:after="0" w:afterAutospacing="0"/>
              <w:divId w:val="1549102332"/>
              <w:rPr>
                <w:sz w:val="20"/>
                <w:szCs w:val="20"/>
              </w:rPr>
            </w:pPr>
            <w:r>
              <w:rPr>
                <w:sz w:val="2"/>
                <w:szCs w:val="2"/>
              </w:rPr>
              <w:t>​</w:t>
            </w:r>
          </w:p>
        </w:tc>
        <w:tc>
          <w:tcPr>
            <w:tcW w:w="98" w:type="pct"/>
            <w:noWrap/>
            <w:tcMar>
              <w:top w:w="0" w:type="dxa"/>
              <w:left w:w="0" w:type="dxa"/>
              <w:bottom w:w="0" w:type="dxa"/>
              <w:right w:w="0" w:type="dxa"/>
            </w:tcMar>
            <w:vAlign w:val="bottom"/>
            <w:hideMark/>
          </w:tcPr>
          <w:p w14:paraId="75976A8B" w14:textId="77777777" w:rsidR="00000000" w:rsidRDefault="00097612">
            <w:pPr>
              <w:pStyle w:val="a3"/>
              <w:spacing w:before="0" w:beforeAutospacing="0" w:after="0" w:afterAutospacing="0"/>
              <w:divId w:val="1833984436"/>
              <w:rPr>
                <w:sz w:val="20"/>
                <w:szCs w:val="20"/>
              </w:rPr>
            </w:pPr>
            <w:r>
              <w:rPr>
                <w:sz w:val="2"/>
                <w:szCs w:val="2"/>
              </w:rPr>
              <w:t>​</w:t>
            </w:r>
          </w:p>
        </w:tc>
        <w:tc>
          <w:tcPr>
            <w:tcW w:w="385" w:type="pct"/>
            <w:tcMar>
              <w:top w:w="0" w:type="dxa"/>
              <w:left w:w="0" w:type="dxa"/>
              <w:bottom w:w="0" w:type="dxa"/>
              <w:right w:w="0" w:type="dxa"/>
            </w:tcMar>
            <w:vAlign w:val="center"/>
            <w:hideMark/>
          </w:tcPr>
          <w:p w14:paraId="4CDF4DDB" w14:textId="77777777" w:rsidR="00000000" w:rsidRDefault="00097612">
            <w:pPr>
              <w:pStyle w:val="a3"/>
              <w:spacing w:before="0" w:beforeAutospacing="0" w:after="0" w:afterAutospacing="0"/>
              <w:divId w:val="775321383"/>
              <w:rPr>
                <w:sz w:val="20"/>
                <w:szCs w:val="20"/>
              </w:rPr>
            </w:pPr>
            <w:r>
              <w:rPr>
                <w:sz w:val="2"/>
                <w:szCs w:val="2"/>
              </w:rPr>
              <w:t>​</w:t>
            </w:r>
          </w:p>
        </w:tc>
        <w:tc>
          <w:tcPr>
            <w:tcW w:w="98" w:type="pct"/>
            <w:noWrap/>
            <w:tcMar>
              <w:top w:w="0" w:type="dxa"/>
              <w:left w:w="0" w:type="dxa"/>
              <w:bottom w:w="0" w:type="dxa"/>
              <w:right w:w="0" w:type="dxa"/>
            </w:tcMar>
            <w:vAlign w:val="bottom"/>
            <w:hideMark/>
          </w:tcPr>
          <w:p w14:paraId="2DBAB209" w14:textId="77777777" w:rsidR="00000000" w:rsidRDefault="00097612">
            <w:pPr>
              <w:pStyle w:val="a3"/>
              <w:spacing w:before="0" w:beforeAutospacing="0" w:after="0" w:afterAutospacing="0"/>
              <w:divId w:val="1034967137"/>
              <w:rPr>
                <w:sz w:val="20"/>
                <w:szCs w:val="20"/>
              </w:rPr>
            </w:pPr>
            <w:r>
              <w:rPr>
                <w:sz w:val="2"/>
                <w:szCs w:val="2"/>
              </w:rPr>
              <w:t>​</w:t>
            </w:r>
          </w:p>
        </w:tc>
        <w:tc>
          <w:tcPr>
            <w:tcW w:w="98" w:type="pct"/>
            <w:noWrap/>
            <w:tcMar>
              <w:top w:w="0" w:type="dxa"/>
              <w:left w:w="0" w:type="dxa"/>
              <w:bottom w:w="0" w:type="dxa"/>
              <w:right w:w="0" w:type="dxa"/>
            </w:tcMar>
            <w:vAlign w:val="bottom"/>
            <w:hideMark/>
          </w:tcPr>
          <w:p w14:paraId="6E4CD730" w14:textId="77777777" w:rsidR="00000000" w:rsidRDefault="00097612">
            <w:pPr>
              <w:pStyle w:val="a3"/>
              <w:spacing w:before="0" w:beforeAutospacing="0" w:after="0" w:afterAutospacing="0"/>
              <w:divId w:val="135682817"/>
              <w:rPr>
                <w:sz w:val="20"/>
                <w:szCs w:val="20"/>
              </w:rPr>
            </w:pPr>
            <w:r>
              <w:rPr>
                <w:sz w:val="2"/>
                <w:szCs w:val="2"/>
              </w:rPr>
              <w:t>​</w:t>
            </w:r>
          </w:p>
        </w:tc>
        <w:tc>
          <w:tcPr>
            <w:tcW w:w="385" w:type="pct"/>
            <w:tcMar>
              <w:top w:w="0" w:type="dxa"/>
              <w:left w:w="0" w:type="dxa"/>
              <w:bottom w:w="0" w:type="dxa"/>
              <w:right w:w="0" w:type="dxa"/>
            </w:tcMar>
            <w:vAlign w:val="center"/>
            <w:hideMark/>
          </w:tcPr>
          <w:p w14:paraId="14E83710" w14:textId="77777777" w:rsidR="00000000" w:rsidRDefault="00097612">
            <w:pPr>
              <w:pStyle w:val="a3"/>
              <w:spacing w:before="0" w:beforeAutospacing="0" w:after="0" w:afterAutospacing="0"/>
              <w:divId w:val="50083942"/>
              <w:rPr>
                <w:sz w:val="20"/>
                <w:szCs w:val="20"/>
              </w:rPr>
            </w:pPr>
            <w:r>
              <w:rPr>
                <w:sz w:val="2"/>
                <w:szCs w:val="2"/>
              </w:rPr>
              <w:t>​</w:t>
            </w:r>
          </w:p>
        </w:tc>
        <w:tc>
          <w:tcPr>
            <w:tcW w:w="98" w:type="pct"/>
            <w:noWrap/>
            <w:tcMar>
              <w:top w:w="0" w:type="dxa"/>
              <w:left w:w="0" w:type="dxa"/>
              <w:bottom w:w="0" w:type="dxa"/>
              <w:right w:w="0" w:type="dxa"/>
            </w:tcMar>
            <w:vAlign w:val="bottom"/>
            <w:hideMark/>
          </w:tcPr>
          <w:p w14:paraId="2B952693" w14:textId="77777777" w:rsidR="00000000" w:rsidRDefault="00097612">
            <w:pPr>
              <w:pStyle w:val="a3"/>
              <w:spacing w:before="0" w:beforeAutospacing="0" w:after="0" w:afterAutospacing="0"/>
              <w:divId w:val="483737588"/>
              <w:rPr>
                <w:sz w:val="20"/>
                <w:szCs w:val="20"/>
              </w:rPr>
            </w:pPr>
            <w:r>
              <w:rPr>
                <w:sz w:val="2"/>
                <w:szCs w:val="2"/>
              </w:rPr>
              <w:t>​</w:t>
            </w:r>
          </w:p>
        </w:tc>
        <w:tc>
          <w:tcPr>
            <w:tcW w:w="98" w:type="pct"/>
            <w:noWrap/>
            <w:tcMar>
              <w:top w:w="0" w:type="dxa"/>
              <w:left w:w="0" w:type="dxa"/>
              <w:bottom w:w="0" w:type="dxa"/>
              <w:right w:w="0" w:type="dxa"/>
            </w:tcMar>
            <w:vAlign w:val="bottom"/>
            <w:hideMark/>
          </w:tcPr>
          <w:p w14:paraId="13F58D01" w14:textId="77777777" w:rsidR="00000000" w:rsidRDefault="00097612">
            <w:pPr>
              <w:pStyle w:val="a3"/>
              <w:spacing w:before="0" w:beforeAutospacing="0" w:after="0" w:afterAutospacing="0"/>
              <w:divId w:val="1257208304"/>
              <w:rPr>
                <w:sz w:val="20"/>
                <w:szCs w:val="20"/>
              </w:rPr>
            </w:pPr>
            <w:r>
              <w:rPr>
                <w:sz w:val="2"/>
                <w:szCs w:val="2"/>
              </w:rPr>
              <w:t>​</w:t>
            </w:r>
          </w:p>
        </w:tc>
        <w:tc>
          <w:tcPr>
            <w:tcW w:w="396" w:type="pct"/>
            <w:tcMar>
              <w:top w:w="0" w:type="dxa"/>
              <w:left w:w="0" w:type="dxa"/>
              <w:bottom w:w="0" w:type="dxa"/>
              <w:right w:w="0" w:type="dxa"/>
            </w:tcMar>
            <w:vAlign w:val="center"/>
            <w:hideMark/>
          </w:tcPr>
          <w:p w14:paraId="4E2F0A4C" w14:textId="77777777" w:rsidR="00000000" w:rsidRDefault="00097612">
            <w:pPr>
              <w:pStyle w:val="a3"/>
              <w:spacing w:before="0" w:beforeAutospacing="0" w:after="0" w:afterAutospacing="0"/>
              <w:divId w:val="1051684848"/>
              <w:rPr>
                <w:sz w:val="20"/>
                <w:szCs w:val="20"/>
              </w:rPr>
            </w:pPr>
            <w:r>
              <w:rPr>
                <w:sz w:val="2"/>
                <w:szCs w:val="2"/>
              </w:rPr>
              <w:t>​</w:t>
            </w:r>
          </w:p>
        </w:tc>
      </w:tr>
      <w:tr w:rsidR="00000000" w14:paraId="3EC2E82E" w14:textId="77777777">
        <w:trPr>
          <w:divId w:val="791941229"/>
        </w:trPr>
        <w:tc>
          <w:tcPr>
            <w:tcW w:w="2187" w:type="pct"/>
            <w:shd w:val="clear" w:color="auto" w:fill="auto"/>
            <w:tcMar>
              <w:top w:w="0" w:type="dxa"/>
              <w:left w:w="0" w:type="dxa"/>
              <w:bottom w:w="0" w:type="dxa"/>
              <w:right w:w="0" w:type="dxa"/>
            </w:tcMar>
            <w:vAlign w:val="bottom"/>
            <w:hideMark/>
          </w:tcPr>
          <w:p w14:paraId="1FC0EB26" w14:textId="77777777" w:rsidR="00000000" w:rsidRDefault="00097612">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4709DAC2" w14:textId="77777777" w:rsidR="00000000" w:rsidRDefault="00097612">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14:paraId="601A2907" w14:textId="77777777" w:rsidR="00000000" w:rsidRDefault="00097612">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14:paraId="66A4E89A" w14:textId="77777777" w:rsidR="00000000" w:rsidRDefault="00097612">
            <w:pPr>
              <w:pStyle w:val="a3"/>
              <w:spacing w:before="0" w:beforeAutospacing="0" w:after="0" w:afterAutospacing="0"/>
              <w:rPr>
                <w:sz w:val="20"/>
                <w:szCs w:val="20"/>
              </w:rPr>
            </w:pPr>
            <w:r>
              <w:rPr>
                <w:b/>
                <w:bCs/>
                <w:sz w:val="16"/>
                <w:szCs w:val="16"/>
              </w:rPr>
              <w:t>​</w:t>
            </w:r>
          </w:p>
        </w:tc>
        <w:tc>
          <w:tcPr>
            <w:tcW w:w="2242" w:type="pct"/>
            <w:gridSpan w:val="11"/>
            <w:tcBorders>
              <w:bottom w:val="single" w:sz="6" w:space="0" w:color="000000"/>
            </w:tcBorders>
            <w:shd w:val="clear" w:color="auto" w:fill="auto"/>
            <w:noWrap/>
            <w:tcMar>
              <w:top w:w="0" w:type="dxa"/>
              <w:left w:w="0" w:type="dxa"/>
              <w:bottom w:w="0" w:type="dxa"/>
              <w:right w:w="0" w:type="dxa"/>
            </w:tcMar>
            <w:vAlign w:val="bottom"/>
            <w:hideMark/>
          </w:tcPr>
          <w:p w14:paraId="5F7C4DD6" w14:textId="77777777" w:rsidR="00000000" w:rsidRDefault="00097612">
            <w:pPr>
              <w:pStyle w:val="a3"/>
              <w:spacing w:before="0" w:beforeAutospacing="0" w:after="0" w:afterAutospacing="0"/>
              <w:jc w:val="center"/>
              <w:rPr>
                <w:sz w:val="16"/>
                <w:szCs w:val="16"/>
              </w:rPr>
            </w:pPr>
            <w:r>
              <w:rPr>
                <w:b/>
                <w:bCs/>
                <w:sz w:val="16"/>
                <w:szCs w:val="16"/>
              </w:rPr>
              <w:t>December 31, 2018</w:t>
            </w:r>
          </w:p>
        </w:tc>
      </w:tr>
      <w:tr w:rsidR="00000000" w14:paraId="0A91B36F" w14:textId="77777777">
        <w:trPr>
          <w:divId w:val="791941229"/>
        </w:trPr>
        <w:tc>
          <w:tcPr>
            <w:tcW w:w="2187" w:type="pct"/>
            <w:shd w:val="clear" w:color="auto" w:fill="auto"/>
            <w:tcMar>
              <w:top w:w="0" w:type="dxa"/>
              <w:left w:w="0" w:type="dxa"/>
              <w:bottom w:w="0" w:type="dxa"/>
              <w:right w:w="0" w:type="dxa"/>
            </w:tcMar>
            <w:vAlign w:val="bottom"/>
            <w:hideMark/>
          </w:tcPr>
          <w:p w14:paraId="5651F398" w14:textId="77777777" w:rsidR="00000000" w:rsidRDefault="00097612">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20FAE19E" w14:textId="77777777" w:rsidR="00000000" w:rsidRDefault="00097612">
            <w:pPr>
              <w:pStyle w:val="a3"/>
              <w:spacing w:before="0" w:beforeAutospacing="0" w:after="0" w:afterAutospacing="0"/>
              <w:rPr>
                <w:sz w:val="16"/>
                <w:szCs w:val="16"/>
              </w:rPr>
            </w:pPr>
            <w:r>
              <w:rPr>
                <w:b/>
                <w:bCs/>
                <w:sz w:val="16"/>
                <w:szCs w:val="16"/>
              </w:rPr>
              <w:t>    </w:t>
            </w:r>
          </w:p>
        </w:tc>
        <w:tc>
          <w:tcPr>
            <w:tcW w:w="374" w:type="pct"/>
            <w:shd w:val="clear" w:color="auto" w:fill="auto"/>
            <w:tcMar>
              <w:top w:w="0" w:type="dxa"/>
              <w:left w:w="0" w:type="dxa"/>
              <w:bottom w:w="0" w:type="dxa"/>
              <w:right w:w="0" w:type="dxa"/>
            </w:tcMar>
            <w:vAlign w:val="bottom"/>
            <w:hideMark/>
          </w:tcPr>
          <w:p w14:paraId="53AE243E" w14:textId="77777777" w:rsidR="00000000" w:rsidRDefault="00097612">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14:paraId="5AB1410E" w14:textId="77777777" w:rsidR="00000000" w:rsidRDefault="00097612">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14:paraId="5D198A74" w14:textId="77777777" w:rsidR="00000000" w:rsidRDefault="00097612">
            <w:pPr>
              <w:pStyle w:val="a3"/>
              <w:spacing w:before="0" w:beforeAutospacing="0" w:after="0" w:afterAutospacing="0"/>
              <w:jc w:val="center"/>
              <w:rPr>
                <w:sz w:val="20"/>
                <w:szCs w:val="20"/>
              </w:rPr>
            </w:pPr>
            <w:r>
              <w:rPr>
                <w:b/>
                <w:bCs/>
                <w:sz w:val="16"/>
                <w:szCs w:val="16"/>
              </w:rPr>
              <w:t>​</w:t>
            </w:r>
          </w:p>
        </w:tc>
        <w:tc>
          <w:tcPr>
            <w:tcW w:w="385" w:type="pct"/>
            <w:shd w:val="clear" w:color="auto" w:fill="auto"/>
            <w:noWrap/>
            <w:tcMar>
              <w:top w:w="0" w:type="dxa"/>
              <w:left w:w="0" w:type="dxa"/>
              <w:bottom w:w="0" w:type="dxa"/>
              <w:right w:w="0" w:type="dxa"/>
            </w:tcMar>
            <w:vAlign w:val="bottom"/>
            <w:hideMark/>
          </w:tcPr>
          <w:p w14:paraId="37E17236" w14:textId="77777777" w:rsidR="00000000" w:rsidRDefault="00097612">
            <w:pPr>
              <w:pStyle w:val="a3"/>
              <w:spacing w:before="0" w:beforeAutospacing="0" w:after="0" w:afterAutospacing="0"/>
              <w:jc w:val="center"/>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14:paraId="5EE754F0" w14:textId="77777777" w:rsidR="00000000" w:rsidRDefault="00097612">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14:paraId="6BB2546D" w14:textId="77777777" w:rsidR="00000000" w:rsidRDefault="00097612">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14:paraId="335DC040" w14:textId="77777777" w:rsidR="00000000" w:rsidRDefault="00097612">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14:paraId="2EA52B65" w14:textId="77777777" w:rsidR="00000000" w:rsidRDefault="00097612">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14:paraId="117E9ADC" w14:textId="77777777" w:rsidR="00000000" w:rsidRDefault="00097612">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14:paraId="4107A33E" w14:textId="77777777" w:rsidR="00000000" w:rsidRDefault="00097612">
            <w:pPr>
              <w:pStyle w:val="a3"/>
              <w:spacing w:before="0" w:beforeAutospacing="0" w:after="0" w:afterAutospacing="0"/>
              <w:jc w:val="center"/>
              <w:rPr>
                <w:sz w:val="20"/>
                <w:szCs w:val="20"/>
              </w:rPr>
            </w:pPr>
            <w:r>
              <w:rPr>
                <w:b/>
                <w:bCs/>
                <w:sz w:val="16"/>
                <w:szCs w:val="16"/>
              </w:rPr>
              <w:t>​</w:t>
            </w:r>
          </w:p>
        </w:tc>
        <w:tc>
          <w:tcPr>
            <w:tcW w:w="396" w:type="pct"/>
            <w:shd w:val="clear" w:color="auto" w:fill="auto"/>
            <w:noWrap/>
            <w:tcMar>
              <w:top w:w="0" w:type="dxa"/>
              <w:left w:w="0" w:type="dxa"/>
              <w:bottom w:w="0" w:type="dxa"/>
              <w:right w:w="0" w:type="dxa"/>
            </w:tcMar>
            <w:vAlign w:val="bottom"/>
            <w:hideMark/>
          </w:tcPr>
          <w:p w14:paraId="5D0E59A3" w14:textId="77777777" w:rsidR="00000000" w:rsidRDefault="00097612">
            <w:pPr>
              <w:pStyle w:val="a3"/>
              <w:spacing w:before="0" w:beforeAutospacing="0" w:after="0" w:afterAutospacing="0"/>
              <w:jc w:val="center"/>
              <w:rPr>
                <w:sz w:val="20"/>
                <w:szCs w:val="20"/>
              </w:rPr>
            </w:pPr>
            <w:r>
              <w:rPr>
                <w:b/>
                <w:bCs/>
                <w:sz w:val="16"/>
                <w:szCs w:val="16"/>
              </w:rPr>
              <w:t>​</w:t>
            </w:r>
          </w:p>
        </w:tc>
      </w:tr>
      <w:tr w:rsidR="00000000" w14:paraId="44A44C72" w14:textId="77777777">
        <w:trPr>
          <w:divId w:val="791941229"/>
        </w:trPr>
        <w:tc>
          <w:tcPr>
            <w:tcW w:w="2187" w:type="pct"/>
            <w:shd w:val="clear" w:color="auto" w:fill="auto"/>
            <w:tcMar>
              <w:top w:w="0" w:type="dxa"/>
              <w:left w:w="0" w:type="dxa"/>
              <w:bottom w:w="0" w:type="dxa"/>
              <w:right w:w="0" w:type="dxa"/>
            </w:tcMar>
            <w:vAlign w:val="bottom"/>
            <w:hideMark/>
          </w:tcPr>
          <w:p w14:paraId="129D6E69" w14:textId="77777777" w:rsidR="00000000" w:rsidRDefault="00097612">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3CA177C1" w14:textId="77777777" w:rsidR="00000000" w:rsidRDefault="00097612">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14:paraId="197BF724" w14:textId="77777777" w:rsidR="00000000" w:rsidRDefault="00097612">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14:paraId="43C4D341"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14:paraId="70E940C6" w14:textId="77777777" w:rsidR="00000000" w:rsidRDefault="00097612">
            <w:pPr>
              <w:pStyle w:val="a3"/>
              <w:spacing w:before="0" w:beforeAutospacing="0" w:after="0" w:afterAutospacing="0"/>
              <w:jc w:val="center"/>
              <w:rPr>
                <w:sz w:val="16"/>
                <w:szCs w:val="16"/>
              </w:rPr>
            </w:pPr>
            <w:r>
              <w:rPr>
                <w:b/>
                <w:bCs/>
                <w:sz w:val="16"/>
                <w:szCs w:val="16"/>
              </w:rPr>
              <w:t>Amortized</w:t>
            </w:r>
          </w:p>
        </w:tc>
        <w:tc>
          <w:tcPr>
            <w:tcW w:w="98" w:type="pct"/>
            <w:shd w:val="clear" w:color="auto" w:fill="auto"/>
            <w:noWrap/>
            <w:tcMar>
              <w:top w:w="0" w:type="dxa"/>
              <w:left w:w="0" w:type="dxa"/>
              <w:bottom w:w="0" w:type="dxa"/>
              <w:right w:w="0" w:type="dxa"/>
            </w:tcMar>
            <w:vAlign w:val="bottom"/>
            <w:hideMark/>
          </w:tcPr>
          <w:p w14:paraId="3F66D5CE"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14:paraId="67250CA3" w14:textId="77777777" w:rsidR="00000000" w:rsidRDefault="00097612">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14:paraId="1362AA06"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14:paraId="4B2175BB" w14:textId="77777777" w:rsidR="00000000" w:rsidRDefault="00097612">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14:paraId="5DAE60B2" w14:textId="77777777" w:rsidR="00000000" w:rsidRDefault="00097612">
            <w:pPr>
              <w:pStyle w:val="a3"/>
              <w:spacing w:before="0" w:beforeAutospacing="0" w:after="0" w:afterAutospacing="0"/>
              <w:rPr>
                <w:sz w:val="20"/>
                <w:szCs w:val="20"/>
              </w:rPr>
            </w:pPr>
            <w:r>
              <w:rPr>
                <w:b/>
                <w:bCs/>
                <w:sz w:val="16"/>
                <w:szCs w:val="16"/>
              </w:rPr>
              <w:t>​</w:t>
            </w:r>
          </w:p>
        </w:tc>
        <w:tc>
          <w:tcPr>
            <w:tcW w:w="495" w:type="pct"/>
            <w:gridSpan w:val="2"/>
            <w:shd w:val="clear" w:color="auto" w:fill="auto"/>
            <w:noWrap/>
            <w:tcMar>
              <w:top w:w="0" w:type="dxa"/>
              <w:left w:w="0" w:type="dxa"/>
              <w:bottom w:w="0" w:type="dxa"/>
              <w:right w:w="0" w:type="dxa"/>
            </w:tcMar>
            <w:vAlign w:val="bottom"/>
            <w:hideMark/>
          </w:tcPr>
          <w:p w14:paraId="05C07DBC" w14:textId="77777777" w:rsidR="00000000" w:rsidRDefault="00097612">
            <w:pPr>
              <w:pStyle w:val="a3"/>
              <w:spacing w:before="0" w:beforeAutospacing="0" w:after="0" w:afterAutospacing="0"/>
              <w:jc w:val="center"/>
              <w:rPr>
                <w:sz w:val="16"/>
                <w:szCs w:val="16"/>
              </w:rPr>
            </w:pPr>
            <w:r>
              <w:rPr>
                <w:b/>
                <w:bCs/>
                <w:sz w:val="16"/>
                <w:szCs w:val="16"/>
              </w:rPr>
              <w:t>Estimated</w:t>
            </w:r>
          </w:p>
        </w:tc>
      </w:tr>
      <w:tr w:rsidR="00000000" w14:paraId="35C7D6C8" w14:textId="77777777">
        <w:trPr>
          <w:divId w:val="791941229"/>
        </w:trPr>
        <w:tc>
          <w:tcPr>
            <w:tcW w:w="2187" w:type="pct"/>
            <w:tcBorders>
              <w:bottom w:val="single" w:sz="6" w:space="0" w:color="000000"/>
            </w:tcBorders>
            <w:shd w:val="clear" w:color="auto" w:fill="auto"/>
            <w:tcMar>
              <w:top w:w="0" w:type="dxa"/>
              <w:left w:w="0" w:type="dxa"/>
              <w:bottom w:w="0" w:type="dxa"/>
              <w:right w:w="0" w:type="dxa"/>
            </w:tcMar>
            <w:vAlign w:val="bottom"/>
            <w:hideMark/>
          </w:tcPr>
          <w:p w14:paraId="6E157F43" w14:textId="77777777" w:rsidR="00000000" w:rsidRDefault="00097612">
            <w:pPr>
              <w:pStyle w:val="a3"/>
              <w:spacing w:before="0" w:beforeAutospacing="0" w:after="0" w:afterAutospacing="0"/>
              <w:rPr>
                <w:sz w:val="16"/>
                <w:szCs w:val="16"/>
              </w:rPr>
            </w:pPr>
            <w:r>
              <w:rPr>
                <w:b/>
                <w:bCs/>
                <w:sz w:val="16"/>
                <w:szCs w:val="16"/>
              </w:rPr>
              <w:t>(In thousands)</w:t>
            </w:r>
          </w:p>
        </w:tc>
        <w:tc>
          <w:tcPr>
            <w:tcW w:w="97" w:type="pct"/>
            <w:shd w:val="clear" w:color="auto" w:fill="auto"/>
            <w:tcMar>
              <w:top w:w="0" w:type="dxa"/>
              <w:left w:w="0" w:type="dxa"/>
              <w:bottom w:w="0" w:type="dxa"/>
              <w:right w:w="0" w:type="dxa"/>
            </w:tcMar>
            <w:vAlign w:val="bottom"/>
            <w:hideMark/>
          </w:tcPr>
          <w:p w14:paraId="49C022FA" w14:textId="77777777" w:rsidR="00000000" w:rsidRDefault="00097612">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14:paraId="6B0AB18D" w14:textId="77777777" w:rsidR="00000000" w:rsidRDefault="00097612">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14:paraId="144A5B2C"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14:paraId="03985EA9" w14:textId="77777777" w:rsidR="00000000" w:rsidRDefault="00097612">
            <w:pPr>
              <w:pStyle w:val="a3"/>
              <w:spacing w:before="0" w:beforeAutospacing="0" w:after="0" w:afterAutospacing="0"/>
              <w:jc w:val="center"/>
              <w:rPr>
                <w:sz w:val="16"/>
                <w:szCs w:val="16"/>
              </w:rPr>
            </w:pPr>
            <w:r>
              <w:rPr>
                <w:b/>
                <w:bCs/>
                <w:sz w:val="16"/>
                <w:szCs w:val="16"/>
              </w:rPr>
              <w:t>Cost</w:t>
            </w:r>
          </w:p>
        </w:tc>
        <w:tc>
          <w:tcPr>
            <w:tcW w:w="98" w:type="pct"/>
            <w:shd w:val="clear" w:color="auto" w:fill="auto"/>
            <w:noWrap/>
            <w:tcMar>
              <w:top w:w="0" w:type="dxa"/>
              <w:left w:w="0" w:type="dxa"/>
              <w:bottom w:w="0" w:type="dxa"/>
              <w:right w:w="0" w:type="dxa"/>
            </w:tcMar>
            <w:vAlign w:val="bottom"/>
            <w:hideMark/>
          </w:tcPr>
          <w:p w14:paraId="07742B4D"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14:paraId="0EADDB67" w14:textId="77777777" w:rsidR="00000000" w:rsidRDefault="00097612">
            <w:pPr>
              <w:pStyle w:val="a3"/>
              <w:spacing w:before="0" w:beforeAutospacing="0" w:after="0" w:afterAutospacing="0"/>
              <w:jc w:val="center"/>
              <w:rPr>
                <w:sz w:val="16"/>
                <w:szCs w:val="16"/>
              </w:rPr>
            </w:pPr>
            <w:r>
              <w:rPr>
                <w:b/>
                <w:bCs/>
                <w:sz w:val="16"/>
                <w:szCs w:val="16"/>
              </w:rPr>
              <w:t>Gains</w:t>
            </w:r>
          </w:p>
        </w:tc>
        <w:tc>
          <w:tcPr>
            <w:tcW w:w="98" w:type="pct"/>
            <w:shd w:val="clear" w:color="auto" w:fill="auto"/>
            <w:noWrap/>
            <w:tcMar>
              <w:top w:w="0" w:type="dxa"/>
              <w:left w:w="0" w:type="dxa"/>
              <w:bottom w:w="0" w:type="dxa"/>
              <w:right w:w="0" w:type="dxa"/>
            </w:tcMar>
            <w:vAlign w:val="bottom"/>
            <w:hideMark/>
          </w:tcPr>
          <w:p w14:paraId="3EC6BB43" w14:textId="77777777" w:rsidR="00000000" w:rsidRDefault="00097612">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14:paraId="690ABFB2" w14:textId="77777777" w:rsidR="00000000" w:rsidRDefault="00097612">
            <w:pPr>
              <w:pStyle w:val="a3"/>
              <w:spacing w:before="0" w:beforeAutospacing="0" w:after="0" w:afterAutospacing="0"/>
              <w:jc w:val="center"/>
              <w:rPr>
                <w:sz w:val="16"/>
                <w:szCs w:val="16"/>
              </w:rPr>
            </w:pPr>
            <w:r>
              <w:rPr>
                <w:b/>
                <w:bCs/>
                <w:sz w:val="16"/>
                <w:szCs w:val="16"/>
              </w:rPr>
              <w:t>Losses</w:t>
            </w:r>
          </w:p>
        </w:tc>
        <w:tc>
          <w:tcPr>
            <w:tcW w:w="98" w:type="pct"/>
            <w:shd w:val="clear" w:color="auto" w:fill="auto"/>
            <w:noWrap/>
            <w:tcMar>
              <w:top w:w="0" w:type="dxa"/>
              <w:left w:w="0" w:type="dxa"/>
              <w:bottom w:w="0" w:type="dxa"/>
              <w:right w:w="0" w:type="dxa"/>
            </w:tcMar>
            <w:vAlign w:val="bottom"/>
            <w:hideMark/>
          </w:tcPr>
          <w:p w14:paraId="5C68FF02" w14:textId="77777777" w:rsidR="00000000" w:rsidRDefault="00097612">
            <w:pPr>
              <w:pStyle w:val="a3"/>
              <w:spacing w:before="0" w:beforeAutospacing="0" w:after="0" w:afterAutospacing="0"/>
              <w:rPr>
                <w:sz w:val="20"/>
                <w:szCs w:val="20"/>
              </w:rPr>
            </w:pPr>
            <w:r>
              <w:rPr>
                <w:b/>
                <w:bCs/>
                <w:sz w:val="16"/>
                <w:szCs w:val="16"/>
              </w:rPr>
              <w:t>​</w:t>
            </w:r>
          </w:p>
        </w:tc>
        <w:tc>
          <w:tcPr>
            <w:tcW w:w="495" w:type="pct"/>
            <w:gridSpan w:val="2"/>
            <w:tcBorders>
              <w:bottom w:val="single" w:sz="6" w:space="0" w:color="000000"/>
            </w:tcBorders>
            <w:shd w:val="clear" w:color="auto" w:fill="auto"/>
            <w:noWrap/>
            <w:tcMar>
              <w:top w:w="0" w:type="dxa"/>
              <w:left w:w="0" w:type="dxa"/>
              <w:bottom w:w="0" w:type="dxa"/>
              <w:right w:w="0" w:type="dxa"/>
            </w:tcMar>
            <w:vAlign w:val="bottom"/>
            <w:hideMark/>
          </w:tcPr>
          <w:p w14:paraId="430BC66B" w14:textId="77777777" w:rsidR="00000000" w:rsidRDefault="00097612">
            <w:pPr>
              <w:pStyle w:val="a3"/>
              <w:spacing w:before="0" w:beforeAutospacing="0" w:after="0" w:afterAutospacing="0"/>
              <w:jc w:val="center"/>
              <w:rPr>
                <w:sz w:val="16"/>
                <w:szCs w:val="16"/>
              </w:rPr>
            </w:pPr>
            <w:r>
              <w:rPr>
                <w:b/>
                <w:bCs/>
                <w:sz w:val="16"/>
                <w:szCs w:val="16"/>
              </w:rPr>
              <w:t>Fair </w:t>
            </w:r>
            <w:r>
              <w:rPr>
                <w:b/>
                <w:bCs/>
                <w:sz w:val="16"/>
                <w:szCs w:val="16"/>
              </w:rPr>
              <w:t>Value</w:t>
            </w:r>
          </w:p>
        </w:tc>
      </w:tr>
      <w:tr w:rsidR="00000000" w14:paraId="1BCBD13D" w14:textId="77777777">
        <w:trPr>
          <w:divId w:val="791941229"/>
        </w:trPr>
        <w:tc>
          <w:tcPr>
            <w:tcW w:w="2187" w:type="pct"/>
            <w:shd w:val="clear" w:color="auto" w:fill="CCEEFF"/>
            <w:tcMar>
              <w:top w:w="0" w:type="dxa"/>
              <w:left w:w="0" w:type="dxa"/>
              <w:bottom w:w="0" w:type="dxa"/>
              <w:right w:w="0" w:type="dxa"/>
            </w:tcMar>
            <w:vAlign w:val="center"/>
            <w:hideMark/>
          </w:tcPr>
          <w:p w14:paraId="4E877D50" w14:textId="77777777" w:rsidR="00000000" w:rsidRDefault="00097612">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14:paraId="3EDF4AEB" w14:textId="77777777" w:rsidR="00000000" w:rsidRDefault="00097612">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14:paraId="1749DF95" w14:textId="77777777" w:rsidR="00000000" w:rsidRDefault="00097612">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14:paraId="0813122D"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EAD00EB" w14:textId="77777777" w:rsidR="00000000" w:rsidRDefault="00097612">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14:paraId="2E091688" w14:textId="77777777" w:rsidR="00000000" w:rsidRDefault="00097612">
            <w:pPr>
              <w:pStyle w:val="a3"/>
              <w:spacing w:before="0" w:beforeAutospacing="0" w:after="0" w:afterAutospacing="0"/>
              <w:ind w:right="60"/>
              <w:jc w:val="right"/>
              <w:rPr>
                <w:sz w:val="20"/>
                <w:szCs w:val="20"/>
              </w:rPr>
            </w:pPr>
            <w:r>
              <w:rPr>
                <w:sz w:val="20"/>
                <w:szCs w:val="20"/>
              </w:rPr>
              <w:t>48,807</w:t>
            </w:r>
          </w:p>
        </w:tc>
        <w:tc>
          <w:tcPr>
            <w:tcW w:w="98" w:type="pct"/>
            <w:shd w:val="clear" w:color="auto" w:fill="CCEEFF"/>
            <w:noWrap/>
            <w:tcMar>
              <w:top w:w="0" w:type="dxa"/>
              <w:left w:w="0" w:type="dxa"/>
              <w:bottom w:w="0" w:type="dxa"/>
              <w:right w:w="0" w:type="dxa"/>
            </w:tcMar>
            <w:vAlign w:val="bottom"/>
            <w:hideMark/>
          </w:tcPr>
          <w:p w14:paraId="2DB22D1C"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27794C83" w14:textId="77777777" w:rsidR="00000000" w:rsidRDefault="00097612">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14:paraId="7379000C" w14:textId="77777777" w:rsidR="00000000" w:rsidRDefault="00097612">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0403D0FD"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21751A82" w14:textId="77777777" w:rsidR="00000000" w:rsidRDefault="00097612">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14:paraId="2486A13B" w14:textId="77777777" w:rsidR="00000000" w:rsidRDefault="00097612">
            <w:pPr>
              <w:pStyle w:val="a3"/>
              <w:spacing w:before="0" w:beforeAutospacing="0" w:after="0" w:afterAutospacing="0"/>
              <w:jc w:val="right"/>
              <w:rPr>
                <w:sz w:val="20"/>
                <w:szCs w:val="20"/>
              </w:rPr>
            </w:pPr>
            <w:r>
              <w:rPr>
                <w:sz w:val="20"/>
                <w:szCs w:val="20"/>
              </w:rPr>
              <w:t>(86)</w:t>
            </w:r>
          </w:p>
        </w:tc>
        <w:tc>
          <w:tcPr>
            <w:tcW w:w="98" w:type="pct"/>
            <w:shd w:val="clear" w:color="auto" w:fill="CCEEFF"/>
            <w:noWrap/>
            <w:tcMar>
              <w:top w:w="0" w:type="dxa"/>
              <w:left w:w="0" w:type="dxa"/>
              <w:bottom w:w="0" w:type="dxa"/>
              <w:right w:w="0" w:type="dxa"/>
            </w:tcMar>
            <w:vAlign w:val="bottom"/>
            <w:hideMark/>
          </w:tcPr>
          <w:p w14:paraId="5BE40A28"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6668370" w14:textId="77777777" w:rsidR="00000000" w:rsidRDefault="00097612">
            <w:pPr>
              <w:pStyle w:val="a3"/>
              <w:spacing w:before="0" w:beforeAutospacing="0" w:after="0" w:afterAutospacing="0"/>
              <w:jc w:val="center"/>
              <w:rPr>
                <w:sz w:val="20"/>
                <w:szCs w:val="20"/>
              </w:rPr>
            </w:pPr>
            <w:r>
              <w:rPr>
                <w:sz w:val="20"/>
                <w:szCs w:val="20"/>
              </w:rPr>
              <w:t>$</w:t>
            </w:r>
          </w:p>
        </w:tc>
        <w:tc>
          <w:tcPr>
            <w:tcW w:w="396" w:type="pct"/>
            <w:shd w:val="clear" w:color="auto" w:fill="CCEEFF"/>
            <w:tcMar>
              <w:top w:w="0" w:type="dxa"/>
              <w:left w:w="0" w:type="dxa"/>
              <w:bottom w:w="0" w:type="dxa"/>
              <w:right w:w="0" w:type="dxa"/>
            </w:tcMar>
            <w:vAlign w:val="center"/>
            <w:hideMark/>
          </w:tcPr>
          <w:p w14:paraId="35CD3089" w14:textId="77777777" w:rsidR="00000000" w:rsidRDefault="00097612">
            <w:pPr>
              <w:pStyle w:val="a3"/>
              <w:spacing w:before="0" w:beforeAutospacing="0" w:after="0" w:afterAutospacing="0"/>
              <w:ind w:right="60"/>
              <w:jc w:val="right"/>
              <w:rPr>
                <w:sz w:val="20"/>
                <w:szCs w:val="20"/>
              </w:rPr>
            </w:pPr>
            <w:r>
              <w:rPr>
                <w:sz w:val="20"/>
                <w:szCs w:val="20"/>
              </w:rPr>
              <w:t>48,721</w:t>
            </w:r>
          </w:p>
        </w:tc>
      </w:tr>
      <w:tr w:rsidR="00000000" w14:paraId="50B09880" w14:textId="77777777">
        <w:trPr>
          <w:divId w:val="791941229"/>
        </w:trPr>
        <w:tc>
          <w:tcPr>
            <w:tcW w:w="2187" w:type="pct"/>
            <w:tcMar>
              <w:top w:w="0" w:type="dxa"/>
              <w:left w:w="0" w:type="dxa"/>
              <w:bottom w:w="0" w:type="dxa"/>
              <w:right w:w="0" w:type="dxa"/>
            </w:tcMar>
            <w:vAlign w:val="center"/>
            <w:hideMark/>
          </w:tcPr>
          <w:p w14:paraId="7526BFFD" w14:textId="77777777" w:rsidR="00000000" w:rsidRDefault="00097612">
            <w:pPr>
              <w:pStyle w:val="a3"/>
              <w:spacing w:before="0" w:beforeAutospacing="0" w:after="0"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14:paraId="6AA03AE7" w14:textId="77777777" w:rsidR="00000000" w:rsidRDefault="00097612">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center"/>
            <w:hideMark/>
          </w:tcPr>
          <w:p w14:paraId="2000A2A3" w14:textId="77777777" w:rsidR="00000000" w:rsidRDefault="00097612">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14:paraId="536BFE36"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710443E4" w14:textId="77777777" w:rsidR="00000000" w:rsidRDefault="00097612">
            <w:pPr>
              <w:pStyle w:val="a3"/>
              <w:spacing w:before="0" w:beforeAutospacing="0" w:after="0" w:afterAutospacing="0"/>
              <w:jc w:val="center"/>
              <w:rPr>
                <w:sz w:val="20"/>
                <w:szCs w:val="20"/>
              </w:rPr>
            </w:pPr>
            <w:r>
              <w:rPr>
                <w:sz w:val="20"/>
                <w:szCs w:val="20"/>
              </w:rPr>
              <w:t> </w:t>
            </w:r>
          </w:p>
        </w:tc>
        <w:tc>
          <w:tcPr>
            <w:tcW w:w="385" w:type="pct"/>
            <w:tcMar>
              <w:top w:w="0" w:type="dxa"/>
              <w:left w:w="0" w:type="dxa"/>
              <w:bottom w:w="0" w:type="dxa"/>
              <w:right w:w="0" w:type="dxa"/>
            </w:tcMar>
            <w:vAlign w:val="center"/>
            <w:hideMark/>
          </w:tcPr>
          <w:p w14:paraId="4BAD7FB5" w14:textId="77777777" w:rsidR="00000000" w:rsidRDefault="00097612">
            <w:pPr>
              <w:pStyle w:val="a3"/>
              <w:spacing w:before="0" w:beforeAutospacing="0" w:after="0" w:afterAutospacing="0"/>
              <w:ind w:right="60"/>
              <w:jc w:val="right"/>
              <w:rPr>
                <w:sz w:val="20"/>
                <w:szCs w:val="20"/>
              </w:rPr>
            </w:pPr>
            <w:r>
              <w:rPr>
                <w:sz w:val="20"/>
                <w:szCs w:val="20"/>
              </w:rPr>
              <w:t>9,852</w:t>
            </w:r>
          </w:p>
        </w:tc>
        <w:tc>
          <w:tcPr>
            <w:tcW w:w="98" w:type="pct"/>
            <w:noWrap/>
            <w:tcMar>
              <w:top w:w="0" w:type="dxa"/>
              <w:left w:w="0" w:type="dxa"/>
              <w:bottom w:w="0" w:type="dxa"/>
              <w:right w:w="0" w:type="dxa"/>
            </w:tcMar>
            <w:vAlign w:val="bottom"/>
            <w:hideMark/>
          </w:tcPr>
          <w:p w14:paraId="5A092296"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2B80BA8C" w14:textId="77777777" w:rsidR="00000000" w:rsidRDefault="00097612">
            <w:pPr>
              <w:pStyle w:val="a3"/>
              <w:spacing w:before="0" w:beforeAutospacing="0" w:after="0" w:afterAutospacing="0"/>
              <w:jc w:val="center"/>
              <w:rPr>
                <w:sz w:val="20"/>
                <w:szCs w:val="20"/>
              </w:rPr>
            </w:pPr>
            <w:r>
              <w:rPr>
                <w:sz w:val="20"/>
                <w:szCs w:val="20"/>
              </w:rPr>
              <w:t> </w:t>
            </w:r>
          </w:p>
        </w:tc>
        <w:tc>
          <w:tcPr>
            <w:tcW w:w="385" w:type="pct"/>
            <w:tcMar>
              <w:top w:w="0" w:type="dxa"/>
              <w:left w:w="0" w:type="dxa"/>
              <w:bottom w:w="0" w:type="dxa"/>
              <w:right w:w="0" w:type="dxa"/>
            </w:tcMar>
            <w:vAlign w:val="center"/>
            <w:hideMark/>
          </w:tcPr>
          <w:p w14:paraId="04814F79" w14:textId="77777777" w:rsidR="00000000" w:rsidRDefault="00097612">
            <w:pPr>
              <w:pStyle w:val="a3"/>
              <w:spacing w:before="0" w:beforeAutospacing="0" w:after="0" w:afterAutospacing="0"/>
              <w:ind w:right="60"/>
              <w:jc w:val="right"/>
              <w:rPr>
                <w:sz w:val="20"/>
                <w:szCs w:val="20"/>
              </w:rPr>
            </w:pPr>
            <w:r>
              <w:rPr>
                <w:sz w:val="20"/>
                <w:szCs w:val="20"/>
              </w:rPr>
              <w:t>2</w:t>
            </w:r>
          </w:p>
        </w:tc>
        <w:tc>
          <w:tcPr>
            <w:tcW w:w="98" w:type="pct"/>
            <w:noWrap/>
            <w:tcMar>
              <w:top w:w="0" w:type="dxa"/>
              <w:left w:w="0" w:type="dxa"/>
              <w:bottom w:w="0" w:type="dxa"/>
              <w:right w:w="0" w:type="dxa"/>
            </w:tcMar>
            <w:vAlign w:val="bottom"/>
            <w:hideMark/>
          </w:tcPr>
          <w:p w14:paraId="6FD29ACA"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7D891C4F" w14:textId="77777777" w:rsidR="00000000" w:rsidRDefault="00097612">
            <w:pPr>
              <w:pStyle w:val="a3"/>
              <w:spacing w:before="0" w:beforeAutospacing="0" w:after="0" w:afterAutospacing="0"/>
              <w:jc w:val="center"/>
              <w:rPr>
                <w:sz w:val="20"/>
                <w:szCs w:val="20"/>
              </w:rPr>
            </w:pPr>
            <w:r>
              <w:rPr>
                <w:sz w:val="20"/>
                <w:szCs w:val="20"/>
              </w:rPr>
              <w:t> </w:t>
            </w:r>
          </w:p>
        </w:tc>
        <w:tc>
          <w:tcPr>
            <w:tcW w:w="385" w:type="pct"/>
            <w:tcMar>
              <w:top w:w="0" w:type="dxa"/>
              <w:left w:w="0" w:type="dxa"/>
              <w:bottom w:w="0" w:type="dxa"/>
              <w:right w:w="0" w:type="dxa"/>
            </w:tcMar>
            <w:vAlign w:val="center"/>
            <w:hideMark/>
          </w:tcPr>
          <w:p w14:paraId="100FF651" w14:textId="77777777" w:rsidR="00000000" w:rsidRDefault="00097612">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4F693F64" w14:textId="77777777" w:rsidR="00000000" w:rsidRDefault="00097612">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13B1C17D" w14:textId="77777777" w:rsidR="00000000" w:rsidRDefault="00097612">
            <w:pPr>
              <w:pStyle w:val="a3"/>
              <w:spacing w:before="0" w:beforeAutospacing="0" w:after="0" w:afterAutospacing="0"/>
              <w:jc w:val="center"/>
              <w:rPr>
                <w:sz w:val="20"/>
                <w:szCs w:val="20"/>
              </w:rPr>
            </w:pPr>
            <w:r>
              <w:rPr>
                <w:sz w:val="20"/>
                <w:szCs w:val="20"/>
              </w:rPr>
              <w:t> </w:t>
            </w:r>
          </w:p>
        </w:tc>
        <w:tc>
          <w:tcPr>
            <w:tcW w:w="396" w:type="pct"/>
            <w:tcMar>
              <w:top w:w="0" w:type="dxa"/>
              <w:left w:w="0" w:type="dxa"/>
              <w:bottom w:w="0" w:type="dxa"/>
              <w:right w:w="0" w:type="dxa"/>
            </w:tcMar>
            <w:vAlign w:val="center"/>
            <w:hideMark/>
          </w:tcPr>
          <w:p w14:paraId="255889F1" w14:textId="77777777" w:rsidR="00000000" w:rsidRDefault="00097612">
            <w:pPr>
              <w:pStyle w:val="a3"/>
              <w:spacing w:before="0" w:beforeAutospacing="0" w:after="0" w:afterAutospacing="0"/>
              <w:ind w:right="60"/>
              <w:jc w:val="right"/>
              <w:rPr>
                <w:sz w:val="20"/>
                <w:szCs w:val="20"/>
              </w:rPr>
            </w:pPr>
            <w:r>
              <w:rPr>
                <w:sz w:val="20"/>
                <w:szCs w:val="20"/>
              </w:rPr>
              <w:t>9,854</w:t>
            </w:r>
          </w:p>
        </w:tc>
      </w:tr>
      <w:tr w:rsidR="00000000" w14:paraId="3167291E" w14:textId="77777777">
        <w:trPr>
          <w:divId w:val="791941229"/>
        </w:trPr>
        <w:tc>
          <w:tcPr>
            <w:tcW w:w="2187" w:type="pct"/>
            <w:shd w:val="clear" w:color="auto" w:fill="CCEEFF"/>
            <w:tcMar>
              <w:top w:w="0" w:type="dxa"/>
              <w:left w:w="0" w:type="dxa"/>
              <w:bottom w:w="0" w:type="dxa"/>
              <w:right w:w="0" w:type="dxa"/>
            </w:tcMar>
            <w:vAlign w:val="center"/>
            <w:hideMark/>
          </w:tcPr>
          <w:p w14:paraId="21D737F3" w14:textId="77777777" w:rsidR="00000000" w:rsidRDefault="00097612">
            <w:pPr>
              <w:pStyle w:val="a3"/>
              <w:spacing w:before="0" w:beforeAutospacing="0" w:after="0" w:afterAutospacing="0"/>
              <w:rPr>
                <w:sz w:val="20"/>
                <w:szCs w:val="20"/>
              </w:rPr>
            </w:pPr>
            <w:r>
              <w:rPr>
                <w:sz w:val="20"/>
                <w:szCs w:val="20"/>
              </w:rPr>
              <w:t>Corporate notes</w:t>
            </w:r>
          </w:p>
        </w:tc>
        <w:tc>
          <w:tcPr>
            <w:tcW w:w="97" w:type="pct"/>
            <w:shd w:val="clear" w:color="auto" w:fill="CCEEFF"/>
            <w:noWrap/>
            <w:tcMar>
              <w:top w:w="0" w:type="dxa"/>
              <w:left w:w="0" w:type="dxa"/>
              <w:bottom w:w="0" w:type="dxa"/>
              <w:right w:w="0" w:type="dxa"/>
            </w:tcMar>
            <w:vAlign w:val="bottom"/>
            <w:hideMark/>
          </w:tcPr>
          <w:p w14:paraId="588A29C3" w14:textId="77777777" w:rsidR="00000000" w:rsidRDefault="00097612">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14:paraId="4770F86E" w14:textId="77777777" w:rsidR="00000000" w:rsidRDefault="00097612">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14:paraId="53F75E97"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3F49D66" w14:textId="77777777" w:rsidR="00000000" w:rsidRDefault="00097612">
            <w:pPr>
              <w:pStyle w:val="a3"/>
              <w:spacing w:before="0" w:beforeAutospacing="0" w:after="0" w:afterAutospacing="0"/>
              <w:jc w:val="center"/>
              <w:rPr>
                <w:sz w:val="20"/>
                <w:szCs w:val="20"/>
              </w:rPr>
            </w:pPr>
            <w:r>
              <w:rPr>
                <w:sz w:val="20"/>
                <w:szCs w:val="20"/>
              </w:rPr>
              <w:t> </w:t>
            </w:r>
          </w:p>
        </w:tc>
        <w:tc>
          <w:tcPr>
            <w:tcW w:w="385" w:type="pct"/>
            <w:shd w:val="clear" w:color="auto" w:fill="CCEEFF"/>
            <w:tcMar>
              <w:top w:w="0" w:type="dxa"/>
              <w:left w:w="0" w:type="dxa"/>
              <w:bottom w:w="0" w:type="dxa"/>
              <w:right w:w="0" w:type="dxa"/>
            </w:tcMar>
            <w:vAlign w:val="center"/>
            <w:hideMark/>
          </w:tcPr>
          <w:p w14:paraId="6A472406" w14:textId="77777777" w:rsidR="00000000" w:rsidRDefault="00097612">
            <w:pPr>
              <w:pStyle w:val="a3"/>
              <w:spacing w:before="0" w:beforeAutospacing="0" w:after="0" w:afterAutospacing="0"/>
              <w:ind w:right="60"/>
              <w:jc w:val="right"/>
              <w:rPr>
                <w:sz w:val="20"/>
                <w:szCs w:val="20"/>
              </w:rPr>
            </w:pPr>
            <w:r>
              <w:rPr>
                <w:sz w:val="20"/>
                <w:szCs w:val="20"/>
              </w:rPr>
              <w:t>57,508</w:t>
            </w:r>
          </w:p>
        </w:tc>
        <w:tc>
          <w:tcPr>
            <w:tcW w:w="98" w:type="pct"/>
            <w:shd w:val="clear" w:color="auto" w:fill="CCEEFF"/>
            <w:noWrap/>
            <w:tcMar>
              <w:top w:w="0" w:type="dxa"/>
              <w:left w:w="0" w:type="dxa"/>
              <w:bottom w:w="0" w:type="dxa"/>
              <w:right w:w="0" w:type="dxa"/>
            </w:tcMar>
            <w:vAlign w:val="bottom"/>
            <w:hideMark/>
          </w:tcPr>
          <w:p w14:paraId="463DEF71"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117A627" w14:textId="77777777" w:rsidR="00000000" w:rsidRDefault="00097612">
            <w:pPr>
              <w:pStyle w:val="a3"/>
              <w:spacing w:before="0" w:beforeAutospacing="0" w:after="0" w:afterAutospacing="0"/>
              <w:jc w:val="center"/>
              <w:rPr>
                <w:sz w:val="20"/>
                <w:szCs w:val="20"/>
              </w:rPr>
            </w:pPr>
            <w:r>
              <w:rPr>
                <w:sz w:val="20"/>
                <w:szCs w:val="20"/>
              </w:rPr>
              <w:t> </w:t>
            </w:r>
          </w:p>
        </w:tc>
        <w:tc>
          <w:tcPr>
            <w:tcW w:w="385" w:type="pct"/>
            <w:shd w:val="clear" w:color="auto" w:fill="CCEEFF"/>
            <w:tcMar>
              <w:top w:w="0" w:type="dxa"/>
              <w:left w:w="0" w:type="dxa"/>
              <w:bottom w:w="0" w:type="dxa"/>
              <w:right w:w="0" w:type="dxa"/>
            </w:tcMar>
            <w:vAlign w:val="center"/>
            <w:hideMark/>
          </w:tcPr>
          <w:p w14:paraId="134E19C9" w14:textId="77777777" w:rsidR="00000000" w:rsidRDefault="00097612">
            <w:pPr>
              <w:pStyle w:val="a3"/>
              <w:spacing w:before="0" w:beforeAutospacing="0" w:after="0" w:afterAutospacing="0"/>
              <w:ind w:right="60"/>
              <w:jc w:val="right"/>
              <w:rPr>
                <w:sz w:val="20"/>
                <w:szCs w:val="20"/>
              </w:rPr>
            </w:pPr>
            <w:r>
              <w:rPr>
                <w:sz w:val="20"/>
                <w:szCs w:val="20"/>
              </w:rPr>
              <w:t>6</w:t>
            </w:r>
          </w:p>
        </w:tc>
        <w:tc>
          <w:tcPr>
            <w:tcW w:w="98" w:type="pct"/>
            <w:shd w:val="clear" w:color="auto" w:fill="CCEEFF"/>
            <w:noWrap/>
            <w:tcMar>
              <w:top w:w="0" w:type="dxa"/>
              <w:left w:w="0" w:type="dxa"/>
              <w:bottom w:w="0" w:type="dxa"/>
              <w:right w:w="0" w:type="dxa"/>
            </w:tcMar>
            <w:vAlign w:val="bottom"/>
            <w:hideMark/>
          </w:tcPr>
          <w:p w14:paraId="363FF1E9"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4E3052D5" w14:textId="77777777" w:rsidR="00000000" w:rsidRDefault="00097612">
            <w:pPr>
              <w:pStyle w:val="a3"/>
              <w:spacing w:before="0" w:beforeAutospacing="0" w:after="0" w:afterAutospacing="0"/>
              <w:jc w:val="center"/>
              <w:rPr>
                <w:sz w:val="20"/>
                <w:szCs w:val="20"/>
              </w:rPr>
            </w:pPr>
            <w:r>
              <w:rPr>
                <w:sz w:val="20"/>
                <w:szCs w:val="20"/>
              </w:rPr>
              <w:t> </w:t>
            </w:r>
          </w:p>
        </w:tc>
        <w:tc>
          <w:tcPr>
            <w:tcW w:w="385" w:type="pct"/>
            <w:shd w:val="clear" w:color="auto" w:fill="CCEEFF"/>
            <w:tcMar>
              <w:top w:w="0" w:type="dxa"/>
              <w:left w:w="0" w:type="dxa"/>
              <w:bottom w:w="0" w:type="dxa"/>
              <w:right w:w="0" w:type="dxa"/>
            </w:tcMar>
            <w:vAlign w:val="center"/>
            <w:hideMark/>
          </w:tcPr>
          <w:p w14:paraId="2EE69164" w14:textId="77777777" w:rsidR="00000000" w:rsidRDefault="00097612">
            <w:pPr>
              <w:pStyle w:val="a3"/>
              <w:spacing w:before="0" w:beforeAutospacing="0" w:after="0" w:afterAutospacing="0"/>
              <w:jc w:val="right"/>
              <w:rPr>
                <w:sz w:val="20"/>
                <w:szCs w:val="20"/>
              </w:rPr>
            </w:pPr>
            <w:r>
              <w:rPr>
                <w:sz w:val="20"/>
                <w:szCs w:val="20"/>
              </w:rPr>
              <w:t>(88)</w:t>
            </w:r>
          </w:p>
        </w:tc>
        <w:tc>
          <w:tcPr>
            <w:tcW w:w="98" w:type="pct"/>
            <w:shd w:val="clear" w:color="auto" w:fill="CCEEFF"/>
            <w:noWrap/>
            <w:tcMar>
              <w:top w:w="0" w:type="dxa"/>
              <w:left w:w="0" w:type="dxa"/>
              <w:bottom w:w="0" w:type="dxa"/>
              <w:right w:w="0" w:type="dxa"/>
            </w:tcMar>
            <w:vAlign w:val="bottom"/>
            <w:hideMark/>
          </w:tcPr>
          <w:p w14:paraId="5E648543"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15956AC" w14:textId="77777777" w:rsidR="00000000" w:rsidRDefault="00097612">
            <w:pPr>
              <w:pStyle w:val="a3"/>
              <w:spacing w:before="0" w:beforeAutospacing="0" w:after="0" w:afterAutospacing="0"/>
              <w:jc w:val="center"/>
              <w:rPr>
                <w:sz w:val="20"/>
                <w:szCs w:val="20"/>
              </w:rPr>
            </w:pPr>
            <w:r>
              <w:rPr>
                <w:sz w:val="20"/>
                <w:szCs w:val="20"/>
              </w:rPr>
              <w:t> </w:t>
            </w:r>
          </w:p>
        </w:tc>
        <w:tc>
          <w:tcPr>
            <w:tcW w:w="396" w:type="pct"/>
            <w:shd w:val="clear" w:color="auto" w:fill="CCEEFF"/>
            <w:tcMar>
              <w:top w:w="0" w:type="dxa"/>
              <w:left w:w="0" w:type="dxa"/>
              <w:bottom w:w="0" w:type="dxa"/>
              <w:right w:w="0" w:type="dxa"/>
            </w:tcMar>
            <w:vAlign w:val="center"/>
            <w:hideMark/>
          </w:tcPr>
          <w:p w14:paraId="6B5EDD92" w14:textId="77777777" w:rsidR="00000000" w:rsidRDefault="00097612">
            <w:pPr>
              <w:pStyle w:val="a3"/>
              <w:spacing w:before="0" w:beforeAutospacing="0" w:after="0" w:afterAutospacing="0"/>
              <w:ind w:right="60"/>
              <w:jc w:val="right"/>
              <w:rPr>
                <w:sz w:val="20"/>
                <w:szCs w:val="20"/>
              </w:rPr>
            </w:pPr>
            <w:r>
              <w:rPr>
                <w:sz w:val="20"/>
                <w:szCs w:val="20"/>
              </w:rPr>
              <w:t>57,426</w:t>
            </w:r>
          </w:p>
        </w:tc>
      </w:tr>
      <w:tr w:rsidR="00000000" w14:paraId="43FEA34A" w14:textId="77777777">
        <w:trPr>
          <w:divId w:val="791941229"/>
        </w:trPr>
        <w:tc>
          <w:tcPr>
            <w:tcW w:w="2187" w:type="pct"/>
            <w:tcMar>
              <w:top w:w="0" w:type="dxa"/>
              <w:left w:w="0" w:type="dxa"/>
              <w:bottom w:w="0" w:type="dxa"/>
              <w:right w:w="0" w:type="dxa"/>
            </w:tcMar>
            <w:vAlign w:val="bottom"/>
            <w:hideMark/>
          </w:tcPr>
          <w:p w14:paraId="5DA14022" w14:textId="77777777" w:rsidR="00000000" w:rsidRDefault="00097612">
            <w:pPr>
              <w:pStyle w:val="a3"/>
              <w:spacing w:before="0" w:beforeAutospacing="0" w:after="0" w:afterAutospacing="0"/>
              <w:rPr>
                <w:sz w:val="20"/>
                <w:szCs w:val="20"/>
              </w:rPr>
            </w:pPr>
            <w:r>
              <w:rPr>
                <w:sz w:val="20"/>
                <w:szCs w:val="20"/>
              </w:rPr>
              <w:t>Commercial paper</w:t>
            </w:r>
          </w:p>
        </w:tc>
        <w:tc>
          <w:tcPr>
            <w:tcW w:w="97" w:type="pct"/>
            <w:noWrap/>
            <w:tcMar>
              <w:top w:w="0" w:type="dxa"/>
              <w:left w:w="0" w:type="dxa"/>
              <w:bottom w:w="0" w:type="dxa"/>
              <w:right w:w="0" w:type="dxa"/>
            </w:tcMar>
            <w:vAlign w:val="bottom"/>
            <w:hideMark/>
          </w:tcPr>
          <w:p w14:paraId="0E264932" w14:textId="77777777" w:rsidR="00000000" w:rsidRDefault="00097612">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center"/>
            <w:hideMark/>
          </w:tcPr>
          <w:p w14:paraId="6DD2CBC4" w14:textId="77777777" w:rsidR="00000000" w:rsidRDefault="00097612">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14:paraId="4AE01EC8"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1309ACCF"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14:paraId="753745FB" w14:textId="77777777" w:rsidR="00000000" w:rsidRDefault="00097612">
            <w:pPr>
              <w:pStyle w:val="a3"/>
              <w:spacing w:before="0" w:beforeAutospacing="0" w:after="0" w:afterAutospacing="0"/>
              <w:ind w:right="60"/>
              <w:jc w:val="right"/>
              <w:rPr>
                <w:sz w:val="20"/>
                <w:szCs w:val="20"/>
              </w:rPr>
            </w:pPr>
            <w:r>
              <w:rPr>
                <w:sz w:val="20"/>
                <w:szCs w:val="20"/>
              </w:rPr>
              <w:t>90,919</w:t>
            </w:r>
          </w:p>
        </w:tc>
        <w:tc>
          <w:tcPr>
            <w:tcW w:w="98" w:type="pct"/>
            <w:noWrap/>
            <w:tcMar>
              <w:top w:w="0" w:type="dxa"/>
              <w:left w:w="0" w:type="dxa"/>
              <w:bottom w:w="0" w:type="dxa"/>
              <w:right w:w="0" w:type="dxa"/>
            </w:tcMar>
            <w:vAlign w:val="bottom"/>
            <w:hideMark/>
          </w:tcPr>
          <w:p w14:paraId="6484A4A5"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4FAD2E86"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14:paraId="41DEA9B0" w14:textId="77777777" w:rsidR="00000000" w:rsidRDefault="00097612">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1620AB11"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7E4F74C0"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14:paraId="493EF830" w14:textId="77777777" w:rsidR="00000000" w:rsidRDefault="00097612">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0FC42ED2"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7444D88C" w14:textId="77777777" w:rsidR="00000000" w:rsidRDefault="00097612">
            <w:pPr>
              <w:pStyle w:val="a3"/>
              <w:spacing w:before="0" w:beforeAutospacing="0" w:after="0" w:afterAutospacing="0"/>
              <w:jc w:val="center"/>
              <w:rPr>
                <w:sz w:val="20"/>
                <w:szCs w:val="20"/>
              </w:rPr>
            </w:pPr>
            <w:r>
              <w:rPr>
                <w:sz w:val="20"/>
                <w:szCs w:val="20"/>
              </w:rPr>
              <w:t>​</w:t>
            </w:r>
          </w:p>
        </w:tc>
        <w:tc>
          <w:tcPr>
            <w:tcW w:w="396" w:type="pct"/>
            <w:tcBorders>
              <w:bottom w:val="single" w:sz="6" w:space="0" w:color="000000"/>
            </w:tcBorders>
            <w:tcMar>
              <w:top w:w="0" w:type="dxa"/>
              <w:left w:w="0" w:type="dxa"/>
              <w:bottom w:w="0" w:type="dxa"/>
              <w:right w:w="0" w:type="dxa"/>
            </w:tcMar>
            <w:vAlign w:val="center"/>
            <w:hideMark/>
          </w:tcPr>
          <w:p w14:paraId="10345DC9" w14:textId="77777777" w:rsidR="00000000" w:rsidRDefault="00097612">
            <w:pPr>
              <w:pStyle w:val="a3"/>
              <w:spacing w:before="0" w:beforeAutospacing="0" w:after="0" w:afterAutospacing="0"/>
              <w:ind w:right="60"/>
              <w:jc w:val="right"/>
              <w:rPr>
                <w:sz w:val="20"/>
                <w:szCs w:val="20"/>
              </w:rPr>
            </w:pPr>
            <w:r>
              <w:rPr>
                <w:sz w:val="20"/>
                <w:szCs w:val="20"/>
              </w:rPr>
              <w:t>90,919</w:t>
            </w:r>
          </w:p>
        </w:tc>
      </w:tr>
      <w:tr w:rsidR="00000000" w14:paraId="7CDB2134" w14:textId="77777777">
        <w:trPr>
          <w:divId w:val="791941229"/>
        </w:trPr>
        <w:tc>
          <w:tcPr>
            <w:tcW w:w="2187" w:type="pct"/>
            <w:shd w:val="clear" w:color="auto" w:fill="CCEEFF"/>
            <w:noWrap/>
            <w:tcMar>
              <w:top w:w="0" w:type="dxa"/>
              <w:left w:w="0" w:type="dxa"/>
              <w:bottom w:w="0" w:type="dxa"/>
              <w:right w:w="0" w:type="dxa"/>
            </w:tcMar>
            <w:vAlign w:val="bottom"/>
            <w:hideMark/>
          </w:tcPr>
          <w:p w14:paraId="1ACB1B5C" w14:textId="77777777" w:rsidR="00000000" w:rsidRDefault="00097612">
            <w:pPr>
              <w:pStyle w:val="a3"/>
              <w:spacing w:before="0" w:beforeAutospacing="0" w:after="0" w:afterAutospacing="0"/>
              <w:ind w:left="120"/>
              <w:rPr>
                <w:sz w:val="20"/>
                <w:szCs w:val="20"/>
              </w:rPr>
            </w:pPr>
            <w:r>
              <w:rPr>
                <w:sz w:val="20"/>
                <w:szCs w:val="20"/>
              </w:rPr>
              <w:t>Marketable securities</w:t>
            </w:r>
          </w:p>
        </w:tc>
        <w:tc>
          <w:tcPr>
            <w:tcW w:w="97" w:type="pct"/>
            <w:shd w:val="clear" w:color="auto" w:fill="CCEEFF"/>
            <w:noWrap/>
            <w:tcMar>
              <w:top w:w="0" w:type="dxa"/>
              <w:left w:w="0" w:type="dxa"/>
              <w:bottom w:w="0" w:type="dxa"/>
              <w:right w:w="0" w:type="dxa"/>
            </w:tcMar>
            <w:vAlign w:val="bottom"/>
            <w:hideMark/>
          </w:tcPr>
          <w:p w14:paraId="7CE56B37" w14:textId="77777777" w:rsidR="00000000" w:rsidRDefault="00097612">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14:paraId="084F122C" w14:textId="77777777" w:rsidR="00000000" w:rsidRDefault="00097612">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C78D8C1"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23205BDA" w14:textId="77777777" w:rsidR="00000000" w:rsidRDefault="00097612">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14:paraId="2B7077B7" w14:textId="77777777" w:rsidR="00000000" w:rsidRDefault="00097612">
            <w:pPr>
              <w:pStyle w:val="a3"/>
              <w:spacing w:before="0" w:beforeAutospacing="0" w:after="0" w:afterAutospacing="0"/>
              <w:ind w:right="60"/>
              <w:jc w:val="right"/>
              <w:rPr>
                <w:sz w:val="20"/>
                <w:szCs w:val="20"/>
              </w:rPr>
            </w:pPr>
            <w:r>
              <w:rPr>
                <w:sz w:val="20"/>
                <w:szCs w:val="20"/>
              </w:rPr>
              <w:t>207,086</w:t>
            </w:r>
          </w:p>
        </w:tc>
        <w:tc>
          <w:tcPr>
            <w:tcW w:w="98" w:type="pct"/>
            <w:shd w:val="clear" w:color="auto" w:fill="CCEEFF"/>
            <w:noWrap/>
            <w:tcMar>
              <w:top w:w="0" w:type="dxa"/>
              <w:left w:w="0" w:type="dxa"/>
              <w:bottom w:w="0" w:type="dxa"/>
              <w:right w:w="0" w:type="dxa"/>
            </w:tcMar>
            <w:vAlign w:val="bottom"/>
            <w:hideMark/>
          </w:tcPr>
          <w:p w14:paraId="14AD5FD4"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A421245" w14:textId="77777777" w:rsidR="00000000" w:rsidRDefault="00097612">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14:paraId="33C3BB22" w14:textId="77777777" w:rsidR="00000000" w:rsidRDefault="00097612">
            <w:pPr>
              <w:pStyle w:val="a3"/>
              <w:spacing w:before="0" w:beforeAutospacing="0" w:after="0" w:afterAutospacing="0"/>
              <w:ind w:right="60"/>
              <w:jc w:val="right"/>
              <w:rPr>
                <w:sz w:val="20"/>
                <w:szCs w:val="20"/>
              </w:rPr>
            </w:pPr>
            <w:r>
              <w:rPr>
                <w:sz w:val="20"/>
                <w:szCs w:val="20"/>
              </w:rPr>
              <w:t>8</w:t>
            </w:r>
          </w:p>
        </w:tc>
        <w:tc>
          <w:tcPr>
            <w:tcW w:w="98" w:type="pct"/>
            <w:shd w:val="clear" w:color="auto" w:fill="CCEEFF"/>
            <w:noWrap/>
            <w:tcMar>
              <w:top w:w="0" w:type="dxa"/>
              <w:left w:w="0" w:type="dxa"/>
              <w:bottom w:w="0" w:type="dxa"/>
              <w:right w:w="0" w:type="dxa"/>
            </w:tcMar>
            <w:vAlign w:val="bottom"/>
            <w:hideMark/>
          </w:tcPr>
          <w:p w14:paraId="76EEC790"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416AD2B4" w14:textId="77777777" w:rsidR="00000000" w:rsidRDefault="00097612">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14:paraId="3A2212BE" w14:textId="77777777" w:rsidR="00000000" w:rsidRDefault="00097612">
            <w:pPr>
              <w:pStyle w:val="a3"/>
              <w:spacing w:before="0" w:beforeAutospacing="0" w:after="0" w:afterAutospacing="0"/>
              <w:jc w:val="right"/>
              <w:rPr>
                <w:sz w:val="20"/>
                <w:szCs w:val="20"/>
              </w:rPr>
            </w:pPr>
            <w:r>
              <w:rPr>
                <w:sz w:val="20"/>
                <w:szCs w:val="20"/>
              </w:rPr>
              <w:t>(174)</w:t>
            </w:r>
          </w:p>
        </w:tc>
        <w:tc>
          <w:tcPr>
            <w:tcW w:w="98" w:type="pct"/>
            <w:shd w:val="clear" w:color="auto" w:fill="CCEEFF"/>
            <w:noWrap/>
            <w:tcMar>
              <w:top w:w="0" w:type="dxa"/>
              <w:left w:w="0" w:type="dxa"/>
              <w:bottom w:w="0" w:type="dxa"/>
              <w:right w:w="0" w:type="dxa"/>
            </w:tcMar>
            <w:vAlign w:val="bottom"/>
            <w:hideMark/>
          </w:tcPr>
          <w:p w14:paraId="4835C436" w14:textId="77777777" w:rsidR="00000000" w:rsidRDefault="00097612">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1B52681" w14:textId="77777777" w:rsidR="00000000" w:rsidRDefault="00097612">
            <w:pPr>
              <w:pStyle w:val="a3"/>
              <w:spacing w:before="0" w:beforeAutospacing="0" w:after="0" w:afterAutospacing="0"/>
              <w:jc w:val="center"/>
              <w:rPr>
                <w:sz w:val="20"/>
                <w:szCs w:val="20"/>
              </w:rPr>
            </w:pPr>
            <w:r>
              <w:rPr>
                <w:sz w:val="20"/>
                <w:szCs w:val="20"/>
              </w:rPr>
              <w:t>​</w:t>
            </w:r>
          </w:p>
        </w:tc>
        <w:tc>
          <w:tcPr>
            <w:tcW w:w="396" w:type="pct"/>
            <w:shd w:val="clear" w:color="auto" w:fill="CCEEFF"/>
            <w:tcMar>
              <w:top w:w="0" w:type="dxa"/>
              <w:left w:w="0" w:type="dxa"/>
              <w:bottom w:w="0" w:type="dxa"/>
              <w:right w:w="0" w:type="dxa"/>
            </w:tcMar>
            <w:vAlign w:val="center"/>
            <w:hideMark/>
          </w:tcPr>
          <w:p w14:paraId="2D93095E" w14:textId="77777777" w:rsidR="00000000" w:rsidRDefault="00097612">
            <w:pPr>
              <w:pStyle w:val="a3"/>
              <w:spacing w:before="0" w:beforeAutospacing="0" w:after="0" w:afterAutospacing="0"/>
              <w:ind w:right="60"/>
              <w:jc w:val="right"/>
              <w:rPr>
                <w:sz w:val="20"/>
                <w:szCs w:val="20"/>
              </w:rPr>
            </w:pPr>
            <w:r>
              <w:rPr>
                <w:sz w:val="20"/>
                <w:szCs w:val="20"/>
              </w:rPr>
              <w:t>206,920</w:t>
            </w:r>
          </w:p>
        </w:tc>
      </w:tr>
      <w:tr w:rsidR="00000000" w14:paraId="6C254ED0" w14:textId="77777777">
        <w:trPr>
          <w:divId w:val="791941229"/>
        </w:trPr>
        <w:tc>
          <w:tcPr>
            <w:tcW w:w="2187" w:type="pct"/>
            <w:noWrap/>
            <w:tcMar>
              <w:top w:w="0" w:type="dxa"/>
              <w:left w:w="0" w:type="dxa"/>
              <w:bottom w:w="0" w:type="dxa"/>
              <w:right w:w="0" w:type="dxa"/>
            </w:tcMar>
            <w:vAlign w:val="bottom"/>
            <w:hideMark/>
          </w:tcPr>
          <w:p w14:paraId="7D95C1B8" w14:textId="77777777" w:rsidR="00000000" w:rsidRDefault="00097612">
            <w:pPr>
              <w:pStyle w:val="a3"/>
              <w:spacing w:before="0" w:beforeAutospacing="0" w:after="0" w:afterAutospacing="0"/>
              <w:rPr>
                <w:sz w:val="20"/>
                <w:szCs w:val="20"/>
              </w:rPr>
            </w:pPr>
            <w:r>
              <w:rPr>
                <w:sz w:val="20"/>
                <w:szCs w:val="20"/>
              </w:rPr>
              <w:t xml:space="preserve">Money market funds </w:t>
            </w:r>
          </w:p>
        </w:tc>
        <w:tc>
          <w:tcPr>
            <w:tcW w:w="97" w:type="pct"/>
            <w:noWrap/>
            <w:tcMar>
              <w:top w:w="0" w:type="dxa"/>
              <w:left w:w="0" w:type="dxa"/>
              <w:bottom w:w="0" w:type="dxa"/>
              <w:right w:w="0" w:type="dxa"/>
            </w:tcMar>
            <w:vAlign w:val="bottom"/>
            <w:hideMark/>
          </w:tcPr>
          <w:p w14:paraId="7535BD88" w14:textId="77777777" w:rsidR="00000000" w:rsidRDefault="00097612">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center"/>
            <w:hideMark/>
          </w:tcPr>
          <w:p w14:paraId="29B4F6D4" w14:textId="77777777" w:rsidR="00000000" w:rsidRDefault="00097612">
            <w:pPr>
              <w:pStyle w:val="a3"/>
              <w:spacing w:before="0" w:beforeAutospacing="0" w:after="0" w:afterAutospacing="0"/>
              <w:jc w:val="center"/>
              <w:rPr>
                <w:sz w:val="20"/>
                <w:szCs w:val="20"/>
              </w:rPr>
            </w:pPr>
            <w:r>
              <w:rPr>
                <w:sz w:val="20"/>
                <w:szCs w:val="20"/>
              </w:rPr>
              <w:t>Level 1</w:t>
            </w:r>
          </w:p>
        </w:tc>
        <w:tc>
          <w:tcPr>
            <w:tcW w:w="98" w:type="pct"/>
            <w:noWrap/>
            <w:tcMar>
              <w:top w:w="0" w:type="dxa"/>
              <w:left w:w="0" w:type="dxa"/>
              <w:bottom w:w="0" w:type="dxa"/>
              <w:right w:w="0" w:type="dxa"/>
            </w:tcMar>
            <w:vAlign w:val="bottom"/>
            <w:hideMark/>
          </w:tcPr>
          <w:p w14:paraId="1E6DF690"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7B98BA17"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14:paraId="2D280502" w14:textId="77777777" w:rsidR="00000000" w:rsidRDefault="00097612">
            <w:pPr>
              <w:pStyle w:val="a3"/>
              <w:spacing w:before="0" w:beforeAutospacing="0" w:after="0" w:afterAutospacing="0"/>
              <w:ind w:right="60"/>
              <w:jc w:val="right"/>
              <w:rPr>
                <w:sz w:val="20"/>
                <w:szCs w:val="20"/>
              </w:rPr>
            </w:pPr>
            <w:r>
              <w:rPr>
                <w:sz w:val="20"/>
                <w:szCs w:val="20"/>
              </w:rPr>
              <w:t>294,751</w:t>
            </w:r>
          </w:p>
        </w:tc>
        <w:tc>
          <w:tcPr>
            <w:tcW w:w="98" w:type="pct"/>
            <w:noWrap/>
            <w:tcMar>
              <w:top w:w="0" w:type="dxa"/>
              <w:left w:w="0" w:type="dxa"/>
              <w:bottom w:w="0" w:type="dxa"/>
              <w:right w:w="0" w:type="dxa"/>
            </w:tcMar>
            <w:vAlign w:val="bottom"/>
            <w:hideMark/>
          </w:tcPr>
          <w:p w14:paraId="7354F2EB"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1CF80F5E"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14:paraId="7372557F" w14:textId="77777777" w:rsidR="00000000" w:rsidRDefault="00097612">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0446ECDD"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2FF99A5A"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14:paraId="15A32DCA" w14:textId="77777777" w:rsidR="00000000" w:rsidRDefault="00097612">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30204F9D"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629AFA79" w14:textId="77777777" w:rsidR="00000000" w:rsidRDefault="00097612">
            <w:pPr>
              <w:pStyle w:val="a3"/>
              <w:spacing w:before="0" w:beforeAutospacing="0" w:after="0" w:afterAutospacing="0"/>
              <w:jc w:val="center"/>
              <w:rPr>
                <w:sz w:val="20"/>
                <w:szCs w:val="20"/>
              </w:rPr>
            </w:pPr>
            <w:r>
              <w:rPr>
                <w:sz w:val="20"/>
                <w:szCs w:val="20"/>
              </w:rPr>
              <w:t>​</w:t>
            </w:r>
          </w:p>
        </w:tc>
        <w:tc>
          <w:tcPr>
            <w:tcW w:w="396" w:type="pct"/>
            <w:tcBorders>
              <w:bottom w:val="single" w:sz="6" w:space="0" w:color="000000"/>
            </w:tcBorders>
            <w:tcMar>
              <w:top w:w="0" w:type="dxa"/>
              <w:left w:w="0" w:type="dxa"/>
              <w:bottom w:w="0" w:type="dxa"/>
              <w:right w:w="0" w:type="dxa"/>
            </w:tcMar>
            <w:vAlign w:val="center"/>
            <w:hideMark/>
          </w:tcPr>
          <w:p w14:paraId="6E87D5E3" w14:textId="77777777" w:rsidR="00000000" w:rsidRDefault="00097612">
            <w:pPr>
              <w:pStyle w:val="a3"/>
              <w:spacing w:before="0" w:beforeAutospacing="0" w:after="0" w:afterAutospacing="0"/>
              <w:ind w:right="60"/>
              <w:jc w:val="right"/>
              <w:rPr>
                <w:sz w:val="20"/>
                <w:szCs w:val="20"/>
              </w:rPr>
            </w:pPr>
            <w:r>
              <w:rPr>
                <w:sz w:val="20"/>
                <w:szCs w:val="20"/>
              </w:rPr>
              <w:t>294,751</w:t>
            </w:r>
          </w:p>
        </w:tc>
      </w:tr>
      <w:tr w:rsidR="00000000" w14:paraId="5E38DB98" w14:textId="77777777">
        <w:trPr>
          <w:divId w:val="791941229"/>
        </w:trPr>
        <w:tc>
          <w:tcPr>
            <w:tcW w:w="2187" w:type="pct"/>
            <w:shd w:val="clear" w:color="auto" w:fill="CCEEFF"/>
            <w:tcMar>
              <w:top w:w="0" w:type="dxa"/>
              <w:left w:w="0" w:type="dxa"/>
              <w:bottom w:w="0" w:type="dxa"/>
              <w:right w:w="0" w:type="dxa"/>
            </w:tcMar>
            <w:vAlign w:val="center"/>
            <w:hideMark/>
          </w:tcPr>
          <w:p w14:paraId="6E4D6A62" w14:textId="77777777" w:rsidR="00000000" w:rsidRDefault="00097612">
            <w:pPr>
              <w:pStyle w:val="a3"/>
              <w:spacing w:before="0" w:beforeAutospacing="0" w:after="0" w:afterAutospacing="0"/>
              <w:ind w:left="240"/>
              <w:rPr>
                <w:sz w:val="20"/>
                <w:szCs w:val="20"/>
              </w:rPr>
            </w:pPr>
            <w:r>
              <w:rPr>
                <w:sz w:val="20"/>
                <w:szCs w:val="20"/>
              </w:rPr>
              <w:t xml:space="preserve">Total </w:t>
            </w:r>
          </w:p>
        </w:tc>
        <w:tc>
          <w:tcPr>
            <w:tcW w:w="97" w:type="pct"/>
            <w:shd w:val="clear" w:color="auto" w:fill="CCEEFF"/>
            <w:noWrap/>
            <w:tcMar>
              <w:top w:w="0" w:type="dxa"/>
              <w:left w:w="0" w:type="dxa"/>
              <w:bottom w:w="0" w:type="dxa"/>
              <w:right w:w="0" w:type="dxa"/>
            </w:tcMar>
            <w:vAlign w:val="bottom"/>
            <w:hideMark/>
          </w:tcPr>
          <w:p w14:paraId="2AF7364D" w14:textId="77777777" w:rsidR="00000000" w:rsidRDefault="00097612">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bottom"/>
            <w:hideMark/>
          </w:tcPr>
          <w:p w14:paraId="68EAF5D2" w14:textId="77777777" w:rsidR="00000000" w:rsidRDefault="00097612">
            <w:pPr>
              <w:pStyle w:val="a3"/>
              <w:spacing w:before="0" w:beforeAutospacing="0" w:after="0" w:afterAutospacing="0"/>
              <w:ind w:left="24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18E56EEE"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34DD5AAE"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tcMar>
              <w:top w:w="0" w:type="dxa"/>
              <w:left w:w="0" w:type="dxa"/>
              <w:bottom w:w="0" w:type="dxa"/>
              <w:right w:w="0" w:type="dxa"/>
            </w:tcMar>
            <w:vAlign w:val="center"/>
            <w:hideMark/>
          </w:tcPr>
          <w:p w14:paraId="2AECA439" w14:textId="77777777" w:rsidR="00000000" w:rsidRDefault="00097612">
            <w:pPr>
              <w:pStyle w:val="a3"/>
              <w:spacing w:before="0" w:beforeAutospacing="0" w:after="0" w:afterAutospacing="0"/>
              <w:ind w:right="60"/>
              <w:jc w:val="right"/>
              <w:rPr>
                <w:sz w:val="20"/>
                <w:szCs w:val="20"/>
              </w:rPr>
            </w:pPr>
            <w:r>
              <w:rPr>
                <w:sz w:val="20"/>
                <w:szCs w:val="20"/>
              </w:rPr>
              <w:t>501,837</w:t>
            </w:r>
          </w:p>
        </w:tc>
        <w:tc>
          <w:tcPr>
            <w:tcW w:w="98" w:type="pct"/>
            <w:shd w:val="clear" w:color="auto" w:fill="CCEEFF"/>
            <w:noWrap/>
            <w:tcMar>
              <w:top w:w="0" w:type="dxa"/>
              <w:left w:w="0" w:type="dxa"/>
              <w:bottom w:w="0" w:type="dxa"/>
              <w:right w:w="0" w:type="dxa"/>
            </w:tcMar>
            <w:vAlign w:val="bottom"/>
            <w:hideMark/>
          </w:tcPr>
          <w:p w14:paraId="5364DE78"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5FB79189"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tcMar>
              <w:top w:w="0" w:type="dxa"/>
              <w:left w:w="0" w:type="dxa"/>
              <w:bottom w:w="0" w:type="dxa"/>
              <w:right w:w="0" w:type="dxa"/>
            </w:tcMar>
            <w:vAlign w:val="center"/>
            <w:hideMark/>
          </w:tcPr>
          <w:p w14:paraId="20571CD9" w14:textId="77777777" w:rsidR="00000000" w:rsidRDefault="00097612">
            <w:pPr>
              <w:pStyle w:val="a3"/>
              <w:spacing w:before="0" w:beforeAutospacing="0" w:after="0" w:afterAutospacing="0"/>
              <w:ind w:right="60"/>
              <w:jc w:val="right"/>
              <w:rPr>
                <w:sz w:val="20"/>
                <w:szCs w:val="20"/>
              </w:rPr>
            </w:pPr>
            <w:r>
              <w:rPr>
                <w:sz w:val="20"/>
                <w:szCs w:val="20"/>
              </w:rPr>
              <w:t>8</w:t>
            </w:r>
          </w:p>
        </w:tc>
        <w:tc>
          <w:tcPr>
            <w:tcW w:w="98" w:type="pct"/>
            <w:shd w:val="clear" w:color="auto" w:fill="CCEEFF"/>
            <w:noWrap/>
            <w:tcMar>
              <w:top w:w="0" w:type="dxa"/>
              <w:left w:w="0" w:type="dxa"/>
              <w:bottom w:w="0" w:type="dxa"/>
              <w:right w:w="0" w:type="dxa"/>
            </w:tcMar>
            <w:vAlign w:val="bottom"/>
            <w:hideMark/>
          </w:tcPr>
          <w:p w14:paraId="48FA6FC6"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4A9EC895" w14:textId="77777777" w:rsidR="00000000" w:rsidRDefault="00097612">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tcMar>
              <w:top w:w="0" w:type="dxa"/>
              <w:left w:w="0" w:type="dxa"/>
              <w:bottom w:w="0" w:type="dxa"/>
              <w:right w:w="0" w:type="dxa"/>
            </w:tcMar>
            <w:vAlign w:val="center"/>
            <w:hideMark/>
          </w:tcPr>
          <w:p w14:paraId="4881EB2C" w14:textId="77777777" w:rsidR="00000000" w:rsidRDefault="00097612">
            <w:pPr>
              <w:pStyle w:val="a3"/>
              <w:spacing w:before="0" w:beforeAutospacing="0" w:after="0" w:afterAutospacing="0"/>
              <w:jc w:val="right"/>
              <w:rPr>
                <w:sz w:val="20"/>
                <w:szCs w:val="20"/>
              </w:rPr>
            </w:pPr>
            <w:r>
              <w:rPr>
                <w:sz w:val="20"/>
                <w:szCs w:val="20"/>
              </w:rPr>
              <w:t>(174)</w:t>
            </w:r>
          </w:p>
        </w:tc>
        <w:tc>
          <w:tcPr>
            <w:tcW w:w="98" w:type="pct"/>
            <w:shd w:val="clear" w:color="auto" w:fill="CCEEFF"/>
            <w:noWrap/>
            <w:tcMar>
              <w:top w:w="0" w:type="dxa"/>
              <w:left w:w="0" w:type="dxa"/>
              <w:bottom w:w="0" w:type="dxa"/>
              <w:right w:w="0" w:type="dxa"/>
            </w:tcMar>
            <w:vAlign w:val="bottom"/>
            <w:hideMark/>
          </w:tcPr>
          <w:p w14:paraId="3B27D82B" w14:textId="77777777" w:rsidR="00000000" w:rsidRDefault="00097612">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029CB3A8" w14:textId="77777777" w:rsidR="00000000" w:rsidRDefault="00097612">
            <w:pPr>
              <w:pStyle w:val="a3"/>
              <w:spacing w:before="0" w:beforeAutospacing="0" w:after="0" w:afterAutospacing="0"/>
              <w:jc w:val="center"/>
              <w:rPr>
                <w:sz w:val="20"/>
                <w:szCs w:val="20"/>
              </w:rPr>
            </w:pPr>
            <w:r>
              <w:rPr>
                <w:sz w:val="20"/>
                <w:szCs w:val="20"/>
              </w:rPr>
              <w:t>$</w:t>
            </w:r>
          </w:p>
        </w:tc>
        <w:tc>
          <w:tcPr>
            <w:tcW w:w="396" w:type="pct"/>
            <w:tcBorders>
              <w:bottom w:val="double" w:sz="6" w:space="0" w:color="000000"/>
            </w:tcBorders>
            <w:shd w:val="clear" w:color="auto" w:fill="CCEEFF"/>
            <w:tcMar>
              <w:top w:w="0" w:type="dxa"/>
              <w:left w:w="0" w:type="dxa"/>
              <w:bottom w:w="0" w:type="dxa"/>
              <w:right w:w="0" w:type="dxa"/>
            </w:tcMar>
            <w:vAlign w:val="center"/>
            <w:hideMark/>
          </w:tcPr>
          <w:p w14:paraId="50A4D2D3" w14:textId="77777777" w:rsidR="00000000" w:rsidRDefault="00097612">
            <w:pPr>
              <w:pStyle w:val="a3"/>
              <w:spacing w:before="0" w:beforeAutospacing="0" w:after="0" w:afterAutospacing="0"/>
              <w:ind w:right="60"/>
              <w:jc w:val="right"/>
              <w:rPr>
                <w:sz w:val="20"/>
                <w:szCs w:val="20"/>
              </w:rPr>
            </w:pPr>
            <w:r>
              <w:rPr>
                <w:sz w:val="20"/>
                <w:szCs w:val="20"/>
              </w:rPr>
              <w:t>501,671</w:t>
            </w:r>
          </w:p>
        </w:tc>
      </w:tr>
    </w:tbl>
    <w:p w14:paraId="464D3920" w14:textId="77777777" w:rsidR="00000000" w:rsidRDefault="00097612">
      <w:pPr>
        <w:pStyle w:val="a3"/>
        <w:spacing w:before="0" w:beforeAutospacing="0" w:after="0" w:afterAutospacing="0"/>
        <w:divId w:val="791941229"/>
        <w:rPr>
          <w:sz w:val="20"/>
          <w:szCs w:val="20"/>
        </w:rPr>
      </w:pPr>
      <w:r>
        <w:rPr>
          <w:sz w:val="20"/>
          <w:szCs w:val="20"/>
        </w:rPr>
        <w:t>​</w:t>
      </w:r>
    </w:p>
    <w:p w14:paraId="1B95517A" w14:textId="77777777" w:rsidR="00000000" w:rsidRDefault="00097612">
      <w:pPr>
        <w:pStyle w:val="a3"/>
        <w:spacing w:before="0" w:beforeAutospacing="0" w:after="0" w:afterAutospacing="0"/>
        <w:ind w:firstLine="720"/>
        <w:divId w:val="791941229"/>
        <w:rPr>
          <w:sz w:val="20"/>
          <w:szCs w:val="20"/>
        </w:rPr>
      </w:pPr>
      <w:r>
        <w:rPr>
          <w:sz w:val="20"/>
          <w:szCs w:val="20"/>
        </w:rPr>
        <w:t>As of September 30, 2019, all of the available-for-sale securities had contractual maturities within 19 months and the weighted-average maturity of marketable securities was approximately six months. There were no transfers between Level 1 and Level 2 duri</w:t>
      </w:r>
      <w:r>
        <w:rPr>
          <w:sz w:val="20"/>
          <w:szCs w:val="20"/>
        </w:rPr>
        <w:t xml:space="preserve">ng the periods presented, and there have been no changes to the Company’s valuation techniques during the three and nine months ended September 30, 2019. </w:t>
      </w:r>
    </w:p>
    <w:p w14:paraId="4A63686C" w14:textId="77777777" w:rsidR="00000000" w:rsidRDefault="00097612">
      <w:pPr>
        <w:pStyle w:val="a3"/>
        <w:spacing w:before="0" w:beforeAutospacing="0" w:after="0" w:afterAutospacing="0"/>
        <w:ind w:firstLine="720"/>
        <w:divId w:val="791941229"/>
        <w:rPr>
          <w:sz w:val="20"/>
          <w:szCs w:val="20"/>
        </w:rPr>
      </w:pPr>
      <w:r>
        <w:rPr>
          <w:sz w:val="20"/>
          <w:szCs w:val="20"/>
        </w:rPr>
        <w:t>​</w:t>
      </w:r>
    </w:p>
    <w:p w14:paraId="62A9CC6D" w14:textId="77777777" w:rsidR="00000000" w:rsidRDefault="00097612">
      <w:pPr>
        <w:pStyle w:val="a3"/>
        <w:spacing w:before="0" w:beforeAutospacing="0" w:after="0" w:afterAutospacing="0"/>
        <w:ind w:firstLine="720"/>
        <w:divId w:val="791941229"/>
        <w:rPr>
          <w:sz w:val="20"/>
          <w:szCs w:val="20"/>
        </w:rPr>
      </w:pPr>
      <w:r>
        <w:rPr>
          <w:sz w:val="20"/>
          <w:szCs w:val="20"/>
        </w:rPr>
        <w:t>In general, the Company invests in debt securities with the intent to hold such securities until maturity at par value. The Company does not intend to sell the investments that are currently in an unrealized loss position, and it is unlikely that it will b</w:t>
      </w:r>
      <w:r>
        <w:rPr>
          <w:sz w:val="20"/>
          <w:szCs w:val="20"/>
        </w:rPr>
        <w:t>e required to sell the investments before recovery of their amortized cost basis, which may be maturity. The Company has determined that the gross unrealized losses on its marketable securities, as of September 30, 2019, were temporary in nature, and there</w:t>
      </w:r>
      <w:r>
        <w:rPr>
          <w:sz w:val="20"/>
          <w:szCs w:val="20"/>
        </w:rPr>
        <w:t xml:space="preserve"> were no material unrealized losses on investments which have been in a loss position for more than twelve months as of September 30, 2019. </w:t>
      </w:r>
    </w:p>
    <w:p w14:paraId="27145F98" w14:textId="77777777" w:rsidR="00000000" w:rsidRDefault="00097612">
      <w:pPr>
        <w:pStyle w:val="a3"/>
        <w:spacing w:before="0" w:beforeAutospacing="0" w:after="0" w:afterAutospacing="0"/>
        <w:ind w:firstLine="720"/>
        <w:divId w:val="791941229"/>
        <w:rPr>
          <w:sz w:val="20"/>
          <w:szCs w:val="20"/>
        </w:rPr>
      </w:pPr>
      <w:r>
        <w:rPr>
          <w:sz w:val="20"/>
          <w:szCs w:val="20"/>
        </w:rPr>
        <w:t>​</w:t>
      </w:r>
    </w:p>
    <w:p w14:paraId="53A41692" w14:textId="77777777" w:rsidR="00000000" w:rsidRDefault="00097612">
      <w:pPr>
        <w:pStyle w:val="a3"/>
        <w:spacing w:before="0" w:beforeAutospacing="0" w:after="0" w:afterAutospacing="0"/>
        <w:ind w:firstLine="720"/>
        <w:divId w:val="791941229"/>
        <w:rPr>
          <w:sz w:val="20"/>
          <w:szCs w:val="20"/>
        </w:rPr>
      </w:pPr>
      <w:r>
        <w:rPr>
          <w:sz w:val="20"/>
          <w:szCs w:val="20"/>
        </w:rPr>
        <w:t>As of September 30, 2019, the Company’s accumulated other comprehensive income (loss) on its condensed consolidat</w:t>
      </w:r>
      <w:r>
        <w:rPr>
          <w:sz w:val="20"/>
          <w:szCs w:val="20"/>
        </w:rPr>
        <w:t xml:space="preserve">ed balance sheets consisted of unrealized gains or losses on available-for-sale investments. During the three and nine months ended September 30, 2019 and 2018, the Company did not sell any of its marketable securities. </w:t>
      </w:r>
    </w:p>
    <w:p w14:paraId="5902BC66" w14:textId="77777777" w:rsidR="00000000" w:rsidRDefault="00097612">
      <w:pPr>
        <w:pStyle w:val="a3"/>
        <w:spacing w:before="0" w:beforeAutospacing="0" w:after="0" w:afterAutospacing="0"/>
        <w:ind w:firstLine="720"/>
        <w:divId w:val="791941229"/>
        <w:rPr>
          <w:sz w:val="20"/>
          <w:szCs w:val="20"/>
        </w:rPr>
      </w:pPr>
      <w:r>
        <w:rPr>
          <w:sz w:val="20"/>
          <w:szCs w:val="20"/>
        </w:rPr>
        <w:t>​</w:t>
      </w:r>
    </w:p>
    <w:p w14:paraId="59027B55" w14:textId="77777777" w:rsidR="00000000" w:rsidRDefault="00097612">
      <w:pPr>
        <w:pStyle w:val="a3"/>
        <w:spacing w:before="0" w:beforeAutospacing="0" w:after="0" w:afterAutospacing="0"/>
        <w:ind w:firstLine="720"/>
        <w:divId w:val="791941229"/>
        <w:rPr>
          <w:sz w:val="20"/>
          <w:szCs w:val="20"/>
        </w:rPr>
      </w:pPr>
      <w:r>
        <w:rPr>
          <w:sz w:val="20"/>
          <w:szCs w:val="20"/>
        </w:rPr>
        <w:t>​</w:t>
      </w:r>
    </w:p>
    <w:p w14:paraId="4F424365" w14:textId="77777777" w:rsidR="00000000" w:rsidRDefault="00097612">
      <w:pPr>
        <w:pStyle w:val="a3"/>
        <w:spacing w:before="0" w:beforeAutospacing="0" w:after="0" w:afterAutospacing="0"/>
        <w:ind w:firstLine="720"/>
        <w:divId w:val="791941229"/>
        <w:rPr>
          <w:sz w:val="20"/>
          <w:szCs w:val="20"/>
        </w:rPr>
      </w:pPr>
      <w:r>
        <w:rPr>
          <w:sz w:val="20"/>
          <w:szCs w:val="20"/>
        </w:rPr>
        <w:t>​</w:t>
      </w:r>
    </w:p>
    <w:p w14:paraId="3C205986" w14:textId="77777777" w:rsidR="00000000" w:rsidRDefault="00097612">
      <w:pPr>
        <w:pStyle w:val="a3"/>
        <w:spacing w:before="0" w:beforeAutospacing="0" w:after="0" w:afterAutospacing="0"/>
        <w:ind w:firstLine="720"/>
        <w:divId w:val="791941229"/>
        <w:rPr>
          <w:sz w:val="20"/>
          <w:szCs w:val="20"/>
        </w:rPr>
      </w:pPr>
      <w:r>
        <w:rPr>
          <w:sz w:val="20"/>
          <w:szCs w:val="20"/>
        </w:rPr>
        <w:t>​</w:t>
      </w:r>
    </w:p>
    <w:p w14:paraId="40174FBB" w14:textId="77777777" w:rsidR="00000000" w:rsidRDefault="00097612">
      <w:pPr>
        <w:pStyle w:val="a3"/>
        <w:spacing w:before="0" w:beforeAutospacing="0" w:after="0" w:afterAutospacing="0"/>
        <w:ind w:firstLine="720"/>
        <w:divId w:val="791941229"/>
        <w:rPr>
          <w:sz w:val="20"/>
          <w:szCs w:val="20"/>
        </w:rPr>
      </w:pPr>
      <w:r>
        <w:rPr>
          <w:sz w:val="20"/>
          <w:szCs w:val="20"/>
        </w:rPr>
        <w:t>​</w:t>
      </w:r>
    </w:p>
    <w:p w14:paraId="595AA1E8" w14:textId="77777777" w:rsidR="00000000" w:rsidRDefault="00097612">
      <w:pPr>
        <w:pStyle w:val="a3"/>
        <w:spacing w:before="360" w:beforeAutospacing="0" w:after="0" w:afterAutospacing="0"/>
        <w:jc w:val="center"/>
        <w:divId w:val="823548560"/>
        <w:rPr>
          <w:sz w:val="20"/>
          <w:szCs w:val="20"/>
        </w:rPr>
      </w:pPr>
      <w:r>
        <w:rPr>
          <w:sz w:val="20"/>
          <w:szCs w:val="20"/>
        </w:rPr>
        <w:t>14</w:t>
      </w:r>
    </w:p>
    <w:p w14:paraId="05022D7B" w14:textId="77777777" w:rsidR="00000000" w:rsidRDefault="00097612">
      <w:pPr>
        <w:pStyle w:val="a3"/>
        <w:spacing w:before="0" w:beforeAutospacing="0" w:after="600" w:afterAutospacing="0"/>
        <w:divId w:val="1633363313"/>
        <w:rPr>
          <w:sz w:val="20"/>
          <w:szCs w:val="20"/>
        </w:rPr>
      </w:pPr>
      <w:hyperlink w:anchor="TOC" w:history="1">
        <w:r>
          <w:rPr>
            <w:rStyle w:val="a4"/>
            <w:sz w:val="20"/>
            <w:szCs w:val="20"/>
          </w:rPr>
          <w:t>Table of Contents</w:t>
        </w:r>
      </w:hyperlink>
    </w:p>
    <w:p w14:paraId="3F978640" w14:textId="77777777" w:rsidR="00000000" w:rsidRDefault="00097612">
      <w:pPr>
        <w:pStyle w:val="a3"/>
        <w:spacing w:before="0" w:beforeAutospacing="0" w:after="0" w:afterAutospacing="0"/>
        <w:divId w:val="1643929338"/>
        <w:rPr>
          <w:sz w:val="20"/>
          <w:szCs w:val="20"/>
        </w:rPr>
      </w:pPr>
      <w:r>
        <w:rPr>
          <w:b/>
          <w:bCs/>
          <w:sz w:val="20"/>
          <w:szCs w:val="20"/>
        </w:rPr>
        <w:t>6. Long-Term Debt</w:t>
      </w:r>
    </w:p>
    <w:p w14:paraId="3306126D" w14:textId="77777777" w:rsidR="00000000" w:rsidRDefault="00097612">
      <w:pPr>
        <w:pStyle w:val="a3"/>
        <w:spacing w:before="0" w:beforeAutospacing="0" w:after="0" w:afterAutospacing="0"/>
        <w:divId w:val="1643929338"/>
        <w:rPr>
          <w:sz w:val="20"/>
          <w:szCs w:val="20"/>
        </w:rPr>
      </w:pPr>
      <w:r>
        <w:rPr>
          <w:b/>
          <w:bCs/>
          <w:sz w:val="10"/>
          <w:szCs w:val="10"/>
        </w:rPr>
        <w:t>​</w:t>
      </w:r>
    </w:p>
    <w:p w14:paraId="0AFDBCE3" w14:textId="77777777" w:rsidR="00000000" w:rsidRDefault="00097612">
      <w:pPr>
        <w:pStyle w:val="a3"/>
        <w:spacing w:before="0" w:beforeAutospacing="0" w:after="120" w:afterAutospacing="0"/>
        <w:divId w:val="1643929338"/>
        <w:rPr>
          <w:sz w:val="20"/>
          <w:szCs w:val="20"/>
        </w:rPr>
      </w:pPr>
      <w:r>
        <w:rPr>
          <w:b/>
          <w:bCs/>
          <w:i/>
          <w:iCs/>
          <w:sz w:val="20"/>
          <w:szCs w:val="20"/>
        </w:rPr>
        <w:t>9.0% Non-Recourse Notes Due 2033</w:t>
      </w:r>
    </w:p>
    <w:p w14:paraId="43440969" w14:textId="77777777" w:rsidR="00000000" w:rsidRDefault="00097612">
      <w:pPr>
        <w:pStyle w:val="a3"/>
        <w:spacing w:before="0" w:beforeAutospacing="0" w:after="0" w:afterAutospacing="0"/>
        <w:ind w:firstLine="720"/>
        <w:divId w:val="1643929338"/>
        <w:rPr>
          <w:sz w:val="20"/>
          <w:szCs w:val="20"/>
        </w:rPr>
      </w:pPr>
      <w:r>
        <w:rPr>
          <w:sz w:val="20"/>
          <w:szCs w:val="20"/>
        </w:rPr>
        <w:t>In November 2018, the Company entered into note purchase agreements relating to the private placement of $250.0 million aggregate principal amount of 9.0% non-recourse notes, due on or before 2033 (the "Non-Recourse 2033 Notes") issued by the Company’s who</w:t>
      </w:r>
      <w:r>
        <w:rPr>
          <w:sz w:val="20"/>
          <w:szCs w:val="20"/>
        </w:rPr>
        <w:t xml:space="preserve">lly-owned subsidiary, Triple Royalty Sub LLC (the “Issuer”). </w:t>
      </w:r>
    </w:p>
    <w:p w14:paraId="2429DCC9" w14:textId="77777777" w:rsidR="00000000" w:rsidRDefault="00097612">
      <w:pPr>
        <w:pStyle w:val="a3"/>
        <w:spacing w:before="0" w:beforeAutospacing="0" w:after="0" w:afterAutospacing="0"/>
        <w:divId w:val="1643929338"/>
        <w:rPr>
          <w:sz w:val="20"/>
          <w:szCs w:val="20"/>
        </w:rPr>
      </w:pPr>
      <w:r>
        <w:rPr>
          <w:sz w:val="20"/>
          <w:szCs w:val="20"/>
        </w:rPr>
        <w:t>​</w:t>
      </w:r>
    </w:p>
    <w:p w14:paraId="7507C41D" w14:textId="77777777" w:rsidR="00000000" w:rsidRDefault="00097612">
      <w:pPr>
        <w:pStyle w:val="a3"/>
        <w:spacing w:before="0" w:beforeAutospacing="0" w:after="0" w:afterAutospacing="0"/>
        <w:ind w:firstLine="720"/>
        <w:divId w:val="1643929338"/>
        <w:rPr>
          <w:sz w:val="20"/>
          <w:szCs w:val="20"/>
        </w:rPr>
      </w:pPr>
      <w:r>
        <w:rPr>
          <w:sz w:val="20"/>
          <w:szCs w:val="20"/>
        </w:rPr>
        <w:t>The Non-Recourse 2033 Notes are secured by all of the Issuer’s rights, title and interest as a holder of certain membership interests (the “Issuer Class C Units”) in Theravance Respiratory Com</w:t>
      </w:r>
      <w:r>
        <w:rPr>
          <w:sz w:val="20"/>
          <w:szCs w:val="20"/>
        </w:rPr>
        <w:t>pany, LLC (“TRC”). The primary source of funds to make payments on the Non-Recourse 2033 Notes will be the 63.75% economic interest of the Issuer (evidenced by the Issuer Class C Units) in any future payments made by the Glaxo Group or one of its affiliate</w:t>
      </w:r>
      <w:r>
        <w:rPr>
          <w:sz w:val="20"/>
          <w:szCs w:val="20"/>
        </w:rPr>
        <w:t>s (“GSK”) under the collaboration agreement, dated as of November 14, 2002, by and between Innoviva, Inc. (“Innoviva”) and GSK, as amended from time to time (net of the amount of cash, if any, expected to be used in TRC pursuant to the TRC LLC Agreement (“</w:t>
      </w:r>
      <w:r>
        <w:rPr>
          <w:sz w:val="20"/>
          <w:szCs w:val="20"/>
        </w:rPr>
        <w:t>LLC Agreement”) over the next four fiscal quarters) relating to the </w:t>
      </w:r>
      <w:r>
        <w:rPr>
          <w:caps/>
          <w:sz w:val="20"/>
          <w:szCs w:val="20"/>
        </w:rPr>
        <w:t xml:space="preserve">TRELEGY ELLIPTA </w:t>
      </w:r>
      <w:r>
        <w:rPr>
          <w:sz w:val="20"/>
          <w:szCs w:val="20"/>
        </w:rPr>
        <w:t xml:space="preserve">program. The sole source of principal and interest payments for the Non-Recourse 2033 Notes are the future royalty payments generated from the TRELEGY ELLIPTA program, and </w:t>
      </w:r>
      <w:r>
        <w:rPr>
          <w:sz w:val="20"/>
          <w:szCs w:val="20"/>
        </w:rPr>
        <w:t>as a result, the holders of the Non-Recourse 2033 Notes have no recourse against the Company even if the TRELEGY ELLIPTA payments are insufficient to cover the principal and interest payments for the Non-Recourse 2033 Notes.</w:t>
      </w:r>
    </w:p>
    <w:p w14:paraId="45FB761C" w14:textId="77777777" w:rsidR="00000000" w:rsidRDefault="00097612">
      <w:pPr>
        <w:pStyle w:val="a3"/>
        <w:spacing w:before="0" w:beforeAutospacing="0" w:after="0" w:afterAutospacing="0"/>
        <w:ind w:firstLine="720"/>
        <w:divId w:val="1643929338"/>
        <w:rPr>
          <w:sz w:val="20"/>
          <w:szCs w:val="20"/>
        </w:rPr>
      </w:pPr>
      <w:r>
        <w:rPr>
          <w:sz w:val="20"/>
          <w:szCs w:val="20"/>
        </w:rPr>
        <w:t> </w:t>
      </w:r>
    </w:p>
    <w:p w14:paraId="5AEEE776" w14:textId="77777777" w:rsidR="00000000" w:rsidRDefault="00097612">
      <w:pPr>
        <w:pStyle w:val="a3"/>
        <w:spacing w:before="0" w:beforeAutospacing="0" w:after="0" w:afterAutospacing="0"/>
        <w:ind w:firstLine="720"/>
        <w:divId w:val="1643929338"/>
        <w:rPr>
          <w:sz w:val="20"/>
          <w:szCs w:val="20"/>
        </w:rPr>
      </w:pPr>
      <w:r>
        <w:rPr>
          <w:sz w:val="20"/>
          <w:szCs w:val="20"/>
        </w:rPr>
        <w:t>The Non-Recourse 2033 Notes a</w:t>
      </w:r>
      <w:r>
        <w:rPr>
          <w:sz w:val="20"/>
          <w:szCs w:val="20"/>
        </w:rPr>
        <w:t>re not convertible into Company equity and have no security interest in nor rights under any agreement with GSK. The Non-Recourse 2033 Notes may be redeemed at any time prior to maturity, in whole or in part, at specified redemption premiums. The Non-Recou</w:t>
      </w:r>
      <w:r>
        <w:rPr>
          <w:sz w:val="20"/>
          <w:szCs w:val="20"/>
        </w:rPr>
        <w:t>rse 2033 Notes bear an annual interest rate of 9.0%, with interest and principal paid quarterly beginning April 15, 2019. Prior to October 15, 2020, in the event that the distributions received by the Issuer from TRC in a quarter are less than the interest</w:t>
      </w:r>
      <w:r>
        <w:rPr>
          <w:sz w:val="20"/>
          <w:szCs w:val="20"/>
        </w:rPr>
        <w:t xml:space="preserve"> accrued for the quarter, the principal amount of the Non-Recourse 2033 Notes will increase by the interest shortfall amount for that period without a default or event of default occurring. The terms of the Notes also provide that the Company, at its optio</w:t>
      </w:r>
      <w:r>
        <w:rPr>
          <w:sz w:val="20"/>
          <w:szCs w:val="20"/>
        </w:rPr>
        <w:t xml:space="preserve">n, may satisfy the quarterly interest payment obligations by making a capital contribution to the Issuer, but not for more than four (4) consecutive quarterly interest payment dates or for more than six (6) quarterly interest payment dates during the term </w:t>
      </w:r>
      <w:r>
        <w:rPr>
          <w:sz w:val="20"/>
          <w:szCs w:val="20"/>
        </w:rPr>
        <w:t>of the Notes. Since the principal and interest payments on the Non-Recourse 2033 Notes are ultimately based on royalties from </w:t>
      </w:r>
      <w:r>
        <w:rPr>
          <w:caps/>
          <w:sz w:val="20"/>
          <w:szCs w:val="20"/>
        </w:rPr>
        <w:t>TRELEGY</w:t>
      </w:r>
      <w:r>
        <w:rPr>
          <w:sz w:val="20"/>
          <w:szCs w:val="20"/>
        </w:rPr>
        <w:t> ELLIPTA product sales, which will vary from quarter to quarter, the Non-Recourse 2033 Notes may be repaid prior to the fin</w:t>
      </w:r>
      <w:r>
        <w:rPr>
          <w:sz w:val="20"/>
          <w:szCs w:val="20"/>
        </w:rPr>
        <w:t xml:space="preserve">al maturity date in 2033. The portion of the Non-Recourse 2033 Notes classified as a current liability is based on the amount of royalties received, or receivable, as of September 30, 2019, that are expected to be used to make a principal repayment on the </w:t>
      </w:r>
      <w:r>
        <w:rPr>
          <w:sz w:val="20"/>
          <w:szCs w:val="20"/>
        </w:rPr>
        <w:t>Non-Recourse 2033 Notes within the next 12 months. Please refer to “</w:t>
      </w:r>
      <w:r>
        <w:rPr>
          <w:i/>
          <w:iCs/>
          <w:sz w:val="20"/>
          <w:szCs w:val="20"/>
        </w:rPr>
        <w:t>Note 8. Theravance Respiratory Company, LLC</w:t>
      </w:r>
      <w:r>
        <w:rPr>
          <w:sz w:val="20"/>
          <w:szCs w:val="20"/>
        </w:rPr>
        <w:t>” for information regarding the results of the arbitration against Innoviva and TRC that the Company initiated in May 2019.</w:t>
      </w:r>
    </w:p>
    <w:p w14:paraId="1A328B29" w14:textId="77777777" w:rsidR="00000000" w:rsidRDefault="00097612">
      <w:pPr>
        <w:pStyle w:val="a3"/>
        <w:spacing w:before="0" w:beforeAutospacing="0" w:after="0" w:afterAutospacing="0"/>
        <w:divId w:val="1643929338"/>
        <w:rPr>
          <w:sz w:val="20"/>
          <w:szCs w:val="20"/>
        </w:rPr>
      </w:pPr>
      <w:r>
        <w:rPr>
          <w:sz w:val="20"/>
          <w:szCs w:val="20"/>
        </w:rPr>
        <w:t>​</w:t>
      </w:r>
    </w:p>
    <w:p w14:paraId="20116FF3" w14:textId="77777777" w:rsidR="00000000" w:rsidRDefault="00097612">
      <w:pPr>
        <w:pStyle w:val="a3"/>
        <w:spacing w:before="0" w:beforeAutospacing="0" w:after="0" w:afterAutospacing="0"/>
        <w:ind w:firstLine="720"/>
        <w:divId w:val="1643929338"/>
        <w:rPr>
          <w:sz w:val="20"/>
          <w:szCs w:val="20"/>
        </w:rPr>
      </w:pPr>
      <w:r>
        <w:rPr>
          <w:sz w:val="20"/>
          <w:szCs w:val="20"/>
        </w:rPr>
        <w:t xml:space="preserve">In order to comply </w:t>
      </w:r>
      <w:r>
        <w:rPr>
          <w:sz w:val="20"/>
          <w:szCs w:val="20"/>
        </w:rPr>
        <w:t>with Regulation RR – Credit Risk Retention (17 C.F.R. Part 246), 5.0% of the principal amount of the Non-Recourse 2033 Notes were retained by Theravance Biopharma R&amp;D, Inc. and eliminated in the Company’s condensed consolidated financial statements.</w:t>
      </w:r>
    </w:p>
    <w:p w14:paraId="58007EC3" w14:textId="77777777" w:rsidR="00000000" w:rsidRDefault="00097612">
      <w:pPr>
        <w:pStyle w:val="a3"/>
        <w:spacing w:before="0" w:beforeAutospacing="0" w:after="0" w:afterAutospacing="0"/>
        <w:divId w:val="1643929338"/>
        <w:rPr>
          <w:sz w:val="20"/>
          <w:szCs w:val="20"/>
        </w:rPr>
      </w:pPr>
      <w:r>
        <w:rPr>
          <w:color w:val="FF0000"/>
          <w:sz w:val="20"/>
          <w:szCs w:val="20"/>
        </w:rPr>
        <w:t>​</w:t>
      </w:r>
    </w:p>
    <w:p w14:paraId="260BF59A" w14:textId="77777777" w:rsidR="00000000" w:rsidRDefault="00097612">
      <w:pPr>
        <w:pStyle w:val="a3"/>
        <w:spacing w:before="0" w:beforeAutospacing="0" w:after="0" w:afterAutospacing="0"/>
        <w:divId w:val="1643929338"/>
        <w:rPr>
          <w:sz w:val="20"/>
          <w:szCs w:val="20"/>
        </w:rPr>
      </w:pPr>
      <w:r>
        <w:rPr>
          <w:sz w:val="20"/>
          <w:szCs w:val="20"/>
        </w:rPr>
        <w:t>As o</w:t>
      </w:r>
      <w:r>
        <w:rPr>
          <w:sz w:val="20"/>
          <w:szCs w:val="20"/>
        </w:rPr>
        <w:t>f September 30, 2019, the net principal and estimated fair value of the Non-Recourse 2033 Notes were $237.5 million and $225.6 million, respectively. The inputs to determine fair value of the Non-Recourse 2033 Notes are categorized as Level 2 inputs. Level</w:t>
      </w:r>
      <w:r>
        <w:rPr>
          <w:sz w:val="20"/>
          <w:szCs w:val="20"/>
        </w:rPr>
        <w:t xml:space="preserve"> 2 inputs include quoted prices for similar instruments in active markets; quoted prices for identical or similar instruments in markets that are not active; and model-derived valuations whose inputs are observable or whose significant value drivers are ob</w:t>
      </w:r>
      <w:r>
        <w:rPr>
          <w:sz w:val="20"/>
          <w:szCs w:val="20"/>
        </w:rPr>
        <w:t>servable.</w:t>
      </w:r>
    </w:p>
    <w:p w14:paraId="33D9EAF7" w14:textId="77777777" w:rsidR="00000000" w:rsidRDefault="00097612">
      <w:pPr>
        <w:pStyle w:val="a3"/>
        <w:spacing w:before="0" w:beforeAutospacing="0" w:after="0" w:afterAutospacing="0"/>
        <w:divId w:val="1643929338"/>
        <w:rPr>
          <w:sz w:val="20"/>
          <w:szCs w:val="20"/>
        </w:rPr>
      </w:pPr>
      <w:r>
        <w:rPr>
          <w:sz w:val="20"/>
          <w:szCs w:val="20"/>
        </w:rPr>
        <w:t>​</w:t>
      </w:r>
    </w:p>
    <w:p w14:paraId="4A17CD49" w14:textId="77777777" w:rsidR="00000000" w:rsidRDefault="00097612">
      <w:pPr>
        <w:pStyle w:val="a3"/>
        <w:spacing w:before="0" w:beforeAutospacing="0" w:after="120" w:afterAutospacing="0"/>
        <w:divId w:val="1643929338"/>
        <w:rPr>
          <w:sz w:val="20"/>
          <w:szCs w:val="20"/>
        </w:rPr>
      </w:pPr>
      <w:r>
        <w:rPr>
          <w:b/>
          <w:bCs/>
          <w:i/>
          <w:iCs/>
          <w:sz w:val="20"/>
          <w:szCs w:val="20"/>
        </w:rPr>
        <w:t>3.25% Convertible Senior Notes Due 2023</w:t>
      </w:r>
    </w:p>
    <w:p w14:paraId="0E2B5545" w14:textId="77777777" w:rsidR="00000000" w:rsidRDefault="00097612">
      <w:pPr>
        <w:pStyle w:val="a3"/>
        <w:spacing w:before="0" w:beforeAutospacing="0" w:after="0" w:afterAutospacing="0"/>
        <w:ind w:firstLine="720"/>
        <w:divId w:val="1643929338"/>
        <w:rPr>
          <w:sz w:val="20"/>
          <w:szCs w:val="20"/>
        </w:rPr>
      </w:pPr>
      <w:r>
        <w:rPr>
          <w:sz w:val="20"/>
          <w:szCs w:val="20"/>
        </w:rPr>
        <w:t>The Company has $230.0 million of 3.250% convertible senior notes due in 2023 (“Convertible Senior 2023 Notes”</w:t>
      </w:r>
      <w:r>
        <w:rPr>
          <w:sz w:val="20"/>
          <w:szCs w:val="20"/>
        </w:rPr>
        <w:t>) outstanding as of September 30, 2019 with an estimated fair value of $212.3 million. The estimated fair value was primarily based upon the underlying price of Theravance Biopharma’s publicly traded shares and other observable inputs as of September 30, 2</w:t>
      </w:r>
      <w:r>
        <w:rPr>
          <w:sz w:val="20"/>
          <w:szCs w:val="20"/>
        </w:rPr>
        <w:t>019. The inputs to determine fair value of the Convertible Senior 2023 Notes are categorized as Level 2 inputs. Level 2 inputs include quoted prices for similar instruments in active markets; quoted prices for identical or similar instruments in markets th</w:t>
      </w:r>
      <w:r>
        <w:rPr>
          <w:sz w:val="20"/>
          <w:szCs w:val="20"/>
        </w:rPr>
        <w:t>at are not active; and model-derived valuations whose inputs are observable or whose significant value drivers are observable.</w:t>
      </w:r>
    </w:p>
    <w:p w14:paraId="2F72F330" w14:textId="77777777" w:rsidR="00000000" w:rsidRDefault="00097612">
      <w:pPr>
        <w:pStyle w:val="a3"/>
        <w:spacing w:before="0" w:beforeAutospacing="0" w:after="0" w:afterAutospacing="0"/>
        <w:divId w:val="1643929338"/>
        <w:rPr>
          <w:sz w:val="20"/>
          <w:szCs w:val="20"/>
        </w:rPr>
      </w:pPr>
      <w:r>
        <w:rPr>
          <w:b/>
          <w:bCs/>
          <w:sz w:val="20"/>
          <w:szCs w:val="20"/>
        </w:rPr>
        <w:t>​</w:t>
      </w:r>
    </w:p>
    <w:p w14:paraId="67E837F9" w14:textId="77777777" w:rsidR="00000000" w:rsidRDefault="00097612">
      <w:pPr>
        <w:pStyle w:val="a3"/>
        <w:spacing w:before="360" w:beforeAutospacing="0" w:after="0" w:afterAutospacing="0"/>
        <w:jc w:val="center"/>
        <w:divId w:val="1247038395"/>
        <w:rPr>
          <w:sz w:val="20"/>
          <w:szCs w:val="20"/>
        </w:rPr>
      </w:pPr>
      <w:r>
        <w:rPr>
          <w:sz w:val="20"/>
          <w:szCs w:val="20"/>
        </w:rPr>
        <w:t>15</w:t>
      </w:r>
    </w:p>
    <w:p w14:paraId="52B84CDB" w14:textId="77777777" w:rsidR="00000000" w:rsidRDefault="00097612">
      <w:pPr>
        <w:pStyle w:val="a3"/>
        <w:spacing w:before="0" w:beforeAutospacing="0" w:after="600" w:afterAutospacing="0"/>
        <w:divId w:val="529995492"/>
        <w:rPr>
          <w:sz w:val="20"/>
          <w:szCs w:val="20"/>
        </w:rPr>
      </w:pPr>
      <w:hyperlink w:anchor="TOC" w:history="1">
        <w:r>
          <w:rPr>
            <w:rStyle w:val="a4"/>
            <w:sz w:val="20"/>
            <w:szCs w:val="20"/>
          </w:rPr>
          <w:t>Table of Contents</w:t>
        </w:r>
      </w:hyperlink>
    </w:p>
    <w:p w14:paraId="03696200" w14:textId="77777777" w:rsidR="00000000" w:rsidRDefault="00097612">
      <w:pPr>
        <w:pStyle w:val="a3"/>
        <w:spacing w:before="0" w:beforeAutospacing="0" w:after="0" w:afterAutospacing="0"/>
        <w:divId w:val="566841183"/>
        <w:rPr>
          <w:sz w:val="20"/>
          <w:szCs w:val="20"/>
        </w:rPr>
      </w:pPr>
      <w:r>
        <w:rPr>
          <w:b/>
          <w:bCs/>
          <w:sz w:val="20"/>
          <w:szCs w:val="20"/>
        </w:rPr>
        <w:t>7. Leases</w:t>
      </w:r>
    </w:p>
    <w:p w14:paraId="7CE157D0" w14:textId="77777777" w:rsidR="00000000" w:rsidRDefault="00097612">
      <w:pPr>
        <w:pStyle w:val="a3"/>
        <w:spacing w:before="0" w:beforeAutospacing="0" w:after="0" w:afterAutospacing="0"/>
        <w:divId w:val="566841183"/>
        <w:rPr>
          <w:sz w:val="20"/>
          <w:szCs w:val="20"/>
        </w:rPr>
      </w:pPr>
      <w:r>
        <w:rPr>
          <w:sz w:val="10"/>
          <w:szCs w:val="10"/>
        </w:rPr>
        <w:t>​</w:t>
      </w:r>
    </w:p>
    <w:p w14:paraId="6BF2C125" w14:textId="77777777" w:rsidR="00000000" w:rsidRDefault="00097612">
      <w:pPr>
        <w:pStyle w:val="a3"/>
        <w:spacing w:before="0" w:beforeAutospacing="0" w:after="0" w:afterAutospacing="0"/>
        <w:ind w:firstLine="720"/>
        <w:divId w:val="566841183"/>
        <w:rPr>
          <w:sz w:val="20"/>
          <w:szCs w:val="20"/>
        </w:rPr>
      </w:pPr>
      <w:r>
        <w:rPr>
          <w:sz w:val="20"/>
          <w:szCs w:val="20"/>
        </w:rPr>
        <w:t>The Company leases approximately 170,000 square feet of office and l</w:t>
      </w:r>
      <w:r>
        <w:rPr>
          <w:sz w:val="20"/>
          <w:szCs w:val="20"/>
        </w:rPr>
        <w:t>aboratory space in two buildings in South San Francisco, California, under a non-cancelable operating lease that ends in May 2030 (“SSF Lease”) and includes a tenant improvement allowance with a remaining balance of $15.7 million, as of September 30, 2019,</w:t>
      </w:r>
      <w:r>
        <w:rPr>
          <w:sz w:val="20"/>
          <w:szCs w:val="20"/>
        </w:rPr>
        <w:t xml:space="preserve"> that expires in May 2022. The Company’s Irish subsidiary leases approximately 6,100 square feet of office space in Dublin, Ireland under a lease that expires in April 2027 (“Dublin Lease”). In addition, the Company leases equipment for clinical research s</w:t>
      </w:r>
      <w:r>
        <w:rPr>
          <w:sz w:val="20"/>
          <w:szCs w:val="20"/>
        </w:rPr>
        <w:t>tudies with an estimated lease period ending in September 2020.</w:t>
      </w:r>
    </w:p>
    <w:p w14:paraId="5AE88893" w14:textId="77777777" w:rsidR="00000000" w:rsidRDefault="00097612">
      <w:pPr>
        <w:pStyle w:val="a3"/>
        <w:spacing w:before="0" w:beforeAutospacing="0" w:after="0" w:afterAutospacing="0"/>
        <w:ind w:firstLine="720"/>
        <w:divId w:val="566841183"/>
        <w:rPr>
          <w:sz w:val="20"/>
          <w:szCs w:val="20"/>
        </w:rPr>
      </w:pPr>
      <w:r>
        <w:rPr>
          <w:sz w:val="16"/>
          <w:szCs w:val="16"/>
        </w:rPr>
        <w:t>​</w:t>
      </w:r>
    </w:p>
    <w:p w14:paraId="25CC4B0B" w14:textId="77777777" w:rsidR="00000000" w:rsidRDefault="00097612">
      <w:pPr>
        <w:pStyle w:val="a3"/>
        <w:spacing w:before="0" w:beforeAutospacing="0" w:after="0" w:afterAutospacing="0"/>
        <w:ind w:firstLine="720"/>
        <w:divId w:val="566841183"/>
        <w:rPr>
          <w:sz w:val="20"/>
          <w:szCs w:val="20"/>
        </w:rPr>
      </w:pPr>
      <w:r>
        <w:rPr>
          <w:sz w:val="20"/>
          <w:szCs w:val="20"/>
        </w:rPr>
        <w:t>The SSF Lease contains two options to</w:t>
      </w:r>
      <w:r>
        <w:rPr>
          <w:sz w:val="20"/>
          <w:szCs w:val="20"/>
        </w:rPr>
        <w:t xml:space="preserve"> </w:t>
      </w:r>
      <w:r>
        <w:rPr>
          <w:sz w:val="20"/>
          <w:szCs w:val="20"/>
        </w:rPr>
        <w:t>exten</w:t>
      </w:r>
      <w:r>
        <w:rPr>
          <w:sz w:val="20"/>
          <w:szCs w:val="20"/>
        </w:rPr>
        <w:t>d</w:t>
      </w:r>
      <w:r>
        <w:rPr>
          <w:sz w:val="20"/>
          <w:szCs w:val="20"/>
        </w:rPr>
        <w:t xml:space="preserve"> the term of the lease for successive periods of</w:t>
      </w:r>
      <w:r>
        <w:rPr>
          <w:sz w:val="20"/>
          <w:szCs w:val="20"/>
        </w:rPr>
        <w:t xml:space="preserve"> </w:t>
      </w:r>
      <w:r>
        <w:rPr>
          <w:sz w:val="20"/>
          <w:szCs w:val="20"/>
        </w:rPr>
        <w:t>five year</w:t>
      </w:r>
      <w:r>
        <w:rPr>
          <w:sz w:val="20"/>
          <w:szCs w:val="20"/>
        </w:rPr>
        <w:t>s</w:t>
      </w:r>
      <w:r>
        <w:rPr>
          <w:sz w:val="20"/>
          <w:szCs w:val="20"/>
        </w:rPr>
        <w:t xml:space="preserve"> each, and the Dublin Lease contains a lease</w:t>
      </w:r>
      <w:r>
        <w:rPr>
          <w:sz w:val="20"/>
          <w:szCs w:val="20"/>
        </w:rPr>
        <w:t xml:space="preserve"> </w:t>
      </w:r>
      <w:r>
        <w:rPr>
          <w:sz w:val="20"/>
          <w:szCs w:val="20"/>
        </w:rPr>
        <w:t>terminatio</w:t>
      </w:r>
      <w:r>
        <w:rPr>
          <w:sz w:val="20"/>
          <w:szCs w:val="20"/>
        </w:rPr>
        <w:t>n</w:t>
      </w:r>
      <w:r>
        <w:rPr>
          <w:sz w:val="20"/>
          <w:szCs w:val="20"/>
        </w:rPr>
        <w:t xml:space="preserve"> option in April 2024 at the Co</w:t>
      </w:r>
      <w:r>
        <w:rPr>
          <w:sz w:val="20"/>
          <w:szCs w:val="20"/>
        </w:rPr>
        <w:t>mpany’s discretion. The two options to extend the SSF Lease and the option to terminate the Dublin Lease were not recognized in the determination of the Company’s right-of-use assets and lease liabilities below</w:t>
      </w:r>
      <w:r>
        <w:rPr>
          <w:sz w:val="20"/>
          <w:szCs w:val="20"/>
        </w:rPr>
        <w:t>.</w:t>
      </w:r>
    </w:p>
    <w:p w14:paraId="29679E18" w14:textId="77777777" w:rsidR="00000000" w:rsidRDefault="00097612">
      <w:pPr>
        <w:pStyle w:val="a3"/>
        <w:spacing w:before="0" w:beforeAutospacing="0" w:after="0" w:afterAutospacing="0"/>
        <w:divId w:val="566841183"/>
        <w:rPr>
          <w:sz w:val="20"/>
          <w:szCs w:val="20"/>
        </w:rPr>
      </w:pPr>
      <w:r>
        <w:rPr>
          <w:sz w:val="16"/>
          <w:szCs w:val="16"/>
        </w:rPr>
        <w:t>​</w:t>
      </w:r>
    </w:p>
    <w:p w14:paraId="0728C1EF" w14:textId="77777777" w:rsidR="00000000" w:rsidRDefault="00097612">
      <w:pPr>
        <w:pStyle w:val="a3"/>
        <w:spacing w:before="0" w:beforeAutospacing="0" w:after="0" w:afterAutospacing="0"/>
        <w:ind w:firstLine="720"/>
        <w:divId w:val="566841183"/>
        <w:rPr>
          <w:sz w:val="20"/>
          <w:szCs w:val="20"/>
        </w:rPr>
      </w:pPr>
      <w:r>
        <w:rPr>
          <w:sz w:val="20"/>
          <w:szCs w:val="20"/>
        </w:rPr>
        <w:t>The Company has evaluated its leases and d</w:t>
      </w:r>
      <w:r>
        <w:rPr>
          <w:sz w:val="20"/>
          <w:szCs w:val="20"/>
        </w:rPr>
        <w:t>etermined that they were all operating leases. The present values of the remaining lease payments and corresponding right-of-use assets were as follows, and the difference between the right-of-use assets and lease liabilities amounts was due to deferred re</w:t>
      </w:r>
      <w:r>
        <w:rPr>
          <w:sz w:val="20"/>
          <w:szCs w:val="20"/>
        </w:rPr>
        <w:t>nt payments that are payable in future periods.</w:t>
      </w:r>
    </w:p>
    <w:p w14:paraId="41A49EAD" w14:textId="77777777" w:rsidR="00000000" w:rsidRDefault="00097612">
      <w:pPr>
        <w:pStyle w:val="a3"/>
        <w:spacing w:before="0" w:beforeAutospacing="0" w:after="0" w:afterAutospacing="0"/>
        <w:divId w:val="566841183"/>
        <w:rPr>
          <w:sz w:val="20"/>
          <w:szCs w:val="20"/>
        </w:rPr>
      </w:pPr>
      <w:r>
        <w:rPr>
          <w:b/>
          <w:bCs/>
          <w:i/>
          <w:iCs/>
          <w:sz w:val="20"/>
          <w:szCs w:val="20"/>
          <w:u w:val="single"/>
        </w:rPr>
        <w:t>​</w:t>
      </w:r>
    </w:p>
    <w:tbl>
      <w:tblPr>
        <w:tblW w:w="5000" w:type="pct"/>
        <w:tblCellMar>
          <w:top w:w="15" w:type="dxa"/>
          <w:left w:w="0" w:type="dxa"/>
          <w:bottom w:w="15" w:type="dxa"/>
          <w:right w:w="0" w:type="dxa"/>
        </w:tblCellMar>
        <w:tblLook w:val="04A0" w:firstRow="1" w:lastRow="0" w:firstColumn="1" w:lastColumn="0" w:noHBand="0" w:noVBand="1"/>
      </w:tblPr>
      <w:tblGrid>
        <w:gridCol w:w="3262"/>
        <w:gridCol w:w="3262"/>
        <w:gridCol w:w="222"/>
        <w:gridCol w:w="268"/>
        <w:gridCol w:w="1070"/>
        <w:gridCol w:w="222"/>
      </w:tblGrid>
      <w:tr w:rsidR="00000000" w14:paraId="4293876A" w14:textId="77777777">
        <w:trPr>
          <w:divId w:val="566841183"/>
          <w:trHeight w:val="20"/>
        </w:trPr>
        <w:tc>
          <w:tcPr>
            <w:tcW w:w="1978" w:type="pct"/>
            <w:noWrap/>
            <w:tcMar>
              <w:top w:w="0" w:type="dxa"/>
              <w:left w:w="0" w:type="dxa"/>
              <w:bottom w:w="0" w:type="dxa"/>
              <w:right w:w="0" w:type="dxa"/>
            </w:tcMar>
            <w:vAlign w:val="bottom"/>
            <w:hideMark/>
          </w:tcPr>
          <w:p w14:paraId="63683D2B" w14:textId="77777777" w:rsidR="00000000" w:rsidRDefault="00097612">
            <w:pPr>
              <w:pStyle w:val="a3"/>
              <w:spacing w:before="0" w:beforeAutospacing="0" w:after="0" w:afterAutospacing="0"/>
              <w:divId w:val="1212502255"/>
              <w:rPr>
                <w:sz w:val="20"/>
                <w:szCs w:val="20"/>
              </w:rPr>
            </w:pPr>
            <w:r>
              <w:rPr>
                <w:sz w:val="2"/>
                <w:szCs w:val="2"/>
              </w:rPr>
              <w:t>​</w:t>
            </w:r>
          </w:p>
        </w:tc>
        <w:tc>
          <w:tcPr>
            <w:tcW w:w="1978" w:type="pct"/>
            <w:tcMar>
              <w:top w:w="0" w:type="dxa"/>
              <w:left w:w="0" w:type="dxa"/>
              <w:bottom w:w="0" w:type="dxa"/>
              <w:right w:w="0" w:type="dxa"/>
            </w:tcMar>
            <w:vAlign w:val="bottom"/>
            <w:hideMark/>
          </w:tcPr>
          <w:p w14:paraId="30FF9129" w14:textId="77777777" w:rsidR="00000000" w:rsidRDefault="00097612">
            <w:pPr>
              <w:pStyle w:val="a3"/>
              <w:spacing w:before="0" w:beforeAutospacing="0" w:after="0" w:afterAutospacing="0"/>
              <w:divId w:val="1711488229"/>
              <w:rPr>
                <w:sz w:val="20"/>
                <w:szCs w:val="20"/>
              </w:rPr>
            </w:pPr>
            <w:r>
              <w:rPr>
                <w:sz w:val="2"/>
                <w:szCs w:val="2"/>
              </w:rPr>
              <w:t>​</w:t>
            </w:r>
          </w:p>
        </w:tc>
        <w:tc>
          <w:tcPr>
            <w:tcW w:w="149" w:type="pct"/>
            <w:noWrap/>
            <w:tcMar>
              <w:top w:w="0" w:type="dxa"/>
              <w:left w:w="0" w:type="dxa"/>
              <w:bottom w:w="0" w:type="dxa"/>
              <w:right w:w="0" w:type="dxa"/>
            </w:tcMar>
            <w:vAlign w:val="bottom"/>
            <w:hideMark/>
          </w:tcPr>
          <w:p w14:paraId="57709302" w14:textId="77777777" w:rsidR="00000000" w:rsidRDefault="00097612">
            <w:pPr>
              <w:pStyle w:val="a3"/>
              <w:spacing w:before="0" w:beforeAutospacing="0" w:after="0" w:afterAutospacing="0"/>
              <w:divId w:val="322977676"/>
              <w:rPr>
                <w:sz w:val="20"/>
                <w:szCs w:val="20"/>
              </w:rPr>
            </w:pPr>
            <w:r>
              <w:rPr>
                <w:sz w:val="2"/>
                <w:szCs w:val="2"/>
              </w:rPr>
              <w:t>​</w:t>
            </w:r>
          </w:p>
        </w:tc>
        <w:tc>
          <w:tcPr>
            <w:tcW w:w="149" w:type="pct"/>
            <w:noWrap/>
            <w:tcMar>
              <w:top w:w="0" w:type="dxa"/>
              <w:left w:w="0" w:type="dxa"/>
              <w:bottom w:w="0" w:type="dxa"/>
              <w:right w:w="0" w:type="dxa"/>
            </w:tcMar>
            <w:vAlign w:val="bottom"/>
            <w:hideMark/>
          </w:tcPr>
          <w:p w14:paraId="14C487A6" w14:textId="77777777" w:rsidR="00000000" w:rsidRDefault="00097612">
            <w:pPr>
              <w:pStyle w:val="a3"/>
              <w:spacing w:before="0" w:beforeAutospacing="0" w:after="0" w:afterAutospacing="0"/>
              <w:divId w:val="1018893254"/>
              <w:rPr>
                <w:sz w:val="20"/>
                <w:szCs w:val="20"/>
              </w:rPr>
            </w:pPr>
            <w:r>
              <w:rPr>
                <w:sz w:val="2"/>
                <w:szCs w:val="2"/>
              </w:rPr>
              <w:t>​</w:t>
            </w:r>
          </w:p>
        </w:tc>
        <w:tc>
          <w:tcPr>
            <w:tcW w:w="594" w:type="pct"/>
            <w:noWrap/>
            <w:tcMar>
              <w:top w:w="0" w:type="dxa"/>
              <w:left w:w="0" w:type="dxa"/>
              <w:bottom w:w="0" w:type="dxa"/>
              <w:right w:w="0" w:type="dxa"/>
            </w:tcMar>
            <w:vAlign w:val="bottom"/>
            <w:hideMark/>
          </w:tcPr>
          <w:p w14:paraId="5294AF90" w14:textId="77777777" w:rsidR="00000000" w:rsidRDefault="00097612">
            <w:pPr>
              <w:pStyle w:val="a3"/>
              <w:spacing w:before="0" w:beforeAutospacing="0" w:after="0" w:afterAutospacing="0"/>
              <w:divId w:val="744571232"/>
              <w:rPr>
                <w:sz w:val="20"/>
                <w:szCs w:val="20"/>
              </w:rPr>
            </w:pPr>
            <w:r>
              <w:rPr>
                <w:sz w:val="2"/>
                <w:szCs w:val="2"/>
              </w:rPr>
              <w:t>​</w:t>
            </w:r>
          </w:p>
        </w:tc>
        <w:tc>
          <w:tcPr>
            <w:tcW w:w="149" w:type="pct"/>
            <w:noWrap/>
            <w:tcMar>
              <w:top w:w="0" w:type="dxa"/>
              <w:left w:w="0" w:type="dxa"/>
              <w:bottom w:w="0" w:type="dxa"/>
              <w:right w:w="0" w:type="dxa"/>
            </w:tcMar>
            <w:vAlign w:val="bottom"/>
            <w:hideMark/>
          </w:tcPr>
          <w:p w14:paraId="2D20135C" w14:textId="77777777" w:rsidR="00000000" w:rsidRDefault="00097612">
            <w:pPr>
              <w:pStyle w:val="a3"/>
              <w:spacing w:before="0" w:beforeAutospacing="0" w:after="0" w:afterAutospacing="0"/>
              <w:divId w:val="645091964"/>
              <w:rPr>
                <w:sz w:val="20"/>
                <w:szCs w:val="20"/>
              </w:rPr>
            </w:pPr>
            <w:r>
              <w:rPr>
                <w:sz w:val="2"/>
                <w:szCs w:val="2"/>
              </w:rPr>
              <w:t>​</w:t>
            </w:r>
          </w:p>
        </w:tc>
      </w:tr>
      <w:tr w:rsidR="00000000" w14:paraId="004C89ED" w14:textId="77777777">
        <w:trPr>
          <w:divId w:val="566841183"/>
        </w:trPr>
        <w:tc>
          <w:tcPr>
            <w:tcW w:w="1978" w:type="pct"/>
            <w:shd w:val="clear" w:color="auto" w:fill="auto"/>
            <w:tcMar>
              <w:top w:w="0" w:type="dxa"/>
              <w:left w:w="0" w:type="dxa"/>
              <w:bottom w:w="0" w:type="dxa"/>
              <w:right w:w="0" w:type="dxa"/>
            </w:tcMar>
            <w:vAlign w:val="bottom"/>
            <w:hideMark/>
          </w:tcPr>
          <w:p w14:paraId="30BEC2ED" w14:textId="77777777" w:rsidR="00000000" w:rsidRDefault="00097612">
            <w:pPr>
              <w:pStyle w:val="a3"/>
              <w:spacing w:before="0" w:beforeAutospacing="0" w:after="0" w:afterAutospacing="0"/>
              <w:rPr>
                <w:sz w:val="16"/>
                <w:szCs w:val="16"/>
              </w:rPr>
            </w:pPr>
            <w:r>
              <w:rPr>
                <w:b/>
                <w:bCs/>
                <w:sz w:val="16"/>
                <w:szCs w:val="16"/>
                <w:u w:val="single"/>
              </w:rPr>
              <w:t>(In thousands)</w:t>
            </w:r>
          </w:p>
        </w:tc>
        <w:tc>
          <w:tcPr>
            <w:tcW w:w="1978" w:type="pct"/>
            <w:shd w:val="clear" w:color="auto" w:fill="auto"/>
            <w:tcMar>
              <w:top w:w="0" w:type="dxa"/>
              <w:left w:w="0" w:type="dxa"/>
              <w:bottom w:w="0" w:type="dxa"/>
              <w:right w:w="0" w:type="dxa"/>
            </w:tcMar>
            <w:vAlign w:val="bottom"/>
            <w:hideMark/>
          </w:tcPr>
          <w:p w14:paraId="2148DAA3" w14:textId="77777777" w:rsidR="00000000" w:rsidRDefault="00097612">
            <w:pPr>
              <w:pStyle w:val="a3"/>
              <w:spacing w:before="0" w:beforeAutospacing="0" w:after="0" w:afterAutospacing="0"/>
              <w:rPr>
                <w:sz w:val="16"/>
                <w:szCs w:val="16"/>
              </w:rPr>
            </w:pPr>
            <w:r>
              <w:rPr>
                <w:b/>
                <w:bCs/>
                <w:sz w:val="16"/>
                <w:szCs w:val="16"/>
                <w:u w:val="single"/>
              </w:rPr>
              <w:t>Classification</w:t>
            </w:r>
          </w:p>
        </w:tc>
        <w:tc>
          <w:tcPr>
            <w:tcW w:w="149" w:type="pct"/>
            <w:shd w:val="clear" w:color="auto" w:fill="auto"/>
            <w:noWrap/>
            <w:tcMar>
              <w:top w:w="0" w:type="dxa"/>
              <w:left w:w="0" w:type="dxa"/>
              <w:bottom w:w="0" w:type="dxa"/>
              <w:right w:w="0" w:type="dxa"/>
            </w:tcMar>
            <w:vAlign w:val="bottom"/>
            <w:hideMark/>
          </w:tcPr>
          <w:p w14:paraId="02F85F35" w14:textId="77777777" w:rsidR="00000000" w:rsidRDefault="00097612">
            <w:pPr>
              <w:pStyle w:val="a3"/>
              <w:spacing w:before="0" w:beforeAutospacing="0" w:after="0" w:afterAutospacing="0"/>
              <w:rPr>
                <w:sz w:val="16"/>
                <w:szCs w:val="16"/>
              </w:rPr>
            </w:pPr>
            <w:r>
              <w:rPr>
                <w:b/>
                <w:bCs/>
                <w:sz w:val="16"/>
                <w:szCs w:val="16"/>
              </w:rPr>
              <w:t>    </w:t>
            </w:r>
          </w:p>
        </w:tc>
        <w:tc>
          <w:tcPr>
            <w:tcW w:w="744" w:type="pct"/>
            <w:gridSpan w:val="2"/>
            <w:tcBorders>
              <w:bottom w:val="single" w:sz="6" w:space="0" w:color="000000"/>
            </w:tcBorders>
            <w:shd w:val="clear" w:color="auto" w:fill="auto"/>
            <w:noWrap/>
            <w:tcMar>
              <w:top w:w="0" w:type="dxa"/>
              <w:left w:w="0" w:type="dxa"/>
              <w:bottom w:w="0" w:type="dxa"/>
              <w:right w:w="0" w:type="dxa"/>
            </w:tcMar>
            <w:vAlign w:val="bottom"/>
            <w:hideMark/>
          </w:tcPr>
          <w:p w14:paraId="0D692C61" w14:textId="77777777" w:rsidR="00000000" w:rsidRDefault="00097612">
            <w:pPr>
              <w:pStyle w:val="a3"/>
              <w:spacing w:before="0" w:beforeAutospacing="0" w:after="0" w:afterAutospacing="0"/>
              <w:jc w:val="center"/>
              <w:rPr>
                <w:sz w:val="16"/>
                <w:szCs w:val="16"/>
              </w:rPr>
            </w:pPr>
            <w:r>
              <w:rPr>
                <w:b/>
                <w:bCs/>
                <w:sz w:val="16"/>
                <w:szCs w:val="16"/>
              </w:rPr>
              <w:t>September 30, 2019</w:t>
            </w:r>
          </w:p>
        </w:tc>
        <w:tc>
          <w:tcPr>
            <w:tcW w:w="149" w:type="pct"/>
            <w:shd w:val="clear" w:color="auto" w:fill="auto"/>
            <w:noWrap/>
            <w:tcMar>
              <w:top w:w="0" w:type="dxa"/>
              <w:left w:w="0" w:type="dxa"/>
              <w:bottom w:w="0" w:type="dxa"/>
              <w:right w:w="0" w:type="dxa"/>
            </w:tcMar>
            <w:vAlign w:val="bottom"/>
            <w:hideMark/>
          </w:tcPr>
          <w:p w14:paraId="16D83A98" w14:textId="77777777" w:rsidR="00000000" w:rsidRDefault="00097612">
            <w:pPr>
              <w:pStyle w:val="a3"/>
              <w:spacing w:before="0" w:beforeAutospacing="0" w:after="0" w:afterAutospacing="0"/>
              <w:rPr>
                <w:sz w:val="16"/>
                <w:szCs w:val="16"/>
              </w:rPr>
            </w:pPr>
            <w:r>
              <w:rPr>
                <w:b/>
                <w:bCs/>
                <w:sz w:val="16"/>
                <w:szCs w:val="16"/>
              </w:rPr>
              <w:t>    </w:t>
            </w:r>
          </w:p>
        </w:tc>
      </w:tr>
      <w:tr w:rsidR="00000000" w14:paraId="53E99354" w14:textId="77777777">
        <w:trPr>
          <w:divId w:val="566841183"/>
        </w:trPr>
        <w:tc>
          <w:tcPr>
            <w:tcW w:w="1978" w:type="pct"/>
            <w:shd w:val="clear" w:color="auto" w:fill="auto"/>
            <w:noWrap/>
            <w:tcMar>
              <w:top w:w="0" w:type="dxa"/>
              <w:left w:w="0" w:type="dxa"/>
              <w:bottom w:w="0" w:type="dxa"/>
              <w:right w:w="0" w:type="dxa"/>
            </w:tcMar>
            <w:vAlign w:val="bottom"/>
            <w:hideMark/>
          </w:tcPr>
          <w:p w14:paraId="1353FF20" w14:textId="77777777" w:rsidR="00000000" w:rsidRDefault="00097612">
            <w:pPr>
              <w:pStyle w:val="a3"/>
              <w:spacing w:before="0" w:beforeAutospacing="0" w:after="0" w:afterAutospacing="0"/>
              <w:rPr>
                <w:sz w:val="20"/>
                <w:szCs w:val="20"/>
              </w:rPr>
            </w:pPr>
            <w:r>
              <w:rPr>
                <w:sz w:val="20"/>
                <w:szCs w:val="20"/>
                <w:u w:val="single"/>
              </w:rPr>
              <w:t>Asset</w:t>
            </w:r>
            <w:r>
              <w:rPr>
                <w:sz w:val="20"/>
                <w:szCs w:val="20"/>
                <w:u w:val="single"/>
              </w:rPr>
              <w:t>s</w:t>
            </w:r>
          </w:p>
        </w:tc>
        <w:tc>
          <w:tcPr>
            <w:tcW w:w="1978" w:type="pct"/>
            <w:shd w:val="clear" w:color="auto" w:fill="auto"/>
            <w:tcMar>
              <w:top w:w="0" w:type="dxa"/>
              <w:left w:w="0" w:type="dxa"/>
              <w:bottom w:w="0" w:type="dxa"/>
              <w:right w:w="0" w:type="dxa"/>
            </w:tcMar>
            <w:vAlign w:val="bottom"/>
            <w:hideMark/>
          </w:tcPr>
          <w:p w14:paraId="186F20AE" w14:textId="77777777" w:rsidR="00000000" w:rsidRDefault="00097612">
            <w:pPr>
              <w:pStyle w:val="a3"/>
              <w:spacing w:before="0" w:beforeAutospacing="0" w:after="0" w:afterAutospacing="0"/>
              <w:rPr>
                <w:sz w:val="20"/>
                <w:szCs w:val="20"/>
              </w:rPr>
            </w:pPr>
            <w:r>
              <w:rPr>
                <w:b/>
                <w:bCs/>
                <w:sz w:val="20"/>
                <w:szCs w:val="20"/>
              </w:rPr>
              <w:t>​</w:t>
            </w:r>
          </w:p>
        </w:tc>
        <w:tc>
          <w:tcPr>
            <w:tcW w:w="149" w:type="pct"/>
            <w:shd w:val="clear" w:color="auto" w:fill="auto"/>
            <w:noWrap/>
            <w:tcMar>
              <w:top w:w="0" w:type="dxa"/>
              <w:left w:w="0" w:type="dxa"/>
              <w:bottom w:w="0" w:type="dxa"/>
              <w:right w:w="0" w:type="dxa"/>
            </w:tcMar>
            <w:vAlign w:val="bottom"/>
            <w:hideMark/>
          </w:tcPr>
          <w:p w14:paraId="7A4581F0" w14:textId="77777777" w:rsidR="00000000" w:rsidRDefault="00097612">
            <w:pPr>
              <w:pStyle w:val="a3"/>
              <w:spacing w:before="0" w:beforeAutospacing="0" w:after="0" w:afterAutospacing="0"/>
              <w:rPr>
                <w:sz w:val="20"/>
                <w:szCs w:val="20"/>
              </w:rPr>
            </w:pPr>
            <w:r>
              <w:rPr>
                <w:b/>
                <w:bCs/>
                <w:sz w:val="16"/>
                <w:szCs w:val="16"/>
              </w:rPr>
              <w:t>​</w:t>
            </w:r>
          </w:p>
        </w:tc>
        <w:tc>
          <w:tcPr>
            <w:tcW w:w="149" w:type="pct"/>
            <w:shd w:val="clear" w:color="auto" w:fill="auto"/>
            <w:noWrap/>
            <w:tcMar>
              <w:top w:w="0" w:type="dxa"/>
              <w:left w:w="0" w:type="dxa"/>
              <w:bottom w:w="0" w:type="dxa"/>
              <w:right w:w="0" w:type="dxa"/>
            </w:tcMar>
            <w:vAlign w:val="bottom"/>
            <w:hideMark/>
          </w:tcPr>
          <w:p w14:paraId="5796D891" w14:textId="77777777" w:rsidR="00000000" w:rsidRDefault="00097612">
            <w:pPr>
              <w:pStyle w:val="a3"/>
              <w:spacing w:before="0" w:beforeAutospacing="0" w:after="0" w:afterAutospacing="0"/>
              <w:jc w:val="center"/>
              <w:rPr>
                <w:sz w:val="20"/>
                <w:szCs w:val="20"/>
              </w:rPr>
            </w:pPr>
            <w:r>
              <w:rPr>
                <w:b/>
                <w:bCs/>
                <w:sz w:val="16"/>
                <w:szCs w:val="16"/>
              </w:rPr>
              <w:t>​</w:t>
            </w:r>
          </w:p>
        </w:tc>
        <w:tc>
          <w:tcPr>
            <w:tcW w:w="594" w:type="pct"/>
            <w:shd w:val="clear" w:color="auto" w:fill="auto"/>
            <w:noWrap/>
            <w:tcMar>
              <w:top w:w="0" w:type="dxa"/>
              <w:left w:w="0" w:type="dxa"/>
              <w:bottom w:w="0" w:type="dxa"/>
              <w:right w:w="0" w:type="dxa"/>
            </w:tcMar>
            <w:vAlign w:val="bottom"/>
            <w:hideMark/>
          </w:tcPr>
          <w:p w14:paraId="50FF12CF" w14:textId="77777777" w:rsidR="00000000" w:rsidRDefault="00097612">
            <w:pPr>
              <w:pStyle w:val="a3"/>
              <w:spacing w:before="0" w:beforeAutospacing="0" w:after="0" w:afterAutospacing="0"/>
              <w:jc w:val="center"/>
              <w:rPr>
                <w:sz w:val="20"/>
                <w:szCs w:val="20"/>
              </w:rPr>
            </w:pPr>
            <w:r>
              <w:rPr>
                <w:b/>
                <w:bCs/>
                <w:sz w:val="16"/>
                <w:szCs w:val="16"/>
              </w:rPr>
              <w:t>​</w:t>
            </w:r>
          </w:p>
        </w:tc>
        <w:tc>
          <w:tcPr>
            <w:tcW w:w="149" w:type="pct"/>
            <w:shd w:val="clear" w:color="auto" w:fill="auto"/>
            <w:noWrap/>
            <w:tcMar>
              <w:top w:w="0" w:type="dxa"/>
              <w:left w:w="0" w:type="dxa"/>
              <w:bottom w:w="0" w:type="dxa"/>
              <w:right w:w="0" w:type="dxa"/>
            </w:tcMar>
            <w:vAlign w:val="bottom"/>
            <w:hideMark/>
          </w:tcPr>
          <w:p w14:paraId="64816AC2" w14:textId="77777777" w:rsidR="00000000" w:rsidRDefault="00097612">
            <w:pPr>
              <w:pStyle w:val="a3"/>
              <w:spacing w:before="0" w:beforeAutospacing="0" w:after="0" w:afterAutospacing="0"/>
              <w:rPr>
                <w:sz w:val="20"/>
                <w:szCs w:val="20"/>
              </w:rPr>
            </w:pPr>
            <w:r>
              <w:rPr>
                <w:b/>
                <w:bCs/>
                <w:sz w:val="16"/>
                <w:szCs w:val="16"/>
              </w:rPr>
              <w:t>​</w:t>
            </w:r>
          </w:p>
        </w:tc>
      </w:tr>
      <w:tr w:rsidR="00000000" w14:paraId="2D2752F5" w14:textId="77777777">
        <w:trPr>
          <w:divId w:val="566841183"/>
        </w:trPr>
        <w:tc>
          <w:tcPr>
            <w:tcW w:w="1978" w:type="pct"/>
            <w:shd w:val="clear" w:color="auto" w:fill="CCEEFF"/>
            <w:tcMar>
              <w:top w:w="0" w:type="dxa"/>
              <w:left w:w="0" w:type="dxa"/>
              <w:bottom w:w="0" w:type="dxa"/>
              <w:right w:w="0" w:type="dxa"/>
            </w:tcMar>
            <w:vAlign w:val="bottom"/>
            <w:hideMark/>
          </w:tcPr>
          <w:p w14:paraId="42C5EB36" w14:textId="77777777" w:rsidR="00000000" w:rsidRDefault="00097612">
            <w:pPr>
              <w:pStyle w:val="a3"/>
              <w:spacing w:before="0" w:beforeAutospacing="0" w:after="0" w:afterAutospacing="0"/>
              <w:rPr>
                <w:sz w:val="20"/>
                <w:szCs w:val="20"/>
              </w:rPr>
            </w:pPr>
            <w:r>
              <w:rPr>
                <w:sz w:val="20"/>
                <w:szCs w:val="20"/>
              </w:rPr>
              <w:t>Operating lease asset</w:t>
            </w:r>
            <w:r>
              <w:rPr>
                <w:sz w:val="20"/>
                <w:szCs w:val="20"/>
              </w:rPr>
              <w:t>s</w:t>
            </w:r>
          </w:p>
        </w:tc>
        <w:tc>
          <w:tcPr>
            <w:tcW w:w="1978" w:type="pct"/>
            <w:shd w:val="clear" w:color="auto" w:fill="CCEEFF"/>
            <w:tcMar>
              <w:top w:w="0" w:type="dxa"/>
              <w:left w:w="0" w:type="dxa"/>
              <w:bottom w:w="0" w:type="dxa"/>
              <w:right w:w="0" w:type="dxa"/>
            </w:tcMar>
            <w:vAlign w:val="bottom"/>
            <w:hideMark/>
          </w:tcPr>
          <w:p w14:paraId="3DDD4D76" w14:textId="77777777" w:rsidR="00000000" w:rsidRDefault="00097612">
            <w:pPr>
              <w:pStyle w:val="a3"/>
              <w:spacing w:before="0" w:beforeAutospacing="0" w:after="0" w:afterAutospacing="0"/>
              <w:rPr>
                <w:sz w:val="20"/>
                <w:szCs w:val="20"/>
              </w:rPr>
            </w:pPr>
            <w:r>
              <w:rPr>
                <w:sz w:val="20"/>
                <w:szCs w:val="20"/>
              </w:rPr>
              <w:t>Operating lease assets</w:t>
            </w:r>
          </w:p>
        </w:tc>
        <w:tc>
          <w:tcPr>
            <w:tcW w:w="149" w:type="pct"/>
            <w:shd w:val="clear" w:color="auto" w:fill="CCEEFF"/>
            <w:noWrap/>
            <w:tcMar>
              <w:top w:w="0" w:type="dxa"/>
              <w:left w:w="0" w:type="dxa"/>
              <w:bottom w:w="0" w:type="dxa"/>
              <w:right w:w="0" w:type="dxa"/>
            </w:tcMar>
            <w:vAlign w:val="bottom"/>
            <w:hideMark/>
          </w:tcPr>
          <w:p w14:paraId="6DF16F59" w14:textId="77777777" w:rsidR="00000000" w:rsidRDefault="00097612">
            <w:pPr>
              <w:pStyle w:val="a3"/>
              <w:spacing w:before="0" w:beforeAutospacing="0" w:after="0" w:afterAutospacing="0"/>
              <w:rPr>
                <w:sz w:val="20"/>
                <w:szCs w:val="20"/>
              </w:rPr>
            </w:pPr>
            <w:r>
              <w:rPr>
                <w:sz w:val="20"/>
                <w:szCs w:val="20"/>
              </w:rPr>
              <w:t>​</w:t>
            </w:r>
          </w:p>
        </w:tc>
        <w:tc>
          <w:tcPr>
            <w:tcW w:w="149" w:type="pct"/>
            <w:tcBorders>
              <w:bottom w:val="double" w:sz="6" w:space="0" w:color="000000"/>
            </w:tcBorders>
            <w:shd w:val="clear" w:color="auto" w:fill="CCEEFF"/>
            <w:noWrap/>
            <w:tcMar>
              <w:top w:w="0" w:type="dxa"/>
              <w:left w:w="0" w:type="dxa"/>
              <w:bottom w:w="0" w:type="dxa"/>
              <w:right w:w="0" w:type="dxa"/>
            </w:tcMar>
            <w:vAlign w:val="bottom"/>
            <w:hideMark/>
          </w:tcPr>
          <w:p w14:paraId="62498E1C" w14:textId="77777777" w:rsidR="00000000" w:rsidRDefault="00097612">
            <w:pPr>
              <w:pStyle w:val="a3"/>
              <w:spacing w:before="0" w:beforeAutospacing="0" w:after="0" w:afterAutospacing="0"/>
              <w:jc w:val="center"/>
              <w:rPr>
                <w:sz w:val="20"/>
                <w:szCs w:val="20"/>
              </w:rPr>
            </w:pPr>
            <w:r>
              <w:rPr>
                <w:sz w:val="20"/>
                <w:szCs w:val="20"/>
              </w:rPr>
              <w:t>$</w:t>
            </w:r>
          </w:p>
        </w:tc>
        <w:tc>
          <w:tcPr>
            <w:tcW w:w="594" w:type="pct"/>
            <w:tcBorders>
              <w:bottom w:val="double" w:sz="6" w:space="0" w:color="000000"/>
            </w:tcBorders>
            <w:shd w:val="clear" w:color="auto" w:fill="CCEEFF"/>
            <w:noWrap/>
            <w:tcMar>
              <w:top w:w="0" w:type="dxa"/>
              <w:left w:w="0" w:type="dxa"/>
              <w:bottom w:w="0" w:type="dxa"/>
              <w:right w:w="0" w:type="dxa"/>
            </w:tcMar>
            <w:vAlign w:val="center"/>
            <w:hideMark/>
          </w:tcPr>
          <w:p w14:paraId="3ADDADDA" w14:textId="77777777" w:rsidR="00000000" w:rsidRDefault="00097612">
            <w:pPr>
              <w:pStyle w:val="a3"/>
              <w:spacing w:before="0" w:beforeAutospacing="0" w:after="0" w:afterAutospacing="0"/>
              <w:ind w:right="60"/>
              <w:jc w:val="right"/>
              <w:rPr>
                <w:sz w:val="20"/>
                <w:szCs w:val="20"/>
              </w:rPr>
            </w:pPr>
            <w:r>
              <w:rPr>
                <w:sz w:val="20"/>
                <w:szCs w:val="20"/>
              </w:rPr>
              <w:t>46,755</w:t>
            </w:r>
          </w:p>
        </w:tc>
        <w:tc>
          <w:tcPr>
            <w:tcW w:w="149" w:type="pct"/>
            <w:shd w:val="clear" w:color="auto" w:fill="CCEEFF"/>
            <w:noWrap/>
            <w:tcMar>
              <w:top w:w="0" w:type="dxa"/>
              <w:left w:w="0" w:type="dxa"/>
              <w:bottom w:w="0" w:type="dxa"/>
              <w:right w:w="0" w:type="dxa"/>
            </w:tcMar>
            <w:vAlign w:val="bottom"/>
            <w:hideMark/>
          </w:tcPr>
          <w:p w14:paraId="65634A54" w14:textId="77777777" w:rsidR="00000000" w:rsidRDefault="00097612">
            <w:pPr>
              <w:pStyle w:val="a3"/>
              <w:spacing w:before="0" w:beforeAutospacing="0" w:after="0" w:afterAutospacing="0"/>
              <w:rPr>
                <w:sz w:val="20"/>
                <w:szCs w:val="20"/>
              </w:rPr>
            </w:pPr>
            <w:r>
              <w:rPr>
                <w:sz w:val="20"/>
                <w:szCs w:val="20"/>
              </w:rPr>
              <w:t>​</w:t>
            </w:r>
          </w:p>
        </w:tc>
      </w:tr>
      <w:tr w:rsidR="00000000" w14:paraId="49916B41" w14:textId="77777777">
        <w:trPr>
          <w:divId w:val="566841183"/>
        </w:trPr>
        <w:tc>
          <w:tcPr>
            <w:tcW w:w="1978" w:type="pct"/>
            <w:noWrap/>
            <w:tcMar>
              <w:top w:w="0" w:type="dxa"/>
              <w:left w:w="0" w:type="dxa"/>
              <w:bottom w:w="0" w:type="dxa"/>
              <w:right w:w="0" w:type="dxa"/>
            </w:tcMar>
            <w:vAlign w:val="bottom"/>
            <w:hideMark/>
          </w:tcPr>
          <w:p w14:paraId="58A63DB2" w14:textId="77777777" w:rsidR="00000000" w:rsidRDefault="00097612">
            <w:pPr>
              <w:pStyle w:val="a3"/>
              <w:spacing w:before="0" w:beforeAutospacing="0" w:after="0" w:afterAutospacing="0"/>
              <w:rPr>
                <w:sz w:val="20"/>
                <w:szCs w:val="20"/>
              </w:rPr>
            </w:pPr>
            <w:r>
              <w:rPr>
                <w:sz w:val="22"/>
                <w:szCs w:val="22"/>
              </w:rPr>
              <w:t>​</w:t>
            </w:r>
          </w:p>
        </w:tc>
        <w:tc>
          <w:tcPr>
            <w:tcW w:w="1978" w:type="pct"/>
            <w:noWrap/>
            <w:tcMar>
              <w:top w:w="0" w:type="dxa"/>
              <w:left w:w="0" w:type="dxa"/>
              <w:bottom w:w="0" w:type="dxa"/>
              <w:right w:w="0" w:type="dxa"/>
            </w:tcMar>
            <w:vAlign w:val="bottom"/>
            <w:hideMark/>
          </w:tcPr>
          <w:p w14:paraId="7C99B472" w14:textId="77777777" w:rsidR="00000000" w:rsidRDefault="00097612">
            <w:pPr>
              <w:pStyle w:val="a3"/>
              <w:spacing w:before="0" w:beforeAutospacing="0" w:after="0" w:afterAutospacing="0"/>
              <w:rPr>
                <w:sz w:val="20"/>
                <w:szCs w:val="20"/>
              </w:rPr>
            </w:pPr>
            <w:r>
              <w:rPr>
                <w:sz w:val="22"/>
                <w:szCs w:val="22"/>
              </w:rPr>
              <w:t>​</w:t>
            </w:r>
          </w:p>
        </w:tc>
        <w:tc>
          <w:tcPr>
            <w:tcW w:w="149" w:type="pct"/>
            <w:noWrap/>
            <w:tcMar>
              <w:top w:w="0" w:type="dxa"/>
              <w:left w:w="0" w:type="dxa"/>
              <w:bottom w:w="0" w:type="dxa"/>
              <w:right w:w="0" w:type="dxa"/>
            </w:tcMar>
            <w:vAlign w:val="bottom"/>
            <w:hideMark/>
          </w:tcPr>
          <w:p w14:paraId="2FAC7100" w14:textId="77777777" w:rsidR="00000000" w:rsidRDefault="00097612">
            <w:pPr>
              <w:pStyle w:val="a3"/>
              <w:spacing w:before="0" w:beforeAutospacing="0" w:after="0" w:afterAutospacing="0"/>
              <w:rPr>
                <w:sz w:val="20"/>
                <w:szCs w:val="20"/>
              </w:rPr>
            </w:pPr>
            <w:r>
              <w:rPr>
                <w:sz w:val="22"/>
                <w:szCs w:val="22"/>
              </w:rPr>
              <w:t>​</w:t>
            </w:r>
          </w:p>
        </w:tc>
        <w:tc>
          <w:tcPr>
            <w:tcW w:w="149" w:type="pct"/>
            <w:noWrap/>
            <w:tcMar>
              <w:top w:w="0" w:type="dxa"/>
              <w:left w:w="0" w:type="dxa"/>
              <w:bottom w:w="0" w:type="dxa"/>
              <w:right w:w="0" w:type="dxa"/>
            </w:tcMar>
            <w:vAlign w:val="bottom"/>
            <w:hideMark/>
          </w:tcPr>
          <w:p w14:paraId="0577E2F2" w14:textId="77777777" w:rsidR="00000000" w:rsidRDefault="00097612">
            <w:pPr>
              <w:pStyle w:val="a3"/>
              <w:spacing w:before="0" w:beforeAutospacing="0" w:after="0" w:afterAutospacing="0"/>
              <w:jc w:val="center"/>
              <w:rPr>
                <w:sz w:val="20"/>
                <w:szCs w:val="20"/>
              </w:rPr>
            </w:pPr>
            <w:r>
              <w:rPr>
                <w:sz w:val="22"/>
                <w:szCs w:val="22"/>
              </w:rPr>
              <w:t>​</w:t>
            </w:r>
          </w:p>
        </w:tc>
        <w:tc>
          <w:tcPr>
            <w:tcW w:w="594" w:type="pct"/>
            <w:noWrap/>
            <w:tcMar>
              <w:top w:w="0" w:type="dxa"/>
              <w:left w:w="0" w:type="dxa"/>
              <w:bottom w:w="0" w:type="dxa"/>
              <w:right w:w="0" w:type="dxa"/>
            </w:tcMar>
            <w:vAlign w:val="bottom"/>
            <w:hideMark/>
          </w:tcPr>
          <w:p w14:paraId="634A1E80" w14:textId="77777777" w:rsidR="00000000" w:rsidRDefault="00097612">
            <w:pPr>
              <w:pStyle w:val="a3"/>
              <w:spacing w:before="0" w:beforeAutospacing="0" w:after="0" w:afterAutospacing="0"/>
              <w:rPr>
                <w:sz w:val="20"/>
                <w:szCs w:val="20"/>
              </w:rPr>
            </w:pPr>
            <w:r>
              <w:rPr>
                <w:sz w:val="22"/>
                <w:szCs w:val="22"/>
              </w:rPr>
              <w:t>​</w:t>
            </w:r>
          </w:p>
        </w:tc>
        <w:tc>
          <w:tcPr>
            <w:tcW w:w="149" w:type="pct"/>
            <w:noWrap/>
            <w:tcMar>
              <w:top w:w="0" w:type="dxa"/>
              <w:left w:w="0" w:type="dxa"/>
              <w:bottom w:w="0" w:type="dxa"/>
              <w:right w:w="0" w:type="dxa"/>
            </w:tcMar>
            <w:vAlign w:val="bottom"/>
            <w:hideMark/>
          </w:tcPr>
          <w:p w14:paraId="2D81045F" w14:textId="77777777" w:rsidR="00000000" w:rsidRDefault="00097612">
            <w:pPr>
              <w:pStyle w:val="a3"/>
              <w:spacing w:before="0" w:beforeAutospacing="0" w:after="0" w:afterAutospacing="0"/>
              <w:rPr>
                <w:sz w:val="20"/>
                <w:szCs w:val="20"/>
              </w:rPr>
            </w:pPr>
            <w:r>
              <w:rPr>
                <w:sz w:val="22"/>
                <w:szCs w:val="22"/>
              </w:rPr>
              <w:t>​</w:t>
            </w:r>
          </w:p>
        </w:tc>
      </w:tr>
      <w:tr w:rsidR="00000000" w14:paraId="426AA870" w14:textId="77777777">
        <w:trPr>
          <w:divId w:val="566841183"/>
        </w:trPr>
        <w:tc>
          <w:tcPr>
            <w:tcW w:w="1978" w:type="pct"/>
            <w:noWrap/>
            <w:tcMar>
              <w:top w:w="0" w:type="dxa"/>
              <w:left w:w="0" w:type="dxa"/>
              <w:bottom w:w="0" w:type="dxa"/>
              <w:right w:w="0" w:type="dxa"/>
            </w:tcMar>
            <w:vAlign w:val="bottom"/>
            <w:hideMark/>
          </w:tcPr>
          <w:p w14:paraId="6ACC8609" w14:textId="77777777" w:rsidR="00000000" w:rsidRDefault="00097612">
            <w:pPr>
              <w:pStyle w:val="a3"/>
              <w:spacing w:before="0" w:beforeAutospacing="0" w:after="0" w:afterAutospacing="0"/>
              <w:rPr>
                <w:sz w:val="20"/>
                <w:szCs w:val="20"/>
              </w:rPr>
            </w:pPr>
            <w:r>
              <w:rPr>
                <w:sz w:val="20"/>
                <w:szCs w:val="20"/>
                <w:u w:val="single"/>
              </w:rPr>
              <w:t>Liabilitie</w:t>
            </w:r>
            <w:r>
              <w:rPr>
                <w:sz w:val="20"/>
                <w:szCs w:val="20"/>
                <w:u w:val="single"/>
              </w:rPr>
              <w:t>s</w:t>
            </w:r>
          </w:p>
        </w:tc>
        <w:tc>
          <w:tcPr>
            <w:tcW w:w="1978" w:type="pct"/>
            <w:tcMar>
              <w:top w:w="0" w:type="dxa"/>
              <w:left w:w="0" w:type="dxa"/>
              <w:bottom w:w="0" w:type="dxa"/>
              <w:right w:w="0" w:type="dxa"/>
            </w:tcMar>
            <w:vAlign w:val="bottom"/>
            <w:hideMark/>
          </w:tcPr>
          <w:p w14:paraId="433EF6EA" w14:textId="77777777" w:rsidR="00000000" w:rsidRDefault="00097612">
            <w:pPr>
              <w:pStyle w:val="a3"/>
              <w:spacing w:before="0" w:beforeAutospacing="0" w:after="0" w:afterAutospacing="0"/>
              <w:rPr>
                <w:sz w:val="20"/>
                <w:szCs w:val="20"/>
              </w:rPr>
            </w:pPr>
            <w:r>
              <w:rPr>
                <w:b/>
                <w:bCs/>
                <w:sz w:val="20"/>
                <w:szCs w:val="20"/>
              </w:rPr>
              <w:t>​</w:t>
            </w:r>
          </w:p>
        </w:tc>
        <w:tc>
          <w:tcPr>
            <w:tcW w:w="149" w:type="pct"/>
            <w:noWrap/>
            <w:tcMar>
              <w:top w:w="0" w:type="dxa"/>
              <w:left w:w="0" w:type="dxa"/>
              <w:bottom w:w="0" w:type="dxa"/>
              <w:right w:w="0" w:type="dxa"/>
            </w:tcMar>
            <w:vAlign w:val="bottom"/>
            <w:hideMark/>
          </w:tcPr>
          <w:p w14:paraId="61933B5C" w14:textId="77777777" w:rsidR="00000000" w:rsidRDefault="00097612">
            <w:pPr>
              <w:pStyle w:val="a3"/>
              <w:spacing w:before="0" w:beforeAutospacing="0" w:after="0" w:afterAutospacing="0"/>
              <w:rPr>
                <w:sz w:val="20"/>
                <w:szCs w:val="20"/>
              </w:rPr>
            </w:pPr>
            <w:r>
              <w:rPr>
                <w:b/>
                <w:bCs/>
                <w:sz w:val="16"/>
                <w:szCs w:val="16"/>
              </w:rPr>
              <w:t>​</w:t>
            </w:r>
          </w:p>
        </w:tc>
        <w:tc>
          <w:tcPr>
            <w:tcW w:w="149" w:type="pct"/>
            <w:noWrap/>
            <w:tcMar>
              <w:top w:w="0" w:type="dxa"/>
              <w:left w:w="0" w:type="dxa"/>
              <w:bottom w:w="0" w:type="dxa"/>
              <w:right w:w="0" w:type="dxa"/>
            </w:tcMar>
            <w:vAlign w:val="bottom"/>
            <w:hideMark/>
          </w:tcPr>
          <w:p w14:paraId="685915C8" w14:textId="77777777" w:rsidR="00000000" w:rsidRDefault="00097612">
            <w:pPr>
              <w:pStyle w:val="a3"/>
              <w:spacing w:before="0" w:beforeAutospacing="0" w:after="0" w:afterAutospacing="0"/>
              <w:jc w:val="center"/>
              <w:rPr>
                <w:sz w:val="20"/>
                <w:szCs w:val="20"/>
              </w:rPr>
            </w:pPr>
            <w:r>
              <w:rPr>
                <w:b/>
                <w:bCs/>
                <w:sz w:val="16"/>
                <w:szCs w:val="16"/>
              </w:rPr>
              <w:t>​</w:t>
            </w:r>
          </w:p>
        </w:tc>
        <w:tc>
          <w:tcPr>
            <w:tcW w:w="594" w:type="pct"/>
            <w:noWrap/>
            <w:tcMar>
              <w:top w:w="0" w:type="dxa"/>
              <w:left w:w="0" w:type="dxa"/>
              <w:bottom w:w="0" w:type="dxa"/>
              <w:right w:w="0" w:type="dxa"/>
            </w:tcMar>
            <w:vAlign w:val="bottom"/>
            <w:hideMark/>
          </w:tcPr>
          <w:p w14:paraId="3CA57FEF" w14:textId="77777777" w:rsidR="00000000" w:rsidRDefault="00097612">
            <w:pPr>
              <w:pStyle w:val="a3"/>
              <w:spacing w:before="0" w:beforeAutospacing="0" w:after="0" w:afterAutospacing="0"/>
              <w:jc w:val="center"/>
              <w:rPr>
                <w:sz w:val="20"/>
                <w:szCs w:val="20"/>
              </w:rPr>
            </w:pPr>
            <w:r>
              <w:rPr>
                <w:b/>
                <w:bCs/>
                <w:sz w:val="16"/>
                <w:szCs w:val="16"/>
              </w:rPr>
              <w:t>​</w:t>
            </w:r>
          </w:p>
        </w:tc>
        <w:tc>
          <w:tcPr>
            <w:tcW w:w="149" w:type="pct"/>
            <w:noWrap/>
            <w:tcMar>
              <w:top w:w="0" w:type="dxa"/>
              <w:left w:w="0" w:type="dxa"/>
              <w:bottom w:w="0" w:type="dxa"/>
              <w:right w:w="0" w:type="dxa"/>
            </w:tcMar>
            <w:vAlign w:val="bottom"/>
            <w:hideMark/>
          </w:tcPr>
          <w:p w14:paraId="3429CB57" w14:textId="77777777" w:rsidR="00000000" w:rsidRDefault="00097612">
            <w:pPr>
              <w:pStyle w:val="a3"/>
              <w:spacing w:before="0" w:beforeAutospacing="0" w:after="0" w:afterAutospacing="0"/>
              <w:rPr>
                <w:sz w:val="20"/>
                <w:szCs w:val="20"/>
              </w:rPr>
            </w:pPr>
            <w:r>
              <w:rPr>
                <w:b/>
                <w:bCs/>
                <w:sz w:val="16"/>
                <w:szCs w:val="16"/>
              </w:rPr>
              <w:t>​</w:t>
            </w:r>
          </w:p>
        </w:tc>
      </w:tr>
      <w:tr w:rsidR="00000000" w14:paraId="24B6B89C" w14:textId="77777777">
        <w:trPr>
          <w:divId w:val="566841183"/>
        </w:trPr>
        <w:tc>
          <w:tcPr>
            <w:tcW w:w="1978" w:type="pct"/>
            <w:shd w:val="clear" w:color="auto" w:fill="CCEEFF"/>
            <w:noWrap/>
            <w:tcMar>
              <w:top w:w="0" w:type="dxa"/>
              <w:left w:w="0" w:type="dxa"/>
              <w:bottom w:w="0" w:type="dxa"/>
              <w:right w:w="0" w:type="dxa"/>
            </w:tcMar>
            <w:vAlign w:val="bottom"/>
            <w:hideMark/>
          </w:tcPr>
          <w:p w14:paraId="10CCB6BE" w14:textId="77777777" w:rsidR="00000000" w:rsidRDefault="00097612">
            <w:pPr>
              <w:pStyle w:val="a3"/>
              <w:spacing w:before="0" w:beforeAutospacing="0" w:after="0" w:afterAutospacing="0"/>
              <w:rPr>
                <w:sz w:val="20"/>
                <w:szCs w:val="20"/>
              </w:rPr>
            </w:pPr>
            <w:r>
              <w:rPr>
                <w:i/>
                <w:iCs/>
                <w:sz w:val="20"/>
                <w:szCs w:val="20"/>
              </w:rPr>
              <w:t>Current:</w:t>
            </w:r>
          </w:p>
        </w:tc>
        <w:tc>
          <w:tcPr>
            <w:tcW w:w="1978" w:type="pct"/>
            <w:shd w:val="clear" w:color="auto" w:fill="CCEEFF"/>
            <w:tcMar>
              <w:top w:w="0" w:type="dxa"/>
              <w:left w:w="0" w:type="dxa"/>
              <w:bottom w:w="0" w:type="dxa"/>
              <w:right w:w="0" w:type="dxa"/>
            </w:tcMar>
            <w:vAlign w:val="bottom"/>
            <w:hideMark/>
          </w:tcPr>
          <w:p w14:paraId="188B59A3" w14:textId="77777777" w:rsidR="00000000" w:rsidRDefault="00097612">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14:paraId="34FA880D" w14:textId="77777777" w:rsidR="00000000" w:rsidRDefault="00097612">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14:paraId="0A42194B" w14:textId="77777777" w:rsidR="00000000" w:rsidRDefault="00097612">
            <w:pPr>
              <w:pStyle w:val="a3"/>
              <w:spacing w:before="0" w:beforeAutospacing="0" w:after="0" w:afterAutospacing="0"/>
              <w:rPr>
                <w:sz w:val="20"/>
                <w:szCs w:val="20"/>
              </w:rPr>
            </w:pPr>
            <w:r>
              <w:rPr>
                <w:sz w:val="20"/>
                <w:szCs w:val="20"/>
              </w:rPr>
              <w:t>​</w:t>
            </w:r>
          </w:p>
        </w:tc>
        <w:tc>
          <w:tcPr>
            <w:tcW w:w="594" w:type="pct"/>
            <w:shd w:val="clear" w:color="auto" w:fill="CCEEFF"/>
            <w:noWrap/>
            <w:tcMar>
              <w:top w:w="0" w:type="dxa"/>
              <w:left w:w="0" w:type="dxa"/>
              <w:bottom w:w="0" w:type="dxa"/>
              <w:right w:w="0" w:type="dxa"/>
            </w:tcMar>
            <w:vAlign w:val="bottom"/>
            <w:hideMark/>
          </w:tcPr>
          <w:p w14:paraId="24D0F910" w14:textId="77777777" w:rsidR="00000000" w:rsidRDefault="00097612">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14:paraId="7FEF91BB" w14:textId="77777777" w:rsidR="00000000" w:rsidRDefault="00097612">
            <w:pPr>
              <w:pStyle w:val="a3"/>
              <w:spacing w:before="0" w:beforeAutospacing="0" w:after="0" w:afterAutospacing="0"/>
              <w:rPr>
                <w:sz w:val="20"/>
                <w:szCs w:val="20"/>
              </w:rPr>
            </w:pPr>
            <w:r>
              <w:rPr>
                <w:sz w:val="20"/>
                <w:szCs w:val="20"/>
              </w:rPr>
              <w:t>​</w:t>
            </w:r>
          </w:p>
        </w:tc>
      </w:tr>
      <w:tr w:rsidR="00000000" w14:paraId="522CFBAA" w14:textId="77777777">
        <w:trPr>
          <w:divId w:val="566841183"/>
        </w:trPr>
        <w:tc>
          <w:tcPr>
            <w:tcW w:w="1978" w:type="pct"/>
            <w:tcMar>
              <w:top w:w="0" w:type="dxa"/>
              <w:left w:w="0" w:type="dxa"/>
              <w:bottom w:w="0" w:type="dxa"/>
              <w:right w:w="0" w:type="dxa"/>
            </w:tcMar>
            <w:vAlign w:val="bottom"/>
            <w:hideMark/>
          </w:tcPr>
          <w:p w14:paraId="10D4EDF3" w14:textId="77777777" w:rsidR="00000000" w:rsidRDefault="00097612">
            <w:pPr>
              <w:pStyle w:val="a3"/>
              <w:spacing w:before="0" w:beforeAutospacing="0" w:after="0" w:afterAutospacing="0"/>
              <w:rPr>
                <w:sz w:val="20"/>
                <w:szCs w:val="20"/>
              </w:rPr>
            </w:pPr>
            <w:r>
              <w:rPr>
                <w:sz w:val="20"/>
                <w:szCs w:val="20"/>
              </w:rPr>
              <w:t>Operating lease liabilitie</w:t>
            </w:r>
            <w:r>
              <w:rPr>
                <w:sz w:val="20"/>
                <w:szCs w:val="20"/>
              </w:rPr>
              <w:t>s</w:t>
            </w:r>
          </w:p>
        </w:tc>
        <w:tc>
          <w:tcPr>
            <w:tcW w:w="1978" w:type="pct"/>
            <w:tcMar>
              <w:top w:w="0" w:type="dxa"/>
              <w:left w:w="0" w:type="dxa"/>
              <w:bottom w:w="0" w:type="dxa"/>
              <w:right w:w="0" w:type="dxa"/>
            </w:tcMar>
            <w:vAlign w:val="bottom"/>
            <w:hideMark/>
          </w:tcPr>
          <w:p w14:paraId="53B93C5F" w14:textId="77777777" w:rsidR="00000000" w:rsidRDefault="00097612">
            <w:pPr>
              <w:pStyle w:val="a3"/>
              <w:spacing w:before="0" w:beforeAutospacing="0" w:after="0" w:afterAutospacing="0"/>
              <w:rPr>
                <w:sz w:val="20"/>
                <w:szCs w:val="20"/>
              </w:rPr>
            </w:pPr>
            <w:r>
              <w:rPr>
                <w:sz w:val="20"/>
                <w:szCs w:val="20"/>
              </w:rPr>
              <w:t>Operating lease liabilities</w:t>
            </w:r>
          </w:p>
        </w:tc>
        <w:tc>
          <w:tcPr>
            <w:tcW w:w="149" w:type="pct"/>
            <w:noWrap/>
            <w:tcMar>
              <w:top w:w="0" w:type="dxa"/>
              <w:left w:w="0" w:type="dxa"/>
              <w:bottom w:w="0" w:type="dxa"/>
              <w:right w:w="0" w:type="dxa"/>
            </w:tcMar>
            <w:vAlign w:val="bottom"/>
            <w:hideMark/>
          </w:tcPr>
          <w:p w14:paraId="044DF217" w14:textId="77777777" w:rsidR="00000000" w:rsidRDefault="00097612">
            <w:pPr>
              <w:pStyle w:val="a3"/>
              <w:spacing w:before="0" w:beforeAutospacing="0" w:after="0" w:afterAutospacing="0"/>
              <w:rPr>
                <w:sz w:val="20"/>
                <w:szCs w:val="20"/>
              </w:rPr>
            </w:pPr>
            <w:r>
              <w:rPr>
                <w:sz w:val="20"/>
                <w:szCs w:val="20"/>
              </w:rPr>
              <w:t>​</w:t>
            </w:r>
          </w:p>
        </w:tc>
        <w:tc>
          <w:tcPr>
            <w:tcW w:w="149" w:type="pct"/>
            <w:noWrap/>
            <w:tcMar>
              <w:top w:w="0" w:type="dxa"/>
              <w:left w:w="0" w:type="dxa"/>
              <w:bottom w:w="0" w:type="dxa"/>
              <w:right w:w="0" w:type="dxa"/>
            </w:tcMar>
            <w:vAlign w:val="bottom"/>
            <w:hideMark/>
          </w:tcPr>
          <w:p w14:paraId="3D4D0D36" w14:textId="77777777" w:rsidR="00000000" w:rsidRDefault="00097612">
            <w:pPr>
              <w:pStyle w:val="a3"/>
              <w:spacing w:before="0" w:beforeAutospacing="0" w:after="0" w:afterAutospacing="0"/>
              <w:jc w:val="center"/>
              <w:rPr>
                <w:sz w:val="20"/>
                <w:szCs w:val="20"/>
              </w:rPr>
            </w:pPr>
            <w:r>
              <w:rPr>
                <w:sz w:val="20"/>
                <w:szCs w:val="20"/>
              </w:rPr>
              <w:t>$</w:t>
            </w:r>
          </w:p>
        </w:tc>
        <w:tc>
          <w:tcPr>
            <w:tcW w:w="594" w:type="pct"/>
            <w:noWrap/>
            <w:tcMar>
              <w:top w:w="0" w:type="dxa"/>
              <w:left w:w="0" w:type="dxa"/>
              <w:bottom w:w="0" w:type="dxa"/>
              <w:right w:w="0" w:type="dxa"/>
            </w:tcMar>
            <w:vAlign w:val="center"/>
            <w:hideMark/>
          </w:tcPr>
          <w:p w14:paraId="50009494" w14:textId="77777777" w:rsidR="00000000" w:rsidRDefault="00097612">
            <w:pPr>
              <w:pStyle w:val="a3"/>
              <w:spacing w:before="0" w:beforeAutospacing="0" w:after="0" w:afterAutospacing="0"/>
              <w:ind w:right="60"/>
              <w:jc w:val="right"/>
              <w:rPr>
                <w:sz w:val="20"/>
                <w:szCs w:val="20"/>
              </w:rPr>
            </w:pPr>
            <w:r>
              <w:rPr>
                <w:sz w:val="20"/>
                <w:szCs w:val="20"/>
              </w:rPr>
              <w:t>6,833</w:t>
            </w:r>
          </w:p>
        </w:tc>
        <w:tc>
          <w:tcPr>
            <w:tcW w:w="149" w:type="pct"/>
            <w:noWrap/>
            <w:tcMar>
              <w:top w:w="0" w:type="dxa"/>
              <w:left w:w="0" w:type="dxa"/>
              <w:bottom w:w="0" w:type="dxa"/>
              <w:right w:w="0" w:type="dxa"/>
            </w:tcMar>
            <w:vAlign w:val="bottom"/>
            <w:hideMark/>
          </w:tcPr>
          <w:p w14:paraId="4150C1F0" w14:textId="77777777" w:rsidR="00000000" w:rsidRDefault="00097612">
            <w:pPr>
              <w:pStyle w:val="a3"/>
              <w:spacing w:before="0" w:beforeAutospacing="0" w:after="0" w:afterAutospacing="0"/>
              <w:rPr>
                <w:sz w:val="20"/>
                <w:szCs w:val="20"/>
              </w:rPr>
            </w:pPr>
            <w:r>
              <w:rPr>
                <w:sz w:val="20"/>
                <w:szCs w:val="20"/>
              </w:rPr>
              <w:t>​</w:t>
            </w:r>
          </w:p>
        </w:tc>
      </w:tr>
      <w:tr w:rsidR="00000000" w14:paraId="74B8CD0F" w14:textId="77777777">
        <w:trPr>
          <w:divId w:val="566841183"/>
        </w:trPr>
        <w:tc>
          <w:tcPr>
            <w:tcW w:w="1978" w:type="pct"/>
            <w:shd w:val="clear" w:color="auto" w:fill="CCEEFF"/>
            <w:noWrap/>
            <w:tcMar>
              <w:top w:w="0" w:type="dxa"/>
              <w:left w:w="0" w:type="dxa"/>
              <w:bottom w:w="0" w:type="dxa"/>
              <w:right w:w="0" w:type="dxa"/>
            </w:tcMar>
            <w:vAlign w:val="bottom"/>
            <w:hideMark/>
          </w:tcPr>
          <w:p w14:paraId="22BF7CAE" w14:textId="77777777" w:rsidR="00000000" w:rsidRDefault="00097612">
            <w:pPr>
              <w:pStyle w:val="a3"/>
              <w:spacing w:before="0" w:beforeAutospacing="0" w:after="0" w:afterAutospacing="0"/>
              <w:rPr>
                <w:sz w:val="20"/>
                <w:szCs w:val="20"/>
              </w:rPr>
            </w:pPr>
            <w:r>
              <w:rPr>
                <w:i/>
                <w:iCs/>
                <w:sz w:val="20"/>
                <w:szCs w:val="20"/>
              </w:rPr>
              <w:t>Non-current:</w:t>
            </w:r>
          </w:p>
        </w:tc>
        <w:tc>
          <w:tcPr>
            <w:tcW w:w="1978" w:type="pct"/>
            <w:shd w:val="clear" w:color="auto" w:fill="CCEEFF"/>
            <w:tcMar>
              <w:top w:w="0" w:type="dxa"/>
              <w:left w:w="0" w:type="dxa"/>
              <w:bottom w:w="0" w:type="dxa"/>
              <w:right w:w="0" w:type="dxa"/>
            </w:tcMar>
            <w:vAlign w:val="bottom"/>
            <w:hideMark/>
          </w:tcPr>
          <w:p w14:paraId="271EE379" w14:textId="77777777" w:rsidR="00000000" w:rsidRDefault="00097612">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14:paraId="67095EA3" w14:textId="77777777" w:rsidR="00000000" w:rsidRDefault="00097612">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14:paraId="6D809091" w14:textId="77777777" w:rsidR="00000000" w:rsidRDefault="00097612">
            <w:pPr>
              <w:pStyle w:val="a3"/>
              <w:spacing w:before="0" w:beforeAutospacing="0" w:after="0" w:afterAutospacing="0"/>
              <w:jc w:val="center"/>
              <w:rPr>
                <w:sz w:val="20"/>
                <w:szCs w:val="20"/>
              </w:rPr>
            </w:pPr>
            <w:r>
              <w:rPr>
                <w:sz w:val="20"/>
                <w:szCs w:val="20"/>
              </w:rPr>
              <w:t>​</w:t>
            </w:r>
          </w:p>
        </w:tc>
        <w:tc>
          <w:tcPr>
            <w:tcW w:w="594" w:type="pct"/>
            <w:shd w:val="clear" w:color="auto" w:fill="CCEEFF"/>
            <w:noWrap/>
            <w:tcMar>
              <w:top w:w="0" w:type="dxa"/>
              <w:left w:w="0" w:type="dxa"/>
              <w:bottom w:w="0" w:type="dxa"/>
              <w:right w:w="0" w:type="dxa"/>
            </w:tcMar>
            <w:vAlign w:val="center"/>
            <w:hideMark/>
          </w:tcPr>
          <w:p w14:paraId="78370674" w14:textId="77777777" w:rsidR="00000000" w:rsidRDefault="00097612">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14:paraId="71FF930A" w14:textId="77777777" w:rsidR="00000000" w:rsidRDefault="00097612">
            <w:pPr>
              <w:pStyle w:val="a3"/>
              <w:spacing w:before="0" w:beforeAutospacing="0" w:after="0" w:afterAutospacing="0"/>
              <w:rPr>
                <w:sz w:val="20"/>
                <w:szCs w:val="20"/>
              </w:rPr>
            </w:pPr>
            <w:r>
              <w:rPr>
                <w:sz w:val="20"/>
                <w:szCs w:val="20"/>
              </w:rPr>
              <w:t>​</w:t>
            </w:r>
          </w:p>
        </w:tc>
      </w:tr>
      <w:tr w:rsidR="00000000" w14:paraId="1A62A3D8" w14:textId="77777777">
        <w:trPr>
          <w:divId w:val="566841183"/>
        </w:trPr>
        <w:tc>
          <w:tcPr>
            <w:tcW w:w="1978" w:type="pct"/>
            <w:tcMar>
              <w:top w:w="0" w:type="dxa"/>
              <w:left w:w="0" w:type="dxa"/>
              <w:bottom w:w="0" w:type="dxa"/>
              <w:right w:w="0" w:type="dxa"/>
            </w:tcMar>
            <w:vAlign w:val="bottom"/>
            <w:hideMark/>
          </w:tcPr>
          <w:p w14:paraId="709F9DF9" w14:textId="77777777" w:rsidR="00000000" w:rsidRDefault="00097612">
            <w:pPr>
              <w:pStyle w:val="a3"/>
              <w:spacing w:before="0" w:beforeAutospacing="0" w:after="0" w:afterAutospacing="0"/>
              <w:rPr>
                <w:sz w:val="20"/>
                <w:szCs w:val="20"/>
              </w:rPr>
            </w:pPr>
            <w:r>
              <w:rPr>
                <w:sz w:val="20"/>
                <w:szCs w:val="20"/>
              </w:rPr>
              <w:t>Operating lease liabilitie</w:t>
            </w:r>
            <w:r>
              <w:rPr>
                <w:sz w:val="20"/>
                <w:szCs w:val="20"/>
              </w:rPr>
              <w:t>s</w:t>
            </w:r>
          </w:p>
        </w:tc>
        <w:tc>
          <w:tcPr>
            <w:tcW w:w="1978" w:type="pct"/>
            <w:tcMar>
              <w:top w:w="0" w:type="dxa"/>
              <w:left w:w="0" w:type="dxa"/>
              <w:bottom w:w="0" w:type="dxa"/>
              <w:right w:w="0" w:type="dxa"/>
            </w:tcMar>
            <w:vAlign w:val="bottom"/>
            <w:hideMark/>
          </w:tcPr>
          <w:p w14:paraId="367C5E75" w14:textId="77777777" w:rsidR="00000000" w:rsidRDefault="00097612">
            <w:pPr>
              <w:pStyle w:val="a3"/>
              <w:spacing w:before="0" w:beforeAutospacing="0" w:after="0" w:afterAutospacing="0"/>
              <w:rPr>
                <w:sz w:val="20"/>
                <w:szCs w:val="20"/>
              </w:rPr>
            </w:pPr>
            <w:r>
              <w:rPr>
                <w:sz w:val="20"/>
                <w:szCs w:val="20"/>
              </w:rPr>
              <w:t>Long-term operating lease liabilities</w:t>
            </w:r>
          </w:p>
        </w:tc>
        <w:tc>
          <w:tcPr>
            <w:tcW w:w="149" w:type="pct"/>
            <w:noWrap/>
            <w:tcMar>
              <w:top w:w="0" w:type="dxa"/>
              <w:left w:w="0" w:type="dxa"/>
              <w:bottom w:w="0" w:type="dxa"/>
              <w:right w:w="0" w:type="dxa"/>
            </w:tcMar>
            <w:vAlign w:val="bottom"/>
            <w:hideMark/>
          </w:tcPr>
          <w:p w14:paraId="5C4071DD" w14:textId="77777777" w:rsidR="00000000" w:rsidRDefault="00097612">
            <w:pPr>
              <w:pStyle w:val="a3"/>
              <w:spacing w:before="0" w:beforeAutospacing="0" w:after="0" w:afterAutospacing="0"/>
              <w:rPr>
                <w:sz w:val="20"/>
                <w:szCs w:val="20"/>
              </w:rPr>
            </w:pPr>
            <w:r>
              <w:rPr>
                <w:sz w:val="20"/>
                <w:szCs w:val="20"/>
              </w:rPr>
              <w:t>​</w:t>
            </w:r>
          </w:p>
        </w:tc>
        <w:tc>
          <w:tcPr>
            <w:tcW w:w="149" w:type="pct"/>
            <w:tcBorders>
              <w:bottom w:val="single" w:sz="6" w:space="0" w:color="000000"/>
            </w:tcBorders>
            <w:noWrap/>
            <w:tcMar>
              <w:top w:w="0" w:type="dxa"/>
              <w:left w:w="0" w:type="dxa"/>
              <w:bottom w:w="0" w:type="dxa"/>
              <w:right w:w="0" w:type="dxa"/>
            </w:tcMar>
            <w:vAlign w:val="bottom"/>
            <w:hideMark/>
          </w:tcPr>
          <w:p w14:paraId="2F5D1071" w14:textId="77777777" w:rsidR="00000000" w:rsidRDefault="00097612">
            <w:pPr>
              <w:pStyle w:val="a3"/>
              <w:spacing w:before="0" w:beforeAutospacing="0" w:after="0" w:afterAutospacing="0"/>
              <w:jc w:val="center"/>
              <w:rPr>
                <w:sz w:val="20"/>
                <w:szCs w:val="20"/>
              </w:rPr>
            </w:pPr>
            <w:r>
              <w:rPr>
                <w:sz w:val="20"/>
                <w:szCs w:val="20"/>
              </w:rPr>
              <w:t> </w:t>
            </w:r>
          </w:p>
        </w:tc>
        <w:tc>
          <w:tcPr>
            <w:tcW w:w="594" w:type="pct"/>
            <w:tcBorders>
              <w:bottom w:val="single" w:sz="6" w:space="0" w:color="000000"/>
            </w:tcBorders>
            <w:noWrap/>
            <w:tcMar>
              <w:top w:w="0" w:type="dxa"/>
              <w:left w:w="0" w:type="dxa"/>
              <w:bottom w:w="0" w:type="dxa"/>
              <w:right w:w="0" w:type="dxa"/>
            </w:tcMar>
            <w:vAlign w:val="center"/>
            <w:hideMark/>
          </w:tcPr>
          <w:p w14:paraId="204C7AC5" w14:textId="77777777" w:rsidR="00000000" w:rsidRDefault="00097612">
            <w:pPr>
              <w:pStyle w:val="a3"/>
              <w:spacing w:before="0" w:beforeAutospacing="0" w:after="0" w:afterAutospacing="0"/>
              <w:ind w:right="60"/>
              <w:jc w:val="right"/>
              <w:rPr>
                <w:sz w:val="20"/>
                <w:szCs w:val="20"/>
              </w:rPr>
            </w:pPr>
            <w:r>
              <w:rPr>
                <w:sz w:val="20"/>
                <w:szCs w:val="20"/>
              </w:rPr>
              <w:t>48,620</w:t>
            </w:r>
          </w:p>
        </w:tc>
        <w:tc>
          <w:tcPr>
            <w:tcW w:w="149" w:type="pct"/>
            <w:noWrap/>
            <w:tcMar>
              <w:top w:w="0" w:type="dxa"/>
              <w:left w:w="0" w:type="dxa"/>
              <w:bottom w:w="0" w:type="dxa"/>
              <w:right w:w="0" w:type="dxa"/>
            </w:tcMar>
            <w:vAlign w:val="bottom"/>
            <w:hideMark/>
          </w:tcPr>
          <w:p w14:paraId="310EA87D" w14:textId="77777777" w:rsidR="00000000" w:rsidRDefault="00097612">
            <w:pPr>
              <w:pStyle w:val="a3"/>
              <w:spacing w:before="0" w:beforeAutospacing="0" w:after="0" w:afterAutospacing="0"/>
              <w:rPr>
                <w:sz w:val="20"/>
                <w:szCs w:val="20"/>
              </w:rPr>
            </w:pPr>
            <w:r>
              <w:rPr>
                <w:sz w:val="20"/>
                <w:szCs w:val="20"/>
              </w:rPr>
              <w:t>​</w:t>
            </w:r>
          </w:p>
        </w:tc>
      </w:tr>
      <w:tr w:rsidR="00000000" w14:paraId="1FF144E4" w14:textId="77777777">
        <w:trPr>
          <w:divId w:val="566841183"/>
        </w:trPr>
        <w:tc>
          <w:tcPr>
            <w:tcW w:w="1978" w:type="pct"/>
            <w:shd w:val="clear" w:color="auto" w:fill="CCEEFF"/>
            <w:noWrap/>
            <w:tcMar>
              <w:top w:w="0" w:type="dxa"/>
              <w:left w:w="0" w:type="dxa"/>
              <w:bottom w:w="0" w:type="dxa"/>
              <w:right w:w="0" w:type="dxa"/>
            </w:tcMar>
            <w:vAlign w:val="bottom"/>
            <w:hideMark/>
          </w:tcPr>
          <w:p w14:paraId="5534668A" w14:textId="77777777" w:rsidR="00000000" w:rsidRDefault="00097612">
            <w:pPr>
              <w:pStyle w:val="a3"/>
              <w:spacing w:before="0" w:beforeAutospacing="0" w:after="0" w:afterAutospacing="0"/>
              <w:ind w:left="240"/>
              <w:rPr>
                <w:sz w:val="20"/>
                <w:szCs w:val="20"/>
              </w:rPr>
            </w:pPr>
            <w:r>
              <w:rPr>
                <w:sz w:val="20"/>
                <w:szCs w:val="20"/>
              </w:rPr>
              <w:t>Total operating lease liabilities</w:t>
            </w:r>
          </w:p>
        </w:tc>
        <w:tc>
          <w:tcPr>
            <w:tcW w:w="1978" w:type="pct"/>
            <w:shd w:val="clear" w:color="auto" w:fill="CCEEFF"/>
            <w:tcMar>
              <w:top w:w="0" w:type="dxa"/>
              <w:left w:w="0" w:type="dxa"/>
              <w:bottom w:w="0" w:type="dxa"/>
              <w:right w:w="0" w:type="dxa"/>
            </w:tcMar>
            <w:vAlign w:val="bottom"/>
            <w:hideMark/>
          </w:tcPr>
          <w:p w14:paraId="564EAA80" w14:textId="77777777" w:rsidR="00000000" w:rsidRDefault="00097612">
            <w:pPr>
              <w:pStyle w:val="a3"/>
              <w:spacing w:before="0" w:beforeAutospacing="0" w:after="0" w:afterAutospacing="0"/>
              <w:ind w:left="24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14:paraId="22EFDFB2" w14:textId="77777777" w:rsidR="00000000" w:rsidRDefault="00097612">
            <w:pPr>
              <w:pStyle w:val="a3"/>
              <w:spacing w:before="0" w:beforeAutospacing="0" w:after="0" w:afterAutospacing="0"/>
              <w:rPr>
                <w:sz w:val="20"/>
                <w:szCs w:val="20"/>
              </w:rPr>
            </w:pPr>
            <w:r>
              <w:rPr>
                <w:sz w:val="20"/>
                <w:szCs w:val="20"/>
              </w:rPr>
              <w:t>​</w:t>
            </w:r>
          </w:p>
        </w:tc>
        <w:tc>
          <w:tcPr>
            <w:tcW w:w="149" w:type="pct"/>
            <w:tcBorders>
              <w:bottom w:val="double" w:sz="6" w:space="0" w:color="000000"/>
            </w:tcBorders>
            <w:shd w:val="clear" w:color="auto" w:fill="CCEEFF"/>
            <w:noWrap/>
            <w:tcMar>
              <w:top w:w="0" w:type="dxa"/>
              <w:left w:w="0" w:type="dxa"/>
              <w:bottom w:w="0" w:type="dxa"/>
              <w:right w:w="0" w:type="dxa"/>
            </w:tcMar>
            <w:vAlign w:val="bottom"/>
            <w:hideMark/>
          </w:tcPr>
          <w:p w14:paraId="6765786B" w14:textId="77777777" w:rsidR="00000000" w:rsidRDefault="00097612">
            <w:pPr>
              <w:pStyle w:val="a3"/>
              <w:spacing w:before="0" w:beforeAutospacing="0" w:after="0" w:afterAutospacing="0"/>
              <w:jc w:val="center"/>
              <w:rPr>
                <w:sz w:val="20"/>
                <w:szCs w:val="20"/>
              </w:rPr>
            </w:pPr>
            <w:r>
              <w:rPr>
                <w:sz w:val="20"/>
                <w:szCs w:val="20"/>
              </w:rPr>
              <w:t>$</w:t>
            </w:r>
          </w:p>
        </w:tc>
        <w:tc>
          <w:tcPr>
            <w:tcW w:w="594" w:type="pct"/>
            <w:tcBorders>
              <w:bottom w:val="double" w:sz="6" w:space="0" w:color="000000"/>
            </w:tcBorders>
            <w:shd w:val="clear" w:color="auto" w:fill="CCEEFF"/>
            <w:noWrap/>
            <w:tcMar>
              <w:top w:w="0" w:type="dxa"/>
              <w:left w:w="0" w:type="dxa"/>
              <w:bottom w:w="0" w:type="dxa"/>
              <w:right w:w="0" w:type="dxa"/>
            </w:tcMar>
            <w:vAlign w:val="center"/>
            <w:hideMark/>
          </w:tcPr>
          <w:p w14:paraId="3AC98906" w14:textId="77777777" w:rsidR="00000000" w:rsidRDefault="00097612">
            <w:pPr>
              <w:pStyle w:val="a3"/>
              <w:spacing w:before="0" w:beforeAutospacing="0" w:after="0" w:afterAutospacing="0"/>
              <w:ind w:right="60"/>
              <w:jc w:val="right"/>
              <w:rPr>
                <w:sz w:val="20"/>
                <w:szCs w:val="20"/>
              </w:rPr>
            </w:pPr>
            <w:r>
              <w:rPr>
                <w:sz w:val="20"/>
                <w:szCs w:val="20"/>
              </w:rPr>
              <w:t>55,453</w:t>
            </w:r>
          </w:p>
        </w:tc>
        <w:tc>
          <w:tcPr>
            <w:tcW w:w="149" w:type="pct"/>
            <w:shd w:val="clear" w:color="auto" w:fill="CCEEFF"/>
            <w:noWrap/>
            <w:tcMar>
              <w:top w:w="0" w:type="dxa"/>
              <w:left w:w="0" w:type="dxa"/>
              <w:bottom w:w="0" w:type="dxa"/>
              <w:right w:w="0" w:type="dxa"/>
            </w:tcMar>
            <w:vAlign w:val="bottom"/>
            <w:hideMark/>
          </w:tcPr>
          <w:p w14:paraId="609A7116" w14:textId="77777777" w:rsidR="00000000" w:rsidRDefault="00097612">
            <w:pPr>
              <w:pStyle w:val="a3"/>
              <w:spacing w:before="0" w:beforeAutospacing="0" w:after="0" w:afterAutospacing="0"/>
              <w:rPr>
                <w:sz w:val="20"/>
                <w:szCs w:val="20"/>
              </w:rPr>
            </w:pPr>
            <w:r>
              <w:rPr>
                <w:sz w:val="20"/>
                <w:szCs w:val="20"/>
              </w:rPr>
              <w:t>​</w:t>
            </w:r>
          </w:p>
        </w:tc>
      </w:tr>
    </w:tbl>
    <w:p w14:paraId="05ECA7E3" w14:textId="77777777" w:rsidR="00000000" w:rsidRDefault="00097612">
      <w:pPr>
        <w:pStyle w:val="a3"/>
        <w:spacing w:before="0" w:beforeAutospacing="0" w:after="0" w:afterAutospacing="0"/>
        <w:divId w:val="566841183"/>
        <w:rPr>
          <w:sz w:val="20"/>
          <w:szCs w:val="20"/>
        </w:rPr>
      </w:pPr>
      <w:r>
        <w:rPr>
          <w:sz w:val="20"/>
          <w:szCs w:val="20"/>
        </w:rPr>
        <w:t>​</w:t>
      </w:r>
    </w:p>
    <w:p w14:paraId="62F166C3" w14:textId="77777777" w:rsidR="00000000" w:rsidRDefault="00097612">
      <w:pPr>
        <w:pStyle w:val="a3"/>
        <w:spacing w:before="0" w:beforeAutospacing="0" w:after="0" w:afterAutospacing="0"/>
        <w:ind w:firstLine="720"/>
        <w:divId w:val="566841183"/>
        <w:rPr>
          <w:sz w:val="20"/>
          <w:szCs w:val="20"/>
        </w:rPr>
      </w:pPr>
      <w:r>
        <w:rPr>
          <w:sz w:val="20"/>
          <w:szCs w:val="20"/>
        </w:rPr>
        <w:t>Lease expense was included within operating expenses in the condensed consolidated statements of operations as follows:</w:t>
      </w:r>
    </w:p>
    <w:p w14:paraId="620022A0" w14:textId="77777777" w:rsidR="00000000" w:rsidRDefault="00097612">
      <w:pPr>
        <w:pStyle w:val="a3"/>
        <w:spacing w:before="0" w:beforeAutospacing="0" w:after="0" w:afterAutospacing="0"/>
        <w:divId w:val="56684118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790"/>
        <w:gridCol w:w="3561"/>
        <w:gridCol w:w="160"/>
        <w:gridCol w:w="271"/>
        <w:gridCol w:w="1067"/>
        <w:gridCol w:w="160"/>
        <w:gridCol w:w="271"/>
        <w:gridCol w:w="1067"/>
      </w:tblGrid>
      <w:tr w:rsidR="00000000" w14:paraId="562BA7C2" w14:textId="77777777">
        <w:trPr>
          <w:divId w:val="566841183"/>
          <w:trHeight w:val="20"/>
        </w:trPr>
        <w:tc>
          <w:tcPr>
            <w:tcW w:w="1694" w:type="pct"/>
            <w:noWrap/>
            <w:tcMar>
              <w:top w:w="0" w:type="dxa"/>
              <w:left w:w="0" w:type="dxa"/>
              <w:bottom w:w="0" w:type="dxa"/>
              <w:right w:w="0" w:type="dxa"/>
            </w:tcMar>
            <w:vAlign w:val="bottom"/>
            <w:hideMark/>
          </w:tcPr>
          <w:p w14:paraId="3A3D4185" w14:textId="77777777" w:rsidR="00000000" w:rsidRDefault="00097612">
            <w:pPr>
              <w:pStyle w:val="a3"/>
              <w:spacing w:before="0" w:beforeAutospacing="0" w:after="0" w:afterAutospacing="0"/>
              <w:divId w:val="301424343"/>
              <w:rPr>
                <w:sz w:val="20"/>
                <w:szCs w:val="20"/>
              </w:rPr>
            </w:pPr>
            <w:r>
              <w:rPr>
                <w:sz w:val="2"/>
                <w:szCs w:val="2"/>
              </w:rPr>
              <w:t>​</w:t>
            </w:r>
          </w:p>
        </w:tc>
        <w:tc>
          <w:tcPr>
            <w:tcW w:w="1766" w:type="pct"/>
            <w:noWrap/>
            <w:tcMar>
              <w:top w:w="0" w:type="dxa"/>
              <w:left w:w="0" w:type="dxa"/>
              <w:bottom w:w="0" w:type="dxa"/>
              <w:right w:w="0" w:type="dxa"/>
            </w:tcMar>
            <w:vAlign w:val="bottom"/>
            <w:hideMark/>
          </w:tcPr>
          <w:p w14:paraId="5B076CA6" w14:textId="77777777" w:rsidR="00000000" w:rsidRDefault="00097612">
            <w:pPr>
              <w:pStyle w:val="a3"/>
              <w:spacing w:before="0" w:beforeAutospacing="0" w:after="0" w:afterAutospacing="0"/>
              <w:divId w:val="229537290"/>
              <w:rPr>
                <w:sz w:val="20"/>
                <w:szCs w:val="20"/>
              </w:rPr>
            </w:pPr>
            <w:r>
              <w:rPr>
                <w:sz w:val="2"/>
                <w:szCs w:val="2"/>
              </w:rPr>
              <w:t>​</w:t>
            </w:r>
          </w:p>
        </w:tc>
        <w:tc>
          <w:tcPr>
            <w:tcW w:w="105" w:type="pct"/>
            <w:noWrap/>
            <w:tcMar>
              <w:top w:w="0" w:type="dxa"/>
              <w:left w:w="0" w:type="dxa"/>
              <w:bottom w:w="0" w:type="dxa"/>
              <w:right w:w="0" w:type="dxa"/>
            </w:tcMar>
            <w:vAlign w:val="bottom"/>
            <w:hideMark/>
          </w:tcPr>
          <w:p w14:paraId="46DFF445" w14:textId="77777777" w:rsidR="00000000" w:rsidRDefault="00097612">
            <w:pPr>
              <w:pStyle w:val="a3"/>
              <w:spacing w:before="0" w:beforeAutospacing="0" w:after="0" w:afterAutospacing="0"/>
              <w:divId w:val="178590511"/>
              <w:rPr>
                <w:sz w:val="20"/>
                <w:szCs w:val="20"/>
              </w:rPr>
            </w:pPr>
            <w:r>
              <w:rPr>
                <w:sz w:val="2"/>
                <w:szCs w:val="2"/>
              </w:rPr>
              <w:t>​</w:t>
            </w:r>
          </w:p>
        </w:tc>
        <w:tc>
          <w:tcPr>
            <w:tcW w:w="134" w:type="pct"/>
            <w:noWrap/>
            <w:tcMar>
              <w:top w:w="0" w:type="dxa"/>
              <w:left w:w="0" w:type="dxa"/>
              <w:bottom w:w="0" w:type="dxa"/>
              <w:right w:w="0" w:type="dxa"/>
            </w:tcMar>
            <w:vAlign w:val="bottom"/>
            <w:hideMark/>
          </w:tcPr>
          <w:p w14:paraId="18AADE59" w14:textId="77777777" w:rsidR="00000000" w:rsidRDefault="00097612">
            <w:pPr>
              <w:pStyle w:val="a3"/>
              <w:spacing w:before="0" w:beforeAutospacing="0" w:after="0" w:afterAutospacing="0"/>
              <w:divId w:val="199704039"/>
              <w:rPr>
                <w:sz w:val="20"/>
                <w:szCs w:val="20"/>
              </w:rPr>
            </w:pPr>
            <w:r>
              <w:rPr>
                <w:sz w:val="2"/>
                <w:szCs w:val="2"/>
              </w:rPr>
              <w:t>​</w:t>
            </w:r>
          </w:p>
        </w:tc>
        <w:tc>
          <w:tcPr>
            <w:tcW w:w="529" w:type="pct"/>
            <w:noWrap/>
            <w:tcMar>
              <w:top w:w="0" w:type="dxa"/>
              <w:left w:w="0" w:type="dxa"/>
              <w:bottom w:w="0" w:type="dxa"/>
              <w:right w:w="0" w:type="dxa"/>
            </w:tcMar>
            <w:vAlign w:val="center"/>
            <w:hideMark/>
          </w:tcPr>
          <w:p w14:paraId="6E20C9A8" w14:textId="77777777" w:rsidR="00000000" w:rsidRDefault="00097612">
            <w:pPr>
              <w:pStyle w:val="a3"/>
              <w:spacing w:before="0" w:beforeAutospacing="0" w:after="0" w:afterAutospacing="0"/>
              <w:divId w:val="1882211324"/>
              <w:rPr>
                <w:sz w:val="20"/>
                <w:szCs w:val="20"/>
              </w:rPr>
            </w:pPr>
            <w:r>
              <w:rPr>
                <w:sz w:val="2"/>
                <w:szCs w:val="2"/>
              </w:rPr>
              <w:t>​</w:t>
            </w:r>
          </w:p>
        </w:tc>
        <w:tc>
          <w:tcPr>
            <w:tcW w:w="105" w:type="pct"/>
            <w:noWrap/>
            <w:tcMar>
              <w:top w:w="0" w:type="dxa"/>
              <w:left w:w="0" w:type="dxa"/>
              <w:bottom w:w="0" w:type="dxa"/>
              <w:right w:w="0" w:type="dxa"/>
            </w:tcMar>
            <w:vAlign w:val="bottom"/>
            <w:hideMark/>
          </w:tcPr>
          <w:p w14:paraId="7AE51D40" w14:textId="77777777" w:rsidR="00000000" w:rsidRDefault="00097612">
            <w:pPr>
              <w:pStyle w:val="a3"/>
              <w:spacing w:before="0" w:beforeAutospacing="0" w:after="0" w:afterAutospacing="0"/>
              <w:divId w:val="1399160606"/>
              <w:rPr>
                <w:sz w:val="20"/>
                <w:szCs w:val="20"/>
              </w:rPr>
            </w:pPr>
            <w:r>
              <w:rPr>
                <w:sz w:val="2"/>
                <w:szCs w:val="2"/>
              </w:rPr>
              <w:t>​</w:t>
            </w:r>
          </w:p>
        </w:tc>
        <w:tc>
          <w:tcPr>
            <w:tcW w:w="134" w:type="pct"/>
            <w:noWrap/>
            <w:tcMar>
              <w:top w:w="0" w:type="dxa"/>
              <w:left w:w="0" w:type="dxa"/>
              <w:bottom w:w="0" w:type="dxa"/>
              <w:right w:w="0" w:type="dxa"/>
            </w:tcMar>
            <w:vAlign w:val="bottom"/>
            <w:hideMark/>
          </w:tcPr>
          <w:p w14:paraId="42A01DC1" w14:textId="77777777" w:rsidR="00000000" w:rsidRDefault="00097612">
            <w:pPr>
              <w:pStyle w:val="a3"/>
              <w:spacing w:before="0" w:beforeAutospacing="0" w:after="0" w:afterAutospacing="0"/>
              <w:divId w:val="2123649411"/>
              <w:rPr>
                <w:sz w:val="20"/>
                <w:szCs w:val="20"/>
              </w:rPr>
            </w:pPr>
            <w:r>
              <w:rPr>
                <w:sz w:val="2"/>
                <w:szCs w:val="2"/>
              </w:rPr>
              <w:t>​</w:t>
            </w:r>
          </w:p>
        </w:tc>
        <w:tc>
          <w:tcPr>
            <w:tcW w:w="529" w:type="pct"/>
            <w:noWrap/>
            <w:tcMar>
              <w:top w:w="0" w:type="dxa"/>
              <w:left w:w="0" w:type="dxa"/>
              <w:bottom w:w="0" w:type="dxa"/>
              <w:right w:w="0" w:type="dxa"/>
            </w:tcMar>
            <w:vAlign w:val="center"/>
            <w:hideMark/>
          </w:tcPr>
          <w:p w14:paraId="13A2588C" w14:textId="77777777" w:rsidR="00000000" w:rsidRDefault="00097612">
            <w:pPr>
              <w:pStyle w:val="a3"/>
              <w:spacing w:before="0" w:beforeAutospacing="0" w:after="0" w:afterAutospacing="0"/>
              <w:divId w:val="153834991"/>
              <w:rPr>
                <w:sz w:val="20"/>
                <w:szCs w:val="20"/>
              </w:rPr>
            </w:pPr>
            <w:r>
              <w:rPr>
                <w:sz w:val="2"/>
                <w:szCs w:val="2"/>
              </w:rPr>
              <w:t>​</w:t>
            </w:r>
          </w:p>
        </w:tc>
      </w:tr>
      <w:tr w:rsidR="00000000" w14:paraId="439005EE" w14:textId="77777777">
        <w:trPr>
          <w:divId w:val="566841183"/>
        </w:trPr>
        <w:tc>
          <w:tcPr>
            <w:tcW w:w="1694" w:type="pct"/>
            <w:shd w:val="clear" w:color="auto" w:fill="auto"/>
            <w:noWrap/>
            <w:tcMar>
              <w:top w:w="0" w:type="dxa"/>
              <w:left w:w="0" w:type="dxa"/>
              <w:bottom w:w="0" w:type="dxa"/>
              <w:right w:w="0" w:type="dxa"/>
            </w:tcMar>
            <w:vAlign w:val="bottom"/>
            <w:hideMark/>
          </w:tcPr>
          <w:p w14:paraId="63CFA074" w14:textId="77777777" w:rsidR="00000000" w:rsidRDefault="00097612">
            <w:pPr>
              <w:pStyle w:val="a3"/>
              <w:spacing w:before="0" w:beforeAutospacing="0" w:after="0" w:afterAutospacing="0"/>
              <w:rPr>
                <w:sz w:val="20"/>
                <w:szCs w:val="20"/>
              </w:rPr>
            </w:pPr>
            <w:r>
              <w:rPr>
                <w:sz w:val="22"/>
                <w:szCs w:val="22"/>
              </w:rPr>
              <w:t>​</w:t>
            </w:r>
          </w:p>
        </w:tc>
        <w:tc>
          <w:tcPr>
            <w:tcW w:w="1766" w:type="pct"/>
            <w:shd w:val="clear" w:color="auto" w:fill="auto"/>
            <w:noWrap/>
            <w:tcMar>
              <w:top w:w="0" w:type="dxa"/>
              <w:left w:w="0" w:type="dxa"/>
              <w:bottom w:w="0" w:type="dxa"/>
              <w:right w:w="0" w:type="dxa"/>
            </w:tcMar>
            <w:vAlign w:val="bottom"/>
            <w:hideMark/>
          </w:tcPr>
          <w:p w14:paraId="2F4B8052" w14:textId="77777777" w:rsidR="00000000" w:rsidRDefault="00097612">
            <w:pPr>
              <w:pStyle w:val="a3"/>
              <w:spacing w:before="0" w:beforeAutospacing="0" w:after="0" w:afterAutospacing="0"/>
              <w:rPr>
                <w:sz w:val="20"/>
                <w:szCs w:val="20"/>
              </w:rPr>
            </w:pPr>
            <w:r>
              <w:rPr>
                <w:sz w:val="22"/>
                <w:szCs w:val="22"/>
              </w:rPr>
              <w:t>​</w:t>
            </w:r>
          </w:p>
        </w:tc>
        <w:tc>
          <w:tcPr>
            <w:tcW w:w="105" w:type="pct"/>
            <w:shd w:val="clear" w:color="auto" w:fill="auto"/>
            <w:noWrap/>
            <w:tcMar>
              <w:top w:w="0" w:type="dxa"/>
              <w:left w:w="0" w:type="dxa"/>
              <w:bottom w:w="0" w:type="dxa"/>
              <w:right w:w="0" w:type="dxa"/>
            </w:tcMar>
            <w:vAlign w:val="bottom"/>
            <w:hideMark/>
          </w:tcPr>
          <w:p w14:paraId="7E869F21" w14:textId="77777777" w:rsidR="00000000" w:rsidRDefault="00097612">
            <w:pPr>
              <w:pStyle w:val="a3"/>
              <w:spacing w:before="0" w:beforeAutospacing="0" w:after="0" w:afterAutospacing="0"/>
              <w:rPr>
                <w:sz w:val="20"/>
                <w:szCs w:val="20"/>
              </w:rPr>
            </w:pPr>
            <w:r>
              <w:rPr>
                <w:sz w:val="22"/>
                <w:szCs w:val="22"/>
              </w:rPr>
              <w:t>​</w:t>
            </w:r>
          </w:p>
        </w:tc>
        <w:tc>
          <w:tcPr>
            <w:tcW w:w="664" w:type="pct"/>
            <w:gridSpan w:val="2"/>
            <w:shd w:val="clear" w:color="auto" w:fill="auto"/>
            <w:tcMar>
              <w:top w:w="0" w:type="dxa"/>
              <w:left w:w="0" w:type="dxa"/>
              <w:bottom w:w="0" w:type="dxa"/>
              <w:right w:w="0" w:type="dxa"/>
            </w:tcMar>
            <w:vAlign w:val="bottom"/>
            <w:hideMark/>
          </w:tcPr>
          <w:p w14:paraId="0D93B0EC" w14:textId="77777777" w:rsidR="00000000" w:rsidRDefault="00097612">
            <w:pPr>
              <w:pStyle w:val="a3"/>
              <w:spacing w:before="0" w:beforeAutospacing="0" w:after="0" w:afterAutospacing="0"/>
              <w:jc w:val="center"/>
              <w:rPr>
                <w:sz w:val="16"/>
                <w:szCs w:val="16"/>
              </w:rPr>
            </w:pPr>
            <w:r>
              <w:rPr>
                <w:b/>
                <w:bCs/>
                <w:sz w:val="16"/>
                <w:szCs w:val="16"/>
              </w:rPr>
              <w:t>Three Months</w:t>
            </w:r>
          </w:p>
        </w:tc>
        <w:tc>
          <w:tcPr>
            <w:tcW w:w="105" w:type="pct"/>
            <w:shd w:val="clear" w:color="auto" w:fill="auto"/>
            <w:tcMar>
              <w:top w:w="0" w:type="dxa"/>
              <w:left w:w="0" w:type="dxa"/>
              <w:bottom w:w="0" w:type="dxa"/>
              <w:right w:w="0" w:type="dxa"/>
            </w:tcMar>
            <w:vAlign w:val="bottom"/>
            <w:hideMark/>
          </w:tcPr>
          <w:p w14:paraId="75F711FE" w14:textId="77777777" w:rsidR="00000000" w:rsidRDefault="00097612">
            <w:pPr>
              <w:pStyle w:val="a3"/>
              <w:spacing w:before="0" w:beforeAutospacing="0" w:after="0" w:afterAutospacing="0"/>
              <w:rPr>
                <w:sz w:val="20"/>
                <w:szCs w:val="20"/>
              </w:rPr>
            </w:pPr>
            <w:r>
              <w:rPr>
                <w:b/>
                <w:bCs/>
                <w:sz w:val="16"/>
                <w:szCs w:val="16"/>
              </w:rPr>
              <w:t>​</w:t>
            </w:r>
          </w:p>
        </w:tc>
        <w:tc>
          <w:tcPr>
            <w:tcW w:w="664" w:type="pct"/>
            <w:gridSpan w:val="2"/>
            <w:shd w:val="clear" w:color="auto" w:fill="auto"/>
            <w:tcMar>
              <w:top w:w="0" w:type="dxa"/>
              <w:left w:w="0" w:type="dxa"/>
              <w:bottom w:w="0" w:type="dxa"/>
              <w:right w:w="0" w:type="dxa"/>
            </w:tcMar>
            <w:vAlign w:val="bottom"/>
            <w:hideMark/>
          </w:tcPr>
          <w:p w14:paraId="227A2952" w14:textId="77777777" w:rsidR="00000000" w:rsidRDefault="00097612">
            <w:pPr>
              <w:pStyle w:val="a3"/>
              <w:spacing w:before="0" w:beforeAutospacing="0" w:after="0" w:afterAutospacing="0"/>
              <w:jc w:val="center"/>
              <w:rPr>
                <w:sz w:val="16"/>
                <w:szCs w:val="16"/>
              </w:rPr>
            </w:pPr>
            <w:r>
              <w:rPr>
                <w:b/>
                <w:bCs/>
                <w:sz w:val="16"/>
                <w:szCs w:val="16"/>
              </w:rPr>
              <w:t>Nine Months</w:t>
            </w:r>
          </w:p>
        </w:tc>
      </w:tr>
      <w:tr w:rsidR="00000000" w14:paraId="62B64061" w14:textId="77777777">
        <w:trPr>
          <w:divId w:val="566841183"/>
        </w:trPr>
        <w:tc>
          <w:tcPr>
            <w:tcW w:w="1694" w:type="pct"/>
            <w:shd w:val="clear" w:color="auto" w:fill="auto"/>
            <w:tcMar>
              <w:top w:w="0" w:type="dxa"/>
              <w:left w:w="0" w:type="dxa"/>
              <w:bottom w:w="0" w:type="dxa"/>
              <w:right w:w="0" w:type="dxa"/>
            </w:tcMar>
            <w:vAlign w:val="bottom"/>
            <w:hideMark/>
          </w:tcPr>
          <w:p w14:paraId="07405ED2" w14:textId="77777777" w:rsidR="00000000" w:rsidRDefault="00097612">
            <w:pPr>
              <w:pStyle w:val="a3"/>
              <w:spacing w:before="0" w:beforeAutospacing="0" w:after="0" w:afterAutospacing="0"/>
              <w:rPr>
                <w:sz w:val="20"/>
                <w:szCs w:val="20"/>
              </w:rPr>
            </w:pPr>
            <w:r>
              <w:rPr>
                <w:b/>
                <w:bCs/>
                <w:sz w:val="16"/>
                <w:szCs w:val="16"/>
              </w:rPr>
              <w:t>​</w:t>
            </w:r>
          </w:p>
        </w:tc>
        <w:tc>
          <w:tcPr>
            <w:tcW w:w="1766" w:type="pct"/>
            <w:shd w:val="clear" w:color="auto" w:fill="auto"/>
            <w:tcMar>
              <w:top w:w="0" w:type="dxa"/>
              <w:left w:w="0" w:type="dxa"/>
              <w:bottom w:w="0" w:type="dxa"/>
              <w:right w:w="0" w:type="dxa"/>
            </w:tcMar>
            <w:vAlign w:val="bottom"/>
            <w:hideMark/>
          </w:tcPr>
          <w:p w14:paraId="4B824C38" w14:textId="77777777" w:rsidR="00000000" w:rsidRDefault="00097612">
            <w:pPr>
              <w:pStyle w:val="a3"/>
              <w:spacing w:before="0" w:beforeAutospacing="0" w:after="0" w:afterAutospacing="0"/>
              <w:rPr>
                <w:sz w:val="20"/>
                <w:szCs w:val="20"/>
              </w:rPr>
            </w:pPr>
            <w:r>
              <w:rPr>
                <w:b/>
                <w:bCs/>
                <w:sz w:val="16"/>
                <w:szCs w:val="16"/>
              </w:rPr>
              <w:t>​</w:t>
            </w:r>
          </w:p>
        </w:tc>
        <w:tc>
          <w:tcPr>
            <w:tcW w:w="105" w:type="pct"/>
            <w:shd w:val="clear" w:color="auto" w:fill="auto"/>
            <w:noWrap/>
            <w:tcMar>
              <w:top w:w="0" w:type="dxa"/>
              <w:left w:w="0" w:type="dxa"/>
              <w:bottom w:w="0" w:type="dxa"/>
              <w:right w:w="0" w:type="dxa"/>
            </w:tcMar>
            <w:vAlign w:val="bottom"/>
            <w:hideMark/>
          </w:tcPr>
          <w:p w14:paraId="60B2E772" w14:textId="77777777" w:rsidR="00000000" w:rsidRDefault="00097612">
            <w:pPr>
              <w:pStyle w:val="a3"/>
              <w:spacing w:before="0" w:beforeAutospacing="0" w:after="0" w:afterAutospacing="0"/>
              <w:rPr>
                <w:sz w:val="20"/>
                <w:szCs w:val="20"/>
              </w:rPr>
            </w:pPr>
            <w:r>
              <w:rPr>
                <w:b/>
                <w:bCs/>
                <w:sz w:val="16"/>
                <w:szCs w:val="16"/>
              </w:rPr>
              <w:t>​</w:t>
            </w:r>
          </w:p>
        </w:tc>
        <w:tc>
          <w:tcPr>
            <w:tcW w:w="664" w:type="pct"/>
            <w:gridSpan w:val="2"/>
            <w:shd w:val="clear" w:color="auto" w:fill="auto"/>
            <w:tcMar>
              <w:top w:w="0" w:type="dxa"/>
              <w:left w:w="0" w:type="dxa"/>
              <w:bottom w:w="0" w:type="dxa"/>
              <w:right w:w="0" w:type="dxa"/>
            </w:tcMar>
            <w:vAlign w:val="bottom"/>
            <w:hideMark/>
          </w:tcPr>
          <w:p w14:paraId="4A65D7DB" w14:textId="77777777" w:rsidR="00000000" w:rsidRDefault="00097612">
            <w:pPr>
              <w:pStyle w:val="a3"/>
              <w:spacing w:before="0" w:beforeAutospacing="0" w:after="0" w:afterAutospacing="0"/>
              <w:jc w:val="center"/>
              <w:rPr>
                <w:sz w:val="16"/>
                <w:szCs w:val="16"/>
              </w:rPr>
            </w:pPr>
            <w:r>
              <w:rPr>
                <w:b/>
                <w:bCs/>
                <w:sz w:val="16"/>
                <w:szCs w:val="16"/>
              </w:rPr>
              <w:t>Ended</w:t>
            </w:r>
          </w:p>
        </w:tc>
        <w:tc>
          <w:tcPr>
            <w:tcW w:w="105" w:type="pct"/>
            <w:shd w:val="clear" w:color="auto" w:fill="auto"/>
            <w:tcMar>
              <w:top w:w="0" w:type="dxa"/>
              <w:left w:w="0" w:type="dxa"/>
              <w:bottom w:w="0" w:type="dxa"/>
              <w:right w:w="0" w:type="dxa"/>
            </w:tcMar>
            <w:vAlign w:val="bottom"/>
            <w:hideMark/>
          </w:tcPr>
          <w:p w14:paraId="4016C56D" w14:textId="77777777" w:rsidR="00000000" w:rsidRDefault="00097612">
            <w:pPr>
              <w:pStyle w:val="a3"/>
              <w:spacing w:before="0" w:beforeAutospacing="0" w:after="0" w:afterAutospacing="0"/>
              <w:rPr>
                <w:sz w:val="20"/>
                <w:szCs w:val="20"/>
              </w:rPr>
            </w:pPr>
            <w:r>
              <w:rPr>
                <w:b/>
                <w:bCs/>
                <w:sz w:val="16"/>
                <w:szCs w:val="16"/>
              </w:rPr>
              <w:t>​</w:t>
            </w:r>
          </w:p>
        </w:tc>
        <w:tc>
          <w:tcPr>
            <w:tcW w:w="664" w:type="pct"/>
            <w:gridSpan w:val="2"/>
            <w:shd w:val="clear" w:color="auto" w:fill="auto"/>
            <w:tcMar>
              <w:top w:w="0" w:type="dxa"/>
              <w:left w:w="0" w:type="dxa"/>
              <w:bottom w:w="0" w:type="dxa"/>
              <w:right w:w="0" w:type="dxa"/>
            </w:tcMar>
            <w:vAlign w:val="bottom"/>
            <w:hideMark/>
          </w:tcPr>
          <w:p w14:paraId="44A0AA68" w14:textId="77777777" w:rsidR="00000000" w:rsidRDefault="00097612">
            <w:pPr>
              <w:pStyle w:val="a3"/>
              <w:spacing w:before="0" w:beforeAutospacing="0" w:after="0" w:afterAutospacing="0"/>
              <w:jc w:val="center"/>
              <w:rPr>
                <w:sz w:val="16"/>
                <w:szCs w:val="16"/>
              </w:rPr>
            </w:pPr>
            <w:r>
              <w:rPr>
                <w:b/>
                <w:bCs/>
                <w:sz w:val="16"/>
                <w:szCs w:val="16"/>
              </w:rPr>
              <w:t>Ended</w:t>
            </w:r>
          </w:p>
        </w:tc>
      </w:tr>
      <w:tr w:rsidR="00000000" w14:paraId="35C2624D" w14:textId="77777777">
        <w:trPr>
          <w:divId w:val="566841183"/>
        </w:trPr>
        <w:tc>
          <w:tcPr>
            <w:tcW w:w="1694" w:type="pct"/>
            <w:shd w:val="clear" w:color="auto" w:fill="auto"/>
            <w:noWrap/>
            <w:tcMar>
              <w:top w:w="0" w:type="dxa"/>
              <w:left w:w="0" w:type="dxa"/>
              <w:bottom w:w="0" w:type="dxa"/>
              <w:right w:w="0" w:type="dxa"/>
            </w:tcMar>
            <w:vAlign w:val="bottom"/>
            <w:hideMark/>
          </w:tcPr>
          <w:p w14:paraId="04D0B8F6" w14:textId="77777777" w:rsidR="00000000" w:rsidRDefault="00097612">
            <w:pPr>
              <w:pStyle w:val="a3"/>
              <w:spacing w:before="0" w:beforeAutospacing="0" w:after="0" w:afterAutospacing="0"/>
              <w:rPr>
                <w:sz w:val="16"/>
                <w:szCs w:val="16"/>
              </w:rPr>
            </w:pPr>
            <w:r>
              <w:rPr>
                <w:b/>
                <w:bCs/>
                <w:sz w:val="16"/>
                <w:szCs w:val="16"/>
                <w:u w:val="single"/>
              </w:rPr>
              <w:t>(In thousands)</w:t>
            </w:r>
          </w:p>
        </w:tc>
        <w:tc>
          <w:tcPr>
            <w:tcW w:w="1766" w:type="pct"/>
            <w:shd w:val="clear" w:color="auto" w:fill="auto"/>
            <w:noWrap/>
            <w:tcMar>
              <w:top w:w="0" w:type="dxa"/>
              <w:left w:w="0" w:type="dxa"/>
              <w:bottom w:w="0" w:type="dxa"/>
              <w:right w:w="0" w:type="dxa"/>
            </w:tcMar>
            <w:vAlign w:val="bottom"/>
            <w:hideMark/>
          </w:tcPr>
          <w:p w14:paraId="5654622C" w14:textId="77777777" w:rsidR="00000000" w:rsidRDefault="00097612">
            <w:pPr>
              <w:pStyle w:val="a3"/>
              <w:spacing w:before="0" w:beforeAutospacing="0" w:after="0" w:afterAutospacing="0"/>
              <w:rPr>
                <w:sz w:val="16"/>
                <w:szCs w:val="16"/>
              </w:rPr>
            </w:pPr>
            <w:r>
              <w:rPr>
                <w:b/>
                <w:bCs/>
                <w:sz w:val="16"/>
                <w:szCs w:val="16"/>
                <w:u w:val="single"/>
              </w:rPr>
              <w:t>Classification</w:t>
            </w:r>
          </w:p>
        </w:tc>
        <w:tc>
          <w:tcPr>
            <w:tcW w:w="105" w:type="pct"/>
            <w:shd w:val="clear" w:color="auto" w:fill="auto"/>
            <w:noWrap/>
            <w:tcMar>
              <w:top w:w="0" w:type="dxa"/>
              <w:left w:w="0" w:type="dxa"/>
              <w:bottom w:w="0" w:type="dxa"/>
              <w:right w:w="0" w:type="dxa"/>
            </w:tcMar>
            <w:vAlign w:val="bottom"/>
            <w:hideMark/>
          </w:tcPr>
          <w:p w14:paraId="7E4723A6" w14:textId="77777777" w:rsidR="00000000" w:rsidRDefault="00097612">
            <w:pPr>
              <w:pStyle w:val="a3"/>
              <w:spacing w:before="0" w:beforeAutospacing="0" w:after="0" w:afterAutospacing="0"/>
              <w:rPr>
                <w:sz w:val="16"/>
                <w:szCs w:val="16"/>
              </w:rPr>
            </w:pPr>
            <w:r>
              <w:rPr>
                <w:b/>
                <w:bCs/>
                <w:sz w:val="16"/>
                <w:szCs w:val="16"/>
              </w:rPr>
              <w:t>    </w:t>
            </w:r>
          </w:p>
        </w:tc>
        <w:tc>
          <w:tcPr>
            <w:tcW w:w="664" w:type="pct"/>
            <w:gridSpan w:val="2"/>
            <w:tcBorders>
              <w:bottom w:val="single" w:sz="6" w:space="0" w:color="000000"/>
            </w:tcBorders>
            <w:shd w:val="clear" w:color="auto" w:fill="auto"/>
            <w:noWrap/>
            <w:tcMar>
              <w:top w:w="0" w:type="dxa"/>
              <w:left w:w="0" w:type="dxa"/>
              <w:bottom w:w="0" w:type="dxa"/>
              <w:right w:w="0" w:type="dxa"/>
            </w:tcMar>
            <w:vAlign w:val="bottom"/>
            <w:hideMark/>
          </w:tcPr>
          <w:p w14:paraId="0A2F8634" w14:textId="77777777" w:rsidR="00000000" w:rsidRDefault="00097612">
            <w:pPr>
              <w:pStyle w:val="a3"/>
              <w:spacing w:before="0" w:beforeAutospacing="0" w:after="0" w:afterAutospacing="0"/>
              <w:jc w:val="center"/>
              <w:rPr>
                <w:sz w:val="16"/>
                <w:szCs w:val="16"/>
              </w:rPr>
            </w:pPr>
            <w:r>
              <w:rPr>
                <w:b/>
                <w:bCs/>
                <w:sz w:val="16"/>
                <w:szCs w:val="16"/>
              </w:rPr>
              <w:t>September 30, 2019</w:t>
            </w:r>
          </w:p>
        </w:tc>
        <w:tc>
          <w:tcPr>
            <w:tcW w:w="105" w:type="pct"/>
            <w:shd w:val="clear" w:color="auto" w:fill="auto"/>
            <w:noWrap/>
            <w:tcMar>
              <w:top w:w="0" w:type="dxa"/>
              <w:left w:w="0" w:type="dxa"/>
              <w:bottom w:w="0" w:type="dxa"/>
              <w:right w:w="0" w:type="dxa"/>
            </w:tcMar>
            <w:vAlign w:val="bottom"/>
            <w:hideMark/>
          </w:tcPr>
          <w:p w14:paraId="5C3C25C5" w14:textId="77777777" w:rsidR="00000000" w:rsidRDefault="00097612">
            <w:pPr>
              <w:pStyle w:val="a3"/>
              <w:spacing w:before="0" w:beforeAutospacing="0" w:after="0" w:afterAutospacing="0"/>
              <w:rPr>
                <w:sz w:val="16"/>
                <w:szCs w:val="16"/>
              </w:rPr>
            </w:pPr>
            <w:r>
              <w:rPr>
                <w:b/>
                <w:bCs/>
                <w:sz w:val="16"/>
                <w:szCs w:val="16"/>
              </w:rPr>
              <w:t>  </w:t>
            </w:r>
            <w:r>
              <w:rPr>
                <w:b/>
                <w:bCs/>
                <w:sz w:val="16"/>
                <w:szCs w:val="16"/>
              </w:rPr>
              <w:t>  </w:t>
            </w:r>
          </w:p>
        </w:tc>
        <w:tc>
          <w:tcPr>
            <w:tcW w:w="664" w:type="pct"/>
            <w:gridSpan w:val="2"/>
            <w:tcBorders>
              <w:bottom w:val="single" w:sz="6" w:space="0" w:color="000000"/>
            </w:tcBorders>
            <w:shd w:val="clear" w:color="auto" w:fill="auto"/>
            <w:noWrap/>
            <w:tcMar>
              <w:top w:w="0" w:type="dxa"/>
              <w:left w:w="0" w:type="dxa"/>
              <w:bottom w:w="0" w:type="dxa"/>
              <w:right w:w="0" w:type="dxa"/>
            </w:tcMar>
            <w:vAlign w:val="bottom"/>
            <w:hideMark/>
          </w:tcPr>
          <w:p w14:paraId="0A81EF34" w14:textId="77777777" w:rsidR="00000000" w:rsidRDefault="00097612">
            <w:pPr>
              <w:pStyle w:val="a3"/>
              <w:spacing w:before="0" w:beforeAutospacing="0" w:after="0" w:afterAutospacing="0"/>
              <w:jc w:val="center"/>
              <w:rPr>
                <w:sz w:val="16"/>
                <w:szCs w:val="16"/>
              </w:rPr>
            </w:pPr>
            <w:r>
              <w:rPr>
                <w:b/>
                <w:bCs/>
                <w:sz w:val="16"/>
                <w:szCs w:val="16"/>
              </w:rPr>
              <w:t>September 30, 2019</w:t>
            </w:r>
          </w:p>
        </w:tc>
      </w:tr>
      <w:tr w:rsidR="00000000" w14:paraId="64F9232B" w14:textId="77777777">
        <w:trPr>
          <w:divId w:val="566841183"/>
        </w:trPr>
        <w:tc>
          <w:tcPr>
            <w:tcW w:w="1694" w:type="pct"/>
            <w:shd w:val="clear" w:color="auto" w:fill="CCEEFF"/>
            <w:noWrap/>
            <w:tcMar>
              <w:top w:w="0" w:type="dxa"/>
              <w:left w:w="0" w:type="dxa"/>
              <w:bottom w:w="0" w:type="dxa"/>
              <w:right w:w="0" w:type="dxa"/>
            </w:tcMar>
            <w:vAlign w:val="bottom"/>
            <w:hideMark/>
          </w:tcPr>
          <w:p w14:paraId="7D41F797" w14:textId="77777777" w:rsidR="00000000" w:rsidRDefault="00097612">
            <w:pPr>
              <w:pStyle w:val="a3"/>
              <w:spacing w:before="0" w:beforeAutospacing="0" w:after="0" w:afterAutospacing="0"/>
              <w:rPr>
                <w:sz w:val="20"/>
                <w:szCs w:val="20"/>
              </w:rPr>
            </w:pPr>
            <w:r>
              <w:rPr>
                <w:sz w:val="20"/>
                <w:szCs w:val="20"/>
              </w:rPr>
              <w:t>Operating lease expense</w:t>
            </w:r>
          </w:p>
        </w:tc>
        <w:tc>
          <w:tcPr>
            <w:tcW w:w="1766" w:type="pct"/>
            <w:shd w:val="clear" w:color="auto" w:fill="CCEEFF"/>
            <w:noWrap/>
            <w:tcMar>
              <w:top w:w="0" w:type="dxa"/>
              <w:left w:w="0" w:type="dxa"/>
              <w:bottom w:w="0" w:type="dxa"/>
              <w:right w:w="0" w:type="dxa"/>
            </w:tcMar>
            <w:vAlign w:val="bottom"/>
            <w:hideMark/>
          </w:tcPr>
          <w:p w14:paraId="66C450F7" w14:textId="77777777" w:rsidR="00000000" w:rsidRDefault="00097612">
            <w:pPr>
              <w:pStyle w:val="a3"/>
              <w:spacing w:before="0" w:beforeAutospacing="0" w:after="0" w:afterAutospacing="0"/>
              <w:rPr>
                <w:sz w:val="20"/>
                <w:szCs w:val="20"/>
              </w:rPr>
            </w:pPr>
            <w:r>
              <w:rPr>
                <w:sz w:val="20"/>
                <w:szCs w:val="20"/>
              </w:rPr>
              <w:t>Selling, general and administrative expenses</w:t>
            </w:r>
          </w:p>
        </w:tc>
        <w:tc>
          <w:tcPr>
            <w:tcW w:w="105" w:type="pct"/>
            <w:shd w:val="clear" w:color="auto" w:fill="CCEEFF"/>
            <w:noWrap/>
            <w:tcMar>
              <w:top w:w="0" w:type="dxa"/>
              <w:left w:w="0" w:type="dxa"/>
              <w:bottom w:w="0" w:type="dxa"/>
              <w:right w:w="0" w:type="dxa"/>
            </w:tcMar>
            <w:vAlign w:val="bottom"/>
            <w:hideMark/>
          </w:tcPr>
          <w:p w14:paraId="14631057" w14:textId="77777777" w:rsidR="00000000" w:rsidRDefault="00097612">
            <w:pPr>
              <w:pStyle w:val="a3"/>
              <w:spacing w:before="0" w:beforeAutospacing="0" w:after="0" w:afterAutospacing="0"/>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14:paraId="37768FB4" w14:textId="77777777" w:rsidR="00000000" w:rsidRDefault="00097612">
            <w:pPr>
              <w:pStyle w:val="a3"/>
              <w:spacing w:before="0" w:beforeAutospacing="0" w:after="0" w:afterAutospacing="0"/>
              <w:jc w:val="center"/>
              <w:rPr>
                <w:sz w:val="20"/>
                <w:szCs w:val="20"/>
              </w:rPr>
            </w:pPr>
            <w:r>
              <w:rPr>
                <w:sz w:val="20"/>
                <w:szCs w:val="20"/>
              </w:rPr>
              <w:t>$</w:t>
            </w:r>
          </w:p>
        </w:tc>
        <w:tc>
          <w:tcPr>
            <w:tcW w:w="529" w:type="pct"/>
            <w:shd w:val="clear" w:color="auto" w:fill="CCEEFF"/>
            <w:noWrap/>
            <w:tcMar>
              <w:top w:w="0" w:type="dxa"/>
              <w:left w:w="0" w:type="dxa"/>
              <w:bottom w:w="0" w:type="dxa"/>
              <w:right w:w="0" w:type="dxa"/>
            </w:tcMar>
            <w:vAlign w:val="center"/>
            <w:hideMark/>
          </w:tcPr>
          <w:p w14:paraId="5A73CBC6" w14:textId="77777777" w:rsidR="00000000" w:rsidRDefault="00097612">
            <w:pPr>
              <w:pStyle w:val="a3"/>
              <w:spacing w:before="0" w:beforeAutospacing="0" w:after="0" w:afterAutospacing="0"/>
              <w:ind w:right="60"/>
              <w:jc w:val="right"/>
              <w:rPr>
                <w:sz w:val="20"/>
                <w:szCs w:val="20"/>
              </w:rPr>
            </w:pPr>
            <w:r>
              <w:rPr>
                <w:sz w:val="20"/>
                <w:szCs w:val="20"/>
              </w:rPr>
              <w:t>2,512</w:t>
            </w:r>
          </w:p>
        </w:tc>
        <w:tc>
          <w:tcPr>
            <w:tcW w:w="105" w:type="pct"/>
            <w:shd w:val="clear" w:color="auto" w:fill="CCEEFF"/>
            <w:noWrap/>
            <w:tcMar>
              <w:top w:w="0" w:type="dxa"/>
              <w:left w:w="0" w:type="dxa"/>
              <w:bottom w:w="0" w:type="dxa"/>
              <w:right w:w="0" w:type="dxa"/>
            </w:tcMar>
            <w:vAlign w:val="bottom"/>
            <w:hideMark/>
          </w:tcPr>
          <w:p w14:paraId="275D4D8A" w14:textId="77777777" w:rsidR="00000000" w:rsidRDefault="00097612">
            <w:pPr>
              <w:pStyle w:val="a3"/>
              <w:spacing w:before="0" w:beforeAutospacing="0" w:after="0" w:afterAutospacing="0"/>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14:paraId="41745C1B" w14:textId="77777777" w:rsidR="00000000" w:rsidRDefault="00097612">
            <w:pPr>
              <w:pStyle w:val="a3"/>
              <w:spacing w:before="0" w:beforeAutospacing="0" w:after="0" w:afterAutospacing="0"/>
              <w:jc w:val="center"/>
              <w:rPr>
                <w:sz w:val="20"/>
                <w:szCs w:val="20"/>
              </w:rPr>
            </w:pPr>
            <w:r>
              <w:rPr>
                <w:sz w:val="20"/>
                <w:szCs w:val="20"/>
              </w:rPr>
              <w:t>$</w:t>
            </w:r>
          </w:p>
        </w:tc>
        <w:tc>
          <w:tcPr>
            <w:tcW w:w="529" w:type="pct"/>
            <w:shd w:val="clear" w:color="auto" w:fill="CCEEFF"/>
            <w:noWrap/>
            <w:tcMar>
              <w:top w:w="0" w:type="dxa"/>
              <w:left w:w="0" w:type="dxa"/>
              <w:bottom w:w="0" w:type="dxa"/>
              <w:right w:w="0" w:type="dxa"/>
            </w:tcMar>
            <w:vAlign w:val="center"/>
            <w:hideMark/>
          </w:tcPr>
          <w:p w14:paraId="27FE61C2" w14:textId="77777777" w:rsidR="00000000" w:rsidRDefault="00097612">
            <w:pPr>
              <w:pStyle w:val="a3"/>
              <w:spacing w:before="0" w:beforeAutospacing="0" w:after="0" w:afterAutospacing="0"/>
              <w:ind w:right="60"/>
              <w:jc w:val="right"/>
              <w:rPr>
                <w:sz w:val="20"/>
                <w:szCs w:val="20"/>
              </w:rPr>
            </w:pPr>
            <w:r>
              <w:rPr>
                <w:sz w:val="20"/>
                <w:szCs w:val="20"/>
              </w:rPr>
              <w:t>7,431</w:t>
            </w:r>
          </w:p>
        </w:tc>
      </w:tr>
      <w:tr w:rsidR="00000000" w14:paraId="3C231A3E" w14:textId="77777777">
        <w:trPr>
          <w:divId w:val="566841183"/>
        </w:trPr>
        <w:tc>
          <w:tcPr>
            <w:tcW w:w="1694" w:type="pct"/>
            <w:noWrap/>
            <w:tcMar>
              <w:top w:w="0" w:type="dxa"/>
              <w:left w:w="0" w:type="dxa"/>
              <w:bottom w:w="0" w:type="dxa"/>
              <w:right w:w="0" w:type="dxa"/>
            </w:tcMar>
            <w:vAlign w:val="bottom"/>
            <w:hideMark/>
          </w:tcPr>
          <w:p w14:paraId="44C724B4" w14:textId="77777777" w:rsidR="00000000" w:rsidRDefault="00097612">
            <w:pPr>
              <w:pStyle w:val="a3"/>
              <w:spacing w:before="0" w:beforeAutospacing="0" w:after="0" w:afterAutospacing="0"/>
              <w:rPr>
                <w:sz w:val="20"/>
                <w:szCs w:val="20"/>
              </w:rPr>
            </w:pPr>
            <w:r>
              <w:rPr>
                <w:sz w:val="20"/>
                <w:szCs w:val="20"/>
              </w:rPr>
              <w:t>Operating lease expense</w:t>
            </w:r>
          </w:p>
        </w:tc>
        <w:tc>
          <w:tcPr>
            <w:tcW w:w="1766" w:type="pct"/>
            <w:noWrap/>
            <w:tcMar>
              <w:top w:w="0" w:type="dxa"/>
              <w:left w:w="0" w:type="dxa"/>
              <w:bottom w:w="0" w:type="dxa"/>
              <w:right w:w="0" w:type="dxa"/>
            </w:tcMar>
            <w:vAlign w:val="bottom"/>
            <w:hideMark/>
          </w:tcPr>
          <w:p w14:paraId="26D7DF70" w14:textId="77777777" w:rsidR="00000000" w:rsidRDefault="00097612">
            <w:pPr>
              <w:pStyle w:val="a3"/>
              <w:spacing w:before="0" w:beforeAutospacing="0" w:after="0" w:afterAutospacing="0"/>
              <w:rPr>
                <w:sz w:val="20"/>
                <w:szCs w:val="20"/>
              </w:rPr>
            </w:pPr>
            <w:r>
              <w:rPr>
                <w:sz w:val="20"/>
                <w:szCs w:val="20"/>
              </w:rPr>
              <w:t>Research and development expenses</w:t>
            </w:r>
          </w:p>
        </w:tc>
        <w:tc>
          <w:tcPr>
            <w:tcW w:w="105" w:type="pct"/>
            <w:noWrap/>
            <w:tcMar>
              <w:top w:w="0" w:type="dxa"/>
              <w:left w:w="0" w:type="dxa"/>
              <w:bottom w:w="0" w:type="dxa"/>
              <w:right w:w="0" w:type="dxa"/>
            </w:tcMar>
            <w:vAlign w:val="bottom"/>
            <w:hideMark/>
          </w:tcPr>
          <w:p w14:paraId="42A3A18E" w14:textId="77777777" w:rsidR="00000000" w:rsidRDefault="00097612">
            <w:pPr>
              <w:pStyle w:val="a3"/>
              <w:spacing w:before="0" w:beforeAutospacing="0" w:after="0" w:afterAutospacing="0"/>
              <w:rPr>
                <w:sz w:val="20"/>
                <w:szCs w:val="20"/>
              </w:rPr>
            </w:pPr>
            <w:r>
              <w:rPr>
                <w:sz w:val="20"/>
                <w:szCs w:val="20"/>
              </w:rPr>
              <w:t>​</w:t>
            </w:r>
          </w:p>
        </w:tc>
        <w:tc>
          <w:tcPr>
            <w:tcW w:w="134" w:type="pct"/>
            <w:tcBorders>
              <w:bottom w:val="single" w:sz="6" w:space="0" w:color="000000"/>
            </w:tcBorders>
            <w:noWrap/>
            <w:tcMar>
              <w:top w:w="0" w:type="dxa"/>
              <w:left w:w="0" w:type="dxa"/>
              <w:bottom w:w="0" w:type="dxa"/>
              <w:right w:w="0" w:type="dxa"/>
            </w:tcMar>
            <w:vAlign w:val="bottom"/>
            <w:hideMark/>
          </w:tcPr>
          <w:p w14:paraId="1A79A492" w14:textId="77777777" w:rsidR="00000000" w:rsidRDefault="00097612">
            <w:pPr>
              <w:pStyle w:val="a3"/>
              <w:spacing w:before="0" w:beforeAutospacing="0" w:after="0" w:afterAutospacing="0"/>
              <w:jc w:val="center"/>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center"/>
            <w:hideMark/>
          </w:tcPr>
          <w:p w14:paraId="47AB42AA" w14:textId="77777777" w:rsidR="00000000" w:rsidRDefault="00097612">
            <w:pPr>
              <w:pStyle w:val="a3"/>
              <w:spacing w:before="0" w:beforeAutospacing="0" w:after="0" w:afterAutospacing="0"/>
              <w:ind w:right="60"/>
              <w:jc w:val="right"/>
              <w:rPr>
                <w:sz w:val="20"/>
                <w:szCs w:val="20"/>
              </w:rPr>
            </w:pPr>
            <w:r>
              <w:rPr>
                <w:sz w:val="20"/>
                <w:szCs w:val="20"/>
              </w:rPr>
              <w:t>238</w:t>
            </w:r>
          </w:p>
        </w:tc>
        <w:tc>
          <w:tcPr>
            <w:tcW w:w="105" w:type="pct"/>
            <w:noWrap/>
            <w:tcMar>
              <w:top w:w="0" w:type="dxa"/>
              <w:left w:w="0" w:type="dxa"/>
              <w:bottom w:w="0" w:type="dxa"/>
              <w:right w:w="0" w:type="dxa"/>
            </w:tcMar>
            <w:vAlign w:val="bottom"/>
            <w:hideMark/>
          </w:tcPr>
          <w:p w14:paraId="1029547E" w14:textId="77777777" w:rsidR="00000000" w:rsidRDefault="00097612">
            <w:pPr>
              <w:pStyle w:val="a3"/>
              <w:spacing w:before="0" w:beforeAutospacing="0" w:after="0" w:afterAutospacing="0"/>
              <w:rPr>
                <w:sz w:val="20"/>
                <w:szCs w:val="20"/>
              </w:rPr>
            </w:pPr>
            <w:r>
              <w:rPr>
                <w:sz w:val="20"/>
                <w:szCs w:val="20"/>
              </w:rPr>
              <w:t>​</w:t>
            </w:r>
          </w:p>
        </w:tc>
        <w:tc>
          <w:tcPr>
            <w:tcW w:w="134" w:type="pct"/>
            <w:tcBorders>
              <w:bottom w:val="single" w:sz="6" w:space="0" w:color="000000"/>
            </w:tcBorders>
            <w:noWrap/>
            <w:tcMar>
              <w:top w:w="0" w:type="dxa"/>
              <w:left w:w="0" w:type="dxa"/>
              <w:bottom w:w="0" w:type="dxa"/>
              <w:right w:w="0" w:type="dxa"/>
            </w:tcMar>
            <w:vAlign w:val="bottom"/>
            <w:hideMark/>
          </w:tcPr>
          <w:p w14:paraId="1C9B2C5C" w14:textId="77777777" w:rsidR="00000000" w:rsidRDefault="00097612">
            <w:pPr>
              <w:pStyle w:val="a3"/>
              <w:spacing w:before="0" w:beforeAutospacing="0" w:after="0" w:afterAutospacing="0"/>
              <w:jc w:val="center"/>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center"/>
            <w:hideMark/>
          </w:tcPr>
          <w:p w14:paraId="08017CF3" w14:textId="77777777" w:rsidR="00000000" w:rsidRDefault="00097612">
            <w:pPr>
              <w:pStyle w:val="a3"/>
              <w:spacing w:before="0" w:beforeAutospacing="0" w:after="0" w:afterAutospacing="0"/>
              <w:ind w:right="60"/>
              <w:jc w:val="right"/>
              <w:rPr>
                <w:sz w:val="20"/>
                <w:szCs w:val="20"/>
              </w:rPr>
            </w:pPr>
            <w:r>
              <w:rPr>
                <w:sz w:val="20"/>
                <w:szCs w:val="20"/>
              </w:rPr>
              <w:t>715</w:t>
            </w:r>
          </w:p>
        </w:tc>
      </w:tr>
      <w:tr w:rsidR="00000000" w14:paraId="0264F982" w14:textId="77777777">
        <w:trPr>
          <w:divId w:val="566841183"/>
        </w:trPr>
        <w:tc>
          <w:tcPr>
            <w:tcW w:w="1694" w:type="pct"/>
            <w:shd w:val="clear" w:color="auto" w:fill="CCEEFF"/>
            <w:noWrap/>
            <w:tcMar>
              <w:top w:w="0" w:type="dxa"/>
              <w:left w:w="0" w:type="dxa"/>
              <w:bottom w:w="0" w:type="dxa"/>
              <w:right w:w="0" w:type="dxa"/>
            </w:tcMar>
            <w:vAlign w:val="bottom"/>
            <w:hideMark/>
          </w:tcPr>
          <w:p w14:paraId="29B29D8F" w14:textId="77777777" w:rsidR="00000000" w:rsidRDefault="00097612">
            <w:pPr>
              <w:pStyle w:val="a3"/>
              <w:spacing w:before="0" w:beforeAutospacing="0" w:after="0" w:afterAutospacing="0"/>
              <w:ind w:left="240"/>
              <w:rPr>
                <w:sz w:val="20"/>
                <w:szCs w:val="20"/>
              </w:rPr>
            </w:pPr>
            <w:r>
              <w:rPr>
                <w:sz w:val="20"/>
                <w:szCs w:val="20"/>
              </w:rPr>
              <w:t xml:space="preserve">Total operating lease expense </w:t>
            </w:r>
            <w:r>
              <w:rPr>
                <w:sz w:val="17"/>
                <w:szCs w:val="17"/>
                <w:vertAlign w:val="superscript"/>
              </w:rPr>
              <w:t>(1)</w:t>
            </w:r>
          </w:p>
        </w:tc>
        <w:tc>
          <w:tcPr>
            <w:tcW w:w="1766" w:type="pct"/>
            <w:shd w:val="clear" w:color="auto" w:fill="CCEEFF"/>
            <w:tcMar>
              <w:top w:w="0" w:type="dxa"/>
              <w:left w:w="0" w:type="dxa"/>
              <w:bottom w:w="0" w:type="dxa"/>
              <w:right w:w="0" w:type="dxa"/>
            </w:tcMar>
            <w:vAlign w:val="bottom"/>
            <w:hideMark/>
          </w:tcPr>
          <w:p w14:paraId="4453330B" w14:textId="77777777" w:rsidR="00000000" w:rsidRDefault="00097612">
            <w:pPr>
              <w:pStyle w:val="a3"/>
              <w:spacing w:before="0" w:beforeAutospacing="0" w:after="0" w:afterAutospacing="0"/>
              <w:ind w:left="24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14:paraId="46D9FA66" w14:textId="77777777" w:rsidR="00000000" w:rsidRDefault="00097612">
            <w:pPr>
              <w:pStyle w:val="a3"/>
              <w:spacing w:before="0" w:beforeAutospacing="0" w:after="0" w:afterAutospacing="0"/>
              <w:rPr>
                <w:sz w:val="20"/>
                <w:szCs w:val="20"/>
              </w:rPr>
            </w:pPr>
            <w:r>
              <w:rPr>
                <w:sz w:val="20"/>
                <w:szCs w:val="20"/>
              </w:rPr>
              <w:t>​</w:t>
            </w:r>
          </w:p>
        </w:tc>
        <w:tc>
          <w:tcPr>
            <w:tcW w:w="134" w:type="pct"/>
            <w:tcBorders>
              <w:bottom w:val="double" w:sz="6" w:space="0" w:color="000000"/>
            </w:tcBorders>
            <w:shd w:val="clear" w:color="auto" w:fill="CCEEFF"/>
            <w:noWrap/>
            <w:tcMar>
              <w:top w:w="0" w:type="dxa"/>
              <w:left w:w="0" w:type="dxa"/>
              <w:bottom w:w="0" w:type="dxa"/>
              <w:right w:w="0" w:type="dxa"/>
            </w:tcMar>
            <w:vAlign w:val="bottom"/>
            <w:hideMark/>
          </w:tcPr>
          <w:p w14:paraId="3367E6E2" w14:textId="77777777" w:rsidR="00000000" w:rsidRDefault="00097612">
            <w:pPr>
              <w:pStyle w:val="a3"/>
              <w:spacing w:before="0" w:beforeAutospacing="0" w:after="0" w:afterAutospacing="0"/>
              <w:jc w:val="center"/>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center"/>
            <w:hideMark/>
          </w:tcPr>
          <w:p w14:paraId="34113F0C" w14:textId="77777777" w:rsidR="00000000" w:rsidRDefault="00097612">
            <w:pPr>
              <w:pStyle w:val="a3"/>
              <w:spacing w:before="0" w:beforeAutospacing="0" w:after="0" w:afterAutospacing="0"/>
              <w:ind w:right="60"/>
              <w:jc w:val="right"/>
              <w:rPr>
                <w:sz w:val="20"/>
                <w:szCs w:val="20"/>
              </w:rPr>
            </w:pPr>
            <w:r>
              <w:rPr>
                <w:sz w:val="20"/>
                <w:szCs w:val="20"/>
              </w:rPr>
              <w:t>2,750</w:t>
            </w:r>
          </w:p>
        </w:tc>
        <w:tc>
          <w:tcPr>
            <w:tcW w:w="105" w:type="pct"/>
            <w:shd w:val="clear" w:color="auto" w:fill="CCEEFF"/>
            <w:noWrap/>
            <w:tcMar>
              <w:top w:w="0" w:type="dxa"/>
              <w:left w:w="0" w:type="dxa"/>
              <w:bottom w:w="0" w:type="dxa"/>
              <w:right w:w="0" w:type="dxa"/>
            </w:tcMar>
            <w:vAlign w:val="bottom"/>
            <w:hideMark/>
          </w:tcPr>
          <w:p w14:paraId="14AC8C20" w14:textId="77777777" w:rsidR="00000000" w:rsidRDefault="00097612">
            <w:pPr>
              <w:pStyle w:val="a3"/>
              <w:spacing w:before="0" w:beforeAutospacing="0" w:after="0" w:afterAutospacing="0"/>
              <w:rPr>
                <w:sz w:val="20"/>
                <w:szCs w:val="20"/>
              </w:rPr>
            </w:pPr>
            <w:r>
              <w:rPr>
                <w:sz w:val="20"/>
                <w:szCs w:val="20"/>
              </w:rPr>
              <w:t>​</w:t>
            </w:r>
          </w:p>
        </w:tc>
        <w:tc>
          <w:tcPr>
            <w:tcW w:w="134" w:type="pct"/>
            <w:tcBorders>
              <w:bottom w:val="double" w:sz="6" w:space="0" w:color="000000"/>
            </w:tcBorders>
            <w:shd w:val="clear" w:color="auto" w:fill="CCEEFF"/>
            <w:noWrap/>
            <w:tcMar>
              <w:top w:w="0" w:type="dxa"/>
              <w:left w:w="0" w:type="dxa"/>
              <w:bottom w:w="0" w:type="dxa"/>
              <w:right w:w="0" w:type="dxa"/>
            </w:tcMar>
            <w:vAlign w:val="bottom"/>
            <w:hideMark/>
          </w:tcPr>
          <w:p w14:paraId="3A885628" w14:textId="77777777" w:rsidR="00000000" w:rsidRDefault="00097612">
            <w:pPr>
              <w:pStyle w:val="a3"/>
              <w:spacing w:before="0" w:beforeAutospacing="0" w:after="0" w:afterAutospacing="0"/>
              <w:jc w:val="center"/>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center"/>
            <w:hideMark/>
          </w:tcPr>
          <w:p w14:paraId="1B5E0EA8" w14:textId="77777777" w:rsidR="00000000" w:rsidRDefault="00097612">
            <w:pPr>
              <w:pStyle w:val="a3"/>
              <w:spacing w:before="0" w:beforeAutospacing="0" w:after="0" w:afterAutospacing="0"/>
              <w:ind w:right="60"/>
              <w:jc w:val="right"/>
              <w:rPr>
                <w:sz w:val="20"/>
                <w:szCs w:val="20"/>
              </w:rPr>
            </w:pPr>
            <w:r>
              <w:rPr>
                <w:sz w:val="20"/>
                <w:szCs w:val="20"/>
              </w:rPr>
              <w:t>8,146</w:t>
            </w:r>
          </w:p>
        </w:tc>
      </w:tr>
    </w:tbl>
    <w:p w14:paraId="76C4A5B9" w14:textId="77777777" w:rsidR="00000000" w:rsidRDefault="00097612">
      <w:pPr>
        <w:pStyle w:val="a3"/>
        <w:spacing w:before="0" w:beforeAutospacing="0" w:after="0" w:afterAutospacing="0"/>
        <w:divId w:val="566841183"/>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286"/>
        <w:gridCol w:w="8020"/>
      </w:tblGrid>
      <w:tr w:rsidR="00000000" w14:paraId="01C3FBF7" w14:textId="77777777">
        <w:trPr>
          <w:divId w:val="566841183"/>
        </w:trPr>
        <w:tc>
          <w:tcPr>
            <w:tcW w:w="270" w:type="dxa"/>
            <w:noWrap/>
            <w:tcMar>
              <w:top w:w="0" w:type="dxa"/>
              <w:left w:w="0" w:type="dxa"/>
              <w:bottom w:w="0" w:type="dxa"/>
              <w:right w:w="0" w:type="dxa"/>
            </w:tcMar>
            <w:hideMark/>
          </w:tcPr>
          <w:p w14:paraId="71169E92" w14:textId="77777777" w:rsidR="00000000" w:rsidRDefault="00097612">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14:paraId="0BCE3B42" w14:textId="77777777" w:rsidR="00000000" w:rsidRDefault="00097612">
            <w:pPr>
              <w:rPr>
                <w:rFonts w:eastAsia="Times New Roman"/>
                <w:sz w:val="20"/>
                <w:szCs w:val="20"/>
              </w:rPr>
            </w:pPr>
            <w:r>
              <w:rPr>
                <w:rFonts w:eastAsia="Times New Roman"/>
                <w:color w:val="000000"/>
                <w:sz w:val="20"/>
                <w:szCs w:val="20"/>
              </w:rPr>
              <w:t>Includes short-term leases which were immaterial.</w:t>
            </w:r>
          </w:p>
        </w:tc>
      </w:tr>
    </w:tbl>
    <w:p w14:paraId="56A5F3EB" w14:textId="77777777" w:rsidR="00000000" w:rsidRDefault="00097612">
      <w:pPr>
        <w:pStyle w:val="a3"/>
        <w:spacing w:before="0" w:beforeAutospacing="0" w:after="0" w:afterAutospacing="0"/>
        <w:divId w:val="566841183"/>
        <w:rPr>
          <w:sz w:val="20"/>
          <w:szCs w:val="20"/>
        </w:rPr>
      </w:pPr>
      <w:r>
        <w:rPr>
          <w:sz w:val="20"/>
          <w:szCs w:val="20"/>
        </w:rPr>
        <w:t>​</w:t>
      </w:r>
    </w:p>
    <w:p w14:paraId="378B5943" w14:textId="77777777" w:rsidR="00000000" w:rsidRDefault="00097612">
      <w:pPr>
        <w:pStyle w:val="a3"/>
        <w:spacing w:before="0" w:beforeAutospacing="0" w:after="0" w:afterAutospacing="0"/>
        <w:divId w:val="566841183"/>
        <w:rPr>
          <w:sz w:val="20"/>
          <w:szCs w:val="20"/>
        </w:rPr>
      </w:pPr>
      <w:r>
        <w:rPr>
          <w:sz w:val="20"/>
          <w:szCs w:val="20"/>
        </w:rPr>
        <w:t>As of September 30, 2019, the maturities of the Company’s lease liabilities were as follows:</w:t>
      </w:r>
    </w:p>
    <w:p w14:paraId="77EC367A" w14:textId="77777777" w:rsidR="00000000" w:rsidRDefault="00097612">
      <w:pPr>
        <w:pStyle w:val="a3"/>
        <w:spacing w:before="0" w:beforeAutospacing="0" w:after="0" w:afterAutospacing="0"/>
        <w:divId w:val="566841183"/>
        <w:rPr>
          <w:sz w:val="20"/>
          <w:szCs w:val="20"/>
        </w:rPr>
      </w:pPr>
      <w:r>
        <w:rPr>
          <w:b/>
          <w:bCs/>
          <w:i/>
          <w:iCs/>
          <w:sz w:val="4"/>
          <w:szCs w:val="4"/>
          <w:u w:val="single"/>
        </w:rPr>
        <w:t>​</w:t>
      </w:r>
    </w:p>
    <w:tbl>
      <w:tblPr>
        <w:tblW w:w="4897" w:type="pct"/>
        <w:tblCellMar>
          <w:top w:w="15" w:type="dxa"/>
          <w:left w:w="0" w:type="dxa"/>
          <w:bottom w:w="15" w:type="dxa"/>
          <w:right w:w="0" w:type="dxa"/>
        </w:tblCellMar>
        <w:tblLook w:val="04A0" w:firstRow="1" w:lastRow="0" w:firstColumn="1" w:lastColumn="0" w:noHBand="0" w:noVBand="1"/>
      </w:tblPr>
      <w:tblGrid>
        <w:gridCol w:w="4028"/>
        <w:gridCol w:w="3142"/>
        <w:gridCol w:w="72"/>
        <w:gridCol w:w="100"/>
        <w:gridCol w:w="793"/>
      </w:tblGrid>
      <w:tr w:rsidR="00000000" w14:paraId="48237AB2" w14:textId="77777777">
        <w:trPr>
          <w:divId w:val="566841183"/>
          <w:trHeight w:val="20"/>
        </w:trPr>
        <w:tc>
          <w:tcPr>
            <w:tcW w:w="2039" w:type="pct"/>
            <w:noWrap/>
            <w:tcMar>
              <w:top w:w="0" w:type="dxa"/>
              <w:left w:w="0" w:type="dxa"/>
              <w:bottom w:w="0" w:type="dxa"/>
              <w:right w:w="0" w:type="dxa"/>
            </w:tcMar>
            <w:vAlign w:val="bottom"/>
            <w:hideMark/>
          </w:tcPr>
          <w:p w14:paraId="3BF2F00A" w14:textId="77777777" w:rsidR="00000000" w:rsidRDefault="00097612">
            <w:pPr>
              <w:pStyle w:val="a3"/>
              <w:spacing w:before="0" w:beforeAutospacing="0" w:after="0" w:afterAutospacing="0"/>
              <w:divId w:val="448090842"/>
              <w:rPr>
                <w:sz w:val="20"/>
                <w:szCs w:val="20"/>
              </w:rPr>
            </w:pPr>
            <w:r>
              <w:rPr>
                <w:sz w:val="2"/>
                <w:szCs w:val="2"/>
              </w:rPr>
              <w:t>​</w:t>
            </w:r>
          </w:p>
        </w:tc>
        <w:tc>
          <w:tcPr>
            <w:tcW w:w="2039" w:type="pct"/>
            <w:noWrap/>
            <w:tcMar>
              <w:top w:w="0" w:type="dxa"/>
              <w:left w:w="0" w:type="dxa"/>
              <w:bottom w:w="0" w:type="dxa"/>
              <w:right w:w="0" w:type="dxa"/>
            </w:tcMar>
            <w:vAlign w:val="bottom"/>
            <w:hideMark/>
          </w:tcPr>
          <w:p w14:paraId="71EF8413" w14:textId="77777777" w:rsidR="00000000" w:rsidRDefault="00097612">
            <w:pPr>
              <w:pStyle w:val="a3"/>
              <w:spacing w:before="0" w:beforeAutospacing="0" w:after="0" w:afterAutospacing="0"/>
              <w:divId w:val="782842638"/>
              <w:rPr>
                <w:sz w:val="20"/>
                <w:szCs w:val="20"/>
              </w:rPr>
            </w:pPr>
            <w:r>
              <w:rPr>
                <w:sz w:val="2"/>
                <w:szCs w:val="2"/>
              </w:rPr>
              <w:t>​</w:t>
            </w:r>
          </w:p>
        </w:tc>
        <w:tc>
          <w:tcPr>
            <w:tcW w:w="153" w:type="pct"/>
            <w:noWrap/>
            <w:tcMar>
              <w:top w:w="0" w:type="dxa"/>
              <w:left w:w="0" w:type="dxa"/>
              <w:bottom w:w="0" w:type="dxa"/>
              <w:right w:w="0" w:type="dxa"/>
            </w:tcMar>
            <w:vAlign w:val="bottom"/>
            <w:hideMark/>
          </w:tcPr>
          <w:p w14:paraId="0CAAC1F2" w14:textId="77777777" w:rsidR="00000000" w:rsidRDefault="00097612">
            <w:pPr>
              <w:pStyle w:val="a3"/>
              <w:spacing w:before="0" w:beforeAutospacing="0" w:after="0" w:afterAutospacing="0"/>
              <w:divId w:val="721179198"/>
              <w:rPr>
                <w:sz w:val="20"/>
                <w:szCs w:val="20"/>
              </w:rPr>
            </w:pPr>
            <w:r>
              <w:rPr>
                <w:sz w:val="2"/>
                <w:szCs w:val="2"/>
              </w:rPr>
              <w:t>​</w:t>
            </w:r>
          </w:p>
        </w:tc>
        <w:tc>
          <w:tcPr>
            <w:tcW w:w="154" w:type="pct"/>
            <w:noWrap/>
            <w:tcMar>
              <w:top w:w="0" w:type="dxa"/>
              <w:left w:w="0" w:type="dxa"/>
              <w:bottom w:w="0" w:type="dxa"/>
              <w:right w:w="0" w:type="dxa"/>
            </w:tcMar>
            <w:vAlign w:val="bottom"/>
            <w:hideMark/>
          </w:tcPr>
          <w:p w14:paraId="0DDF09E7" w14:textId="77777777" w:rsidR="00000000" w:rsidRDefault="00097612">
            <w:pPr>
              <w:pStyle w:val="a3"/>
              <w:spacing w:before="0" w:beforeAutospacing="0" w:after="0" w:afterAutospacing="0"/>
              <w:divId w:val="2138374426"/>
              <w:rPr>
                <w:sz w:val="20"/>
                <w:szCs w:val="20"/>
              </w:rPr>
            </w:pPr>
            <w:r>
              <w:rPr>
                <w:sz w:val="2"/>
                <w:szCs w:val="2"/>
              </w:rPr>
              <w:t>​</w:t>
            </w:r>
          </w:p>
        </w:tc>
        <w:tc>
          <w:tcPr>
            <w:tcW w:w="612" w:type="pct"/>
            <w:noWrap/>
            <w:tcMar>
              <w:top w:w="0" w:type="dxa"/>
              <w:left w:w="0" w:type="dxa"/>
              <w:bottom w:w="0" w:type="dxa"/>
              <w:right w:w="0" w:type="dxa"/>
            </w:tcMar>
            <w:vAlign w:val="bottom"/>
            <w:hideMark/>
          </w:tcPr>
          <w:p w14:paraId="408BA41B" w14:textId="77777777" w:rsidR="00000000" w:rsidRDefault="00097612">
            <w:pPr>
              <w:pStyle w:val="a3"/>
              <w:spacing w:before="0" w:beforeAutospacing="0" w:after="0" w:afterAutospacing="0"/>
              <w:divId w:val="705254839"/>
              <w:rPr>
                <w:sz w:val="20"/>
                <w:szCs w:val="20"/>
              </w:rPr>
            </w:pPr>
            <w:r>
              <w:rPr>
                <w:sz w:val="2"/>
                <w:szCs w:val="2"/>
              </w:rPr>
              <w:t>​</w:t>
            </w:r>
          </w:p>
        </w:tc>
      </w:tr>
      <w:tr w:rsidR="00000000" w14:paraId="40814B9F" w14:textId="77777777">
        <w:trPr>
          <w:divId w:val="566841183"/>
        </w:trPr>
        <w:tc>
          <w:tcPr>
            <w:tcW w:w="2039" w:type="pct"/>
            <w:shd w:val="clear" w:color="auto" w:fill="auto"/>
            <w:noWrap/>
            <w:tcMar>
              <w:top w:w="0" w:type="dxa"/>
              <w:left w:w="0" w:type="dxa"/>
              <w:bottom w:w="0" w:type="dxa"/>
              <w:right w:w="0" w:type="dxa"/>
            </w:tcMar>
            <w:vAlign w:val="bottom"/>
            <w:hideMark/>
          </w:tcPr>
          <w:p w14:paraId="1426E52B" w14:textId="77777777" w:rsidR="00000000" w:rsidRDefault="00097612">
            <w:pPr>
              <w:pStyle w:val="a3"/>
              <w:spacing w:before="0" w:beforeAutospacing="0" w:after="0" w:afterAutospacing="0"/>
              <w:rPr>
                <w:sz w:val="16"/>
                <w:szCs w:val="16"/>
              </w:rPr>
            </w:pPr>
            <w:r>
              <w:rPr>
                <w:b/>
                <w:bCs/>
                <w:sz w:val="16"/>
                <w:szCs w:val="16"/>
                <w:u w:val="single"/>
              </w:rPr>
              <w:t>(In thousands)</w:t>
            </w:r>
          </w:p>
        </w:tc>
        <w:tc>
          <w:tcPr>
            <w:tcW w:w="2039" w:type="pct"/>
            <w:shd w:val="clear" w:color="auto" w:fill="auto"/>
            <w:noWrap/>
            <w:tcMar>
              <w:top w:w="0" w:type="dxa"/>
              <w:left w:w="0" w:type="dxa"/>
              <w:bottom w:w="0" w:type="dxa"/>
              <w:right w:w="0" w:type="dxa"/>
            </w:tcMar>
            <w:vAlign w:val="bottom"/>
            <w:hideMark/>
          </w:tcPr>
          <w:p w14:paraId="333268AE" w14:textId="77777777" w:rsidR="00000000" w:rsidRDefault="00097612">
            <w:pPr>
              <w:pStyle w:val="a3"/>
              <w:spacing w:before="0" w:beforeAutospacing="0" w:after="0" w:afterAutospacing="0"/>
              <w:rPr>
                <w:sz w:val="20"/>
                <w:szCs w:val="20"/>
              </w:rPr>
            </w:pPr>
            <w:r>
              <w:rPr>
                <w:sz w:val="22"/>
                <w:szCs w:val="22"/>
              </w:rPr>
              <w:t>​</w:t>
            </w:r>
          </w:p>
        </w:tc>
        <w:tc>
          <w:tcPr>
            <w:tcW w:w="153" w:type="pct"/>
            <w:shd w:val="clear" w:color="auto" w:fill="auto"/>
            <w:noWrap/>
            <w:tcMar>
              <w:top w:w="0" w:type="dxa"/>
              <w:left w:w="0" w:type="dxa"/>
              <w:bottom w:w="0" w:type="dxa"/>
              <w:right w:w="0" w:type="dxa"/>
            </w:tcMar>
            <w:vAlign w:val="bottom"/>
            <w:hideMark/>
          </w:tcPr>
          <w:p w14:paraId="2FE6AEAF" w14:textId="77777777" w:rsidR="00000000" w:rsidRDefault="00097612">
            <w:pPr>
              <w:pStyle w:val="a3"/>
              <w:spacing w:before="0" w:beforeAutospacing="0" w:after="0" w:afterAutospacing="0"/>
              <w:rPr>
                <w:sz w:val="20"/>
                <w:szCs w:val="20"/>
              </w:rPr>
            </w:pPr>
            <w:r>
              <w:rPr>
                <w:sz w:val="22"/>
                <w:szCs w:val="22"/>
              </w:rPr>
              <w:t>​</w:t>
            </w:r>
          </w:p>
        </w:tc>
        <w:tc>
          <w:tcPr>
            <w:tcW w:w="154" w:type="pct"/>
            <w:shd w:val="clear" w:color="auto" w:fill="auto"/>
            <w:noWrap/>
            <w:tcMar>
              <w:top w:w="0" w:type="dxa"/>
              <w:left w:w="0" w:type="dxa"/>
              <w:bottom w:w="0" w:type="dxa"/>
              <w:right w:w="0" w:type="dxa"/>
            </w:tcMar>
            <w:vAlign w:val="bottom"/>
            <w:hideMark/>
          </w:tcPr>
          <w:p w14:paraId="3FC83063" w14:textId="77777777" w:rsidR="00000000" w:rsidRDefault="00097612">
            <w:pPr>
              <w:pStyle w:val="a3"/>
              <w:spacing w:before="0" w:beforeAutospacing="0" w:after="0" w:afterAutospacing="0"/>
              <w:jc w:val="center"/>
              <w:rPr>
                <w:sz w:val="20"/>
                <w:szCs w:val="20"/>
              </w:rPr>
            </w:pPr>
            <w:r>
              <w:rPr>
                <w:sz w:val="22"/>
                <w:szCs w:val="22"/>
              </w:rPr>
              <w:t>​</w:t>
            </w:r>
          </w:p>
        </w:tc>
        <w:tc>
          <w:tcPr>
            <w:tcW w:w="612" w:type="pct"/>
            <w:shd w:val="clear" w:color="auto" w:fill="auto"/>
            <w:noWrap/>
            <w:tcMar>
              <w:top w:w="0" w:type="dxa"/>
              <w:left w:w="0" w:type="dxa"/>
              <w:bottom w:w="0" w:type="dxa"/>
              <w:right w:w="0" w:type="dxa"/>
            </w:tcMar>
            <w:vAlign w:val="bottom"/>
            <w:hideMark/>
          </w:tcPr>
          <w:p w14:paraId="7DF5245F" w14:textId="77777777" w:rsidR="00000000" w:rsidRDefault="00097612">
            <w:pPr>
              <w:pStyle w:val="a3"/>
              <w:spacing w:before="0" w:beforeAutospacing="0" w:after="0" w:afterAutospacing="0"/>
              <w:rPr>
                <w:sz w:val="20"/>
                <w:szCs w:val="20"/>
              </w:rPr>
            </w:pPr>
            <w:r>
              <w:rPr>
                <w:sz w:val="22"/>
                <w:szCs w:val="22"/>
              </w:rPr>
              <w:t>​</w:t>
            </w:r>
          </w:p>
        </w:tc>
      </w:tr>
      <w:tr w:rsidR="00000000" w14:paraId="52453C69" w14:textId="77777777">
        <w:trPr>
          <w:divId w:val="566841183"/>
        </w:trPr>
        <w:tc>
          <w:tcPr>
            <w:tcW w:w="2039" w:type="pct"/>
            <w:shd w:val="clear" w:color="auto" w:fill="CCEEFF"/>
            <w:noWrap/>
            <w:tcMar>
              <w:top w:w="0" w:type="dxa"/>
              <w:left w:w="0" w:type="dxa"/>
              <w:bottom w:w="0" w:type="dxa"/>
              <w:right w:w="0" w:type="dxa"/>
            </w:tcMar>
            <w:vAlign w:val="bottom"/>
            <w:hideMark/>
          </w:tcPr>
          <w:p w14:paraId="3B3ED706" w14:textId="77777777" w:rsidR="00000000" w:rsidRDefault="00097612">
            <w:pPr>
              <w:pStyle w:val="a3"/>
              <w:spacing w:before="0" w:beforeAutospacing="0" w:after="0" w:afterAutospacing="0"/>
              <w:rPr>
                <w:sz w:val="20"/>
                <w:szCs w:val="20"/>
              </w:rPr>
            </w:pPr>
            <w:r>
              <w:rPr>
                <w:sz w:val="20"/>
                <w:szCs w:val="20"/>
              </w:rPr>
              <w:t>Three months ending December 31, 2019</w:t>
            </w:r>
          </w:p>
        </w:tc>
        <w:tc>
          <w:tcPr>
            <w:tcW w:w="2039" w:type="pct"/>
            <w:shd w:val="clear" w:color="auto" w:fill="CCEEFF"/>
            <w:noWrap/>
            <w:tcMar>
              <w:top w:w="0" w:type="dxa"/>
              <w:left w:w="0" w:type="dxa"/>
              <w:bottom w:w="0" w:type="dxa"/>
              <w:right w:w="0" w:type="dxa"/>
            </w:tcMar>
            <w:vAlign w:val="bottom"/>
            <w:hideMark/>
          </w:tcPr>
          <w:p w14:paraId="74CBC6DC" w14:textId="77777777" w:rsidR="00000000" w:rsidRDefault="00097612">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14:paraId="4898E347" w14:textId="77777777" w:rsidR="00000000" w:rsidRDefault="00097612">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14:paraId="2C53F04A" w14:textId="77777777" w:rsidR="00000000" w:rsidRDefault="00097612">
            <w:pPr>
              <w:pStyle w:val="a3"/>
              <w:spacing w:before="0" w:beforeAutospacing="0" w:after="0" w:afterAutospacing="0"/>
              <w:jc w:val="center"/>
              <w:rPr>
                <w:sz w:val="20"/>
                <w:szCs w:val="20"/>
              </w:rPr>
            </w:pPr>
            <w:r>
              <w:rPr>
                <w:sz w:val="20"/>
                <w:szCs w:val="20"/>
              </w:rPr>
              <w:t>$</w:t>
            </w:r>
          </w:p>
        </w:tc>
        <w:tc>
          <w:tcPr>
            <w:tcW w:w="612" w:type="pct"/>
            <w:shd w:val="clear" w:color="auto" w:fill="CCEEFF"/>
            <w:noWrap/>
            <w:tcMar>
              <w:top w:w="0" w:type="dxa"/>
              <w:left w:w="0" w:type="dxa"/>
              <w:bottom w:w="0" w:type="dxa"/>
              <w:right w:w="0" w:type="dxa"/>
            </w:tcMar>
            <w:vAlign w:val="center"/>
            <w:hideMark/>
          </w:tcPr>
          <w:p w14:paraId="2B360407" w14:textId="77777777" w:rsidR="00000000" w:rsidRDefault="00097612">
            <w:pPr>
              <w:pStyle w:val="a3"/>
              <w:spacing w:before="0" w:beforeAutospacing="0" w:after="0" w:afterAutospacing="0"/>
              <w:ind w:right="60"/>
              <w:jc w:val="right"/>
              <w:rPr>
                <w:sz w:val="20"/>
                <w:szCs w:val="20"/>
              </w:rPr>
            </w:pPr>
            <w:r>
              <w:rPr>
                <w:sz w:val="20"/>
                <w:szCs w:val="20"/>
              </w:rPr>
              <w:t>2,201</w:t>
            </w:r>
          </w:p>
        </w:tc>
      </w:tr>
      <w:tr w:rsidR="00000000" w14:paraId="4A863E08" w14:textId="77777777">
        <w:trPr>
          <w:divId w:val="566841183"/>
        </w:trPr>
        <w:tc>
          <w:tcPr>
            <w:tcW w:w="2039" w:type="pct"/>
            <w:noWrap/>
            <w:tcMar>
              <w:top w:w="0" w:type="dxa"/>
              <w:left w:w="0" w:type="dxa"/>
              <w:bottom w:w="0" w:type="dxa"/>
              <w:right w:w="0" w:type="dxa"/>
            </w:tcMar>
            <w:vAlign w:val="bottom"/>
            <w:hideMark/>
          </w:tcPr>
          <w:p w14:paraId="452B6701" w14:textId="77777777" w:rsidR="00000000" w:rsidRDefault="00097612">
            <w:pPr>
              <w:pStyle w:val="a3"/>
              <w:spacing w:before="0" w:beforeAutospacing="0" w:after="0" w:afterAutospacing="0"/>
              <w:rPr>
                <w:sz w:val="20"/>
                <w:szCs w:val="20"/>
              </w:rPr>
            </w:pPr>
            <w:r>
              <w:rPr>
                <w:sz w:val="20"/>
                <w:szCs w:val="20"/>
                <w:u w:val="single"/>
              </w:rPr>
              <w:t>Years ending December 31</w:t>
            </w:r>
            <w:r>
              <w:rPr>
                <w:sz w:val="20"/>
                <w:szCs w:val="20"/>
                <w:u w:val="single"/>
              </w:rPr>
              <w:t>:</w:t>
            </w:r>
          </w:p>
        </w:tc>
        <w:tc>
          <w:tcPr>
            <w:tcW w:w="2039" w:type="pct"/>
            <w:noWrap/>
            <w:tcMar>
              <w:top w:w="0" w:type="dxa"/>
              <w:left w:w="0" w:type="dxa"/>
              <w:bottom w:w="0" w:type="dxa"/>
              <w:right w:w="0" w:type="dxa"/>
            </w:tcMar>
            <w:vAlign w:val="bottom"/>
            <w:hideMark/>
          </w:tcPr>
          <w:p w14:paraId="2D1B698E" w14:textId="77777777" w:rsidR="00000000" w:rsidRDefault="00097612">
            <w:pPr>
              <w:pStyle w:val="a3"/>
              <w:spacing w:before="0" w:beforeAutospacing="0" w:after="0" w:afterAutospacing="0"/>
              <w:rPr>
                <w:sz w:val="20"/>
                <w:szCs w:val="20"/>
              </w:rPr>
            </w:pPr>
            <w:r>
              <w:rPr>
                <w:sz w:val="22"/>
                <w:szCs w:val="22"/>
              </w:rPr>
              <w:t>​</w:t>
            </w:r>
          </w:p>
        </w:tc>
        <w:tc>
          <w:tcPr>
            <w:tcW w:w="153" w:type="pct"/>
            <w:noWrap/>
            <w:tcMar>
              <w:top w:w="0" w:type="dxa"/>
              <w:left w:w="0" w:type="dxa"/>
              <w:bottom w:w="0" w:type="dxa"/>
              <w:right w:w="0" w:type="dxa"/>
            </w:tcMar>
            <w:vAlign w:val="bottom"/>
            <w:hideMark/>
          </w:tcPr>
          <w:p w14:paraId="0FAD3E69" w14:textId="77777777" w:rsidR="00000000" w:rsidRDefault="00097612">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14:paraId="0440031D" w14:textId="77777777" w:rsidR="00000000" w:rsidRDefault="00097612">
            <w:pPr>
              <w:pStyle w:val="a3"/>
              <w:spacing w:before="0" w:beforeAutospacing="0" w:after="0" w:afterAutospacing="0"/>
              <w:jc w:val="center"/>
              <w:rPr>
                <w:sz w:val="20"/>
                <w:szCs w:val="20"/>
              </w:rPr>
            </w:pPr>
            <w:r>
              <w:rPr>
                <w:sz w:val="22"/>
                <w:szCs w:val="22"/>
              </w:rPr>
              <w:t>​</w:t>
            </w:r>
          </w:p>
        </w:tc>
        <w:tc>
          <w:tcPr>
            <w:tcW w:w="612" w:type="pct"/>
            <w:noWrap/>
            <w:tcMar>
              <w:top w:w="0" w:type="dxa"/>
              <w:left w:w="0" w:type="dxa"/>
              <w:bottom w:w="0" w:type="dxa"/>
              <w:right w:w="0" w:type="dxa"/>
            </w:tcMar>
            <w:vAlign w:val="bottom"/>
            <w:hideMark/>
          </w:tcPr>
          <w:p w14:paraId="26C40F28" w14:textId="77777777" w:rsidR="00000000" w:rsidRDefault="00097612">
            <w:pPr>
              <w:pStyle w:val="a3"/>
              <w:spacing w:before="0" w:beforeAutospacing="0" w:after="0" w:afterAutospacing="0"/>
              <w:rPr>
                <w:sz w:val="20"/>
                <w:szCs w:val="20"/>
              </w:rPr>
            </w:pPr>
            <w:r>
              <w:rPr>
                <w:sz w:val="22"/>
                <w:szCs w:val="22"/>
              </w:rPr>
              <w:t>​</w:t>
            </w:r>
          </w:p>
        </w:tc>
      </w:tr>
      <w:tr w:rsidR="00000000" w14:paraId="581DD8E6" w14:textId="77777777">
        <w:trPr>
          <w:divId w:val="566841183"/>
        </w:trPr>
        <w:tc>
          <w:tcPr>
            <w:tcW w:w="2039" w:type="pct"/>
            <w:shd w:val="clear" w:color="auto" w:fill="CCEEFF"/>
            <w:noWrap/>
            <w:tcMar>
              <w:top w:w="0" w:type="dxa"/>
              <w:left w:w="0" w:type="dxa"/>
              <w:bottom w:w="0" w:type="dxa"/>
              <w:right w:w="0" w:type="dxa"/>
            </w:tcMar>
            <w:vAlign w:val="bottom"/>
            <w:hideMark/>
          </w:tcPr>
          <w:p w14:paraId="1B06A435" w14:textId="77777777" w:rsidR="00000000" w:rsidRDefault="00097612">
            <w:pPr>
              <w:pStyle w:val="a3"/>
              <w:spacing w:before="0" w:beforeAutospacing="0" w:after="0" w:afterAutospacing="0"/>
              <w:rPr>
                <w:sz w:val="20"/>
                <w:szCs w:val="20"/>
              </w:rPr>
            </w:pPr>
            <w:r>
              <w:rPr>
                <w:sz w:val="20"/>
                <w:szCs w:val="20"/>
              </w:rPr>
              <w:t>202</w:t>
            </w:r>
            <w:r>
              <w:rPr>
                <w:sz w:val="20"/>
                <w:szCs w:val="20"/>
              </w:rPr>
              <w:t>0</w:t>
            </w:r>
          </w:p>
        </w:tc>
        <w:tc>
          <w:tcPr>
            <w:tcW w:w="2039" w:type="pct"/>
            <w:shd w:val="clear" w:color="auto" w:fill="CCEEFF"/>
            <w:noWrap/>
            <w:tcMar>
              <w:top w:w="0" w:type="dxa"/>
              <w:left w:w="0" w:type="dxa"/>
              <w:bottom w:w="0" w:type="dxa"/>
              <w:right w:w="0" w:type="dxa"/>
            </w:tcMar>
            <w:vAlign w:val="bottom"/>
            <w:hideMark/>
          </w:tcPr>
          <w:p w14:paraId="68D63CEC" w14:textId="77777777" w:rsidR="00000000" w:rsidRDefault="00097612">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14:paraId="7DEC285C" w14:textId="77777777" w:rsidR="00000000" w:rsidRDefault="00097612">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14:paraId="67D55093" w14:textId="77777777" w:rsidR="00000000" w:rsidRDefault="00097612">
            <w:pPr>
              <w:pStyle w:val="a3"/>
              <w:spacing w:before="0" w:beforeAutospacing="0" w:after="0" w:afterAutospacing="0"/>
              <w:jc w:val="center"/>
              <w:rPr>
                <w:sz w:val="20"/>
                <w:szCs w:val="20"/>
              </w:rPr>
            </w:pPr>
            <w:r>
              <w:rPr>
                <w:sz w:val="20"/>
                <w:szCs w:val="20"/>
              </w:rPr>
              <w:t>​</w:t>
            </w:r>
          </w:p>
        </w:tc>
        <w:tc>
          <w:tcPr>
            <w:tcW w:w="612" w:type="pct"/>
            <w:shd w:val="clear" w:color="auto" w:fill="CCEEFF"/>
            <w:noWrap/>
            <w:tcMar>
              <w:top w:w="0" w:type="dxa"/>
              <w:left w:w="0" w:type="dxa"/>
              <w:bottom w:w="0" w:type="dxa"/>
              <w:right w:w="0" w:type="dxa"/>
            </w:tcMar>
            <w:vAlign w:val="center"/>
            <w:hideMark/>
          </w:tcPr>
          <w:p w14:paraId="7D80FAAE" w14:textId="77777777" w:rsidR="00000000" w:rsidRDefault="00097612">
            <w:pPr>
              <w:pStyle w:val="a3"/>
              <w:spacing w:before="0" w:beforeAutospacing="0" w:after="0" w:afterAutospacing="0"/>
              <w:ind w:right="60"/>
              <w:jc w:val="right"/>
              <w:rPr>
                <w:sz w:val="20"/>
                <w:szCs w:val="20"/>
              </w:rPr>
            </w:pPr>
            <w:r>
              <w:rPr>
                <w:sz w:val="20"/>
                <w:szCs w:val="20"/>
              </w:rPr>
              <w:t>7,242</w:t>
            </w:r>
          </w:p>
        </w:tc>
      </w:tr>
      <w:tr w:rsidR="00000000" w14:paraId="6EAD35CD" w14:textId="77777777">
        <w:trPr>
          <w:divId w:val="566841183"/>
        </w:trPr>
        <w:tc>
          <w:tcPr>
            <w:tcW w:w="2039" w:type="pct"/>
            <w:noWrap/>
            <w:tcMar>
              <w:top w:w="0" w:type="dxa"/>
              <w:left w:w="0" w:type="dxa"/>
              <w:bottom w:w="0" w:type="dxa"/>
              <w:right w:w="0" w:type="dxa"/>
            </w:tcMar>
            <w:vAlign w:val="bottom"/>
            <w:hideMark/>
          </w:tcPr>
          <w:p w14:paraId="0C16DAC8" w14:textId="77777777" w:rsidR="00000000" w:rsidRDefault="00097612">
            <w:pPr>
              <w:pStyle w:val="a3"/>
              <w:spacing w:before="0" w:beforeAutospacing="0" w:after="0" w:afterAutospacing="0"/>
              <w:rPr>
                <w:sz w:val="20"/>
                <w:szCs w:val="20"/>
              </w:rPr>
            </w:pPr>
            <w:r>
              <w:rPr>
                <w:sz w:val="20"/>
                <w:szCs w:val="20"/>
              </w:rPr>
              <w:t>202</w:t>
            </w:r>
            <w:r>
              <w:rPr>
                <w:sz w:val="20"/>
                <w:szCs w:val="20"/>
              </w:rPr>
              <w:t>1</w:t>
            </w:r>
          </w:p>
        </w:tc>
        <w:tc>
          <w:tcPr>
            <w:tcW w:w="2039" w:type="pct"/>
            <w:noWrap/>
            <w:tcMar>
              <w:top w:w="0" w:type="dxa"/>
              <w:left w:w="0" w:type="dxa"/>
              <w:bottom w:w="0" w:type="dxa"/>
              <w:right w:w="0" w:type="dxa"/>
            </w:tcMar>
            <w:vAlign w:val="bottom"/>
            <w:hideMark/>
          </w:tcPr>
          <w:p w14:paraId="63D3DB5C" w14:textId="77777777" w:rsidR="00000000" w:rsidRDefault="00097612">
            <w:pPr>
              <w:pStyle w:val="a3"/>
              <w:spacing w:before="0" w:beforeAutospacing="0" w:after="0" w:afterAutospacing="0"/>
              <w:rPr>
                <w:sz w:val="20"/>
                <w:szCs w:val="20"/>
              </w:rPr>
            </w:pPr>
            <w:r>
              <w:rPr>
                <w:sz w:val="22"/>
                <w:szCs w:val="22"/>
              </w:rPr>
              <w:t>​</w:t>
            </w:r>
          </w:p>
        </w:tc>
        <w:tc>
          <w:tcPr>
            <w:tcW w:w="153" w:type="pct"/>
            <w:noWrap/>
            <w:tcMar>
              <w:top w:w="0" w:type="dxa"/>
              <w:left w:w="0" w:type="dxa"/>
              <w:bottom w:w="0" w:type="dxa"/>
              <w:right w:w="0" w:type="dxa"/>
            </w:tcMar>
            <w:vAlign w:val="bottom"/>
            <w:hideMark/>
          </w:tcPr>
          <w:p w14:paraId="519334CF" w14:textId="77777777" w:rsidR="00000000" w:rsidRDefault="00097612">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14:paraId="175DC19E" w14:textId="77777777" w:rsidR="00000000" w:rsidRDefault="00097612">
            <w:pPr>
              <w:pStyle w:val="a3"/>
              <w:spacing w:before="0" w:beforeAutospacing="0" w:after="0" w:afterAutospacing="0"/>
              <w:jc w:val="center"/>
              <w:rPr>
                <w:sz w:val="20"/>
                <w:szCs w:val="20"/>
              </w:rPr>
            </w:pPr>
            <w:r>
              <w:rPr>
                <w:sz w:val="22"/>
                <w:szCs w:val="22"/>
              </w:rPr>
              <w:t>​</w:t>
            </w:r>
          </w:p>
        </w:tc>
        <w:tc>
          <w:tcPr>
            <w:tcW w:w="612" w:type="pct"/>
            <w:noWrap/>
            <w:tcMar>
              <w:top w:w="0" w:type="dxa"/>
              <w:left w:w="0" w:type="dxa"/>
              <w:bottom w:w="0" w:type="dxa"/>
              <w:right w:w="0" w:type="dxa"/>
            </w:tcMar>
            <w:vAlign w:val="center"/>
            <w:hideMark/>
          </w:tcPr>
          <w:p w14:paraId="02D98AC4" w14:textId="77777777" w:rsidR="00000000" w:rsidRDefault="00097612">
            <w:pPr>
              <w:pStyle w:val="a3"/>
              <w:spacing w:before="0" w:beforeAutospacing="0" w:after="0" w:afterAutospacing="0"/>
              <w:ind w:right="60"/>
              <w:jc w:val="right"/>
              <w:rPr>
                <w:sz w:val="20"/>
                <w:szCs w:val="20"/>
              </w:rPr>
            </w:pPr>
            <w:r>
              <w:rPr>
                <w:sz w:val="20"/>
                <w:szCs w:val="20"/>
              </w:rPr>
              <w:t>9,481</w:t>
            </w:r>
          </w:p>
        </w:tc>
      </w:tr>
      <w:tr w:rsidR="00000000" w14:paraId="650A15D6" w14:textId="77777777">
        <w:trPr>
          <w:divId w:val="566841183"/>
        </w:trPr>
        <w:tc>
          <w:tcPr>
            <w:tcW w:w="2039" w:type="pct"/>
            <w:shd w:val="clear" w:color="auto" w:fill="CCEEFF"/>
            <w:noWrap/>
            <w:tcMar>
              <w:top w:w="0" w:type="dxa"/>
              <w:left w:w="0" w:type="dxa"/>
              <w:bottom w:w="0" w:type="dxa"/>
              <w:right w:w="0" w:type="dxa"/>
            </w:tcMar>
            <w:vAlign w:val="bottom"/>
            <w:hideMark/>
          </w:tcPr>
          <w:p w14:paraId="05F5E6F3" w14:textId="77777777" w:rsidR="00000000" w:rsidRDefault="00097612">
            <w:pPr>
              <w:pStyle w:val="a3"/>
              <w:spacing w:before="0" w:beforeAutospacing="0" w:after="0" w:afterAutospacing="0"/>
              <w:rPr>
                <w:sz w:val="20"/>
                <w:szCs w:val="20"/>
              </w:rPr>
            </w:pPr>
            <w:r>
              <w:rPr>
                <w:sz w:val="20"/>
                <w:szCs w:val="20"/>
              </w:rPr>
              <w:t>202</w:t>
            </w:r>
            <w:r>
              <w:rPr>
                <w:sz w:val="20"/>
                <w:szCs w:val="20"/>
              </w:rPr>
              <w:t>2</w:t>
            </w:r>
          </w:p>
        </w:tc>
        <w:tc>
          <w:tcPr>
            <w:tcW w:w="2039" w:type="pct"/>
            <w:shd w:val="clear" w:color="auto" w:fill="CCEEFF"/>
            <w:noWrap/>
            <w:tcMar>
              <w:top w:w="0" w:type="dxa"/>
              <w:left w:w="0" w:type="dxa"/>
              <w:bottom w:w="0" w:type="dxa"/>
              <w:right w:w="0" w:type="dxa"/>
            </w:tcMar>
            <w:vAlign w:val="bottom"/>
            <w:hideMark/>
          </w:tcPr>
          <w:p w14:paraId="45A9AADB" w14:textId="77777777" w:rsidR="00000000" w:rsidRDefault="00097612">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14:paraId="190C5E57" w14:textId="77777777" w:rsidR="00000000" w:rsidRDefault="00097612">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14:paraId="0A8BEDBA" w14:textId="77777777" w:rsidR="00000000" w:rsidRDefault="00097612">
            <w:pPr>
              <w:pStyle w:val="a3"/>
              <w:spacing w:before="0" w:beforeAutospacing="0" w:after="0" w:afterAutospacing="0"/>
              <w:jc w:val="center"/>
              <w:rPr>
                <w:sz w:val="20"/>
                <w:szCs w:val="20"/>
              </w:rPr>
            </w:pPr>
            <w:r>
              <w:rPr>
                <w:sz w:val="22"/>
                <w:szCs w:val="22"/>
              </w:rPr>
              <w:t>​</w:t>
            </w:r>
          </w:p>
        </w:tc>
        <w:tc>
          <w:tcPr>
            <w:tcW w:w="612" w:type="pct"/>
            <w:shd w:val="clear" w:color="auto" w:fill="CCEEFF"/>
            <w:noWrap/>
            <w:tcMar>
              <w:top w:w="0" w:type="dxa"/>
              <w:left w:w="0" w:type="dxa"/>
              <w:bottom w:w="0" w:type="dxa"/>
              <w:right w:w="0" w:type="dxa"/>
            </w:tcMar>
            <w:vAlign w:val="center"/>
            <w:hideMark/>
          </w:tcPr>
          <w:p w14:paraId="352B9BF0" w14:textId="77777777" w:rsidR="00000000" w:rsidRDefault="00097612">
            <w:pPr>
              <w:pStyle w:val="a3"/>
              <w:spacing w:before="0" w:beforeAutospacing="0" w:after="0" w:afterAutospacing="0"/>
              <w:ind w:right="60"/>
              <w:jc w:val="right"/>
              <w:rPr>
                <w:sz w:val="20"/>
                <w:szCs w:val="20"/>
              </w:rPr>
            </w:pPr>
            <w:r>
              <w:rPr>
                <w:sz w:val="20"/>
                <w:szCs w:val="20"/>
              </w:rPr>
              <w:t>9,746</w:t>
            </w:r>
          </w:p>
        </w:tc>
      </w:tr>
      <w:tr w:rsidR="00000000" w14:paraId="1872C3ED" w14:textId="77777777">
        <w:trPr>
          <w:divId w:val="566841183"/>
        </w:trPr>
        <w:tc>
          <w:tcPr>
            <w:tcW w:w="2039" w:type="pct"/>
            <w:noWrap/>
            <w:tcMar>
              <w:top w:w="0" w:type="dxa"/>
              <w:left w:w="0" w:type="dxa"/>
              <w:bottom w:w="0" w:type="dxa"/>
              <w:right w:w="0" w:type="dxa"/>
            </w:tcMar>
            <w:vAlign w:val="bottom"/>
            <w:hideMark/>
          </w:tcPr>
          <w:p w14:paraId="4EF48FCD" w14:textId="77777777" w:rsidR="00000000" w:rsidRDefault="00097612">
            <w:pPr>
              <w:pStyle w:val="a3"/>
              <w:spacing w:before="0" w:beforeAutospacing="0" w:after="0" w:afterAutospacing="0"/>
              <w:rPr>
                <w:sz w:val="20"/>
                <w:szCs w:val="20"/>
              </w:rPr>
            </w:pPr>
            <w:r>
              <w:rPr>
                <w:sz w:val="20"/>
                <w:szCs w:val="20"/>
              </w:rPr>
              <w:t>202</w:t>
            </w:r>
            <w:r>
              <w:rPr>
                <w:sz w:val="20"/>
                <w:szCs w:val="20"/>
              </w:rPr>
              <w:t>3</w:t>
            </w:r>
          </w:p>
        </w:tc>
        <w:tc>
          <w:tcPr>
            <w:tcW w:w="2039" w:type="pct"/>
            <w:noWrap/>
            <w:tcMar>
              <w:top w:w="0" w:type="dxa"/>
              <w:left w:w="0" w:type="dxa"/>
              <w:bottom w:w="0" w:type="dxa"/>
              <w:right w:w="0" w:type="dxa"/>
            </w:tcMar>
            <w:vAlign w:val="bottom"/>
            <w:hideMark/>
          </w:tcPr>
          <w:p w14:paraId="173D9C3E" w14:textId="77777777" w:rsidR="00000000" w:rsidRDefault="00097612">
            <w:pPr>
              <w:pStyle w:val="a3"/>
              <w:spacing w:before="0" w:beforeAutospacing="0" w:after="0" w:afterAutospacing="0"/>
              <w:rPr>
                <w:sz w:val="20"/>
                <w:szCs w:val="20"/>
              </w:rPr>
            </w:pPr>
            <w:r>
              <w:rPr>
                <w:sz w:val="22"/>
                <w:szCs w:val="22"/>
              </w:rPr>
              <w:t>​</w:t>
            </w:r>
          </w:p>
        </w:tc>
        <w:tc>
          <w:tcPr>
            <w:tcW w:w="153" w:type="pct"/>
            <w:noWrap/>
            <w:tcMar>
              <w:top w:w="0" w:type="dxa"/>
              <w:left w:w="0" w:type="dxa"/>
              <w:bottom w:w="0" w:type="dxa"/>
              <w:right w:w="0" w:type="dxa"/>
            </w:tcMar>
            <w:vAlign w:val="bottom"/>
            <w:hideMark/>
          </w:tcPr>
          <w:p w14:paraId="319FB829" w14:textId="77777777" w:rsidR="00000000" w:rsidRDefault="00097612">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14:paraId="5768DB3A" w14:textId="77777777" w:rsidR="00000000" w:rsidRDefault="00097612">
            <w:pPr>
              <w:pStyle w:val="a3"/>
              <w:spacing w:before="0" w:beforeAutospacing="0" w:after="0" w:afterAutospacing="0"/>
              <w:jc w:val="center"/>
              <w:rPr>
                <w:sz w:val="20"/>
                <w:szCs w:val="20"/>
              </w:rPr>
            </w:pPr>
            <w:r>
              <w:rPr>
                <w:sz w:val="22"/>
                <w:szCs w:val="22"/>
              </w:rPr>
              <w:t>​</w:t>
            </w:r>
          </w:p>
        </w:tc>
        <w:tc>
          <w:tcPr>
            <w:tcW w:w="612" w:type="pct"/>
            <w:noWrap/>
            <w:tcMar>
              <w:top w:w="0" w:type="dxa"/>
              <w:left w:w="0" w:type="dxa"/>
              <w:bottom w:w="0" w:type="dxa"/>
              <w:right w:w="0" w:type="dxa"/>
            </w:tcMar>
            <w:vAlign w:val="center"/>
            <w:hideMark/>
          </w:tcPr>
          <w:p w14:paraId="6CAF3435" w14:textId="77777777" w:rsidR="00000000" w:rsidRDefault="00097612">
            <w:pPr>
              <w:pStyle w:val="a3"/>
              <w:spacing w:before="0" w:beforeAutospacing="0" w:after="0" w:afterAutospacing="0"/>
              <w:ind w:right="60"/>
              <w:jc w:val="right"/>
              <w:rPr>
                <w:sz w:val="20"/>
                <w:szCs w:val="20"/>
              </w:rPr>
            </w:pPr>
            <w:r>
              <w:rPr>
                <w:sz w:val="20"/>
                <w:szCs w:val="20"/>
              </w:rPr>
              <w:t>10,024</w:t>
            </w:r>
          </w:p>
        </w:tc>
      </w:tr>
      <w:tr w:rsidR="00000000" w14:paraId="45B08F6F" w14:textId="77777777">
        <w:trPr>
          <w:divId w:val="566841183"/>
        </w:trPr>
        <w:tc>
          <w:tcPr>
            <w:tcW w:w="2039" w:type="pct"/>
            <w:shd w:val="clear" w:color="auto" w:fill="CCEEFF"/>
            <w:noWrap/>
            <w:tcMar>
              <w:top w:w="0" w:type="dxa"/>
              <w:left w:w="0" w:type="dxa"/>
              <w:bottom w:w="0" w:type="dxa"/>
              <w:right w:w="0" w:type="dxa"/>
            </w:tcMar>
            <w:vAlign w:val="bottom"/>
            <w:hideMark/>
          </w:tcPr>
          <w:p w14:paraId="05D31984" w14:textId="77777777" w:rsidR="00000000" w:rsidRDefault="00097612">
            <w:pPr>
              <w:pStyle w:val="a3"/>
              <w:spacing w:before="0" w:beforeAutospacing="0" w:after="0" w:afterAutospacing="0"/>
              <w:rPr>
                <w:sz w:val="20"/>
                <w:szCs w:val="20"/>
              </w:rPr>
            </w:pPr>
            <w:r>
              <w:rPr>
                <w:sz w:val="20"/>
                <w:szCs w:val="20"/>
              </w:rPr>
              <w:t>Thereafte</w:t>
            </w:r>
            <w:r>
              <w:rPr>
                <w:sz w:val="20"/>
                <w:szCs w:val="20"/>
              </w:rPr>
              <w:t>r</w:t>
            </w:r>
          </w:p>
        </w:tc>
        <w:tc>
          <w:tcPr>
            <w:tcW w:w="2039" w:type="pct"/>
            <w:shd w:val="clear" w:color="auto" w:fill="CCEEFF"/>
            <w:noWrap/>
            <w:tcMar>
              <w:top w:w="0" w:type="dxa"/>
              <w:left w:w="0" w:type="dxa"/>
              <w:bottom w:w="0" w:type="dxa"/>
              <w:right w:w="0" w:type="dxa"/>
            </w:tcMar>
            <w:vAlign w:val="bottom"/>
            <w:hideMark/>
          </w:tcPr>
          <w:p w14:paraId="0E869C32" w14:textId="77777777" w:rsidR="00000000" w:rsidRDefault="00097612">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14:paraId="5D22E954" w14:textId="77777777" w:rsidR="00000000" w:rsidRDefault="00097612">
            <w:pPr>
              <w:pStyle w:val="a3"/>
              <w:spacing w:before="0" w:beforeAutospacing="0" w:after="0" w:afterAutospacing="0"/>
              <w:rPr>
                <w:sz w:val="20"/>
                <w:szCs w:val="20"/>
              </w:rPr>
            </w:pPr>
            <w:r>
              <w:rPr>
                <w:sz w:val="22"/>
                <w:szCs w:val="22"/>
              </w:rPr>
              <w:t>​</w:t>
            </w:r>
          </w:p>
        </w:tc>
        <w:tc>
          <w:tcPr>
            <w:tcW w:w="154" w:type="pct"/>
            <w:tcBorders>
              <w:bottom w:val="single" w:sz="6" w:space="0" w:color="000000"/>
            </w:tcBorders>
            <w:shd w:val="clear" w:color="auto" w:fill="CCEEFF"/>
            <w:noWrap/>
            <w:tcMar>
              <w:top w:w="0" w:type="dxa"/>
              <w:left w:w="0" w:type="dxa"/>
              <w:bottom w:w="0" w:type="dxa"/>
              <w:right w:w="0" w:type="dxa"/>
            </w:tcMar>
            <w:vAlign w:val="bottom"/>
            <w:hideMark/>
          </w:tcPr>
          <w:p w14:paraId="1F5E1A14" w14:textId="77777777" w:rsidR="00000000" w:rsidRDefault="00097612">
            <w:pPr>
              <w:pStyle w:val="a3"/>
              <w:spacing w:before="0" w:beforeAutospacing="0" w:after="0" w:afterAutospacing="0"/>
              <w:jc w:val="center"/>
              <w:rPr>
                <w:sz w:val="20"/>
                <w:szCs w:val="20"/>
              </w:rPr>
            </w:pPr>
            <w:r>
              <w:rPr>
                <w:sz w:val="22"/>
                <w:szCs w:val="22"/>
              </w:rPr>
              <w:t>​</w:t>
            </w:r>
          </w:p>
        </w:tc>
        <w:tc>
          <w:tcPr>
            <w:tcW w:w="612" w:type="pct"/>
            <w:tcBorders>
              <w:bottom w:val="single" w:sz="6" w:space="0" w:color="000000"/>
            </w:tcBorders>
            <w:shd w:val="clear" w:color="auto" w:fill="CCEEFF"/>
            <w:noWrap/>
            <w:tcMar>
              <w:top w:w="0" w:type="dxa"/>
              <w:left w:w="0" w:type="dxa"/>
              <w:bottom w:w="0" w:type="dxa"/>
              <w:right w:w="0" w:type="dxa"/>
            </w:tcMar>
            <w:vAlign w:val="center"/>
            <w:hideMark/>
          </w:tcPr>
          <w:p w14:paraId="781B2D94" w14:textId="77777777" w:rsidR="00000000" w:rsidRDefault="00097612">
            <w:pPr>
              <w:pStyle w:val="a3"/>
              <w:spacing w:before="0" w:beforeAutospacing="0" w:after="0" w:afterAutospacing="0"/>
              <w:ind w:right="60"/>
              <w:jc w:val="right"/>
              <w:rPr>
                <w:sz w:val="20"/>
                <w:szCs w:val="20"/>
              </w:rPr>
            </w:pPr>
            <w:r>
              <w:rPr>
                <w:sz w:val="20"/>
                <w:szCs w:val="20"/>
              </w:rPr>
              <w:t>70,172</w:t>
            </w:r>
          </w:p>
        </w:tc>
      </w:tr>
      <w:tr w:rsidR="00000000" w14:paraId="7ABA87EA" w14:textId="77777777">
        <w:trPr>
          <w:divId w:val="566841183"/>
        </w:trPr>
        <w:tc>
          <w:tcPr>
            <w:tcW w:w="2039" w:type="pct"/>
            <w:noWrap/>
            <w:tcMar>
              <w:top w:w="0" w:type="dxa"/>
              <w:left w:w="0" w:type="dxa"/>
              <w:bottom w:w="0" w:type="dxa"/>
              <w:right w:w="0" w:type="dxa"/>
            </w:tcMar>
            <w:vAlign w:val="bottom"/>
            <w:hideMark/>
          </w:tcPr>
          <w:p w14:paraId="217B7B27" w14:textId="77777777" w:rsidR="00000000" w:rsidRDefault="00097612">
            <w:pPr>
              <w:pStyle w:val="a3"/>
              <w:spacing w:before="0" w:beforeAutospacing="0" w:after="0" w:afterAutospacing="0"/>
              <w:ind w:left="240"/>
              <w:rPr>
                <w:sz w:val="20"/>
                <w:szCs w:val="20"/>
              </w:rPr>
            </w:pPr>
            <w:r>
              <w:rPr>
                <w:sz w:val="20"/>
                <w:szCs w:val="20"/>
              </w:rPr>
              <w:t>Total operating lease payments</w:t>
            </w:r>
          </w:p>
        </w:tc>
        <w:tc>
          <w:tcPr>
            <w:tcW w:w="2039" w:type="pct"/>
            <w:noWrap/>
            <w:tcMar>
              <w:top w:w="0" w:type="dxa"/>
              <w:left w:w="0" w:type="dxa"/>
              <w:bottom w:w="0" w:type="dxa"/>
              <w:right w:w="0" w:type="dxa"/>
            </w:tcMar>
            <w:vAlign w:val="bottom"/>
            <w:hideMark/>
          </w:tcPr>
          <w:p w14:paraId="19305B3D" w14:textId="77777777" w:rsidR="00000000" w:rsidRDefault="00097612">
            <w:pPr>
              <w:pStyle w:val="a3"/>
              <w:spacing w:before="0" w:beforeAutospacing="0" w:after="0" w:afterAutospacing="0"/>
              <w:rPr>
                <w:sz w:val="20"/>
                <w:szCs w:val="20"/>
              </w:rPr>
            </w:pPr>
            <w:r>
              <w:rPr>
                <w:sz w:val="22"/>
                <w:szCs w:val="22"/>
              </w:rPr>
              <w:t>​</w:t>
            </w:r>
          </w:p>
        </w:tc>
        <w:tc>
          <w:tcPr>
            <w:tcW w:w="153" w:type="pct"/>
            <w:noWrap/>
            <w:tcMar>
              <w:top w:w="0" w:type="dxa"/>
              <w:left w:w="0" w:type="dxa"/>
              <w:bottom w:w="0" w:type="dxa"/>
              <w:right w:w="0" w:type="dxa"/>
            </w:tcMar>
            <w:vAlign w:val="bottom"/>
            <w:hideMark/>
          </w:tcPr>
          <w:p w14:paraId="6F29055B" w14:textId="77777777" w:rsidR="00000000" w:rsidRDefault="00097612">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14:paraId="13BF57DE" w14:textId="77777777" w:rsidR="00000000" w:rsidRDefault="00097612">
            <w:pPr>
              <w:pStyle w:val="a3"/>
              <w:spacing w:before="0" w:beforeAutospacing="0" w:after="0" w:afterAutospacing="0"/>
              <w:jc w:val="center"/>
              <w:rPr>
                <w:sz w:val="20"/>
                <w:szCs w:val="20"/>
              </w:rPr>
            </w:pPr>
            <w:r>
              <w:rPr>
                <w:sz w:val="20"/>
                <w:szCs w:val="20"/>
              </w:rPr>
              <w:t>$</w:t>
            </w:r>
          </w:p>
        </w:tc>
        <w:tc>
          <w:tcPr>
            <w:tcW w:w="612" w:type="pct"/>
            <w:noWrap/>
            <w:tcMar>
              <w:top w:w="0" w:type="dxa"/>
              <w:left w:w="0" w:type="dxa"/>
              <w:bottom w:w="0" w:type="dxa"/>
              <w:right w:w="0" w:type="dxa"/>
            </w:tcMar>
            <w:vAlign w:val="bottom"/>
            <w:hideMark/>
          </w:tcPr>
          <w:p w14:paraId="2E9A9107" w14:textId="77777777" w:rsidR="00000000" w:rsidRDefault="00097612">
            <w:pPr>
              <w:pStyle w:val="a3"/>
              <w:spacing w:before="0" w:beforeAutospacing="0" w:after="0" w:afterAutospacing="0"/>
              <w:ind w:right="60"/>
              <w:jc w:val="right"/>
              <w:rPr>
                <w:sz w:val="20"/>
                <w:szCs w:val="20"/>
              </w:rPr>
            </w:pPr>
            <w:r>
              <w:rPr>
                <w:sz w:val="20"/>
                <w:szCs w:val="20"/>
              </w:rPr>
              <w:t>108,866</w:t>
            </w:r>
          </w:p>
        </w:tc>
      </w:tr>
      <w:tr w:rsidR="00000000" w14:paraId="60EF0C8D" w14:textId="77777777">
        <w:trPr>
          <w:divId w:val="566841183"/>
        </w:trPr>
        <w:tc>
          <w:tcPr>
            <w:tcW w:w="2039" w:type="pct"/>
            <w:shd w:val="clear" w:color="auto" w:fill="CCEEFF"/>
            <w:noWrap/>
            <w:tcMar>
              <w:top w:w="0" w:type="dxa"/>
              <w:left w:w="0" w:type="dxa"/>
              <w:bottom w:w="0" w:type="dxa"/>
              <w:right w:w="0" w:type="dxa"/>
            </w:tcMar>
            <w:vAlign w:val="bottom"/>
            <w:hideMark/>
          </w:tcPr>
          <w:p w14:paraId="60FD1C0F" w14:textId="77777777" w:rsidR="00000000" w:rsidRDefault="00097612">
            <w:pPr>
              <w:pStyle w:val="a3"/>
              <w:spacing w:before="0" w:beforeAutospacing="0" w:after="0" w:afterAutospacing="0"/>
              <w:ind w:left="240"/>
              <w:rPr>
                <w:sz w:val="20"/>
                <w:szCs w:val="20"/>
              </w:rPr>
            </w:pPr>
            <w:r>
              <w:rPr>
                <w:sz w:val="20"/>
                <w:szCs w:val="20"/>
              </w:rPr>
              <w:t>Less: Estimated tenant improvement allowance</w:t>
            </w:r>
          </w:p>
        </w:tc>
        <w:tc>
          <w:tcPr>
            <w:tcW w:w="2039" w:type="pct"/>
            <w:shd w:val="clear" w:color="auto" w:fill="CCEEFF"/>
            <w:noWrap/>
            <w:tcMar>
              <w:top w:w="0" w:type="dxa"/>
              <w:left w:w="0" w:type="dxa"/>
              <w:bottom w:w="0" w:type="dxa"/>
              <w:right w:w="0" w:type="dxa"/>
            </w:tcMar>
            <w:vAlign w:val="bottom"/>
            <w:hideMark/>
          </w:tcPr>
          <w:p w14:paraId="692A559F" w14:textId="77777777" w:rsidR="00000000" w:rsidRDefault="00097612">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14:paraId="18239D5D" w14:textId="77777777" w:rsidR="00000000" w:rsidRDefault="00097612">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14:paraId="2958C224" w14:textId="77777777" w:rsidR="00000000" w:rsidRDefault="00097612">
            <w:pPr>
              <w:pStyle w:val="a3"/>
              <w:spacing w:before="0" w:beforeAutospacing="0" w:after="0" w:afterAutospacing="0"/>
              <w:jc w:val="center"/>
              <w:rPr>
                <w:sz w:val="20"/>
                <w:szCs w:val="20"/>
              </w:rPr>
            </w:pPr>
            <w:r>
              <w:rPr>
                <w:sz w:val="20"/>
                <w:szCs w:val="20"/>
              </w:rPr>
              <w:t>​</w:t>
            </w:r>
          </w:p>
        </w:tc>
        <w:tc>
          <w:tcPr>
            <w:tcW w:w="612" w:type="pct"/>
            <w:shd w:val="clear" w:color="auto" w:fill="CCEEFF"/>
            <w:noWrap/>
            <w:tcMar>
              <w:top w:w="0" w:type="dxa"/>
              <w:left w:w="0" w:type="dxa"/>
              <w:bottom w:w="0" w:type="dxa"/>
              <w:right w:w="0" w:type="dxa"/>
            </w:tcMar>
            <w:vAlign w:val="center"/>
            <w:hideMark/>
          </w:tcPr>
          <w:p w14:paraId="4D1CB240" w14:textId="77777777" w:rsidR="00000000" w:rsidRDefault="00097612">
            <w:pPr>
              <w:pStyle w:val="a3"/>
              <w:spacing w:before="0" w:beforeAutospacing="0" w:after="0" w:afterAutospacing="0"/>
              <w:jc w:val="right"/>
              <w:rPr>
                <w:sz w:val="20"/>
                <w:szCs w:val="20"/>
              </w:rPr>
            </w:pPr>
            <w:r>
              <w:rPr>
                <w:sz w:val="20"/>
                <w:szCs w:val="20"/>
              </w:rPr>
              <w:t>(15,721)</w:t>
            </w:r>
          </w:p>
        </w:tc>
      </w:tr>
      <w:tr w:rsidR="00000000" w14:paraId="0A6B9F67" w14:textId="77777777">
        <w:trPr>
          <w:divId w:val="566841183"/>
        </w:trPr>
        <w:tc>
          <w:tcPr>
            <w:tcW w:w="2039" w:type="pct"/>
            <w:noWrap/>
            <w:tcMar>
              <w:top w:w="0" w:type="dxa"/>
              <w:left w:w="0" w:type="dxa"/>
              <w:bottom w:w="0" w:type="dxa"/>
              <w:right w:w="0" w:type="dxa"/>
            </w:tcMar>
            <w:vAlign w:val="bottom"/>
            <w:hideMark/>
          </w:tcPr>
          <w:p w14:paraId="4DC16C1E" w14:textId="77777777" w:rsidR="00000000" w:rsidRDefault="00097612">
            <w:pPr>
              <w:pStyle w:val="a3"/>
              <w:spacing w:before="0" w:beforeAutospacing="0" w:after="0" w:afterAutospacing="0"/>
              <w:ind w:left="240"/>
              <w:rPr>
                <w:sz w:val="20"/>
                <w:szCs w:val="20"/>
              </w:rPr>
            </w:pPr>
            <w:r>
              <w:rPr>
                <w:sz w:val="20"/>
                <w:szCs w:val="20"/>
              </w:rPr>
              <w:t>Less: Imputed interest</w:t>
            </w:r>
          </w:p>
        </w:tc>
        <w:tc>
          <w:tcPr>
            <w:tcW w:w="2039" w:type="pct"/>
            <w:noWrap/>
            <w:tcMar>
              <w:top w:w="0" w:type="dxa"/>
              <w:left w:w="0" w:type="dxa"/>
              <w:bottom w:w="0" w:type="dxa"/>
              <w:right w:w="0" w:type="dxa"/>
            </w:tcMar>
            <w:vAlign w:val="bottom"/>
            <w:hideMark/>
          </w:tcPr>
          <w:p w14:paraId="105D8E26" w14:textId="77777777" w:rsidR="00000000" w:rsidRDefault="00097612">
            <w:pPr>
              <w:pStyle w:val="a3"/>
              <w:spacing w:before="0" w:beforeAutospacing="0" w:after="0" w:afterAutospacing="0"/>
              <w:rPr>
                <w:sz w:val="20"/>
                <w:szCs w:val="20"/>
              </w:rPr>
            </w:pPr>
            <w:r>
              <w:rPr>
                <w:sz w:val="22"/>
                <w:szCs w:val="22"/>
              </w:rPr>
              <w:t>​</w:t>
            </w:r>
          </w:p>
        </w:tc>
        <w:tc>
          <w:tcPr>
            <w:tcW w:w="153" w:type="pct"/>
            <w:noWrap/>
            <w:tcMar>
              <w:top w:w="0" w:type="dxa"/>
              <w:left w:w="0" w:type="dxa"/>
              <w:bottom w:w="0" w:type="dxa"/>
              <w:right w:w="0" w:type="dxa"/>
            </w:tcMar>
            <w:vAlign w:val="bottom"/>
            <w:hideMark/>
          </w:tcPr>
          <w:p w14:paraId="7022F3B6" w14:textId="77777777" w:rsidR="00000000" w:rsidRDefault="00097612">
            <w:pPr>
              <w:pStyle w:val="a3"/>
              <w:spacing w:before="0" w:beforeAutospacing="0" w:after="0" w:afterAutospacing="0"/>
              <w:rPr>
                <w:sz w:val="20"/>
                <w:szCs w:val="20"/>
              </w:rPr>
            </w:pPr>
            <w:r>
              <w:rPr>
                <w:sz w:val="22"/>
                <w:szCs w:val="22"/>
              </w:rPr>
              <w:t>​</w:t>
            </w:r>
          </w:p>
        </w:tc>
        <w:tc>
          <w:tcPr>
            <w:tcW w:w="154" w:type="pct"/>
            <w:tcBorders>
              <w:bottom w:val="single" w:sz="6" w:space="0" w:color="000000"/>
            </w:tcBorders>
            <w:noWrap/>
            <w:tcMar>
              <w:top w:w="0" w:type="dxa"/>
              <w:left w:w="0" w:type="dxa"/>
              <w:bottom w:w="0" w:type="dxa"/>
              <w:right w:w="0" w:type="dxa"/>
            </w:tcMar>
            <w:vAlign w:val="bottom"/>
            <w:hideMark/>
          </w:tcPr>
          <w:p w14:paraId="07EC77E5" w14:textId="77777777" w:rsidR="00000000" w:rsidRDefault="00097612">
            <w:pPr>
              <w:pStyle w:val="a3"/>
              <w:spacing w:before="0" w:beforeAutospacing="0" w:after="0" w:afterAutospacing="0"/>
              <w:jc w:val="center"/>
              <w:rPr>
                <w:sz w:val="20"/>
                <w:szCs w:val="20"/>
              </w:rPr>
            </w:pPr>
            <w:r>
              <w:rPr>
                <w:sz w:val="22"/>
                <w:szCs w:val="22"/>
              </w:rPr>
              <w:t>​</w:t>
            </w:r>
          </w:p>
        </w:tc>
        <w:tc>
          <w:tcPr>
            <w:tcW w:w="612" w:type="pct"/>
            <w:tcBorders>
              <w:bottom w:val="single" w:sz="6" w:space="0" w:color="000000"/>
            </w:tcBorders>
            <w:noWrap/>
            <w:tcMar>
              <w:top w:w="0" w:type="dxa"/>
              <w:left w:w="0" w:type="dxa"/>
              <w:bottom w:w="0" w:type="dxa"/>
              <w:right w:w="0" w:type="dxa"/>
            </w:tcMar>
            <w:vAlign w:val="center"/>
            <w:hideMark/>
          </w:tcPr>
          <w:p w14:paraId="15C03987" w14:textId="77777777" w:rsidR="00000000" w:rsidRDefault="00097612">
            <w:pPr>
              <w:pStyle w:val="a3"/>
              <w:spacing w:before="0" w:beforeAutospacing="0" w:after="0" w:afterAutospacing="0"/>
              <w:jc w:val="right"/>
              <w:rPr>
                <w:sz w:val="20"/>
                <w:szCs w:val="20"/>
              </w:rPr>
            </w:pPr>
            <w:r>
              <w:rPr>
                <w:sz w:val="20"/>
                <w:szCs w:val="20"/>
              </w:rPr>
              <w:t>(37,692)</w:t>
            </w:r>
          </w:p>
        </w:tc>
      </w:tr>
      <w:tr w:rsidR="00000000" w14:paraId="23D5C7BE" w14:textId="77777777">
        <w:trPr>
          <w:divId w:val="566841183"/>
        </w:trPr>
        <w:tc>
          <w:tcPr>
            <w:tcW w:w="2039" w:type="pct"/>
            <w:shd w:val="clear" w:color="auto" w:fill="CCEEFF"/>
            <w:noWrap/>
            <w:tcMar>
              <w:top w:w="0" w:type="dxa"/>
              <w:left w:w="0" w:type="dxa"/>
              <w:bottom w:w="0" w:type="dxa"/>
              <w:right w:w="0" w:type="dxa"/>
            </w:tcMar>
            <w:vAlign w:val="bottom"/>
            <w:hideMark/>
          </w:tcPr>
          <w:p w14:paraId="5DCEDE1A" w14:textId="77777777" w:rsidR="00000000" w:rsidRDefault="00097612">
            <w:pPr>
              <w:pStyle w:val="a3"/>
              <w:spacing w:before="0" w:beforeAutospacing="0" w:after="0" w:afterAutospacing="0"/>
              <w:ind w:left="240"/>
              <w:rPr>
                <w:sz w:val="20"/>
                <w:szCs w:val="20"/>
              </w:rPr>
            </w:pPr>
            <w:r>
              <w:rPr>
                <w:sz w:val="20"/>
                <w:szCs w:val="20"/>
              </w:rPr>
              <w:t>Present value of operating lease liabilities</w:t>
            </w:r>
          </w:p>
        </w:tc>
        <w:tc>
          <w:tcPr>
            <w:tcW w:w="2039" w:type="pct"/>
            <w:shd w:val="clear" w:color="auto" w:fill="CCEEFF"/>
            <w:noWrap/>
            <w:tcMar>
              <w:top w:w="0" w:type="dxa"/>
              <w:left w:w="0" w:type="dxa"/>
              <w:bottom w:w="0" w:type="dxa"/>
              <w:right w:w="0" w:type="dxa"/>
            </w:tcMar>
            <w:vAlign w:val="bottom"/>
            <w:hideMark/>
          </w:tcPr>
          <w:p w14:paraId="642B6150" w14:textId="77777777" w:rsidR="00000000" w:rsidRDefault="00097612">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14:paraId="6F411A0B" w14:textId="77777777" w:rsidR="00000000" w:rsidRDefault="00097612">
            <w:pPr>
              <w:pStyle w:val="a3"/>
              <w:spacing w:before="0" w:beforeAutospacing="0" w:after="0" w:afterAutospacing="0"/>
              <w:rPr>
                <w:sz w:val="20"/>
                <w:szCs w:val="20"/>
              </w:rPr>
            </w:pPr>
            <w:r>
              <w:rPr>
                <w:sz w:val="22"/>
                <w:szCs w:val="22"/>
              </w:rPr>
              <w:t>​</w:t>
            </w:r>
          </w:p>
        </w:tc>
        <w:tc>
          <w:tcPr>
            <w:tcW w:w="154" w:type="pct"/>
            <w:tcBorders>
              <w:bottom w:val="double" w:sz="6" w:space="0" w:color="000000"/>
            </w:tcBorders>
            <w:shd w:val="clear" w:color="auto" w:fill="CCEEFF"/>
            <w:noWrap/>
            <w:tcMar>
              <w:top w:w="0" w:type="dxa"/>
              <w:left w:w="0" w:type="dxa"/>
              <w:bottom w:w="0" w:type="dxa"/>
              <w:right w:w="0" w:type="dxa"/>
            </w:tcMar>
            <w:vAlign w:val="bottom"/>
            <w:hideMark/>
          </w:tcPr>
          <w:p w14:paraId="2F910BFD" w14:textId="77777777" w:rsidR="00000000" w:rsidRDefault="00097612">
            <w:pPr>
              <w:pStyle w:val="a3"/>
              <w:spacing w:before="0" w:beforeAutospacing="0" w:after="0" w:afterAutospacing="0"/>
              <w:jc w:val="center"/>
              <w:rPr>
                <w:sz w:val="20"/>
                <w:szCs w:val="20"/>
              </w:rPr>
            </w:pPr>
            <w:r>
              <w:rPr>
                <w:sz w:val="20"/>
                <w:szCs w:val="20"/>
              </w:rPr>
              <w:t>$</w:t>
            </w:r>
          </w:p>
        </w:tc>
        <w:tc>
          <w:tcPr>
            <w:tcW w:w="612" w:type="pct"/>
            <w:tcBorders>
              <w:bottom w:val="double" w:sz="6" w:space="0" w:color="000000"/>
            </w:tcBorders>
            <w:shd w:val="clear" w:color="auto" w:fill="CCEEFF"/>
            <w:noWrap/>
            <w:tcMar>
              <w:top w:w="0" w:type="dxa"/>
              <w:left w:w="0" w:type="dxa"/>
              <w:bottom w:w="0" w:type="dxa"/>
              <w:right w:w="0" w:type="dxa"/>
            </w:tcMar>
            <w:vAlign w:val="bottom"/>
            <w:hideMark/>
          </w:tcPr>
          <w:p w14:paraId="6A85A347" w14:textId="77777777" w:rsidR="00000000" w:rsidRDefault="00097612">
            <w:pPr>
              <w:pStyle w:val="a3"/>
              <w:spacing w:before="0" w:beforeAutospacing="0" w:after="0" w:afterAutospacing="0"/>
              <w:ind w:right="60"/>
              <w:jc w:val="right"/>
              <w:rPr>
                <w:sz w:val="20"/>
                <w:szCs w:val="20"/>
              </w:rPr>
            </w:pPr>
            <w:r>
              <w:rPr>
                <w:sz w:val="20"/>
                <w:szCs w:val="20"/>
              </w:rPr>
              <w:t>55,453</w:t>
            </w:r>
          </w:p>
        </w:tc>
      </w:tr>
    </w:tbl>
    <w:p w14:paraId="5B5C7B8B" w14:textId="77777777" w:rsidR="00000000" w:rsidRDefault="00097612">
      <w:pPr>
        <w:pStyle w:val="a3"/>
        <w:spacing w:before="360" w:beforeAutospacing="0" w:after="0" w:afterAutospacing="0"/>
        <w:jc w:val="center"/>
        <w:divId w:val="438643579"/>
        <w:rPr>
          <w:sz w:val="20"/>
          <w:szCs w:val="20"/>
        </w:rPr>
      </w:pPr>
      <w:r>
        <w:rPr>
          <w:sz w:val="20"/>
          <w:szCs w:val="20"/>
        </w:rPr>
        <w:t>16</w:t>
      </w:r>
    </w:p>
    <w:p w14:paraId="05FC7431" w14:textId="77777777" w:rsidR="00000000" w:rsidRDefault="00097612">
      <w:pPr>
        <w:pStyle w:val="a3"/>
        <w:spacing w:before="0" w:beforeAutospacing="0" w:after="600" w:afterAutospacing="0"/>
        <w:divId w:val="1189030102"/>
        <w:rPr>
          <w:sz w:val="20"/>
          <w:szCs w:val="20"/>
        </w:rPr>
      </w:pPr>
      <w:hyperlink w:anchor="TOC" w:history="1">
        <w:r>
          <w:rPr>
            <w:rStyle w:val="a4"/>
            <w:sz w:val="20"/>
            <w:szCs w:val="20"/>
          </w:rPr>
          <w:t>Table of Contents</w:t>
        </w:r>
      </w:hyperlink>
    </w:p>
    <w:p w14:paraId="41023678" w14:textId="77777777" w:rsidR="00000000" w:rsidRDefault="00097612">
      <w:pPr>
        <w:pStyle w:val="a3"/>
        <w:spacing w:before="0" w:beforeAutospacing="0" w:after="0" w:afterAutospacing="0"/>
        <w:divId w:val="950891200"/>
        <w:rPr>
          <w:sz w:val="20"/>
          <w:szCs w:val="20"/>
        </w:rPr>
      </w:pPr>
      <w:r>
        <w:rPr>
          <w:sz w:val="20"/>
          <w:szCs w:val="20"/>
        </w:rPr>
        <w:t>​</w:t>
      </w:r>
    </w:p>
    <w:p w14:paraId="0CF07C0E" w14:textId="77777777" w:rsidR="00000000" w:rsidRDefault="00097612">
      <w:pPr>
        <w:pStyle w:val="a3"/>
        <w:spacing w:before="0" w:beforeAutospacing="0" w:after="0" w:afterAutospacing="0"/>
        <w:ind w:firstLine="720"/>
        <w:divId w:val="950891200"/>
        <w:rPr>
          <w:sz w:val="20"/>
          <w:szCs w:val="20"/>
        </w:rPr>
      </w:pPr>
      <w:r>
        <w:rPr>
          <w:sz w:val="20"/>
          <w:szCs w:val="20"/>
        </w:rPr>
        <w:t>Cash paid for amounts included in the measurement of lease liabilities for the three and nine months ended September 30, 2019 was $2.1 million and $6.0 million, respectively, and is included in net cash used in operating activities in the condensed consoli</w:t>
      </w:r>
      <w:r>
        <w:rPr>
          <w:sz w:val="20"/>
          <w:szCs w:val="20"/>
        </w:rPr>
        <w:t>dated statements of cash flows. As of September 30, 2019, the weighted-average remaining lease term was</w:t>
      </w:r>
      <w:r>
        <w:rPr>
          <w:sz w:val="20"/>
          <w:szCs w:val="20"/>
        </w:rPr>
        <w:t xml:space="preserve"> </w:t>
      </w:r>
      <w:r>
        <w:rPr>
          <w:sz w:val="20"/>
          <w:szCs w:val="20"/>
        </w:rPr>
        <w:t>10.</w:t>
      </w:r>
      <w:r>
        <w:rPr>
          <w:sz w:val="20"/>
          <w:szCs w:val="20"/>
        </w:rPr>
        <w:t>4</w:t>
      </w:r>
      <w:r>
        <w:rPr>
          <w:sz w:val="20"/>
          <w:szCs w:val="20"/>
        </w:rPr>
        <w:t xml:space="preserve"> years, and the weighted-average discount rate used to determine the lease liabilities was 8.65%. The Company’s discount rate was primarily derived </w:t>
      </w:r>
      <w:r>
        <w:rPr>
          <w:sz w:val="20"/>
          <w:szCs w:val="20"/>
        </w:rPr>
        <w:t>from the 9.0% interest rate on its Non-Recourse 2033 Notes issued in November 2018 and did not involve any significant assumptions</w:t>
      </w:r>
      <w:r>
        <w:rPr>
          <w:sz w:val="20"/>
          <w:szCs w:val="20"/>
        </w:rPr>
        <w:t>.</w:t>
      </w:r>
    </w:p>
    <w:p w14:paraId="00D3CC21" w14:textId="77777777" w:rsidR="00000000" w:rsidRDefault="00097612">
      <w:pPr>
        <w:pStyle w:val="a3"/>
        <w:spacing w:before="0" w:beforeAutospacing="0" w:after="0" w:afterAutospacing="0"/>
        <w:ind w:firstLine="720"/>
        <w:divId w:val="950891200"/>
        <w:rPr>
          <w:sz w:val="20"/>
          <w:szCs w:val="20"/>
        </w:rPr>
      </w:pPr>
      <w:r>
        <w:rPr>
          <w:sz w:val="20"/>
          <w:szCs w:val="20"/>
        </w:rPr>
        <w:t>​</w:t>
      </w:r>
    </w:p>
    <w:p w14:paraId="584AB374" w14:textId="77777777" w:rsidR="00000000" w:rsidRDefault="00097612">
      <w:pPr>
        <w:pStyle w:val="a3"/>
        <w:spacing w:before="0" w:beforeAutospacing="0" w:after="0" w:afterAutospacing="0"/>
        <w:divId w:val="950891200"/>
        <w:rPr>
          <w:sz w:val="20"/>
          <w:szCs w:val="20"/>
        </w:rPr>
      </w:pPr>
      <w:r>
        <w:rPr>
          <w:b/>
          <w:bCs/>
          <w:sz w:val="20"/>
          <w:szCs w:val="20"/>
        </w:rPr>
        <w:t xml:space="preserve">8. Theravance Respiratory Company, LLC </w:t>
      </w:r>
    </w:p>
    <w:p w14:paraId="44D33C16" w14:textId="77777777" w:rsidR="00000000" w:rsidRDefault="00097612">
      <w:pPr>
        <w:pStyle w:val="a3"/>
        <w:spacing w:before="0" w:beforeAutospacing="0" w:after="0" w:afterAutospacing="0"/>
        <w:divId w:val="950891200"/>
        <w:rPr>
          <w:sz w:val="20"/>
          <w:szCs w:val="20"/>
        </w:rPr>
      </w:pPr>
      <w:r>
        <w:rPr>
          <w:sz w:val="10"/>
          <w:szCs w:val="10"/>
        </w:rPr>
        <w:t>​</w:t>
      </w:r>
    </w:p>
    <w:p w14:paraId="76B50037" w14:textId="77777777" w:rsidR="00000000" w:rsidRDefault="00097612">
      <w:pPr>
        <w:pStyle w:val="a3"/>
        <w:spacing w:before="0" w:beforeAutospacing="0" w:after="0" w:afterAutospacing="0"/>
        <w:ind w:firstLine="720"/>
        <w:divId w:val="950891200"/>
        <w:rPr>
          <w:sz w:val="20"/>
          <w:szCs w:val="20"/>
        </w:rPr>
      </w:pPr>
      <w:r>
        <w:rPr>
          <w:sz w:val="20"/>
          <w:szCs w:val="20"/>
        </w:rPr>
        <w:t>Prior to the June 2014 spin-off from Innoviva, the Company’s former parent compa</w:t>
      </w:r>
      <w:r>
        <w:rPr>
          <w:sz w:val="20"/>
          <w:szCs w:val="20"/>
        </w:rPr>
        <w:t>ny, Innoviva assigned to TRC, a Delaware limited liability company formed by Innoviva, its strategic alliance agreement with GSK and all of its rights and obligations under its collaboration agreement with GSK other than with respect to RELVAR</w:t>
      </w:r>
      <w:r>
        <w:rPr>
          <w:sz w:val="15"/>
          <w:szCs w:val="15"/>
          <w:vertAlign w:val="superscript"/>
        </w:rPr>
        <w:t>®</w:t>
      </w:r>
      <w:r>
        <w:rPr>
          <w:sz w:val="20"/>
          <w:szCs w:val="20"/>
        </w:rPr>
        <w:t xml:space="preserve"> ELLIPTA</w:t>
      </w:r>
      <w:r>
        <w:rPr>
          <w:sz w:val="15"/>
          <w:szCs w:val="15"/>
          <w:vertAlign w:val="superscript"/>
        </w:rPr>
        <w:t>®</w:t>
      </w:r>
      <w:r>
        <w:rPr>
          <w:sz w:val="20"/>
          <w:szCs w:val="20"/>
        </w:rPr>
        <w:t>/BR</w:t>
      </w:r>
      <w:r>
        <w:rPr>
          <w:sz w:val="20"/>
          <w:szCs w:val="20"/>
        </w:rPr>
        <w:t>EO</w:t>
      </w:r>
      <w:r>
        <w:rPr>
          <w:sz w:val="15"/>
          <w:szCs w:val="15"/>
          <w:vertAlign w:val="superscript"/>
        </w:rPr>
        <w:t>®</w:t>
      </w:r>
      <w:r>
        <w:rPr>
          <w:sz w:val="20"/>
          <w:szCs w:val="20"/>
        </w:rPr>
        <w:t xml:space="preserve"> ELLIPTA</w:t>
      </w:r>
      <w:r>
        <w:rPr>
          <w:sz w:val="15"/>
          <w:szCs w:val="15"/>
          <w:vertAlign w:val="superscript"/>
        </w:rPr>
        <w:t>®</w:t>
      </w:r>
      <w:r>
        <w:rPr>
          <w:sz w:val="20"/>
          <w:szCs w:val="20"/>
        </w:rPr>
        <w:t>, ANORO</w:t>
      </w:r>
      <w:r>
        <w:rPr>
          <w:sz w:val="15"/>
          <w:szCs w:val="15"/>
          <w:vertAlign w:val="superscript"/>
        </w:rPr>
        <w:t>®</w:t>
      </w:r>
      <w:r>
        <w:rPr>
          <w:sz w:val="20"/>
          <w:szCs w:val="20"/>
        </w:rPr>
        <w:t xml:space="preserve"> ELLIPTA</w:t>
      </w:r>
      <w:r>
        <w:rPr>
          <w:sz w:val="15"/>
          <w:szCs w:val="15"/>
          <w:vertAlign w:val="superscript"/>
        </w:rPr>
        <w:t>®</w:t>
      </w:r>
      <w:r>
        <w:rPr>
          <w:sz w:val="20"/>
          <w:szCs w:val="20"/>
        </w:rPr>
        <w:t xml:space="preserve"> and vilanterol monotherapy. Through the Company’s 85% equity interests in TRC, the Company is entitled to receive an 85% economic interest in any future payments made by GSK under the strategic alliance agreement and under the</w:t>
      </w:r>
      <w:r>
        <w:rPr>
          <w:sz w:val="20"/>
          <w:szCs w:val="20"/>
        </w:rPr>
        <w:t xml:space="preserve"> portion of the collaboration agreement assigned to TRC (net of TRC expenses paid and the amount of cash, if any, expected to be used by TRC pursuant to the TRC LLC Agreement over the next four fiscal quarters). The drug programs assigned to TRC include </w:t>
      </w:r>
      <w:r>
        <w:rPr>
          <w:caps/>
          <w:sz w:val="20"/>
          <w:szCs w:val="20"/>
        </w:rPr>
        <w:t>Tr</w:t>
      </w:r>
      <w:r>
        <w:rPr>
          <w:caps/>
          <w:sz w:val="20"/>
          <w:szCs w:val="20"/>
        </w:rPr>
        <w:t>elegy Ellipta</w:t>
      </w:r>
      <w:r>
        <w:rPr>
          <w:sz w:val="20"/>
          <w:szCs w:val="20"/>
        </w:rPr>
        <w:t xml:space="preserve"> and the inhaled Bifunctional Muscarinic Antagonist-Beta2 Agonist (“MABA”) program, as monotherapy and in combination with other therapeutically active components, such as an inhaled corticosteroid (“ICS”), and any other product or combination</w:t>
      </w:r>
      <w:r>
        <w:rPr>
          <w:sz w:val="20"/>
          <w:szCs w:val="20"/>
        </w:rPr>
        <w:t xml:space="preserve"> of products that may be discovered and developed in the future under the GSK agreements. </w:t>
      </w:r>
    </w:p>
    <w:p w14:paraId="18D63139" w14:textId="77777777" w:rsidR="00000000" w:rsidRDefault="00097612">
      <w:pPr>
        <w:pStyle w:val="a3"/>
        <w:spacing w:before="0" w:beforeAutospacing="0" w:after="0" w:afterAutospacing="0"/>
        <w:ind w:firstLine="720"/>
        <w:divId w:val="950891200"/>
        <w:rPr>
          <w:sz w:val="20"/>
          <w:szCs w:val="20"/>
        </w:rPr>
      </w:pPr>
      <w:r>
        <w:rPr>
          <w:sz w:val="20"/>
          <w:szCs w:val="20"/>
        </w:rPr>
        <w:t>​</w:t>
      </w:r>
    </w:p>
    <w:p w14:paraId="6C2B1944" w14:textId="77777777" w:rsidR="00000000" w:rsidRDefault="00097612">
      <w:pPr>
        <w:pStyle w:val="a3"/>
        <w:spacing w:before="0" w:beforeAutospacing="0" w:after="0" w:afterAutospacing="0"/>
        <w:ind w:firstLine="720"/>
        <w:divId w:val="950891200"/>
        <w:rPr>
          <w:sz w:val="20"/>
          <w:szCs w:val="20"/>
        </w:rPr>
      </w:pPr>
      <w:r>
        <w:rPr>
          <w:sz w:val="20"/>
          <w:szCs w:val="20"/>
        </w:rPr>
        <w:t>In May 2014, the Company entered into the TRC LLC Agreement with Innoviva that governs the operation of TRC. Under the TRC LLC Agreement, Innoviva is the manager o</w:t>
      </w:r>
      <w:r>
        <w:rPr>
          <w:sz w:val="20"/>
          <w:szCs w:val="20"/>
        </w:rPr>
        <w:t>f TRC, and the business and affairs of TRC are managed exclusively by the manager, including (i) day to day management of the drug programs in accordance with the existing GSK agreements; (ii) preparing an annual operating plan for TRC; and (iii) taking al</w:t>
      </w:r>
      <w:r>
        <w:rPr>
          <w:sz w:val="20"/>
          <w:szCs w:val="20"/>
        </w:rPr>
        <w:t xml:space="preserve">l actions necessary to ensure that the formation, structure and operation of TRC complies with applicable law and partner agreements. The Company is responsible for its proportionate share of TRC’s administrative expenses incurred, and communicated to the </w:t>
      </w:r>
      <w:r>
        <w:rPr>
          <w:sz w:val="20"/>
          <w:szCs w:val="20"/>
        </w:rPr>
        <w:t>Company, by Innoviva.</w:t>
      </w:r>
    </w:p>
    <w:p w14:paraId="4C75436F" w14:textId="77777777" w:rsidR="00000000" w:rsidRDefault="00097612">
      <w:pPr>
        <w:pStyle w:val="a3"/>
        <w:spacing w:before="0" w:beforeAutospacing="0" w:after="0" w:afterAutospacing="0"/>
        <w:divId w:val="950891200"/>
        <w:rPr>
          <w:sz w:val="20"/>
          <w:szCs w:val="20"/>
        </w:rPr>
      </w:pPr>
      <w:r>
        <w:rPr>
          <w:sz w:val="20"/>
          <w:szCs w:val="20"/>
        </w:rPr>
        <w:t>​</w:t>
      </w:r>
    </w:p>
    <w:p w14:paraId="49A8CB5F" w14:textId="77777777" w:rsidR="00000000" w:rsidRDefault="00097612">
      <w:pPr>
        <w:pStyle w:val="a3"/>
        <w:spacing w:before="0" w:beforeAutospacing="0" w:after="0" w:afterAutospacing="0"/>
        <w:ind w:firstLine="720"/>
        <w:divId w:val="950891200"/>
        <w:rPr>
          <w:sz w:val="20"/>
          <w:szCs w:val="20"/>
        </w:rPr>
      </w:pPr>
      <w:r>
        <w:rPr>
          <w:sz w:val="20"/>
          <w:szCs w:val="20"/>
        </w:rPr>
        <w:t xml:space="preserve">The Company analyzed its ownership, contractual and other interests in TRC to determine if it is a variable-interest entity (“VIE”), whether the Company has a variable interest in TRC and the nature and extent of that interest. The </w:t>
      </w:r>
      <w:r>
        <w:rPr>
          <w:sz w:val="20"/>
          <w:szCs w:val="20"/>
        </w:rPr>
        <w:t>Company determined that TRC is a VIE. The party with the controlling financial interest, the primary beneficiary, is required to consolidate the entity determined to be a VIE. Therefore, the Company also assessed whether it is the primary beneficiary of TR</w:t>
      </w:r>
      <w:r>
        <w:rPr>
          <w:sz w:val="20"/>
          <w:szCs w:val="20"/>
        </w:rPr>
        <w:t>C based on the power to direct TRC’s activities that most significantly impact TRC’s economic performance and its obligation to absorb TRC’s losses or the right to receive benefits from TRC that could potentially be significant to TRC. Based on the Company</w:t>
      </w:r>
      <w:r>
        <w:rPr>
          <w:sz w:val="20"/>
          <w:szCs w:val="20"/>
        </w:rPr>
        <w:t>’s assessment, the Company determined that it is not the primary beneficiary of TRC, and, as a result, the Company does not consolidate TRC in its condensed consolidated financial statements. TRC is recognized in the Company’s condensed consolidated financ</w:t>
      </w:r>
      <w:r>
        <w:rPr>
          <w:sz w:val="20"/>
          <w:szCs w:val="20"/>
        </w:rPr>
        <w:t xml:space="preserve">ial statements under the equity method of accounting, and the value of the Company’s equity investment in TRC was $16.7 million and $5.4 million as of September 30, 2019 and December 31, 2018, respectively. This amount includes undistributed earnings from </w:t>
      </w:r>
      <w:r>
        <w:rPr>
          <w:sz w:val="20"/>
          <w:szCs w:val="20"/>
        </w:rPr>
        <w:t>the Company’s investment in TRC which are recorded on the condensed consolidated balance sheets as “Amounts due from TRC, LLC” and are net of the Company’s proportionate share of TRC’s administrative expenses incurred, and communicated to the Company, by I</w:t>
      </w:r>
      <w:r>
        <w:rPr>
          <w:sz w:val="20"/>
          <w:szCs w:val="20"/>
        </w:rPr>
        <w:t>nnoviva. Pursuant to the TRC operating agreement, the cash from the TRELEGY ELLIPTA royalties, net of any expenses, is distributed to the equity holders quarterly.</w:t>
      </w:r>
    </w:p>
    <w:p w14:paraId="6B8ED161" w14:textId="77777777" w:rsidR="00000000" w:rsidRDefault="00097612">
      <w:pPr>
        <w:pStyle w:val="a3"/>
        <w:spacing w:before="0" w:beforeAutospacing="0" w:after="0" w:afterAutospacing="0"/>
        <w:ind w:firstLine="720"/>
        <w:divId w:val="950891200"/>
        <w:rPr>
          <w:sz w:val="20"/>
          <w:szCs w:val="20"/>
        </w:rPr>
      </w:pPr>
      <w:r>
        <w:rPr>
          <w:sz w:val="20"/>
          <w:szCs w:val="20"/>
        </w:rPr>
        <w:t>​</w:t>
      </w:r>
    </w:p>
    <w:p w14:paraId="61035638" w14:textId="77777777" w:rsidR="00000000" w:rsidRDefault="00097612">
      <w:pPr>
        <w:pStyle w:val="a3"/>
        <w:spacing w:before="0" w:beforeAutospacing="0" w:after="0" w:afterAutospacing="0"/>
        <w:ind w:firstLine="720"/>
        <w:divId w:val="950891200"/>
        <w:rPr>
          <w:sz w:val="20"/>
          <w:szCs w:val="20"/>
        </w:rPr>
      </w:pPr>
      <w:r>
        <w:rPr>
          <w:sz w:val="20"/>
          <w:szCs w:val="20"/>
        </w:rPr>
        <w:t>For the three and nine months ended September 30, 2019, the Company recognized net royalty</w:t>
      </w:r>
      <w:r>
        <w:rPr>
          <w:sz w:val="20"/>
          <w:szCs w:val="20"/>
        </w:rPr>
        <w:t xml:space="preserve"> income of $7.2 million and $21.8 million within the condensed consolidated statements of operations within “Income from investment in TRC, LLC”. These amounts were recorded net of the Company’s share of TRC’s expenses of $2.3 million for the three and nin</w:t>
      </w:r>
      <w:r>
        <w:rPr>
          <w:sz w:val="20"/>
          <w:szCs w:val="20"/>
        </w:rPr>
        <w:t>e months ended September 30, 2019, which was primarily comprised of TRC’s legal and related fees associated with the arbitration between Innoviva and TRC and the Company. For the three and nine months ended September 30, 2018, the Company recognized net ro</w:t>
      </w:r>
      <w:r>
        <w:rPr>
          <w:sz w:val="20"/>
          <w:szCs w:val="20"/>
        </w:rPr>
        <w:t>yalty income of $3.1 million and $5.8 million, respectively. There were minimal TRC expenses for the three and nine months ended September 30, 2018.</w:t>
      </w:r>
    </w:p>
    <w:p w14:paraId="580F9668" w14:textId="77777777" w:rsidR="00000000" w:rsidRDefault="00097612">
      <w:pPr>
        <w:pStyle w:val="a3"/>
        <w:spacing w:before="0" w:beforeAutospacing="0" w:after="0" w:afterAutospacing="0"/>
        <w:ind w:firstLine="720"/>
        <w:divId w:val="950891200"/>
        <w:rPr>
          <w:sz w:val="20"/>
          <w:szCs w:val="20"/>
        </w:rPr>
      </w:pPr>
      <w:r>
        <w:rPr>
          <w:sz w:val="20"/>
          <w:szCs w:val="20"/>
        </w:rPr>
        <w:t>​</w:t>
      </w:r>
    </w:p>
    <w:p w14:paraId="6909FB7B" w14:textId="77777777" w:rsidR="00000000" w:rsidRDefault="00097612">
      <w:pPr>
        <w:pStyle w:val="a3"/>
        <w:spacing w:before="0" w:beforeAutospacing="0" w:after="0" w:afterAutospacing="0"/>
        <w:ind w:firstLine="720"/>
        <w:divId w:val="950891200"/>
        <w:rPr>
          <w:sz w:val="20"/>
          <w:szCs w:val="20"/>
        </w:rPr>
      </w:pPr>
      <w:r>
        <w:rPr>
          <w:sz w:val="20"/>
          <w:szCs w:val="20"/>
        </w:rPr>
        <w:t xml:space="preserve">In May 2019, the Company announced that it had initiated an arbitration against Innoviva and TRC because Innoviva, as manager of TRC, had caused TRC to withhold certain distributions owed to the Company with respect to the </w:t>
      </w:r>
    </w:p>
    <w:p w14:paraId="3F018682" w14:textId="77777777" w:rsidR="00000000" w:rsidRDefault="00097612">
      <w:pPr>
        <w:pStyle w:val="a3"/>
        <w:spacing w:before="360" w:beforeAutospacing="0" w:after="0" w:afterAutospacing="0"/>
        <w:jc w:val="center"/>
        <w:divId w:val="1255165285"/>
        <w:rPr>
          <w:sz w:val="20"/>
          <w:szCs w:val="20"/>
        </w:rPr>
      </w:pPr>
      <w:r>
        <w:rPr>
          <w:sz w:val="20"/>
          <w:szCs w:val="20"/>
        </w:rPr>
        <w:t>17</w:t>
      </w:r>
    </w:p>
    <w:p w14:paraId="3892077D" w14:textId="77777777" w:rsidR="00000000" w:rsidRDefault="00097612">
      <w:pPr>
        <w:pStyle w:val="a3"/>
        <w:spacing w:before="0" w:beforeAutospacing="0" w:after="600" w:afterAutospacing="0"/>
        <w:divId w:val="1445953477"/>
        <w:rPr>
          <w:sz w:val="20"/>
          <w:szCs w:val="20"/>
        </w:rPr>
      </w:pPr>
      <w:hyperlink w:anchor="TOC" w:history="1">
        <w:r>
          <w:rPr>
            <w:rStyle w:val="a4"/>
            <w:sz w:val="20"/>
            <w:szCs w:val="20"/>
          </w:rPr>
          <w:t>Tab</w:t>
        </w:r>
        <w:r>
          <w:rPr>
            <w:rStyle w:val="a4"/>
            <w:sz w:val="20"/>
            <w:szCs w:val="20"/>
          </w:rPr>
          <w:t>le of Contents</w:t>
        </w:r>
      </w:hyperlink>
    </w:p>
    <w:p w14:paraId="55360D37" w14:textId="77777777" w:rsidR="00000000" w:rsidRDefault="00097612">
      <w:pPr>
        <w:pStyle w:val="a3"/>
        <w:spacing w:before="0" w:beforeAutospacing="0" w:after="0" w:afterAutospacing="0"/>
        <w:divId w:val="1490294059"/>
        <w:rPr>
          <w:sz w:val="20"/>
          <w:szCs w:val="20"/>
        </w:rPr>
      </w:pPr>
      <w:r>
        <w:rPr>
          <w:sz w:val="20"/>
          <w:szCs w:val="20"/>
        </w:rPr>
        <w:t xml:space="preserve">Company’s 85% economic interest in TRC since the quarter ended December 31, 2018, and Innoviva’s previous statement to the Company that it intended to prevent TRC from making cash distributions during 2019. The arbitration hearing commenced </w:t>
      </w:r>
      <w:r>
        <w:rPr>
          <w:sz w:val="20"/>
          <w:szCs w:val="20"/>
        </w:rPr>
        <w:t xml:space="preserve">on July 23, 2019. </w:t>
      </w:r>
    </w:p>
    <w:p w14:paraId="15A5E9C6" w14:textId="77777777" w:rsidR="00000000" w:rsidRDefault="00097612">
      <w:pPr>
        <w:pStyle w:val="a3"/>
        <w:spacing w:before="0" w:beforeAutospacing="0" w:after="0" w:afterAutospacing="0"/>
        <w:divId w:val="1490294059"/>
        <w:rPr>
          <w:sz w:val="20"/>
          <w:szCs w:val="20"/>
        </w:rPr>
      </w:pPr>
      <w:r>
        <w:rPr>
          <w:color w:val="FF0000"/>
          <w:sz w:val="20"/>
          <w:szCs w:val="20"/>
        </w:rPr>
        <w:t>​</w:t>
      </w:r>
    </w:p>
    <w:p w14:paraId="19060EE6" w14:textId="77777777" w:rsidR="00000000" w:rsidRDefault="00097612">
      <w:pPr>
        <w:pStyle w:val="a3"/>
        <w:spacing w:before="0" w:beforeAutospacing="0" w:after="0" w:afterAutospacing="0"/>
        <w:divId w:val="1490294059"/>
        <w:rPr>
          <w:sz w:val="20"/>
          <w:szCs w:val="20"/>
        </w:rPr>
      </w:pPr>
      <w:r>
        <w:rPr>
          <w:sz w:val="20"/>
          <w:szCs w:val="20"/>
        </w:rPr>
        <w:t>In September 2019, the arbitrator issued a final decision. The arbitrator ruled that, while Innoviva breached the LLC Agreement by failing to provide quarterly financial plans to the Company as required, the withholding of funds by Inn</w:t>
      </w:r>
      <w:r>
        <w:rPr>
          <w:sz w:val="20"/>
          <w:szCs w:val="20"/>
        </w:rPr>
        <w:t>oviva with respect to certain TRELEGY ELLIPTA development and commercialization initiatives proposed by Innoviva was not in breach of the LLC Agreement. The arbitrator also found that Innoviva had not breached its fiduciary duties to the Company. The arbit</w:t>
      </w:r>
      <w:r>
        <w:rPr>
          <w:sz w:val="20"/>
          <w:szCs w:val="20"/>
        </w:rPr>
        <w:t xml:space="preserve">rator awarded injunctive relief to give more certainty to future dealings between the parties and to clarify certain terms of the LLC Agreement, and imposed additional obligations on Innoviva to obtain the consent of GSK for any proposed investment of TRC </w:t>
      </w:r>
      <w:r>
        <w:rPr>
          <w:sz w:val="20"/>
          <w:szCs w:val="20"/>
        </w:rPr>
        <w:t>funds that requires the consent of GSK under the collaboration agreement dated November 14, 2002, as amended. Under the arbitrator’s ruling, Innoviva is currently permitted to continue to withhold $8.0 million of TRC funds for certain TRELEGY ELLIPTA devel</w:t>
      </w:r>
      <w:r>
        <w:rPr>
          <w:sz w:val="20"/>
          <w:szCs w:val="20"/>
        </w:rPr>
        <w:t>opment and commercialization initiatives proposed by Innoviva. These initiatives must be presented to GSK in the fourth quarter of 2019 and they cannot be implemented without GSK’s approval, which approval must be obtained no later than during the first qu</w:t>
      </w:r>
      <w:r>
        <w:rPr>
          <w:sz w:val="20"/>
          <w:szCs w:val="20"/>
        </w:rPr>
        <w:t xml:space="preserve">arter of 2020. To the extent GSK’s approval is not received, the Company expects distribution to the TRC members of the withheld funds. To the extent the initiatives are timely approved by GSK and proceed, TRC may withhold additional amounts in subsequent </w:t>
      </w:r>
      <w:r>
        <w:rPr>
          <w:sz w:val="20"/>
          <w:szCs w:val="20"/>
        </w:rPr>
        <w:t>quarters through to the completion of these initiatives.</w:t>
      </w:r>
    </w:p>
    <w:p w14:paraId="1876495A" w14:textId="77777777" w:rsidR="00000000" w:rsidRDefault="00097612">
      <w:pPr>
        <w:pStyle w:val="a3"/>
        <w:spacing w:before="0" w:beforeAutospacing="0" w:after="0" w:afterAutospacing="0"/>
        <w:divId w:val="1490294059"/>
        <w:rPr>
          <w:sz w:val="20"/>
          <w:szCs w:val="20"/>
        </w:rPr>
      </w:pPr>
      <w:r>
        <w:rPr>
          <w:sz w:val="20"/>
          <w:szCs w:val="20"/>
        </w:rPr>
        <w:t>​</w:t>
      </w:r>
    </w:p>
    <w:p w14:paraId="0CE8B33A" w14:textId="77777777" w:rsidR="00000000" w:rsidRDefault="00097612">
      <w:pPr>
        <w:pStyle w:val="a3"/>
        <w:spacing w:before="0" w:beforeAutospacing="0" w:after="0" w:afterAutospacing="0"/>
        <w:ind w:firstLine="720"/>
        <w:divId w:val="1490294059"/>
        <w:rPr>
          <w:sz w:val="20"/>
          <w:szCs w:val="20"/>
        </w:rPr>
      </w:pPr>
      <w:r>
        <w:rPr>
          <w:sz w:val="20"/>
          <w:szCs w:val="20"/>
        </w:rPr>
        <w:t>As of June 30, 2019, the Company was owed, under the LLC Agreement, $20.0 million in net royalty income payments for the period from the fourth quarter of 2018 through the second quarter of 2019. A</w:t>
      </w:r>
      <w:r>
        <w:rPr>
          <w:sz w:val="20"/>
          <w:szCs w:val="20"/>
        </w:rPr>
        <w:t>fter initiation of the arbitration and prior to the final decision being issued in the third quarter of 2019, Innoviva caused TRC to make a partial distribution of funds to the Company of $10.6 million against these amounts due. Innoviva withheld $6.9 mill</w:t>
      </w:r>
      <w:r>
        <w:rPr>
          <w:sz w:val="20"/>
          <w:szCs w:val="20"/>
        </w:rPr>
        <w:t>ion, representing the Company’s share of the $8.0 million of total TRC funds earmarked for certain TRELEGY ELLIPTA development and commercialization initiatives proposed by Innoviva, pursuant to the arbitrator’s final decision. The amount due to the Compan</w:t>
      </w:r>
      <w:r>
        <w:rPr>
          <w:sz w:val="20"/>
          <w:szCs w:val="20"/>
        </w:rPr>
        <w:t>y as of September 30, 2019 was $16.7 million and includes the $6.9 million currently being withheld by Innoviva. The Company believes the $16.7 million will be received by early 2020. In the event GSK agrees to the TRELEGY ELLIPTA development and commercia</w:t>
      </w:r>
      <w:r>
        <w:rPr>
          <w:sz w:val="20"/>
          <w:szCs w:val="20"/>
        </w:rPr>
        <w:t xml:space="preserve">lization initiatives proposed by Innoviva, the Company will reclassify the $6.9 million from “Amounts due from TRC, LLC” within total current assets to “Investment in TRC, LLC” within long-term assets on its condensed consolidated balance sheets. </w:t>
      </w:r>
    </w:p>
    <w:p w14:paraId="56306E05" w14:textId="77777777" w:rsidR="00000000" w:rsidRDefault="00097612">
      <w:pPr>
        <w:pStyle w:val="a3"/>
        <w:spacing w:before="0" w:beforeAutospacing="0" w:after="0" w:afterAutospacing="0"/>
        <w:ind w:firstLine="720"/>
        <w:divId w:val="1490294059"/>
        <w:rPr>
          <w:sz w:val="20"/>
          <w:szCs w:val="20"/>
        </w:rPr>
      </w:pPr>
      <w:r>
        <w:rPr>
          <w:sz w:val="20"/>
          <w:szCs w:val="20"/>
        </w:rPr>
        <w:t>​</w:t>
      </w:r>
    </w:p>
    <w:p w14:paraId="1AF98744" w14:textId="77777777" w:rsidR="00000000" w:rsidRDefault="00097612">
      <w:pPr>
        <w:pStyle w:val="a3"/>
        <w:spacing w:before="0" w:beforeAutospacing="0" w:after="0" w:afterAutospacing="0"/>
        <w:divId w:val="1490294059"/>
        <w:rPr>
          <w:sz w:val="20"/>
          <w:szCs w:val="20"/>
        </w:rPr>
      </w:pPr>
      <w:r>
        <w:rPr>
          <w:b/>
          <w:bCs/>
          <w:sz w:val="20"/>
          <w:szCs w:val="20"/>
        </w:rPr>
        <w:t>9</w:t>
      </w:r>
      <w:r>
        <w:rPr>
          <w:b/>
          <w:bCs/>
          <w:i/>
          <w:iCs/>
          <w:sz w:val="20"/>
          <w:szCs w:val="20"/>
        </w:rPr>
        <w:t xml:space="preserve">. </w:t>
      </w:r>
      <w:r>
        <w:rPr>
          <w:b/>
          <w:bCs/>
          <w:sz w:val="20"/>
          <w:szCs w:val="20"/>
        </w:rPr>
        <w:t>Sha</w:t>
      </w:r>
      <w:r>
        <w:rPr>
          <w:b/>
          <w:bCs/>
          <w:sz w:val="20"/>
          <w:szCs w:val="20"/>
        </w:rPr>
        <w:t>re-Based Compensation</w:t>
      </w:r>
    </w:p>
    <w:p w14:paraId="71C7002F" w14:textId="77777777" w:rsidR="00000000" w:rsidRDefault="00097612">
      <w:pPr>
        <w:pStyle w:val="a3"/>
        <w:spacing w:before="0" w:beforeAutospacing="0" w:after="0" w:afterAutospacing="0"/>
        <w:divId w:val="1490294059"/>
        <w:rPr>
          <w:sz w:val="20"/>
          <w:szCs w:val="20"/>
        </w:rPr>
      </w:pPr>
      <w:r>
        <w:rPr>
          <w:sz w:val="10"/>
          <w:szCs w:val="10"/>
        </w:rPr>
        <w:t>​</w:t>
      </w:r>
    </w:p>
    <w:p w14:paraId="7A5F0C06" w14:textId="77777777" w:rsidR="00000000" w:rsidRDefault="00097612">
      <w:pPr>
        <w:pStyle w:val="a3"/>
        <w:spacing w:before="0" w:beforeAutospacing="0" w:after="0" w:afterAutospacing="0"/>
        <w:divId w:val="1490294059"/>
        <w:rPr>
          <w:sz w:val="20"/>
          <w:szCs w:val="20"/>
        </w:rPr>
      </w:pPr>
      <w:r>
        <w:rPr>
          <w:b/>
          <w:bCs/>
          <w:i/>
          <w:iCs/>
          <w:sz w:val="20"/>
          <w:szCs w:val="20"/>
        </w:rPr>
        <w:t>Share-Based Compensation Expense Allocation</w:t>
      </w:r>
    </w:p>
    <w:p w14:paraId="2B5D3340" w14:textId="77777777" w:rsidR="00000000" w:rsidRDefault="00097612">
      <w:pPr>
        <w:pStyle w:val="a3"/>
        <w:spacing w:before="0" w:beforeAutospacing="0" w:after="0" w:afterAutospacing="0"/>
        <w:ind w:firstLine="720"/>
        <w:divId w:val="1490294059"/>
        <w:rPr>
          <w:sz w:val="20"/>
          <w:szCs w:val="20"/>
        </w:rPr>
      </w:pPr>
      <w:r>
        <w:rPr>
          <w:sz w:val="10"/>
          <w:szCs w:val="10"/>
        </w:rPr>
        <w:t>​</w:t>
      </w:r>
    </w:p>
    <w:p w14:paraId="3183D579" w14:textId="77777777" w:rsidR="00000000" w:rsidRDefault="00097612">
      <w:pPr>
        <w:pStyle w:val="a3"/>
        <w:spacing w:before="0" w:beforeAutospacing="0" w:after="0" w:afterAutospacing="0"/>
        <w:ind w:firstLine="720"/>
        <w:divId w:val="1490294059"/>
        <w:rPr>
          <w:sz w:val="20"/>
          <w:szCs w:val="20"/>
        </w:rPr>
      </w:pPr>
      <w:r>
        <w:rPr>
          <w:sz w:val="20"/>
          <w:szCs w:val="20"/>
        </w:rPr>
        <w:t>The allocation of share-based compensation expense included in the condensed consolidated statements of operations was as follows:</w:t>
      </w:r>
    </w:p>
    <w:p w14:paraId="29A157C7" w14:textId="77777777" w:rsidR="00000000" w:rsidRDefault="00097612">
      <w:pPr>
        <w:pStyle w:val="a3"/>
        <w:spacing w:before="0" w:beforeAutospacing="0" w:after="0" w:afterAutospacing="0"/>
        <w:ind w:firstLine="720"/>
        <w:divId w:val="149029405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35"/>
        <w:gridCol w:w="160"/>
        <w:gridCol w:w="107"/>
        <w:gridCol w:w="610"/>
        <w:gridCol w:w="160"/>
        <w:gridCol w:w="108"/>
        <w:gridCol w:w="610"/>
        <w:gridCol w:w="160"/>
        <w:gridCol w:w="108"/>
        <w:gridCol w:w="610"/>
        <w:gridCol w:w="160"/>
        <w:gridCol w:w="108"/>
        <w:gridCol w:w="610"/>
        <w:gridCol w:w="160"/>
      </w:tblGrid>
      <w:tr w:rsidR="00000000" w14:paraId="2E160C53" w14:textId="77777777">
        <w:trPr>
          <w:divId w:val="1490294059"/>
          <w:trHeight w:val="20"/>
        </w:trPr>
        <w:tc>
          <w:tcPr>
            <w:tcW w:w="2811" w:type="pct"/>
            <w:tcMar>
              <w:top w:w="0" w:type="dxa"/>
              <w:left w:w="0" w:type="dxa"/>
              <w:bottom w:w="0" w:type="dxa"/>
              <w:right w:w="0" w:type="dxa"/>
            </w:tcMar>
            <w:vAlign w:val="bottom"/>
            <w:hideMark/>
          </w:tcPr>
          <w:p w14:paraId="2DB13873" w14:textId="77777777" w:rsidR="00000000" w:rsidRDefault="00097612">
            <w:pPr>
              <w:pStyle w:val="a3"/>
              <w:spacing w:before="0" w:beforeAutospacing="0" w:after="0" w:afterAutospacing="0"/>
              <w:divId w:val="1324626182"/>
              <w:rPr>
                <w:sz w:val="20"/>
                <w:szCs w:val="20"/>
              </w:rPr>
            </w:pPr>
            <w:r>
              <w:rPr>
                <w:sz w:val="2"/>
                <w:szCs w:val="2"/>
              </w:rPr>
              <w:t>​</w:t>
            </w:r>
          </w:p>
        </w:tc>
        <w:tc>
          <w:tcPr>
            <w:tcW w:w="87" w:type="pct"/>
            <w:noWrap/>
            <w:tcMar>
              <w:top w:w="0" w:type="dxa"/>
              <w:left w:w="0" w:type="dxa"/>
              <w:bottom w:w="0" w:type="dxa"/>
              <w:right w:w="0" w:type="dxa"/>
            </w:tcMar>
            <w:vAlign w:val="bottom"/>
            <w:hideMark/>
          </w:tcPr>
          <w:p w14:paraId="02CF4E60" w14:textId="77777777" w:rsidR="00000000" w:rsidRDefault="00097612">
            <w:pPr>
              <w:pStyle w:val="a3"/>
              <w:spacing w:before="0" w:beforeAutospacing="0" w:after="0" w:afterAutospacing="0"/>
              <w:divId w:val="2021620240"/>
              <w:rPr>
                <w:sz w:val="20"/>
                <w:szCs w:val="20"/>
              </w:rPr>
            </w:pPr>
            <w:r>
              <w:rPr>
                <w:sz w:val="2"/>
                <w:szCs w:val="2"/>
              </w:rPr>
              <w:t>​</w:t>
            </w:r>
          </w:p>
        </w:tc>
        <w:tc>
          <w:tcPr>
            <w:tcW w:w="87" w:type="pct"/>
            <w:noWrap/>
            <w:tcMar>
              <w:top w:w="0" w:type="dxa"/>
              <w:left w:w="0" w:type="dxa"/>
              <w:bottom w:w="0" w:type="dxa"/>
              <w:right w:w="0" w:type="dxa"/>
            </w:tcMar>
            <w:vAlign w:val="bottom"/>
            <w:hideMark/>
          </w:tcPr>
          <w:p w14:paraId="65FE6DFF" w14:textId="77777777" w:rsidR="00000000" w:rsidRDefault="00097612">
            <w:pPr>
              <w:pStyle w:val="a3"/>
              <w:spacing w:before="0" w:beforeAutospacing="0" w:after="0" w:afterAutospacing="0"/>
              <w:divId w:val="1877234113"/>
              <w:rPr>
                <w:sz w:val="20"/>
                <w:szCs w:val="20"/>
              </w:rPr>
            </w:pPr>
            <w:r>
              <w:rPr>
                <w:sz w:val="2"/>
                <w:szCs w:val="2"/>
              </w:rPr>
              <w:t>​</w:t>
            </w:r>
          </w:p>
        </w:tc>
        <w:tc>
          <w:tcPr>
            <w:tcW w:w="350" w:type="pct"/>
            <w:noWrap/>
            <w:tcMar>
              <w:top w:w="0" w:type="dxa"/>
              <w:left w:w="0" w:type="dxa"/>
              <w:bottom w:w="0" w:type="dxa"/>
              <w:right w:w="0" w:type="dxa"/>
            </w:tcMar>
            <w:vAlign w:val="center"/>
            <w:hideMark/>
          </w:tcPr>
          <w:p w14:paraId="6CCEC786" w14:textId="77777777" w:rsidR="00000000" w:rsidRDefault="00097612">
            <w:pPr>
              <w:pStyle w:val="a3"/>
              <w:spacing w:before="0" w:beforeAutospacing="0" w:after="0" w:afterAutospacing="0"/>
              <w:divId w:val="1577133080"/>
              <w:rPr>
                <w:sz w:val="20"/>
                <w:szCs w:val="20"/>
              </w:rPr>
            </w:pPr>
            <w:r>
              <w:rPr>
                <w:sz w:val="2"/>
                <w:szCs w:val="2"/>
              </w:rPr>
              <w:t>​</w:t>
            </w:r>
          </w:p>
        </w:tc>
        <w:tc>
          <w:tcPr>
            <w:tcW w:w="88" w:type="pct"/>
            <w:noWrap/>
            <w:tcMar>
              <w:top w:w="0" w:type="dxa"/>
              <w:left w:w="0" w:type="dxa"/>
              <w:bottom w:w="0" w:type="dxa"/>
              <w:right w:w="0" w:type="dxa"/>
            </w:tcMar>
            <w:vAlign w:val="bottom"/>
            <w:hideMark/>
          </w:tcPr>
          <w:p w14:paraId="53C94222" w14:textId="77777777" w:rsidR="00000000" w:rsidRDefault="00097612">
            <w:pPr>
              <w:pStyle w:val="a3"/>
              <w:spacing w:before="0" w:beforeAutospacing="0" w:after="0" w:afterAutospacing="0"/>
              <w:divId w:val="1993948298"/>
              <w:rPr>
                <w:sz w:val="20"/>
                <w:szCs w:val="20"/>
              </w:rPr>
            </w:pPr>
            <w:r>
              <w:rPr>
                <w:sz w:val="2"/>
                <w:szCs w:val="2"/>
              </w:rPr>
              <w:t>​</w:t>
            </w:r>
          </w:p>
        </w:tc>
        <w:tc>
          <w:tcPr>
            <w:tcW w:w="88" w:type="pct"/>
            <w:noWrap/>
            <w:tcMar>
              <w:top w:w="0" w:type="dxa"/>
              <w:left w:w="0" w:type="dxa"/>
              <w:bottom w:w="0" w:type="dxa"/>
              <w:right w:w="0" w:type="dxa"/>
            </w:tcMar>
            <w:vAlign w:val="bottom"/>
            <w:hideMark/>
          </w:tcPr>
          <w:p w14:paraId="6AFB0643" w14:textId="77777777" w:rsidR="00000000" w:rsidRDefault="00097612">
            <w:pPr>
              <w:pStyle w:val="a3"/>
              <w:spacing w:before="0" w:beforeAutospacing="0" w:after="0" w:afterAutospacing="0"/>
              <w:divId w:val="1995137661"/>
              <w:rPr>
                <w:sz w:val="20"/>
                <w:szCs w:val="20"/>
              </w:rPr>
            </w:pPr>
            <w:r>
              <w:rPr>
                <w:sz w:val="2"/>
                <w:szCs w:val="2"/>
              </w:rPr>
              <w:t>​</w:t>
            </w:r>
          </w:p>
        </w:tc>
        <w:tc>
          <w:tcPr>
            <w:tcW w:w="350" w:type="pct"/>
            <w:noWrap/>
            <w:tcMar>
              <w:top w:w="0" w:type="dxa"/>
              <w:left w:w="0" w:type="dxa"/>
              <w:bottom w:w="0" w:type="dxa"/>
              <w:right w:w="0" w:type="dxa"/>
            </w:tcMar>
            <w:vAlign w:val="center"/>
            <w:hideMark/>
          </w:tcPr>
          <w:p w14:paraId="3B2C3878" w14:textId="77777777" w:rsidR="00000000" w:rsidRDefault="00097612">
            <w:pPr>
              <w:pStyle w:val="a3"/>
              <w:spacing w:before="0" w:beforeAutospacing="0" w:after="0" w:afterAutospacing="0"/>
              <w:divId w:val="1179537390"/>
              <w:rPr>
                <w:sz w:val="20"/>
                <w:szCs w:val="20"/>
              </w:rPr>
            </w:pPr>
            <w:r>
              <w:rPr>
                <w:sz w:val="2"/>
                <w:szCs w:val="2"/>
              </w:rPr>
              <w:t>​</w:t>
            </w:r>
          </w:p>
        </w:tc>
        <w:tc>
          <w:tcPr>
            <w:tcW w:w="88" w:type="pct"/>
            <w:noWrap/>
            <w:tcMar>
              <w:top w:w="0" w:type="dxa"/>
              <w:left w:w="0" w:type="dxa"/>
              <w:bottom w:w="0" w:type="dxa"/>
              <w:right w:w="0" w:type="dxa"/>
            </w:tcMar>
            <w:vAlign w:val="bottom"/>
            <w:hideMark/>
          </w:tcPr>
          <w:p w14:paraId="2A7F1E73" w14:textId="77777777" w:rsidR="00000000" w:rsidRDefault="00097612">
            <w:pPr>
              <w:pStyle w:val="a3"/>
              <w:spacing w:before="0" w:beforeAutospacing="0" w:after="0" w:afterAutospacing="0"/>
              <w:divId w:val="220020481"/>
              <w:rPr>
                <w:sz w:val="20"/>
                <w:szCs w:val="20"/>
              </w:rPr>
            </w:pPr>
            <w:r>
              <w:rPr>
                <w:sz w:val="2"/>
                <w:szCs w:val="2"/>
              </w:rPr>
              <w:t>​</w:t>
            </w:r>
          </w:p>
        </w:tc>
        <w:tc>
          <w:tcPr>
            <w:tcW w:w="88" w:type="pct"/>
            <w:noWrap/>
            <w:tcMar>
              <w:top w:w="0" w:type="dxa"/>
              <w:left w:w="0" w:type="dxa"/>
              <w:bottom w:w="0" w:type="dxa"/>
              <w:right w:w="0" w:type="dxa"/>
            </w:tcMar>
            <w:vAlign w:val="bottom"/>
            <w:hideMark/>
          </w:tcPr>
          <w:p w14:paraId="69BFE6DC" w14:textId="77777777" w:rsidR="00000000" w:rsidRDefault="00097612">
            <w:pPr>
              <w:pStyle w:val="a3"/>
              <w:spacing w:before="0" w:beforeAutospacing="0" w:after="0" w:afterAutospacing="0"/>
              <w:divId w:val="110170498"/>
              <w:rPr>
                <w:sz w:val="20"/>
                <w:szCs w:val="20"/>
              </w:rPr>
            </w:pPr>
            <w:r>
              <w:rPr>
                <w:sz w:val="2"/>
                <w:szCs w:val="2"/>
              </w:rPr>
              <w:t>​</w:t>
            </w:r>
          </w:p>
        </w:tc>
        <w:tc>
          <w:tcPr>
            <w:tcW w:w="350" w:type="pct"/>
            <w:noWrap/>
            <w:tcMar>
              <w:top w:w="0" w:type="dxa"/>
              <w:left w:w="0" w:type="dxa"/>
              <w:bottom w:w="0" w:type="dxa"/>
              <w:right w:w="0" w:type="dxa"/>
            </w:tcMar>
            <w:vAlign w:val="center"/>
            <w:hideMark/>
          </w:tcPr>
          <w:p w14:paraId="020871E6" w14:textId="77777777" w:rsidR="00000000" w:rsidRDefault="00097612">
            <w:pPr>
              <w:pStyle w:val="a3"/>
              <w:spacing w:before="0" w:beforeAutospacing="0" w:after="0" w:afterAutospacing="0"/>
              <w:divId w:val="1984701651"/>
              <w:rPr>
                <w:sz w:val="20"/>
                <w:szCs w:val="20"/>
              </w:rPr>
            </w:pPr>
            <w:r>
              <w:rPr>
                <w:sz w:val="2"/>
                <w:szCs w:val="2"/>
              </w:rPr>
              <w:t>​</w:t>
            </w:r>
          </w:p>
        </w:tc>
        <w:tc>
          <w:tcPr>
            <w:tcW w:w="88" w:type="pct"/>
            <w:noWrap/>
            <w:tcMar>
              <w:top w:w="0" w:type="dxa"/>
              <w:left w:w="0" w:type="dxa"/>
              <w:bottom w:w="0" w:type="dxa"/>
              <w:right w:w="0" w:type="dxa"/>
            </w:tcMar>
            <w:vAlign w:val="bottom"/>
            <w:hideMark/>
          </w:tcPr>
          <w:p w14:paraId="19062E38" w14:textId="77777777" w:rsidR="00000000" w:rsidRDefault="00097612">
            <w:pPr>
              <w:pStyle w:val="a3"/>
              <w:spacing w:before="0" w:beforeAutospacing="0" w:after="0" w:afterAutospacing="0"/>
              <w:divId w:val="1095785406"/>
              <w:rPr>
                <w:sz w:val="20"/>
                <w:szCs w:val="20"/>
              </w:rPr>
            </w:pPr>
            <w:r>
              <w:rPr>
                <w:sz w:val="2"/>
                <w:szCs w:val="2"/>
              </w:rPr>
              <w:t>​</w:t>
            </w:r>
          </w:p>
        </w:tc>
        <w:tc>
          <w:tcPr>
            <w:tcW w:w="88" w:type="pct"/>
            <w:noWrap/>
            <w:tcMar>
              <w:top w:w="0" w:type="dxa"/>
              <w:left w:w="0" w:type="dxa"/>
              <w:bottom w:w="0" w:type="dxa"/>
              <w:right w:w="0" w:type="dxa"/>
            </w:tcMar>
            <w:vAlign w:val="bottom"/>
            <w:hideMark/>
          </w:tcPr>
          <w:p w14:paraId="1D27CD86" w14:textId="77777777" w:rsidR="00000000" w:rsidRDefault="00097612">
            <w:pPr>
              <w:pStyle w:val="a3"/>
              <w:spacing w:before="0" w:beforeAutospacing="0" w:after="0" w:afterAutospacing="0"/>
              <w:divId w:val="843478452"/>
              <w:rPr>
                <w:sz w:val="20"/>
                <w:szCs w:val="20"/>
              </w:rPr>
            </w:pPr>
            <w:r>
              <w:rPr>
                <w:sz w:val="2"/>
                <w:szCs w:val="2"/>
              </w:rPr>
              <w:t>​</w:t>
            </w:r>
          </w:p>
        </w:tc>
        <w:tc>
          <w:tcPr>
            <w:tcW w:w="350" w:type="pct"/>
            <w:noWrap/>
            <w:tcMar>
              <w:top w:w="0" w:type="dxa"/>
              <w:left w:w="0" w:type="dxa"/>
              <w:bottom w:w="0" w:type="dxa"/>
              <w:right w:w="0" w:type="dxa"/>
            </w:tcMar>
            <w:vAlign w:val="center"/>
            <w:hideMark/>
          </w:tcPr>
          <w:p w14:paraId="1B045A7C" w14:textId="77777777" w:rsidR="00000000" w:rsidRDefault="00097612">
            <w:pPr>
              <w:pStyle w:val="a3"/>
              <w:spacing w:before="0" w:beforeAutospacing="0" w:after="0" w:afterAutospacing="0"/>
              <w:divId w:val="927614096"/>
              <w:rPr>
                <w:sz w:val="20"/>
                <w:szCs w:val="20"/>
              </w:rPr>
            </w:pPr>
            <w:r>
              <w:rPr>
                <w:sz w:val="2"/>
                <w:szCs w:val="2"/>
              </w:rPr>
              <w:t>​</w:t>
            </w:r>
          </w:p>
        </w:tc>
        <w:tc>
          <w:tcPr>
            <w:tcW w:w="79" w:type="pct"/>
            <w:noWrap/>
            <w:tcMar>
              <w:top w:w="0" w:type="dxa"/>
              <w:left w:w="0" w:type="dxa"/>
              <w:bottom w:w="0" w:type="dxa"/>
              <w:right w:w="0" w:type="dxa"/>
            </w:tcMar>
            <w:vAlign w:val="bottom"/>
            <w:hideMark/>
          </w:tcPr>
          <w:p w14:paraId="1110017E" w14:textId="77777777" w:rsidR="00000000" w:rsidRDefault="00097612">
            <w:pPr>
              <w:pStyle w:val="a3"/>
              <w:spacing w:before="0" w:beforeAutospacing="0" w:after="0" w:afterAutospacing="0"/>
              <w:divId w:val="649094502"/>
              <w:rPr>
                <w:sz w:val="20"/>
                <w:szCs w:val="20"/>
              </w:rPr>
            </w:pPr>
            <w:r>
              <w:rPr>
                <w:sz w:val="2"/>
                <w:szCs w:val="2"/>
              </w:rPr>
              <w:t>​</w:t>
            </w:r>
          </w:p>
        </w:tc>
      </w:tr>
      <w:tr w:rsidR="00000000" w14:paraId="50D39DB6" w14:textId="77777777">
        <w:trPr>
          <w:divId w:val="1490294059"/>
        </w:trPr>
        <w:tc>
          <w:tcPr>
            <w:tcW w:w="2811" w:type="pct"/>
            <w:shd w:val="clear" w:color="auto" w:fill="auto"/>
            <w:tcMar>
              <w:top w:w="0" w:type="dxa"/>
              <w:left w:w="0" w:type="dxa"/>
              <w:bottom w:w="0" w:type="dxa"/>
              <w:right w:w="0" w:type="dxa"/>
            </w:tcMar>
            <w:vAlign w:val="bottom"/>
            <w:hideMark/>
          </w:tcPr>
          <w:p w14:paraId="1EE3A5EB" w14:textId="77777777" w:rsidR="00000000" w:rsidRDefault="00097612">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14:paraId="1E60F314" w14:textId="77777777" w:rsidR="00000000" w:rsidRDefault="00097612">
            <w:pPr>
              <w:pStyle w:val="a3"/>
              <w:spacing w:before="0" w:beforeAutospacing="0" w:after="0" w:afterAutospacing="0"/>
              <w:rPr>
                <w:sz w:val="20"/>
                <w:szCs w:val="20"/>
              </w:rPr>
            </w:pPr>
            <w:r>
              <w:rPr>
                <w:b/>
                <w:bCs/>
                <w:sz w:val="16"/>
                <w:szCs w:val="16"/>
              </w:rPr>
              <w:t>​</w:t>
            </w:r>
          </w:p>
        </w:tc>
        <w:tc>
          <w:tcPr>
            <w:tcW w:w="965" w:type="pct"/>
            <w:gridSpan w:val="5"/>
            <w:shd w:val="clear" w:color="auto" w:fill="auto"/>
            <w:tcMar>
              <w:top w:w="0" w:type="dxa"/>
              <w:left w:w="0" w:type="dxa"/>
              <w:bottom w:w="0" w:type="dxa"/>
              <w:right w:w="0" w:type="dxa"/>
            </w:tcMar>
            <w:vAlign w:val="bottom"/>
            <w:hideMark/>
          </w:tcPr>
          <w:p w14:paraId="0859FD6B"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88" w:type="pct"/>
            <w:shd w:val="clear" w:color="auto" w:fill="auto"/>
            <w:noWrap/>
            <w:tcMar>
              <w:top w:w="0" w:type="dxa"/>
              <w:left w:w="0" w:type="dxa"/>
              <w:bottom w:w="0" w:type="dxa"/>
              <w:right w:w="0" w:type="dxa"/>
            </w:tcMar>
            <w:vAlign w:val="bottom"/>
            <w:hideMark/>
          </w:tcPr>
          <w:p w14:paraId="7F5B995B" w14:textId="77777777" w:rsidR="00000000" w:rsidRDefault="00097612">
            <w:pPr>
              <w:pStyle w:val="a3"/>
              <w:spacing w:before="0" w:beforeAutospacing="0" w:after="0" w:afterAutospacing="0"/>
              <w:rPr>
                <w:sz w:val="20"/>
                <w:szCs w:val="20"/>
              </w:rPr>
            </w:pPr>
            <w:r>
              <w:rPr>
                <w:b/>
                <w:bCs/>
                <w:sz w:val="16"/>
                <w:szCs w:val="16"/>
              </w:rPr>
              <w:t>​</w:t>
            </w:r>
          </w:p>
        </w:tc>
        <w:tc>
          <w:tcPr>
            <w:tcW w:w="966" w:type="pct"/>
            <w:gridSpan w:val="5"/>
            <w:shd w:val="clear" w:color="auto" w:fill="auto"/>
            <w:tcMar>
              <w:top w:w="0" w:type="dxa"/>
              <w:left w:w="0" w:type="dxa"/>
              <w:bottom w:w="0" w:type="dxa"/>
              <w:right w:w="0" w:type="dxa"/>
            </w:tcMar>
            <w:vAlign w:val="bottom"/>
            <w:hideMark/>
          </w:tcPr>
          <w:p w14:paraId="78172DB1"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79" w:type="pct"/>
            <w:shd w:val="clear" w:color="auto" w:fill="auto"/>
            <w:noWrap/>
            <w:tcMar>
              <w:top w:w="0" w:type="dxa"/>
              <w:left w:w="0" w:type="dxa"/>
              <w:bottom w:w="0" w:type="dxa"/>
              <w:right w:w="0" w:type="dxa"/>
            </w:tcMar>
            <w:vAlign w:val="bottom"/>
            <w:hideMark/>
          </w:tcPr>
          <w:p w14:paraId="2C40E666" w14:textId="77777777" w:rsidR="00000000" w:rsidRDefault="00097612">
            <w:pPr>
              <w:pStyle w:val="a3"/>
              <w:spacing w:before="0" w:beforeAutospacing="0" w:after="0" w:afterAutospacing="0"/>
              <w:rPr>
                <w:sz w:val="20"/>
                <w:szCs w:val="20"/>
              </w:rPr>
            </w:pPr>
            <w:r>
              <w:rPr>
                <w:b/>
                <w:bCs/>
                <w:sz w:val="16"/>
                <w:szCs w:val="16"/>
              </w:rPr>
              <w:t>​</w:t>
            </w:r>
          </w:p>
        </w:tc>
      </w:tr>
      <w:tr w:rsidR="00000000" w14:paraId="5EB76EE0" w14:textId="77777777">
        <w:trPr>
          <w:divId w:val="1490294059"/>
        </w:trPr>
        <w:tc>
          <w:tcPr>
            <w:tcW w:w="2811" w:type="pct"/>
            <w:shd w:val="clear" w:color="auto" w:fill="auto"/>
            <w:tcMar>
              <w:top w:w="0" w:type="dxa"/>
              <w:left w:w="0" w:type="dxa"/>
              <w:bottom w:w="0" w:type="dxa"/>
              <w:right w:w="0" w:type="dxa"/>
            </w:tcMar>
            <w:vAlign w:val="bottom"/>
            <w:hideMark/>
          </w:tcPr>
          <w:p w14:paraId="615633F8" w14:textId="77777777" w:rsidR="00000000" w:rsidRDefault="00097612">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14:paraId="43149DAA" w14:textId="77777777" w:rsidR="00000000" w:rsidRDefault="00097612">
            <w:pPr>
              <w:pStyle w:val="a3"/>
              <w:spacing w:before="0" w:beforeAutospacing="0" w:after="0" w:afterAutospacing="0"/>
              <w:rPr>
                <w:sz w:val="20"/>
                <w:szCs w:val="20"/>
              </w:rPr>
            </w:pPr>
            <w:r>
              <w:rPr>
                <w:b/>
                <w:bCs/>
                <w:sz w:val="16"/>
                <w:szCs w:val="16"/>
              </w:rPr>
              <w:t>​</w:t>
            </w:r>
          </w:p>
        </w:tc>
        <w:tc>
          <w:tcPr>
            <w:tcW w:w="965" w:type="pct"/>
            <w:gridSpan w:val="5"/>
            <w:tcBorders>
              <w:bottom w:val="single" w:sz="6" w:space="0" w:color="000000"/>
            </w:tcBorders>
            <w:shd w:val="clear" w:color="auto" w:fill="auto"/>
            <w:tcMar>
              <w:top w:w="0" w:type="dxa"/>
              <w:left w:w="0" w:type="dxa"/>
              <w:bottom w:w="0" w:type="dxa"/>
              <w:right w:w="0" w:type="dxa"/>
            </w:tcMar>
            <w:vAlign w:val="bottom"/>
            <w:hideMark/>
          </w:tcPr>
          <w:p w14:paraId="08F1642B"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88" w:type="pct"/>
            <w:shd w:val="clear" w:color="auto" w:fill="auto"/>
            <w:noWrap/>
            <w:tcMar>
              <w:top w:w="0" w:type="dxa"/>
              <w:left w:w="0" w:type="dxa"/>
              <w:bottom w:w="0" w:type="dxa"/>
              <w:right w:w="0" w:type="dxa"/>
            </w:tcMar>
            <w:vAlign w:val="bottom"/>
            <w:hideMark/>
          </w:tcPr>
          <w:p w14:paraId="2F9C7E31" w14:textId="77777777" w:rsidR="00000000" w:rsidRDefault="00097612">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shd w:val="clear" w:color="auto" w:fill="auto"/>
            <w:tcMar>
              <w:top w:w="0" w:type="dxa"/>
              <w:left w:w="0" w:type="dxa"/>
              <w:bottom w:w="0" w:type="dxa"/>
              <w:right w:w="0" w:type="dxa"/>
            </w:tcMar>
            <w:vAlign w:val="bottom"/>
            <w:hideMark/>
          </w:tcPr>
          <w:p w14:paraId="21A1FCF6"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5E723711" w14:textId="77777777" w:rsidR="00000000" w:rsidRDefault="00097612">
            <w:pPr>
              <w:pStyle w:val="a3"/>
              <w:spacing w:before="0" w:beforeAutospacing="0" w:after="0" w:afterAutospacing="0"/>
              <w:rPr>
                <w:sz w:val="20"/>
                <w:szCs w:val="20"/>
              </w:rPr>
            </w:pPr>
            <w:r>
              <w:rPr>
                <w:b/>
                <w:bCs/>
                <w:sz w:val="16"/>
                <w:szCs w:val="16"/>
              </w:rPr>
              <w:t>​</w:t>
            </w:r>
          </w:p>
        </w:tc>
      </w:tr>
      <w:tr w:rsidR="00000000" w14:paraId="0F92E791" w14:textId="77777777">
        <w:trPr>
          <w:divId w:val="1490294059"/>
        </w:trPr>
        <w:tc>
          <w:tcPr>
            <w:tcW w:w="2811" w:type="pct"/>
            <w:tcBorders>
              <w:bottom w:val="single" w:sz="6" w:space="0" w:color="000000"/>
            </w:tcBorders>
            <w:shd w:val="clear" w:color="auto" w:fill="auto"/>
            <w:tcMar>
              <w:top w:w="0" w:type="dxa"/>
              <w:left w:w="0" w:type="dxa"/>
              <w:bottom w:w="0" w:type="dxa"/>
              <w:right w:w="0" w:type="dxa"/>
            </w:tcMar>
            <w:vAlign w:val="bottom"/>
            <w:hideMark/>
          </w:tcPr>
          <w:p w14:paraId="3E257033" w14:textId="77777777" w:rsidR="00000000" w:rsidRDefault="00097612">
            <w:pPr>
              <w:pStyle w:val="a3"/>
              <w:spacing w:before="0" w:beforeAutospacing="0" w:after="0" w:afterAutospacing="0"/>
              <w:rPr>
                <w:sz w:val="16"/>
                <w:szCs w:val="16"/>
              </w:rPr>
            </w:pPr>
            <w:r>
              <w:rPr>
                <w:b/>
                <w:bCs/>
                <w:sz w:val="16"/>
                <w:szCs w:val="16"/>
              </w:rPr>
              <w:t>(In thousands)</w:t>
            </w:r>
          </w:p>
        </w:tc>
        <w:tc>
          <w:tcPr>
            <w:tcW w:w="87" w:type="pct"/>
            <w:shd w:val="clear" w:color="auto" w:fill="auto"/>
            <w:noWrap/>
            <w:tcMar>
              <w:top w:w="0" w:type="dxa"/>
              <w:left w:w="0" w:type="dxa"/>
              <w:bottom w:w="0" w:type="dxa"/>
              <w:right w:w="0" w:type="dxa"/>
            </w:tcMar>
            <w:vAlign w:val="bottom"/>
            <w:hideMark/>
          </w:tcPr>
          <w:p w14:paraId="3D4E32CA" w14:textId="77777777" w:rsidR="00000000" w:rsidRDefault="00097612">
            <w:pPr>
              <w:pStyle w:val="a3"/>
              <w:spacing w:before="0" w:beforeAutospacing="0" w:after="0" w:afterAutospacing="0"/>
              <w:rPr>
                <w:sz w:val="16"/>
                <w:szCs w:val="16"/>
              </w:rPr>
            </w:pPr>
            <w:r>
              <w:rPr>
                <w:b/>
                <w:bCs/>
                <w:sz w:val="16"/>
                <w:szCs w:val="16"/>
              </w:rPr>
              <w:t>    </w:t>
            </w:r>
          </w:p>
        </w:tc>
        <w:tc>
          <w:tcPr>
            <w:tcW w:w="437" w:type="pct"/>
            <w:gridSpan w:val="2"/>
            <w:tcBorders>
              <w:bottom w:val="single" w:sz="6" w:space="0" w:color="000000"/>
            </w:tcBorders>
            <w:shd w:val="clear" w:color="auto" w:fill="auto"/>
            <w:noWrap/>
            <w:tcMar>
              <w:top w:w="0" w:type="dxa"/>
              <w:left w:w="0" w:type="dxa"/>
              <w:bottom w:w="0" w:type="dxa"/>
              <w:right w:w="0" w:type="dxa"/>
            </w:tcMar>
            <w:vAlign w:val="bottom"/>
            <w:hideMark/>
          </w:tcPr>
          <w:p w14:paraId="7BFF3630" w14:textId="77777777" w:rsidR="00000000" w:rsidRDefault="00097612">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14:paraId="08CEC23B" w14:textId="77777777" w:rsidR="00000000" w:rsidRDefault="00097612">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14:paraId="7EFE0F65" w14:textId="77777777" w:rsidR="00000000" w:rsidRDefault="00097612">
            <w:pPr>
              <w:pStyle w:val="a3"/>
              <w:spacing w:before="0" w:beforeAutospacing="0" w:after="0" w:afterAutospacing="0"/>
              <w:jc w:val="center"/>
              <w:rPr>
                <w:sz w:val="16"/>
                <w:szCs w:val="16"/>
              </w:rPr>
            </w:pPr>
            <w:r>
              <w:rPr>
                <w:b/>
                <w:bCs/>
                <w:sz w:val="16"/>
                <w:szCs w:val="16"/>
              </w:rPr>
              <w:t>2018</w:t>
            </w:r>
          </w:p>
        </w:tc>
        <w:tc>
          <w:tcPr>
            <w:tcW w:w="88" w:type="pct"/>
            <w:shd w:val="clear" w:color="auto" w:fill="auto"/>
            <w:noWrap/>
            <w:tcMar>
              <w:top w:w="0" w:type="dxa"/>
              <w:left w:w="0" w:type="dxa"/>
              <w:bottom w:w="0" w:type="dxa"/>
              <w:right w:w="0" w:type="dxa"/>
            </w:tcMar>
            <w:vAlign w:val="bottom"/>
            <w:hideMark/>
          </w:tcPr>
          <w:p w14:paraId="73A19E35" w14:textId="77777777" w:rsidR="00000000" w:rsidRDefault="00097612">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14:paraId="1A3F55A9" w14:textId="77777777" w:rsidR="00000000" w:rsidRDefault="00097612">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14:paraId="0AC5F85C" w14:textId="77777777" w:rsidR="00000000" w:rsidRDefault="00097612">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14:paraId="67D58B3B"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064B3DEA" w14:textId="77777777" w:rsidR="00000000" w:rsidRDefault="00097612">
            <w:pPr>
              <w:pStyle w:val="a3"/>
              <w:spacing w:before="0" w:beforeAutospacing="0" w:after="0" w:afterAutospacing="0"/>
              <w:rPr>
                <w:sz w:val="16"/>
                <w:szCs w:val="16"/>
              </w:rPr>
            </w:pPr>
            <w:r>
              <w:rPr>
                <w:b/>
                <w:bCs/>
                <w:sz w:val="16"/>
                <w:szCs w:val="16"/>
              </w:rPr>
              <w:t>    </w:t>
            </w:r>
          </w:p>
        </w:tc>
      </w:tr>
      <w:tr w:rsidR="00000000" w14:paraId="2E2954A0" w14:textId="77777777">
        <w:trPr>
          <w:divId w:val="1490294059"/>
        </w:trPr>
        <w:tc>
          <w:tcPr>
            <w:tcW w:w="2811" w:type="pct"/>
            <w:shd w:val="clear" w:color="auto" w:fill="CCEEFF"/>
            <w:tcMar>
              <w:top w:w="0" w:type="dxa"/>
              <w:left w:w="0" w:type="dxa"/>
              <w:bottom w:w="0" w:type="dxa"/>
              <w:right w:w="0" w:type="dxa"/>
            </w:tcMar>
            <w:vAlign w:val="bottom"/>
            <w:hideMark/>
          </w:tcPr>
          <w:p w14:paraId="11CA69F0" w14:textId="77777777" w:rsidR="00000000" w:rsidRDefault="00097612">
            <w:pPr>
              <w:pStyle w:val="a3"/>
              <w:spacing w:before="0" w:beforeAutospacing="0" w:after="0" w:afterAutospacing="0"/>
              <w:rPr>
                <w:sz w:val="20"/>
                <w:szCs w:val="20"/>
              </w:rPr>
            </w:pPr>
            <w:r>
              <w:rPr>
                <w:sz w:val="20"/>
                <w:szCs w:val="20"/>
              </w:rPr>
              <w:t xml:space="preserve">Research and development </w:t>
            </w:r>
          </w:p>
        </w:tc>
        <w:tc>
          <w:tcPr>
            <w:tcW w:w="87" w:type="pct"/>
            <w:shd w:val="clear" w:color="auto" w:fill="CCEEFF"/>
            <w:noWrap/>
            <w:tcMar>
              <w:top w:w="0" w:type="dxa"/>
              <w:left w:w="0" w:type="dxa"/>
              <w:bottom w:w="0" w:type="dxa"/>
              <w:right w:w="0" w:type="dxa"/>
            </w:tcMar>
            <w:vAlign w:val="bottom"/>
            <w:hideMark/>
          </w:tcPr>
          <w:p w14:paraId="1D4EE1E0" w14:textId="77777777" w:rsidR="00000000" w:rsidRDefault="00097612">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14:paraId="763BFF00"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76B29EC7" w14:textId="77777777" w:rsidR="00000000" w:rsidRDefault="00097612">
            <w:pPr>
              <w:pStyle w:val="a3"/>
              <w:spacing w:before="0" w:beforeAutospacing="0" w:after="0" w:afterAutospacing="0"/>
              <w:ind w:right="60"/>
              <w:jc w:val="right"/>
              <w:rPr>
                <w:sz w:val="20"/>
                <w:szCs w:val="20"/>
              </w:rPr>
            </w:pPr>
            <w:r>
              <w:rPr>
                <w:sz w:val="20"/>
                <w:szCs w:val="20"/>
              </w:rPr>
              <w:t>6,458</w:t>
            </w:r>
          </w:p>
        </w:tc>
        <w:tc>
          <w:tcPr>
            <w:tcW w:w="88" w:type="pct"/>
            <w:shd w:val="clear" w:color="auto" w:fill="CCEEFF"/>
            <w:noWrap/>
            <w:tcMar>
              <w:top w:w="0" w:type="dxa"/>
              <w:left w:w="0" w:type="dxa"/>
              <w:bottom w:w="0" w:type="dxa"/>
              <w:right w:w="0" w:type="dxa"/>
            </w:tcMar>
            <w:vAlign w:val="bottom"/>
            <w:hideMark/>
          </w:tcPr>
          <w:p w14:paraId="3D823B31"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4825AD3A"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68736F85" w14:textId="77777777" w:rsidR="00000000" w:rsidRDefault="00097612">
            <w:pPr>
              <w:pStyle w:val="a3"/>
              <w:spacing w:before="0" w:beforeAutospacing="0" w:after="0" w:afterAutospacing="0"/>
              <w:ind w:right="60"/>
              <w:jc w:val="right"/>
              <w:rPr>
                <w:sz w:val="20"/>
                <w:szCs w:val="20"/>
              </w:rPr>
            </w:pPr>
            <w:r>
              <w:rPr>
                <w:sz w:val="20"/>
                <w:szCs w:val="20"/>
              </w:rPr>
              <w:t>6,294</w:t>
            </w:r>
          </w:p>
        </w:tc>
        <w:tc>
          <w:tcPr>
            <w:tcW w:w="88" w:type="pct"/>
            <w:shd w:val="clear" w:color="auto" w:fill="CCEEFF"/>
            <w:noWrap/>
            <w:tcMar>
              <w:top w:w="0" w:type="dxa"/>
              <w:left w:w="0" w:type="dxa"/>
              <w:bottom w:w="0" w:type="dxa"/>
              <w:right w:w="0" w:type="dxa"/>
            </w:tcMar>
            <w:vAlign w:val="bottom"/>
            <w:hideMark/>
          </w:tcPr>
          <w:p w14:paraId="2F8A3F46"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65AA20DE"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4ABBC694" w14:textId="77777777" w:rsidR="00000000" w:rsidRDefault="00097612">
            <w:pPr>
              <w:pStyle w:val="a3"/>
              <w:spacing w:before="0" w:beforeAutospacing="0" w:after="0" w:afterAutospacing="0"/>
              <w:ind w:right="60"/>
              <w:jc w:val="right"/>
              <w:rPr>
                <w:sz w:val="20"/>
                <w:szCs w:val="20"/>
              </w:rPr>
            </w:pPr>
            <w:r>
              <w:rPr>
                <w:sz w:val="20"/>
                <w:szCs w:val="20"/>
              </w:rPr>
              <w:t>18,338</w:t>
            </w:r>
          </w:p>
        </w:tc>
        <w:tc>
          <w:tcPr>
            <w:tcW w:w="88" w:type="pct"/>
            <w:shd w:val="clear" w:color="auto" w:fill="CCEEFF"/>
            <w:noWrap/>
            <w:tcMar>
              <w:top w:w="0" w:type="dxa"/>
              <w:left w:w="0" w:type="dxa"/>
              <w:bottom w:w="0" w:type="dxa"/>
              <w:right w:w="0" w:type="dxa"/>
            </w:tcMar>
            <w:vAlign w:val="bottom"/>
            <w:hideMark/>
          </w:tcPr>
          <w:p w14:paraId="20BE051E" w14:textId="77777777" w:rsidR="00000000" w:rsidRDefault="00097612">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34D71236" w14:textId="77777777" w:rsidR="00000000" w:rsidRDefault="00097612">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14:paraId="39E271F1" w14:textId="77777777" w:rsidR="00000000" w:rsidRDefault="00097612">
            <w:pPr>
              <w:pStyle w:val="a3"/>
              <w:spacing w:before="0" w:beforeAutospacing="0" w:after="0" w:afterAutospacing="0"/>
              <w:ind w:right="60"/>
              <w:jc w:val="right"/>
              <w:rPr>
                <w:sz w:val="20"/>
                <w:szCs w:val="20"/>
              </w:rPr>
            </w:pPr>
            <w:r>
              <w:rPr>
                <w:sz w:val="20"/>
                <w:szCs w:val="20"/>
              </w:rPr>
              <w:t>19,757</w:t>
            </w:r>
          </w:p>
        </w:tc>
        <w:tc>
          <w:tcPr>
            <w:tcW w:w="79" w:type="pct"/>
            <w:shd w:val="clear" w:color="auto" w:fill="CCEEFF"/>
            <w:noWrap/>
            <w:tcMar>
              <w:top w:w="0" w:type="dxa"/>
              <w:left w:w="0" w:type="dxa"/>
              <w:bottom w:w="0" w:type="dxa"/>
              <w:right w:w="0" w:type="dxa"/>
            </w:tcMar>
            <w:vAlign w:val="bottom"/>
            <w:hideMark/>
          </w:tcPr>
          <w:p w14:paraId="3F39F99A" w14:textId="77777777" w:rsidR="00000000" w:rsidRDefault="00097612">
            <w:pPr>
              <w:pStyle w:val="a3"/>
              <w:spacing w:before="0" w:beforeAutospacing="0" w:after="0" w:afterAutospacing="0"/>
              <w:rPr>
                <w:sz w:val="20"/>
                <w:szCs w:val="20"/>
              </w:rPr>
            </w:pPr>
            <w:r>
              <w:rPr>
                <w:sz w:val="20"/>
                <w:szCs w:val="20"/>
              </w:rPr>
              <w:t>​</w:t>
            </w:r>
          </w:p>
        </w:tc>
      </w:tr>
      <w:tr w:rsidR="00000000" w14:paraId="68B3A03D" w14:textId="77777777">
        <w:trPr>
          <w:divId w:val="1490294059"/>
        </w:trPr>
        <w:tc>
          <w:tcPr>
            <w:tcW w:w="2811" w:type="pct"/>
            <w:tcMar>
              <w:top w:w="0" w:type="dxa"/>
              <w:left w:w="0" w:type="dxa"/>
              <w:bottom w:w="0" w:type="dxa"/>
              <w:right w:w="0" w:type="dxa"/>
            </w:tcMar>
            <w:vAlign w:val="bottom"/>
            <w:hideMark/>
          </w:tcPr>
          <w:p w14:paraId="02A04323" w14:textId="77777777" w:rsidR="00000000" w:rsidRDefault="00097612">
            <w:pPr>
              <w:pStyle w:val="a3"/>
              <w:spacing w:before="0" w:beforeAutospacing="0" w:after="0" w:afterAutospacing="0"/>
              <w:rPr>
                <w:sz w:val="20"/>
                <w:szCs w:val="20"/>
              </w:rPr>
            </w:pPr>
            <w:r>
              <w:rPr>
                <w:sz w:val="20"/>
                <w:szCs w:val="20"/>
              </w:rPr>
              <w:t xml:space="preserve">Selling, general and administrative </w:t>
            </w:r>
          </w:p>
        </w:tc>
        <w:tc>
          <w:tcPr>
            <w:tcW w:w="87" w:type="pct"/>
            <w:noWrap/>
            <w:tcMar>
              <w:top w:w="0" w:type="dxa"/>
              <w:left w:w="0" w:type="dxa"/>
              <w:bottom w:w="0" w:type="dxa"/>
              <w:right w:w="0" w:type="dxa"/>
            </w:tcMar>
            <w:vAlign w:val="bottom"/>
            <w:hideMark/>
          </w:tcPr>
          <w:p w14:paraId="593C545B" w14:textId="77777777" w:rsidR="00000000" w:rsidRDefault="00097612">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14:paraId="7A7CFB34" w14:textId="77777777" w:rsidR="00000000" w:rsidRDefault="00097612">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14:paraId="27BDEA0F" w14:textId="77777777" w:rsidR="00000000" w:rsidRDefault="00097612">
            <w:pPr>
              <w:pStyle w:val="a3"/>
              <w:spacing w:before="0" w:beforeAutospacing="0" w:after="0" w:afterAutospacing="0"/>
              <w:ind w:right="60"/>
              <w:jc w:val="right"/>
              <w:rPr>
                <w:sz w:val="20"/>
                <w:szCs w:val="20"/>
              </w:rPr>
            </w:pPr>
            <w:r>
              <w:rPr>
                <w:sz w:val="20"/>
                <w:szCs w:val="20"/>
              </w:rPr>
              <w:t>6,561</w:t>
            </w:r>
          </w:p>
        </w:tc>
        <w:tc>
          <w:tcPr>
            <w:tcW w:w="88" w:type="pct"/>
            <w:noWrap/>
            <w:tcMar>
              <w:top w:w="0" w:type="dxa"/>
              <w:left w:w="0" w:type="dxa"/>
              <w:bottom w:w="0" w:type="dxa"/>
              <w:right w:w="0" w:type="dxa"/>
            </w:tcMar>
            <w:vAlign w:val="bottom"/>
            <w:hideMark/>
          </w:tcPr>
          <w:p w14:paraId="3BC91824"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2CAFFCFD" w14:textId="77777777" w:rsidR="00000000" w:rsidRDefault="00097612">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14:paraId="76893C91" w14:textId="77777777" w:rsidR="00000000" w:rsidRDefault="00097612">
            <w:pPr>
              <w:pStyle w:val="a3"/>
              <w:spacing w:before="0" w:beforeAutospacing="0" w:after="0" w:afterAutospacing="0"/>
              <w:ind w:right="60"/>
              <w:jc w:val="right"/>
              <w:rPr>
                <w:sz w:val="20"/>
                <w:szCs w:val="20"/>
              </w:rPr>
            </w:pPr>
            <w:r>
              <w:rPr>
                <w:sz w:val="20"/>
                <w:szCs w:val="20"/>
              </w:rPr>
              <w:t>5,452</w:t>
            </w:r>
          </w:p>
        </w:tc>
        <w:tc>
          <w:tcPr>
            <w:tcW w:w="88" w:type="pct"/>
            <w:noWrap/>
            <w:tcMar>
              <w:top w:w="0" w:type="dxa"/>
              <w:left w:w="0" w:type="dxa"/>
              <w:bottom w:w="0" w:type="dxa"/>
              <w:right w:w="0" w:type="dxa"/>
            </w:tcMar>
            <w:vAlign w:val="bottom"/>
            <w:hideMark/>
          </w:tcPr>
          <w:p w14:paraId="09E56B88"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415B06C4" w14:textId="77777777" w:rsidR="00000000" w:rsidRDefault="00097612">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14:paraId="5C1F562F" w14:textId="77777777" w:rsidR="00000000" w:rsidRDefault="00097612">
            <w:pPr>
              <w:pStyle w:val="a3"/>
              <w:spacing w:before="0" w:beforeAutospacing="0" w:after="0" w:afterAutospacing="0"/>
              <w:ind w:right="60"/>
              <w:jc w:val="right"/>
              <w:rPr>
                <w:sz w:val="20"/>
                <w:szCs w:val="20"/>
              </w:rPr>
            </w:pPr>
            <w:r>
              <w:rPr>
                <w:sz w:val="20"/>
                <w:szCs w:val="20"/>
              </w:rPr>
              <w:t>18,200</w:t>
            </w:r>
          </w:p>
        </w:tc>
        <w:tc>
          <w:tcPr>
            <w:tcW w:w="88" w:type="pct"/>
            <w:noWrap/>
            <w:tcMar>
              <w:top w:w="0" w:type="dxa"/>
              <w:left w:w="0" w:type="dxa"/>
              <w:bottom w:w="0" w:type="dxa"/>
              <w:right w:w="0" w:type="dxa"/>
            </w:tcMar>
            <w:vAlign w:val="bottom"/>
            <w:hideMark/>
          </w:tcPr>
          <w:p w14:paraId="393A1FC4"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05E1821D" w14:textId="77777777" w:rsidR="00000000" w:rsidRDefault="00097612">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14:paraId="37495932" w14:textId="77777777" w:rsidR="00000000" w:rsidRDefault="00097612">
            <w:pPr>
              <w:pStyle w:val="a3"/>
              <w:spacing w:before="0" w:beforeAutospacing="0" w:after="0" w:afterAutospacing="0"/>
              <w:ind w:right="60"/>
              <w:jc w:val="right"/>
              <w:rPr>
                <w:sz w:val="20"/>
                <w:szCs w:val="20"/>
              </w:rPr>
            </w:pPr>
            <w:r>
              <w:rPr>
                <w:sz w:val="20"/>
                <w:szCs w:val="20"/>
              </w:rPr>
              <w:t>19,842</w:t>
            </w:r>
          </w:p>
        </w:tc>
        <w:tc>
          <w:tcPr>
            <w:tcW w:w="79" w:type="pct"/>
            <w:noWrap/>
            <w:tcMar>
              <w:top w:w="0" w:type="dxa"/>
              <w:left w:w="0" w:type="dxa"/>
              <w:bottom w:w="0" w:type="dxa"/>
              <w:right w:w="0" w:type="dxa"/>
            </w:tcMar>
            <w:vAlign w:val="bottom"/>
            <w:hideMark/>
          </w:tcPr>
          <w:p w14:paraId="13EF91A8" w14:textId="77777777" w:rsidR="00000000" w:rsidRDefault="00097612">
            <w:pPr>
              <w:pStyle w:val="a3"/>
              <w:spacing w:before="0" w:beforeAutospacing="0" w:after="0" w:afterAutospacing="0"/>
              <w:rPr>
                <w:sz w:val="20"/>
                <w:szCs w:val="20"/>
              </w:rPr>
            </w:pPr>
            <w:r>
              <w:rPr>
                <w:sz w:val="20"/>
                <w:szCs w:val="20"/>
              </w:rPr>
              <w:t>​</w:t>
            </w:r>
          </w:p>
        </w:tc>
      </w:tr>
      <w:tr w:rsidR="00000000" w14:paraId="7C41A349" w14:textId="77777777">
        <w:trPr>
          <w:divId w:val="1490294059"/>
        </w:trPr>
        <w:tc>
          <w:tcPr>
            <w:tcW w:w="2811" w:type="pct"/>
            <w:shd w:val="clear" w:color="auto" w:fill="CCEEFF"/>
            <w:tcMar>
              <w:top w:w="0" w:type="dxa"/>
              <w:left w:w="0" w:type="dxa"/>
              <w:bottom w:w="0" w:type="dxa"/>
              <w:right w:w="0" w:type="dxa"/>
            </w:tcMar>
            <w:vAlign w:val="bottom"/>
            <w:hideMark/>
          </w:tcPr>
          <w:p w14:paraId="4E172591" w14:textId="77777777" w:rsidR="00000000" w:rsidRDefault="00097612">
            <w:pPr>
              <w:pStyle w:val="a3"/>
              <w:spacing w:before="0" w:beforeAutospacing="0" w:after="0" w:afterAutospacing="0"/>
              <w:ind w:left="240"/>
              <w:rPr>
                <w:sz w:val="20"/>
                <w:szCs w:val="20"/>
              </w:rPr>
            </w:pPr>
            <w:r>
              <w:rPr>
                <w:sz w:val="20"/>
                <w:szCs w:val="20"/>
              </w:rPr>
              <w:t xml:space="preserve">Total share-based compensation expense </w:t>
            </w:r>
          </w:p>
        </w:tc>
        <w:tc>
          <w:tcPr>
            <w:tcW w:w="87" w:type="pct"/>
            <w:shd w:val="clear" w:color="auto" w:fill="CCEEFF"/>
            <w:noWrap/>
            <w:tcMar>
              <w:top w:w="0" w:type="dxa"/>
              <w:left w:w="0" w:type="dxa"/>
              <w:bottom w:w="0" w:type="dxa"/>
              <w:right w:w="0" w:type="dxa"/>
            </w:tcMar>
            <w:vAlign w:val="bottom"/>
            <w:hideMark/>
          </w:tcPr>
          <w:p w14:paraId="69090A9C" w14:textId="77777777" w:rsidR="00000000" w:rsidRDefault="00097612">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1AE8E1D5"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732C7614" w14:textId="77777777" w:rsidR="00000000" w:rsidRDefault="00097612">
            <w:pPr>
              <w:pStyle w:val="a3"/>
              <w:spacing w:before="0" w:beforeAutospacing="0" w:after="0" w:afterAutospacing="0"/>
              <w:ind w:right="60"/>
              <w:jc w:val="right"/>
              <w:rPr>
                <w:sz w:val="20"/>
                <w:szCs w:val="20"/>
              </w:rPr>
            </w:pPr>
            <w:r>
              <w:rPr>
                <w:sz w:val="20"/>
                <w:szCs w:val="20"/>
              </w:rPr>
              <w:t>13,019</w:t>
            </w:r>
          </w:p>
        </w:tc>
        <w:tc>
          <w:tcPr>
            <w:tcW w:w="88" w:type="pct"/>
            <w:shd w:val="clear" w:color="auto" w:fill="CCEEFF"/>
            <w:noWrap/>
            <w:tcMar>
              <w:top w:w="0" w:type="dxa"/>
              <w:left w:w="0" w:type="dxa"/>
              <w:bottom w:w="0" w:type="dxa"/>
              <w:right w:w="0" w:type="dxa"/>
            </w:tcMar>
            <w:vAlign w:val="bottom"/>
            <w:hideMark/>
          </w:tcPr>
          <w:p w14:paraId="0BBAC4F8"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1723208F"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39A4C5D9" w14:textId="77777777" w:rsidR="00000000" w:rsidRDefault="00097612">
            <w:pPr>
              <w:pStyle w:val="a3"/>
              <w:spacing w:before="0" w:beforeAutospacing="0" w:after="0" w:afterAutospacing="0"/>
              <w:ind w:right="60"/>
              <w:jc w:val="right"/>
              <w:rPr>
                <w:sz w:val="20"/>
                <w:szCs w:val="20"/>
              </w:rPr>
            </w:pPr>
            <w:r>
              <w:rPr>
                <w:sz w:val="20"/>
                <w:szCs w:val="20"/>
              </w:rPr>
              <w:t>11,746</w:t>
            </w:r>
          </w:p>
        </w:tc>
        <w:tc>
          <w:tcPr>
            <w:tcW w:w="88" w:type="pct"/>
            <w:shd w:val="clear" w:color="auto" w:fill="CCEEFF"/>
            <w:noWrap/>
            <w:tcMar>
              <w:top w:w="0" w:type="dxa"/>
              <w:left w:w="0" w:type="dxa"/>
              <w:bottom w:w="0" w:type="dxa"/>
              <w:right w:w="0" w:type="dxa"/>
            </w:tcMar>
            <w:vAlign w:val="bottom"/>
            <w:hideMark/>
          </w:tcPr>
          <w:p w14:paraId="0146DCA5"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168B4C02"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78EFA6B1" w14:textId="77777777" w:rsidR="00000000" w:rsidRDefault="00097612">
            <w:pPr>
              <w:pStyle w:val="a3"/>
              <w:spacing w:before="0" w:beforeAutospacing="0" w:after="0" w:afterAutospacing="0"/>
              <w:ind w:right="60"/>
              <w:jc w:val="right"/>
              <w:rPr>
                <w:sz w:val="20"/>
                <w:szCs w:val="20"/>
              </w:rPr>
            </w:pPr>
            <w:r>
              <w:rPr>
                <w:sz w:val="20"/>
                <w:szCs w:val="20"/>
              </w:rPr>
              <w:t>36,538</w:t>
            </w:r>
          </w:p>
        </w:tc>
        <w:tc>
          <w:tcPr>
            <w:tcW w:w="88" w:type="pct"/>
            <w:shd w:val="clear" w:color="auto" w:fill="CCEEFF"/>
            <w:noWrap/>
            <w:tcMar>
              <w:top w:w="0" w:type="dxa"/>
              <w:left w:w="0" w:type="dxa"/>
              <w:bottom w:w="0" w:type="dxa"/>
              <w:right w:w="0" w:type="dxa"/>
            </w:tcMar>
            <w:vAlign w:val="bottom"/>
            <w:hideMark/>
          </w:tcPr>
          <w:p w14:paraId="1CDAC1F6" w14:textId="77777777" w:rsidR="00000000" w:rsidRDefault="00097612">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0F4FBA96" w14:textId="77777777" w:rsidR="00000000" w:rsidRDefault="00097612">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14:paraId="00B5B329" w14:textId="77777777" w:rsidR="00000000" w:rsidRDefault="00097612">
            <w:pPr>
              <w:pStyle w:val="a3"/>
              <w:spacing w:before="0" w:beforeAutospacing="0" w:after="0" w:afterAutospacing="0"/>
              <w:ind w:right="60"/>
              <w:jc w:val="right"/>
              <w:rPr>
                <w:sz w:val="20"/>
                <w:szCs w:val="20"/>
              </w:rPr>
            </w:pPr>
            <w:r>
              <w:rPr>
                <w:sz w:val="20"/>
                <w:szCs w:val="20"/>
              </w:rPr>
              <w:t>39,599</w:t>
            </w:r>
          </w:p>
        </w:tc>
        <w:tc>
          <w:tcPr>
            <w:tcW w:w="79" w:type="pct"/>
            <w:shd w:val="clear" w:color="auto" w:fill="CCEEFF"/>
            <w:noWrap/>
            <w:tcMar>
              <w:top w:w="0" w:type="dxa"/>
              <w:left w:w="0" w:type="dxa"/>
              <w:bottom w:w="0" w:type="dxa"/>
              <w:right w:w="0" w:type="dxa"/>
            </w:tcMar>
            <w:vAlign w:val="bottom"/>
            <w:hideMark/>
          </w:tcPr>
          <w:p w14:paraId="55A6D4E1" w14:textId="77777777" w:rsidR="00000000" w:rsidRDefault="00097612">
            <w:pPr>
              <w:pStyle w:val="a3"/>
              <w:spacing w:before="0" w:beforeAutospacing="0" w:after="0" w:afterAutospacing="0"/>
              <w:rPr>
                <w:sz w:val="20"/>
                <w:szCs w:val="20"/>
              </w:rPr>
            </w:pPr>
            <w:r>
              <w:rPr>
                <w:sz w:val="20"/>
                <w:szCs w:val="20"/>
              </w:rPr>
              <w:t>​</w:t>
            </w:r>
          </w:p>
        </w:tc>
      </w:tr>
    </w:tbl>
    <w:p w14:paraId="7D22343B" w14:textId="77777777" w:rsidR="00000000" w:rsidRDefault="00097612">
      <w:pPr>
        <w:pStyle w:val="a3"/>
        <w:spacing w:before="0" w:beforeAutospacing="0" w:after="0" w:afterAutospacing="0"/>
        <w:divId w:val="1490294059"/>
        <w:rPr>
          <w:sz w:val="20"/>
          <w:szCs w:val="20"/>
        </w:rPr>
      </w:pPr>
      <w:r>
        <w:rPr>
          <w:sz w:val="2"/>
          <w:szCs w:val="2"/>
        </w:rPr>
        <w:t>​</w:t>
      </w:r>
    </w:p>
    <w:p w14:paraId="243AC06F" w14:textId="77777777" w:rsidR="00000000" w:rsidRDefault="00097612">
      <w:pPr>
        <w:pStyle w:val="a3"/>
        <w:spacing w:before="240" w:beforeAutospacing="0" w:after="120" w:afterAutospacing="0"/>
        <w:divId w:val="1490294059"/>
        <w:rPr>
          <w:sz w:val="20"/>
          <w:szCs w:val="20"/>
        </w:rPr>
      </w:pPr>
      <w:r>
        <w:rPr>
          <w:b/>
          <w:bCs/>
          <w:i/>
          <w:iCs/>
          <w:sz w:val="20"/>
          <w:szCs w:val="20"/>
        </w:rPr>
        <w:t>Performance-Contingent Awards</w:t>
      </w:r>
    </w:p>
    <w:p w14:paraId="7CF525AE" w14:textId="77777777" w:rsidR="00000000" w:rsidRDefault="00097612">
      <w:pPr>
        <w:pStyle w:val="a3"/>
        <w:spacing w:before="0" w:beforeAutospacing="0" w:after="0" w:afterAutospacing="0"/>
        <w:ind w:firstLine="720"/>
        <w:divId w:val="1490294059"/>
        <w:rPr>
          <w:sz w:val="20"/>
          <w:szCs w:val="20"/>
        </w:rPr>
      </w:pPr>
      <w:r>
        <w:rPr>
          <w:sz w:val="20"/>
          <w:szCs w:val="20"/>
        </w:rPr>
        <w:t>In the first quarter of 2016, the Compensation Committee of the Company’s board of directors (“Compensation Committee”) approved the grant of 1,575,000 performance-contingent restricted share awards (“RSAs”) and 135,000 performance-contingent restricted sh</w:t>
      </w:r>
      <w:r>
        <w:rPr>
          <w:sz w:val="20"/>
          <w:szCs w:val="20"/>
        </w:rPr>
        <w:t>are units (“RSUs”) to senior management. The vesting of such awards is dependent on the Company meeting its critical operating goals and objectives during the</w:t>
      </w:r>
      <w:r>
        <w:rPr>
          <w:sz w:val="20"/>
          <w:szCs w:val="20"/>
        </w:rPr>
        <w:t xml:space="preserve"> </w:t>
      </w:r>
      <w:r>
        <w:rPr>
          <w:sz w:val="20"/>
          <w:szCs w:val="20"/>
        </w:rPr>
        <w:t>five-yea</w:t>
      </w:r>
      <w:r>
        <w:rPr>
          <w:sz w:val="20"/>
          <w:szCs w:val="20"/>
        </w:rPr>
        <w:t>r</w:t>
      </w:r>
      <w:r>
        <w:rPr>
          <w:sz w:val="20"/>
          <w:szCs w:val="20"/>
        </w:rPr>
        <w:t xml:space="preserve"> period from 2016 to December 31, 2020, as well as, continued employment. The goals that</w:t>
      </w:r>
      <w:r>
        <w:rPr>
          <w:sz w:val="20"/>
          <w:szCs w:val="20"/>
        </w:rPr>
        <w:t xml:space="preserve"> must be met in order for the performance-contingent RSAs and RSUs to vest are strategically important for the Company, and the Compensation Committee believes the goals, if achieved, will increase shareholder value. The awards have dual triggers of vestin</w:t>
      </w:r>
      <w:r>
        <w:rPr>
          <w:sz w:val="20"/>
          <w:szCs w:val="20"/>
        </w:rPr>
        <w:t>g based upon the achievement of these goals and continued employment. As of September 30, 2019, there were 776,250 of these performance-contingent RSAs and 101,250 of these performance-contingent RSUs outstanding, and as of September 30, 2018, there were 9</w:t>
      </w:r>
      <w:r>
        <w:rPr>
          <w:sz w:val="20"/>
          <w:szCs w:val="20"/>
        </w:rPr>
        <w:t>78,750 of these performance-contingent RSAs and 101,25</w:t>
      </w:r>
      <w:r>
        <w:rPr>
          <w:sz w:val="20"/>
          <w:szCs w:val="20"/>
        </w:rPr>
        <w:t>0</w:t>
      </w:r>
      <w:r>
        <w:rPr>
          <w:sz w:val="20"/>
          <w:szCs w:val="20"/>
        </w:rPr>
        <w:t xml:space="preserve"> of these performance-contingent RSUs outstanding.</w:t>
      </w:r>
      <w:r>
        <w:rPr>
          <w:sz w:val="20"/>
          <w:szCs w:val="20"/>
        </w:rPr>
        <w:t xml:space="preserve"> </w:t>
      </w:r>
    </w:p>
    <w:p w14:paraId="63B38FBA" w14:textId="77777777" w:rsidR="00000000" w:rsidRDefault="00097612">
      <w:pPr>
        <w:pStyle w:val="a3"/>
        <w:spacing w:before="360" w:beforeAutospacing="0" w:after="0" w:afterAutospacing="0"/>
        <w:jc w:val="center"/>
        <w:divId w:val="764309349"/>
        <w:rPr>
          <w:sz w:val="20"/>
          <w:szCs w:val="20"/>
        </w:rPr>
      </w:pPr>
      <w:r>
        <w:rPr>
          <w:sz w:val="20"/>
          <w:szCs w:val="20"/>
        </w:rPr>
        <w:t>18</w:t>
      </w:r>
    </w:p>
    <w:p w14:paraId="7A9DB4CC" w14:textId="77777777" w:rsidR="00000000" w:rsidRDefault="00097612">
      <w:pPr>
        <w:pStyle w:val="a3"/>
        <w:spacing w:before="0" w:beforeAutospacing="0" w:after="600" w:afterAutospacing="0"/>
        <w:divId w:val="214438465"/>
        <w:rPr>
          <w:sz w:val="20"/>
          <w:szCs w:val="20"/>
        </w:rPr>
      </w:pPr>
      <w:hyperlink w:anchor="TOC" w:history="1">
        <w:r>
          <w:rPr>
            <w:rStyle w:val="a4"/>
            <w:sz w:val="20"/>
            <w:szCs w:val="20"/>
          </w:rPr>
          <w:t>Table of Contents</w:t>
        </w:r>
      </w:hyperlink>
    </w:p>
    <w:p w14:paraId="0F2DFB56" w14:textId="77777777" w:rsidR="00000000" w:rsidRDefault="00097612">
      <w:pPr>
        <w:pStyle w:val="a3"/>
        <w:spacing w:before="0" w:beforeAutospacing="0" w:after="0" w:afterAutospacing="0"/>
        <w:ind w:firstLine="720"/>
        <w:divId w:val="1671642437"/>
        <w:rPr>
          <w:sz w:val="20"/>
          <w:szCs w:val="20"/>
        </w:rPr>
      </w:pPr>
      <w:r>
        <w:rPr>
          <w:sz w:val="20"/>
          <w:szCs w:val="20"/>
        </w:rPr>
        <w:t>​</w:t>
      </w:r>
    </w:p>
    <w:p w14:paraId="720FC437" w14:textId="77777777" w:rsidR="00000000" w:rsidRDefault="00097612">
      <w:pPr>
        <w:pStyle w:val="a3"/>
        <w:spacing w:before="0" w:beforeAutospacing="0" w:after="0" w:afterAutospacing="0"/>
        <w:ind w:firstLine="720"/>
        <w:divId w:val="1671642437"/>
        <w:rPr>
          <w:sz w:val="20"/>
          <w:szCs w:val="20"/>
        </w:rPr>
      </w:pPr>
      <w:r>
        <w:rPr>
          <w:sz w:val="20"/>
          <w:szCs w:val="20"/>
        </w:rPr>
        <w:t>Expense associated with these awards is broken into three separate tranches and may be recognized during the years 2016 to 2020 depending on the probability of meeting the performance conditions. Compensation expense relating to awards subject to performan</w:t>
      </w:r>
      <w:r>
        <w:rPr>
          <w:sz w:val="20"/>
          <w:szCs w:val="20"/>
        </w:rPr>
        <w:t>ce conditions is recognized if it is considered probable that the performance goals will be achieved. The probability of achievement is reassessed at each quarter-end reporting period. Previously recognized expense is reversed in the period in which it bec</w:t>
      </w:r>
      <w:r>
        <w:rPr>
          <w:sz w:val="20"/>
          <w:szCs w:val="20"/>
        </w:rPr>
        <w:t>omes probable that the requisite service period will not be rendered.</w:t>
      </w:r>
    </w:p>
    <w:p w14:paraId="61E7781A" w14:textId="77777777" w:rsidR="00000000" w:rsidRDefault="00097612">
      <w:pPr>
        <w:pStyle w:val="a3"/>
        <w:spacing w:before="0" w:beforeAutospacing="0" w:after="0" w:afterAutospacing="0"/>
        <w:ind w:firstLine="720"/>
        <w:divId w:val="1671642437"/>
        <w:rPr>
          <w:sz w:val="20"/>
          <w:szCs w:val="20"/>
        </w:rPr>
      </w:pPr>
      <w:r>
        <w:rPr>
          <w:color w:val="FF0000"/>
          <w:sz w:val="20"/>
          <w:szCs w:val="20"/>
        </w:rPr>
        <w:t>​</w:t>
      </w:r>
    </w:p>
    <w:p w14:paraId="07F75CAF" w14:textId="77777777" w:rsidR="00000000" w:rsidRDefault="00097612">
      <w:pPr>
        <w:pStyle w:val="a3"/>
        <w:spacing w:before="0" w:beforeAutospacing="0" w:after="0" w:afterAutospacing="0"/>
        <w:ind w:firstLine="720"/>
        <w:divId w:val="1671642437"/>
        <w:rPr>
          <w:sz w:val="20"/>
          <w:szCs w:val="20"/>
        </w:rPr>
      </w:pPr>
      <w:r>
        <w:rPr>
          <w:sz w:val="20"/>
          <w:szCs w:val="20"/>
        </w:rPr>
        <w:t>The performance conditions associated with the first tranche of these awards were completed in the second quarter of 2018, and the Company recognized $1.8 million of share-based compen</w:t>
      </w:r>
      <w:r>
        <w:rPr>
          <w:sz w:val="20"/>
          <w:szCs w:val="20"/>
        </w:rPr>
        <w:t xml:space="preserve">sation expense for the nine months ended September 30, 2018 associated with the first tranche of these awards. </w:t>
      </w:r>
    </w:p>
    <w:p w14:paraId="37AB53E1" w14:textId="77777777" w:rsidR="00000000" w:rsidRDefault="00097612">
      <w:pPr>
        <w:pStyle w:val="a3"/>
        <w:spacing w:before="0" w:beforeAutospacing="0" w:after="0" w:afterAutospacing="0"/>
        <w:ind w:firstLine="720"/>
        <w:divId w:val="1671642437"/>
        <w:rPr>
          <w:sz w:val="20"/>
          <w:szCs w:val="20"/>
        </w:rPr>
      </w:pPr>
      <w:r>
        <w:rPr>
          <w:sz w:val="20"/>
          <w:szCs w:val="20"/>
        </w:rPr>
        <w:t>​</w:t>
      </w:r>
    </w:p>
    <w:p w14:paraId="42BDC251" w14:textId="77777777" w:rsidR="00000000" w:rsidRDefault="00097612">
      <w:pPr>
        <w:pStyle w:val="a3"/>
        <w:spacing w:before="0" w:beforeAutospacing="0" w:after="0" w:afterAutospacing="0"/>
        <w:ind w:firstLine="720"/>
        <w:divId w:val="1671642437"/>
        <w:rPr>
          <w:sz w:val="20"/>
          <w:szCs w:val="20"/>
        </w:rPr>
      </w:pPr>
      <w:r>
        <w:rPr>
          <w:sz w:val="20"/>
          <w:szCs w:val="20"/>
        </w:rPr>
        <w:t>The performance conditions associated with the second tranche of these awards were completed in the first quarter of 2019. For the three and n</w:t>
      </w:r>
      <w:r>
        <w:rPr>
          <w:sz w:val="20"/>
          <w:szCs w:val="20"/>
        </w:rPr>
        <w:t xml:space="preserve">ine months ended September 30, 2019, the Company recognized $0.7 million and $1.2 million, respectively, of share-based compensation expense related to the second tranche of these awards. The maximum remaining expense associated with the second tranche is </w:t>
      </w:r>
      <w:r>
        <w:rPr>
          <w:sz w:val="20"/>
          <w:szCs w:val="20"/>
        </w:rPr>
        <w:t>$1.1 million (allocated as $0.4 million for research and development expense and $0.7 million for selling, general and administrative expense). For the three and nine months ended September 30, 2018, the Company recognized $47,000 and $1.8 million, respect</w:t>
      </w:r>
      <w:r>
        <w:rPr>
          <w:sz w:val="20"/>
          <w:szCs w:val="20"/>
        </w:rPr>
        <w:t>ively, of share-based compensation expense related to the second tranche of these awards.</w:t>
      </w:r>
    </w:p>
    <w:p w14:paraId="04D486A1" w14:textId="77777777" w:rsidR="00000000" w:rsidRDefault="00097612">
      <w:pPr>
        <w:pStyle w:val="a3"/>
        <w:spacing w:before="0" w:beforeAutospacing="0" w:after="0" w:afterAutospacing="0"/>
        <w:ind w:firstLine="720"/>
        <w:divId w:val="1671642437"/>
        <w:rPr>
          <w:sz w:val="20"/>
          <w:szCs w:val="20"/>
        </w:rPr>
      </w:pPr>
      <w:r>
        <w:rPr>
          <w:sz w:val="20"/>
          <w:szCs w:val="20"/>
        </w:rPr>
        <w:t>​</w:t>
      </w:r>
    </w:p>
    <w:p w14:paraId="683D82DC" w14:textId="77777777" w:rsidR="00000000" w:rsidRDefault="00097612">
      <w:pPr>
        <w:pStyle w:val="a3"/>
        <w:spacing w:before="0" w:beforeAutospacing="0" w:after="0" w:afterAutospacing="0"/>
        <w:ind w:firstLine="720"/>
        <w:divId w:val="1671642437"/>
        <w:rPr>
          <w:sz w:val="20"/>
          <w:szCs w:val="20"/>
        </w:rPr>
      </w:pPr>
      <w:r>
        <w:rPr>
          <w:sz w:val="20"/>
          <w:szCs w:val="20"/>
        </w:rPr>
        <w:t>As of September 30, 2019, the Company determined that the remaining third tranche was not probable of vesting and, as a result, no compensation expense related to t</w:t>
      </w:r>
      <w:r>
        <w:rPr>
          <w:sz w:val="20"/>
          <w:szCs w:val="20"/>
        </w:rPr>
        <w:t>he third tranche has been recognized to date. The maximum potential expense associated with the remaining third tranche could be up to $12.8 million (allocated as $4.4 million for research and development expense and $8.4 million for selling, general and a</w:t>
      </w:r>
      <w:r>
        <w:rPr>
          <w:sz w:val="20"/>
          <w:szCs w:val="20"/>
        </w:rPr>
        <w:t>dministrative expense) if the performance conditions are achieved.</w:t>
      </w:r>
    </w:p>
    <w:p w14:paraId="1AD230DA" w14:textId="77777777" w:rsidR="00000000" w:rsidRDefault="00097612">
      <w:pPr>
        <w:pStyle w:val="a3"/>
        <w:spacing w:before="0" w:beforeAutospacing="0" w:after="0" w:afterAutospacing="0"/>
        <w:ind w:firstLine="720"/>
        <w:divId w:val="1671642437"/>
        <w:rPr>
          <w:sz w:val="20"/>
          <w:szCs w:val="20"/>
        </w:rPr>
      </w:pPr>
      <w:r>
        <w:rPr>
          <w:sz w:val="20"/>
          <w:szCs w:val="20"/>
        </w:rPr>
        <w:t>​</w:t>
      </w:r>
    </w:p>
    <w:p w14:paraId="0CA8E980" w14:textId="77777777" w:rsidR="00000000" w:rsidRDefault="00097612">
      <w:pPr>
        <w:pStyle w:val="a3"/>
        <w:spacing w:before="0" w:beforeAutospacing="0" w:after="0" w:afterAutospacing="0"/>
        <w:ind w:firstLine="720"/>
        <w:divId w:val="1671642437"/>
        <w:rPr>
          <w:sz w:val="20"/>
          <w:szCs w:val="20"/>
        </w:rPr>
      </w:pPr>
      <w:r>
        <w:rPr>
          <w:sz w:val="20"/>
          <w:szCs w:val="20"/>
        </w:rPr>
        <w:t>In the fourth quarter of 2018, the Compensation Committee approved a grant of 3,000 performance-contingent RSUs to an employee. These RSUs expire by December 31, 2020 and have a maximum s</w:t>
      </w:r>
      <w:r>
        <w:rPr>
          <w:sz w:val="20"/>
          <w:szCs w:val="20"/>
        </w:rPr>
        <w:t>hare-based compensation expense of $75,000 which will be recognized when its single performance milestone is deemed to be probable of achievement. As of September 30, 2019, the Company determined that the performance milestone was not probable of achieveme</w:t>
      </w:r>
      <w:r>
        <w:rPr>
          <w:sz w:val="20"/>
          <w:szCs w:val="20"/>
        </w:rPr>
        <w:t>nt and, as a result, no compensation expense related to these RSUs has been recognized to date.</w:t>
      </w:r>
    </w:p>
    <w:p w14:paraId="47127FDC" w14:textId="77777777" w:rsidR="00000000" w:rsidRDefault="00097612">
      <w:pPr>
        <w:pStyle w:val="a3"/>
        <w:spacing w:before="0" w:beforeAutospacing="0" w:after="0" w:afterAutospacing="0"/>
        <w:divId w:val="1671642437"/>
        <w:rPr>
          <w:sz w:val="20"/>
          <w:szCs w:val="20"/>
        </w:rPr>
      </w:pPr>
      <w:r>
        <w:rPr>
          <w:sz w:val="20"/>
          <w:szCs w:val="20"/>
        </w:rPr>
        <w:t>​</w:t>
      </w:r>
    </w:p>
    <w:p w14:paraId="2BBFE2C8" w14:textId="77777777" w:rsidR="00000000" w:rsidRDefault="00097612">
      <w:pPr>
        <w:pStyle w:val="a3"/>
        <w:spacing w:before="0" w:beforeAutospacing="0" w:after="0" w:afterAutospacing="0"/>
        <w:ind w:firstLine="720"/>
        <w:divId w:val="1671642437"/>
        <w:rPr>
          <w:sz w:val="20"/>
          <w:szCs w:val="20"/>
        </w:rPr>
      </w:pPr>
      <w:r>
        <w:rPr>
          <w:sz w:val="20"/>
          <w:szCs w:val="20"/>
        </w:rPr>
        <w:t xml:space="preserve">In the first quarter of 2019, the Compensation Committee approved a grant of 60,000 performance-contingent RSUs to an employee. These RSUs have dual triggers </w:t>
      </w:r>
      <w:r>
        <w:rPr>
          <w:sz w:val="20"/>
          <w:szCs w:val="20"/>
        </w:rPr>
        <w:t>of vesting based upon the achievement of certain performance milestones in specified timeframes, as well as a requirement for continued employment. The compensation expense related to these awards is broken into two separate performance milestones and reco</w:t>
      </w:r>
      <w:r>
        <w:rPr>
          <w:sz w:val="20"/>
          <w:szCs w:val="20"/>
        </w:rPr>
        <w:t>gnized when the associated performance milestones are deemed to be probable of achievement. The maximum share-based compensation expense associated with the 60,000 performance-contingent RSUs’ first and second performance milestones are $0.8 million each f</w:t>
      </w:r>
      <w:r>
        <w:rPr>
          <w:sz w:val="20"/>
          <w:szCs w:val="20"/>
        </w:rPr>
        <w:t xml:space="preserve">or a total of $1.6 million, and the RSUs expire by December 31, 2021. In the third quarter of 2019, the Company determined that a portion of performance milestone associated with the first tranche was probable of achievement and recognized $0.3 million of </w:t>
      </w:r>
      <w:r>
        <w:rPr>
          <w:sz w:val="20"/>
          <w:szCs w:val="20"/>
        </w:rPr>
        <w:t xml:space="preserve">share-based compensation expense. The Company determined that the second tranche was not probable as of September 30, 2019 and, as a result, no compensation expense related to these RSUs has been recognized to date. </w:t>
      </w:r>
    </w:p>
    <w:p w14:paraId="7B6BCD8C" w14:textId="77777777" w:rsidR="00000000" w:rsidRDefault="00097612">
      <w:pPr>
        <w:pStyle w:val="a3"/>
        <w:spacing w:before="0" w:beforeAutospacing="0" w:after="0" w:afterAutospacing="0"/>
        <w:ind w:firstLine="720"/>
        <w:divId w:val="1671642437"/>
        <w:rPr>
          <w:sz w:val="20"/>
          <w:szCs w:val="20"/>
        </w:rPr>
      </w:pPr>
      <w:r>
        <w:rPr>
          <w:sz w:val="20"/>
          <w:szCs w:val="20"/>
        </w:rPr>
        <w:t>​</w:t>
      </w:r>
    </w:p>
    <w:p w14:paraId="71B96B38" w14:textId="77777777" w:rsidR="00000000" w:rsidRDefault="00097612">
      <w:pPr>
        <w:pStyle w:val="a3"/>
        <w:spacing w:before="0" w:beforeAutospacing="0" w:after="0" w:afterAutospacing="0"/>
        <w:ind w:firstLine="720"/>
        <w:divId w:val="1671642437"/>
        <w:rPr>
          <w:sz w:val="20"/>
          <w:szCs w:val="20"/>
        </w:rPr>
      </w:pPr>
      <w:r>
        <w:rPr>
          <w:sz w:val="20"/>
          <w:szCs w:val="20"/>
        </w:rPr>
        <w:t>In the third quarter of 2019, the Com</w:t>
      </w:r>
      <w:r>
        <w:rPr>
          <w:sz w:val="20"/>
          <w:szCs w:val="20"/>
        </w:rPr>
        <w:t>pensation Committee approved a grant of 60,000 performance-contingent RSUs to an employee. These RSUs have dual triggers of vesting based upon the achievement of certain performance milestones in specified timeframes, as well as a requirement for continued</w:t>
      </w:r>
      <w:r>
        <w:rPr>
          <w:sz w:val="20"/>
          <w:szCs w:val="20"/>
        </w:rPr>
        <w:t xml:space="preserve"> employment. The compensation expense related to these RSUs is broken into three separate performance milestones and will be recognized when the associated performance milestones are deemed to be probable of achievement. The maximum share-based compensatio</w:t>
      </w:r>
      <w:r>
        <w:rPr>
          <w:sz w:val="20"/>
          <w:szCs w:val="20"/>
        </w:rPr>
        <w:t>n expense associated with the 60,000 performance-contingent RSUs’ three performance milestones are approximately $0.3 million each for a total of $1.0 million, and the 60,000 performance-contingent RSUs expire by June 30, 2022. As of September 30, 2019, th</w:t>
      </w:r>
      <w:r>
        <w:rPr>
          <w:sz w:val="20"/>
          <w:szCs w:val="20"/>
        </w:rPr>
        <w:t>e Company determined that the performance milestones were not probable of achievement and, as a result, no compensation expense related to these RSUs has been recognized to date.</w:t>
      </w:r>
    </w:p>
    <w:p w14:paraId="71532AD1" w14:textId="77777777" w:rsidR="00000000" w:rsidRDefault="00097612">
      <w:pPr>
        <w:pStyle w:val="a3"/>
        <w:spacing w:before="0" w:beforeAutospacing="0" w:after="0" w:afterAutospacing="0"/>
        <w:ind w:firstLine="720"/>
        <w:divId w:val="1671642437"/>
        <w:rPr>
          <w:sz w:val="20"/>
          <w:szCs w:val="20"/>
        </w:rPr>
      </w:pPr>
      <w:r>
        <w:rPr>
          <w:sz w:val="20"/>
          <w:szCs w:val="20"/>
        </w:rPr>
        <w:t>​</w:t>
      </w:r>
    </w:p>
    <w:p w14:paraId="1E9E8E49" w14:textId="77777777" w:rsidR="00000000" w:rsidRDefault="00097612">
      <w:pPr>
        <w:pStyle w:val="a3"/>
        <w:spacing w:before="360" w:beforeAutospacing="0" w:after="0" w:afterAutospacing="0"/>
        <w:jc w:val="center"/>
        <w:divId w:val="728724865"/>
        <w:rPr>
          <w:sz w:val="20"/>
          <w:szCs w:val="20"/>
        </w:rPr>
      </w:pPr>
      <w:r>
        <w:rPr>
          <w:sz w:val="20"/>
          <w:szCs w:val="20"/>
        </w:rPr>
        <w:t>19</w:t>
      </w:r>
    </w:p>
    <w:p w14:paraId="43C551D3" w14:textId="77777777" w:rsidR="00000000" w:rsidRDefault="00097612">
      <w:pPr>
        <w:pStyle w:val="a3"/>
        <w:spacing w:before="0" w:beforeAutospacing="0" w:after="600" w:afterAutospacing="0"/>
        <w:divId w:val="1710228311"/>
        <w:rPr>
          <w:sz w:val="20"/>
          <w:szCs w:val="20"/>
        </w:rPr>
      </w:pPr>
      <w:hyperlink w:anchor="TOC" w:history="1">
        <w:r>
          <w:rPr>
            <w:rStyle w:val="a4"/>
            <w:sz w:val="20"/>
            <w:szCs w:val="20"/>
          </w:rPr>
          <w:t>Table of Contents</w:t>
        </w:r>
      </w:hyperlink>
    </w:p>
    <w:p w14:paraId="03E0D430" w14:textId="77777777" w:rsidR="00000000" w:rsidRDefault="00097612">
      <w:pPr>
        <w:pStyle w:val="a3"/>
        <w:spacing w:before="0" w:beforeAutospacing="0" w:after="0" w:afterAutospacing="0"/>
        <w:divId w:val="768353284"/>
        <w:rPr>
          <w:sz w:val="20"/>
          <w:szCs w:val="20"/>
        </w:rPr>
      </w:pPr>
      <w:r>
        <w:rPr>
          <w:b/>
          <w:bCs/>
          <w:sz w:val="20"/>
          <w:szCs w:val="20"/>
        </w:rPr>
        <w:t>10. Income Taxes</w:t>
      </w:r>
    </w:p>
    <w:p w14:paraId="6338E251" w14:textId="77777777" w:rsidR="00000000" w:rsidRDefault="00097612">
      <w:pPr>
        <w:pStyle w:val="a3"/>
        <w:spacing w:before="0" w:beforeAutospacing="0" w:after="0" w:afterAutospacing="0"/>
        <w:divId w:val="768353284"/>
        <w:rPr>
          <w:sz w:val="20"/>
          <w:szCs w:val="20"/>
        </w:rPr>
      </w:pPr>
      <w:r>
        <w:rPr>
          <w:sz w:val="10"/>
          <w:szCs w:val="10"/>
        </w:rPr>
        <w:t>​</w:t>
      </w:r>
    </w:p>
    <w:p w14:paraId="184F3610" w14:textId="77777777" w:rsidR="00000000" w:rsidRDefault="00097612">
      <w:pPr>
        <w:pStyle w:val="a3"/>
        <w:spacing w:before="0" w:beforeAutospacing="0" w:after="0" w:afterAutospacing="0"/>
        <w:ind w:firstLine="720"/>
        <w:divId w:val="768353284"/>
        <w:rPr>
          <w:sz w:val="20"/>
          <w:szCs w:val="20"/>
        </w:rPr>
      </w:pPr>
      <w:r>
        <w:rPr>
          <w:sz w:val="20"/>
          <w:szCs w:val="20"/>
        </w:rPr>
        <w:t>The incom</w:t>
      </w:r>
      <w:r>
        <w:rPr>
          <w:sz w:val="20"/>
          <w:szCs w:val="20"/>
        </w:rPr>
        <w:t>e tax provision was a $5.6 million net benefit and $5.3 million net benefit for the three and nine months ended September 30, 2019, respectively. The net income tax benefit was primarily attributed to a reversal of previously accrued contingent tax liabili</w:t>
      </w:r>
      <w:r>
        <w:rPr>
          <w:sz w:val="20"/>
          <w:szCs w:val="20"/>
        </w:rPr>
        <w:t>ties for uncertain tax positions due to a lapse of the statute of limitations and current year US research and development credits. No provision for income taxes has been recognized on undistributed earnings of the Company’s foreign subsidiaries because it</w:t>
      </w:r>
      <w:r>
        <w:rPr>
          <w:sz w:val="20"/>
          <w:szCs w:val="20"/>
        </w:rPr>
        <w:t xml:space="preserve"> considers such earnings to be indefinitely reinvested. </w:t>
      </w:r>
    </w:p>
    <w:p w14:paraId="31D9C839" w14:textId="77777777" w:rsidR="00000000" w:rsidRDefault="00097612">
      <w:pPr>
        <w:pStyle w:val="a3"/>
        <w:spacing w:before="0" w:beforeAutospacing="0" w:after="0" w:afterAutospacing="0"/>
        <w:ind w:firstLine="720"/>
        <w:divId w:val="768353284"/>
        <w:rPr>
          <w:sz w:val="20"/>
          <w:szCs w:val="20"/>
        </w:rPr>
      </w:pPr>
      <w:r>
        <w:rPr>
          <w:sz w:val="20"/>
          <w:szCs w:val="20"/>
        </w:rPr>
        <w:t>​</w:t>
      </w:r>
    </w:p>
    <w:p w14:paraId="0AE30655" w14:textId="77777777" w:rsidR="00000000" w:rsidRDefault="00097612">
      <w:pPr>
        <w:pStyle w:val="a3"/>
        <w:spacing w:before="0" w:beforeAutospacing="0" w:after="0" w:afterAutospacing="0"/>
        <w:ind w:firstLine="720"/>
        <w:divId w:val="768353284"/>
        <w:rPr>
          <w:sz w:val="20"/>
          <w:szCs w:val="20"/>
        </w:rPr>
      </w:pPr>
      <w:r>
        <w:rPr>
          <w:sz w:val="20"/>
          <w:szCs w:val="20"/>
        </w:rPr>
        <w:t>The Company follows the accounting guidance related to accounting for income taxes which requires that a company reduce its deferred tax assets by a valuation allowance if, based on the weight of a</w:t>
      </w:r>
      <w:r>
        <w:rPr>
          <w:sz w:val="20"/>
          <w:szCs w:val="20"/>
        </w:rPr>
        <w:t>vailable evidence, it is more likely than not that some portion or all of its deferred tax assets will not be realized. As of September 30, 2019, the Company’s deferred tax assets were offset in full by a valuation allowance.</w:t>
      </w:r>
    </w:p>
    <w:p w14:paraId="42769344" w14:textId="77777777" w:rsidR="00000000" w:rsidRDefault="00097612">
      <w:pPr>
        <w:pStyle w:val="a3"/>
        <w:spacing w:before="0" w:beforeAutospacing="0" w:after="0" w:afterAutospacing="0"/>
        <w:ind w:firstLine="720"/>
        <w:divId w:val="768353284"/>
        <w:rPr>
          <w:sz w:val="20"/>
          <w:szCs w:val="20"/>
        </w:rPr>
      </w:pPr>
      <w:r>
        <w:rPr>
          <w:sz w:val="20"/>
          <w:szCs w:val="20"/>
        </w:rPr>
        <w:t>​</w:t>
      </w:r>
    </w:p>
    <w:p w14:paraId="59FC6DDF" w14:textId="77777777" w:rsidR="00000000" w:rsidRDefault="00097612">
      <w:pPr>
        <w:pStyle w:val="a3"/>
        <w:spacing w:before="0" w:beforeAutospacing="0" w:after="0" w:afterAutospacing="0"/>
        <w:ind w:firstLine="720"/>
        <w:divId w:val="768353284"/>
        <w:rPr>
          <w:sz w:val="20"/>
          <w:szCs w:val="20"/>
        </w:rPr>
      </w:pPr>
      <w:r>
        <w:rPr>
          <w:sz w:val="20"/>
          <w:szCs w:val="20"/>
        </w:rPr>
        <w:t>The Company records liabilities related to uncertain tax positions in accordance with the income tax guidance which clarifies the accounting for uncertainty in income taxes recognized in an enterprise’s financial statements by prescribing a minimum recogni</w:t>
      </w:r>
      <w:r>
        <w:rPr>
          <w:sz w:val="20"/>
          <w:szCs w:val="20"/>
        </w:rPr>
        <w:t>tion threshold and measurement attribute for the financial statement recognition and measurement of a tax position taken or expected to be taken in a tax return. Resolution of one or more of these uncertain tax positions in any period may have a material i</w:t>
      </w:r>
      <w:r>
        <w:rPr>
          <w:sz w:val="20"/>
          <w:szCs w:val="20"/>
        </w:rPr>
        <w:t>mpact on the results of operations for that period. The Company includes any applicable interest and penalties within the provision for income taxes in the condensed consolidated statements of operations</w:t>
      </w:r>
      <w:r>
        <w:rPr>
          <w:sz w:val="20"/>
          <w:szCs w:val="20"/>
        </w:rPr>
        <w:t>.</w:t>
      </w:r>
    </w:p>
    <w:p w14:paraId="440FD981" w14:textId="77777777" w:rsidR="00000000" w:rsidRDefault="00097612">
      <w:pPr>
        <w:pStyle w:val="a3"/>
        <w:spacing w:before="0" w:beforeAutospacing="0" w:after="0" w:afterAutospacing="0"/>
        <w:divId w:val="768353284"/>
        <w:rPr>
          <w:sz w:val="20"/>
          <w:szCs w:val="20"/>
        </w:rPr>
      </w:pPr>
      <w:r>
        <w:rPr>
          <w:sz w:val="20"/>
          <w:szCs w:val="20"/>
        </w:rPr>
        <w:t>​</w:t>
      </w:r>
    </w:p>
    <w:p w14:paraId="2F180D5F" w14:textId="77777777" w:rsidR="00000000" w:rsidRDefault="00097612">
      <w:pPr>
        <w:pStyle w:val="a3"/>
        <w:spacing w:before="0" w:beforeAutospacing="0" w:after="0" w:afterAutospacing="0"/>
        <w:ind w:firstLine="720"/>
        <w:divId w:val="768353284"/>
        <w:rPr>
          <w:sz w:val="20"/>
          <w:szCs w:val="20"/>
        </w:rPr>
      </w:pPr>
      <w:r>
        <w:rPr>
          <w:sz w:val="20"/>
          <w:szCs w:val="20"/>
        </w:rPr>
        <w:t>The Company’s future income tax expense may be af</w:t>
      </w:r>
      <w:r>
        <w:rPr>
          <w:sz w:val="20"/>
          <w:szCs w:val="20"/>
        </w:rPr>
        <w:t>fected by such factors as changes in tax laws, its business, regulations, tax rates, interpretation of existing laws or regulations, the impact of accounting for share-based compensation, the impact of accounting for business combinations, its internationa</w:t>
      </w:r>
      <w:r>
        <w:rPr>
          <w:sz w:val="20"/>
          <w:szCs w:val="20"/>
        </w:rPr>
        <w:t>l organization, shifts in the amount of income before tax earned in the US as compared with other regions in the world, and changes in overall levels of income before tax.</w:t>
      </w:r>
    </w:p>
    <w:p w14:paraId="48C5B161" w14:textId="77777777" w:rsidR="00000000" w:rsidRDefault="00097612">
      <w:pPr>
        <w:pStyle w:val="a3"/>
        <w:spacing w:before="0" w:beforeAutospacing="0" w:after="0" w:afterAutospacing="0"/>
        <w:ind w:firstLine="720"/>
        <w:divId w:val="768353284"/>
        <w:rPr>
          <w:sz w:val="20"/>
          <w:szCs w:val="20"/>
        </w:rPr>
      </w:pPr>
      <w:r>
        <w:rPr>
          <w:sz w:val="20"/>
          <w:szCs w:val="20"/>
        </w:rPr>
        <w:t>​</w:t>
      </w:r>
    </w:p>
    <w:p w14:paraId="6332B518" w14:textId="77777777" w:rsidR="00000000" w:rsidRDefault="00097612">
      <w:pPr>
        <w:pStyle w:val="a3"/>
        <w:spacing w:before="0" w:beforeAutospacing="0" w:after="0" w:afterAutospacing="0"/>
        <w:ind w:firstLine="720"/>
        <w:divId w:val="768353284"/>
        <w:rPr>
          <w:sz w:val="20"/>
          <w:szCs w:val="20"/>
        </w:rPr>
      </w:pPr>
      <w:r>
        <w:rPr>
          <w:sz w:val="20"/>
          <w:szCs w:val="20"/>
        </w:rPr>
        <w:t xml:space="preserve">New United Kingdom (“UK”) tax legislation was introduced by the </w:t>
      </w:r>
      <w:r>
        <w:rPr>
          <w:i/>
          <w:iCs/>
          <w:sz w:val="20"/>
          <w:szCs w:val="20"/>
        </w:rPr>
        <w:t>Finance Act 2019</w:t>
      </w:r>
      <w:r>
        <w:rPr>
          <w:sz w:val="20"/>
          <w:szCs w:val="20"/>
        </w:rPr>
        <w:t> (</w:t>
      </w:r>
      <w:r>
        <w:rPr>
          <w:sz w:val="20"/>
          <w:szCs w:val="20"/>
        </w:rPr>
        <w:t>“FA 2019”) and came into effect on April 6, 2019 that subjects UK-derived income earned by offshore recipients with respect to intangible property (“ORIP”) to UK income tax at 20% on the gross receipts, where the intangible property is held offshore in a j</w:t>
      </w:r>
      <w:r>
        <w:rPr>
          <w:sz w:val="20"/>
          <w:szCs w:val="20"/>
        </w:rPr>
        <w:t>urisdiction with which the UK does not have a double taxation treaty. FA 2019 also included a power for amendments to the ORIP legislation to be made by regulation by</w:t>
      </w:r>
      <w:r>
        <w:rPr>
          <w:sz w:val="20"/>
          <w:szCs w:val="20"/>
        </w:rPr>
        <w:t> </w:t>
      </w:r>
      <w:r>
        <w:rPr>
          <w:sz w:val="20"/>
          <w:szCs w:val="20"/>
        </w:rPr>
        <w:t>December 31, 2019.</w:t>
      </w:r>
      <w:r>
        <w:rPr>
          <w:sz w:val="20"/>
          <w:szCs w:val="20"/>
        </w:rPr>
        <w:t xml:space="preserve"> </w:t>
      </w:r>
    </w:p>
    <w:p w14:paraId="2B5A5846" w14:textId="77777777" w:rsidR="00000000" w:rsidRDefault="00097612">
      <w:pPr>
        <w:pStyle w:val="a3"/>
        <w:spacing w:before="0" w:beforeAutospacing="0" w:after="0" w:afterAutospacing="0"/>
        <w:ind w:firstLine="720"/>
        <w:divId w:val="768353284"/>
        <w:rPr>
          <w:sz w:val="20"/>
          <w:szCs w:val="20"/>
        </w:rPr>
      </w:pPr>
      <w:r>
        <w:rPr>
          <w:sz w:val="20"/>
          <w:szCs w:val="20"/>
        </w:rPr>
        <w:t>​</w:t>
      </w:r>
    </w:p>
    <w:p w14:paraId="43F94740" w14:textId="77777777" w:rsidR="00000000" w:rsidRDefault="00097612">
      <w:pPr>
        <w:pStyle w:val="a3"/>
        <w:spacing w:before="0" w:beforeAutospacing="0" w:after="0" w:afterAutospacing="0"/>
        <w:ind w:firstLine="720"/>
        <w:divId w:val="768353284"/>
        <w:rPr>
          <w:sz w:val="20"/>
          <w:szCs w:val="20"/>
        </w:rPr>
      </w:pPr>
      <w:r>
        <w:rPr>
          <w:sz w:val="20"/>
          <w:szCs w:val="20"/>
        </w:rPr>
        <w:t xml:space="preserve">On October 15, 2019, the UK published further guidance intended to </w:t>
      </w:r>
      <w:r>
        <w:rPr>
          <w:sz w:val="20"/>
          <w:szCs w:val="20"/>
        </w:rPr>
        <w:t>facilitate the administration of the ORIP regime. However, a number of issues and areas of uncertainty remain</w:t>
      </w:r>
      <w:r>
        <w:rPr>
          <w:rFonts w:ascii="Helvetica" w:hAnsi="Helvetica"/>
          <w:color w:val="333333"/>
          <w:sz w:val="21"/>
          <w:szCs w:val="21"/>
          <w:shd w:val="clear" w:color="auto" w:fill="FFFFFF"/>
        </w:rPr>
        <w:t>.</w:t>
      </w:r>
      <w:r>
        <w:rPr>
          <w:sz w:val="20"/>
          <w:szCs w:val="20"/>
        </w:rPr>
        <w:t xml:space="preserve"> The Company has reviewed the original legislation in conjunction with the guidance and believes that the ORIP regime may apply to certain cash re</w:t>
      </w:r>
      <w:r>
        <w:rPr>
          <w:sz w:val="20"/>
          <w:szCs w:val="20"/>
        </w:rPr>
        <w:t>ceipts. Based on this analysis, the Company believes that the ORIP charge on UK-derived cash receipts through the third quarter of 2019 is not material, but the Company will continue to refine its ORIP conclusions as guidance evolves</w:t>
      </w:r>
      <w:r>
        <w:rPr>
          <w:sz w:val="20"/>
          <w:szCs w:val="20"/>
        </w:rPr>
        <w:t>.</w:t>
      </w:r>
    </w:p>
    <w:p w14:paraId="4D2F4993" w14:textId="77777777" w:rsidR="00000000" w:rsidRDefault="00097612">
      <w:pPr>
        <w:pStyle w:val="a3"/>
        <w:spacing w:before="0" w:beforeAutospacing="0" w:after="0" w:afterAutospacing="0"/>
        <w:ind w:firstLine="720"/>
        <w:divId w:val="768353284"/>
        <w:rPr>
          <w:sz w:val="20"/>
          <w:szCs w:val="20"/>
        </w:rPr>
      </w:pPr>
      <w:r>
        <w:rPr>
          <w:sz w:val="20"/>
          <w:szCs w:val="20"/>
        </w:rPr>
        <w:t>​</w:t>
      </w:r>
    </w:p>
    <w:p w14:paraId="2A2678C0" w14:textId="77777777" w:rsidR="00000000" w:rsidRDefault="00097612">
      <w:pPr>
        <w:pStyle w:val="a3"/>
        <w:spacing w:before="0" w:beforeAutospacing="0" w:after="0" w:afterAutospacing="0"/>
        <w:divId w:val="768353284"/>
        <w:rPr>
          <w:sz w:val="20"/>
          <w:szCs w:val="20"/>
        </w:rPr>
      </w:pPr>
      <w:r>
        <w:rPr>
          <w:b/>
          <w:bCs/>
          <w:sz w:val="20"/>
          <w:szCs w:val="20"/>
        </w:rPr>
        <w:t>11. Reduction in Wo</w:t>
      </w:r>
      <w:r>
        <w:rPr>
          <w:b/>
          <w:bCs/>
          <w:sz w:val="20"/>
          <w:szCs w:val="20"/>
        </w:rPr>
        <w:t>rkforce</w:t>
      </w:r>
    </w:p>
    <w:p w14:paraId="20F32A41" w14:textId="77777777" w:rsidR="00000000" w:rsidRDefault="00097612">
      <w:pPr>
        <w:pStyle w:val="a3"/>
        <w:spacing w:before="0" w:beforeAutospacing="0" w:after="0" w:afterAutospacing="0"/>
        <w:divId w:val="768353284"/>
        <w:rPr>
          <w:sz w:val="20"/>
          <w:szCs w:val="20"/>
        </w:rPr>
      </w:pPr>
      <w:r>
        <w:rPr>
          <w:b/>
          <w:bCs/>
          <w:sz w:val="10"/>
          <w:szCs w:val="10"/>
        </w:rPr>
        <w:t>​</w:t>
      </w:r>
    </w:p>
    <w:p w14:paraId="2BA8C48D" w14:textId="77777777" w:rsidR="00000000" w:rsidRDefault="00097612">
      <w:pPr>
        <w:pStyle w:val="a3"/>
        <w:spacing w:before="0" w:beforeAutospacing="0" w:after="0" w:afterAutospacing="0"/>
        <w:ind w:firstLine="720"/>
        <w:divId w:val="768353284"/>
        <w:rPr>
          <w:sz w:val="20"/>
          <w:szCs w:val="20"/>
        </w:rPr>
      </w:pPr>
      <w:r>
        <w:rPr>
          <w:sz w:val="20"/>
          <w:szCs w:val="20"/>
        </w:rPr>
        <w:t>In January 2019, the Company announced a reduction in workforce to align with its focus on continued execution of key strategic programs and advancement of selected late-stage research programs toward clinical development. The Company reduced its</w:t>
      </w:r>
      <w:r>
        <w:rPr>
          <w:sz w:val="20"/>
          <w:szCs w:val="20"/>
        </w:rPr>
        <w:t xml:space="preserve"> overall headcount by 51 individuals, with the affected employees primarily focused on early research or the infrastructure in support of VIBATIV, which was sold by the Company to Cumberland Pharmaceuticals Inc. in November 2018. </w:t>
      </w:r>
    </w:p>
    <w:p w14:paraId="04890CE6" w14:textId="77777777" w:rsidR="00000000" w:rsidRDefault="00097612">
      <w:pPr>
        <w:pStyle w:val="a3"/>
        <w:spacing w:before="0" w:beforeAutospacing="0" w:after="0" w:afterAutospacing="0"/>
        <w:ind w:firstLine="720"/>
        <w:divId w:val="768353284"/>
        <w:rPr>
          <w:sz w:val="20"/>
          <w:szCs w:val="20"/>
        </w:rPr>
      </w:pPr>
      <w:r>
        <w:rPr>
          <w:sz w:val="20"/>
          <w:szCs w:val="20"/>
        </w:rPr>
        <w:t>​</w:t>
      </w:r>
    </w:p>
    <w:p w14:paraId="18C08576" w14:textId="77777777" w:rsidR="00000000" w:rsidRDefault="00097612">
      <w:pPr>
        <w:pStyle w:val="a3"/>
        <w:spacing w:before="0" w:beforeAutospacing="0" w:after="0" w:afterAutospacing="0"/>
        <w:ind w:firstLine="720"/>
        <w:divId w:val="768353284"/>
        <w:rPr>
          <w:sz w:val="20"/>
          <w:szCs w:val="20"/>
        </w:rPr>
      </w:pPr>
      <w:r>
        <w:rPr>
          <w:sz w:val="20"/>
          <w:szCs w:val="20"/>
        </w:rPr>
        <w:t>The workforce reduction</w:t>
      </w:r>
      <w:r>
        <w:rPr>
          <w:sz w:val="20"/>
          <w:szCs w:val="20"/>
        </w:rPr>
        <w:t xml:space="preserve"> was substantially completed in the first quarter of 2019, and the Company recorded and paid severance related charges totaling</w:t>
      </w:r>
      <w:r>
        <w:rPr>
          <w:color w:val="FF0000"/>
          <w:sz w:val="20"/>
          <w:szCs w:val="20"/>
        </w:rPr>
        <w:t xml:space="preserve"> </w:t>
      </w:r>
      <w:r>
        <w:rPr>
          <w:sz w:val="20"/>
          <w:szCs w:val="20"/>
        </w:rPr>
        <w:t>$3.5 million for the nine months ended September 30, 2019, including compensation expense made to affected employees through any</w:t>
      </w:r>
      <w:r>
        <w:rPr>
          <w:sz w:val="20"/>
          <w:szCs w:val="20"/>
        </w:rPr>
        <w:t xml:space="preserve"> minimum statutory notice periods. The severance related charges are presented on the condensed consolidated statements of operations within research and development expenses and selling, general and administrative expenses.</w:t>
      </w:r>
    </w:p>
    <w:p w14:paraId="2CCCB24C" w14:textId="77777777" w:rsidR="00000000" w:rsidRDefault="00097612">
      <w:pPr>
        <w:pStyle w:val="a3"/>
        <w:spacing w:before="0" w:beforeAutospacing="0" w:after="0" w:afterAutospacing="0"/>
        <w:divId w:val="768353284"/>
        <w:rPr>
          <w:sz w:val="20"/>
          <w:szCs w:val="20"/>
        </w:rPr>
      </w:pPr>
      <w:r>
        <w:rPr>
          <w:color w:val="FF0000"/>
          <w:sz w:val="20"/>
          <w:szCs w:val="20"/>
        </w:rPr>
        <w:t>​</w:t>
      </w:r>
    </w:p>
    <w:p w14:paraId="43E0CA74" w14:textId="77777777" w:rsidR="00000000" w:rsidRDefault="00097612">
      <w:pPr>
        <w:pStyle w:val="a3"/>
        <w:spacing w:before="0" w:beforeAutospacing="0" w:after="0" w:afterAutospacing="0"/>
        <w:ind w:firstLine="720"/>
        <w:divId w:val="768353284"/>
        <w:rPr>
          <w:sz w:val="20"/>
          <w:szCs w:val="20"/>
        </w:rPr>
      </w:pPr>
      <w:r>
        <w:rPr>
          <w:sz w:val="20"/>
          <w:szCs w:val="20"/>
        </w:rPr>
        <w:t>​</w:t>
      </w:r>
    </w:p>
    <w:p w14:paraId="21C38A80" w14:textId="77777777" w:rsidR="00000000" w:rsidRDefault="00097612">
      <w:pPr>
        <w:pStyle w:val="a3"/>
        <w:spacing w:before="360" w:beforeAutospacing="0" w:after="0" w:afterAutospacing="0"/>
        <w:jc w:val="center"/>
        <w:divId w:val="798764645"/>
        <w:rPr>
          <w:sz w:val="20"/>
          <w:szCs w:val="20"/>
        </w:rPr>
      </w:pPr>
      <w:r>
        <w:rPr>
          <w:sz w:val="20"/>
          <w:szCs w:val="20"/>
        </w:rPr>
        <w:t>20</w:t>
      </w:r>
    </w:p>
    <w:p w14:paraId="65A5197A" w14:textId="77777777" w:rsidR="00000000" w:rsidRDefault="00097612">
      <w:pPr>
        <w:pStyle w:val="a3"/>
        <w:spacing w:before="0" w:beforeAutospacing="0" w:after="600" w:afterAutospacing="0"/>
        <w:divId w:val="105081063"/>
        <w:rPr>
          <w:sz w:val="20"/>
          <w:szCs w:val="20"/>
        </w:rPr>
      </w:pPr>
      <w:hyperlink w:anchor="TOC" w:history="1">
        <w:r>
          <w:rPr>
            <w:rStyle w:val="a4"/>
            <w:sz w:val="20"/>
            <w:szCs w:val="20"/>
          </w:rPr>
          <w:t>Table of Contents</w:t>
        </w:r>
      </w:hyperlink>
    </w:p>
    <w:p w14:paraId="09CF5A61" w14:textId="77777777" w:rsidR="00000000" w:rsidRDefault="00097612">
      <w:pPr>
        <w:pStyle w:val="a3"/>
        <w:spacing w:before="0" w:beforeAutospacing="0" w:after="0" w:afterAutospacing="0"/>
        <w:ind w:hanging="900"/>
        <w:divId w:val="7103840"/>
        <w:rPr>
          <w:sz w:val="20"/>
          <w:szCs w:val="20"/>
        </w:rPr>
      </w:pPr>
      <w:r>
        <w:rPr>
          <w:b/>
          <w:bCs/>
          <w:sz w:val="20"/>
          <w:szCs w:val="20"/>
        </w:rPr>
        <w:t>ITEM 2.   MANAGEMENT’S DISCUSSION AND ANALYSIS OF FINANCIAL CONDITION AND RESULTS OF OPERATIONS</w:t>
      </w:r>
    </w:p>
    <w:p w14:paraId="72CAF4C8" w14:textId="77777777" w:rsidR="00000000" w:rsidRDefault="00097612">
      <w:pPr>
        <w:pStyle w:val="a3"/>
        <w:spacing w:before="0" w:beforeAutospacing="0" w:after="0" w:afterAutospacing="0"/>
        <w:divId w:val="7103840"/>
        <w:rPr>
          <w:sz w:val="20"/>
          <w:szCs w:val="20"/>
        </w:rPr>
      </w:pPr>
      <w:r>
        <w:rPr>
          <w:b/>
          <w:bCs/>
          <w:sz w:val="20"/>
          <w:szCs w:val="20"/>
        </w:rPr>
        <w:t>​</w:t>
      </w:r>
    </w:p>
    <w:p w14:paraId="6F1D89AD" w14:textId="77777777" w:rsidR="00000000" w:rsidRDefault="00097612">
      <w:pPr>
        <w:pStyle w:val="a3"/>
        <w:spacing w:before="0" w:beforeAutospacing="0" w:after="0" w:afterAutospacing="0"/>
        <w:divId w:val="7103840"/>
        <w:rPr>
          <w:sz w:val="20"/>
          <w:szCs w:val="20"/>
        </w:rPr>
      </w:pPr>
      <w:r>
        <w:rPr>
          <w:b/>
          <w:bCs/>
          <w:sz w:val="20"/>
          <w:szCs w:val="20"/>
        </w:rPr>
        <w:t>Forward-Looking Statements</w:t>
      </w:r>
    </w:p>
    <w:p w14:paraId="5B3796C6" w14:textId="77777777" w:rsidR="00000000" w:rsidRDefault="00097612">
      <w:pPr>
        <w:pStyle w:val="a3"/>
        <w:spacing w:before="0" w:beforeAutospacing="0" w:after="0" w:afterAutospacing="0"/>
        <w:divId w:val="7103840"/>
        <w:rPr>
          <w:sz w:val="20"/>
          <w:szCs w:val="20"/>
        </w:rPr>
      </w:pPr>
      <w:r>
        <w:rPr>
          <w:sz w:val="10"/>
          <w:szCs w:val="10"/>
        </w:rPr>
        <w:t>​</w:t>
      </w:r>
    </w:p>
    <w:p w14:paraId="7EA01D8A" w14:textId="77777777" w:rsidR="00000000" w:rsidRDefault="00097612">
      <w:pPr>
        <w:pStyle w:val="a3"/>
        <w:spacing w:before="0" w:beforeAutospacing="0" w:after="0" w:afterAutospacing="0"/>
        <w:ind w:firstLine="720"/>
        <w:divId w:val="7103840"/>
        <w:rPr>
          <w:sz w:val="20"/>
          <w:szCs w:val="20"/>
        </w:rPr>
      </w:pPr>
      <w:r>
        <w:rPr>
          <w:sz w:val="20"/>
          <w:szCs w:val="20"/>
        </w:rPr>
        <w:t>You should read the following discussion in conjunction with our condensed financial statements (unaudited) a</w:t>
      </w:r>
      <w:r>
        <w:rPr>
          <w:sz w:val="20"/>
          <w:szCs w:val="20"/>
        </w:rPr>
        <w:t>nd related notes included elsewhere in this report. This report includes “forward-looking statements” within the meaning of Section 27A of the Securities Act of 1933, as amended (the “Securities Act”), and Section 21E of the Securities Exchange Act of 1934</w:t>
      </w:r>
      <w:r>
        <w:rPr>
          <w:sz w:val="20"/>
          <w:szCs w:val="20"/>
        </w:rPr>
        <w:t>, as amended (the “Exchange Act”), that involve risks and uncertainties. All statements in this report, other than statements of historical facts, including statements regarding our strategy, future operations, future financial position, future revenues, p</w:t>
      </w:r>
      <w:r>
        <w:rPr>
          <w:sz w:val="20"/>
          <w:szCs w:val="20"/>
        </w:rPr>
        <w:t>rojected costs, prospects, plans, intentions, expectations and objectives are forward-looking statements. The words “anticipate,” “assume,” “believe,” “contemplate,” “continue,” “could,” “designed,” “developed,” “drive,” “estimate,” “expect,” “forecast,” “</w:t>
      </w:r>
      <w:r>
        <w:rPr>
          <w:sz w:val="20"/>
          <w:szCs w:val="20"/>
        </w:rPr>
        <w:t>goal,” “intend,” “may,” “mission,” “opportunities,” “plan,” “potential,” “predict,” “project,” “pursue,” “seek,” “should,” “target,” “will,” “would,” and similar expressions (including the negatives thereof) are intended to identify forward-looking stateme</w:t>
      </w:r>
      <w:r>
        <w:rPr>
          <w:sz w:val="20"/>
          <w:szCs w:val="20"/>
        </w:rPr>
        <w:t>nts, although not all forward-looking statements contain these identifying words. These statements reflect our current views with respect to future events or our future financial performance, are based on assumptions, and involve known and unknown risks, u</w:t>
      </w:r>
      <w:r>
        <w:rPr>
          <w:sz w:val="20"/>
          <w:szCs w:val="20"/>
        </w:rPr>
        <w:t>ncertainties and other factors which may cause our actual results, performance or achievements to be materially different from any future results, performance or achievements expressed or implied by the forward-looking statements. We may not actually achie</w:t>
      </w:r>
      <w:r>
        <w:rPr>
          <w:sz w:val="20"/>
          <w:szCs w:val="20"/>
        </w:rPr>
        <w:t>ve the plans, intentions, expectations or objectives disclosed in our forward-looking statements and the assumptions underlying our forward-looking statements may prove incorrect. Therefore, you should not place undue reliance on our forward-looking statem</w:t>
      </w:r>
      <w:r>
        <w:rPr>
          <w:sz w:val="20"/>
          <w:szCs w:val="20"/>
        </w:rPr>
        <w:t xml:space="preserve">ents. Actual results or events could differ materially from the plans, intentions, expectations and objectives disclosed in the forward-looking statements that we make. Factors that we believe could cause actual results or events to differ materially from </w:t>
      </w:r>
      <w:r>
        <w:rPr>
          <w:sz w:val="20"/>
          <w:szCs w:val="20"/>
        </w:rPr>
        <w:t>our forward-looking statements include, but are not limited to, those discussed in “Risk Factors,” “Management’s Discussion and Analysis of Financial Condition and Results of Operations” and elsewhere in this report and in our Annual Report on Form 10-K fo</w:t>
      </w:r>
      <w:r>
        <w:rPr>
          <w:sz w:val="20"/>
          <w:szCs w:val="20"/>
        </w:rPr>
        <w:t>r the year ended December 31, 2018. Our forward-looking statements in this report are based on current expectations and we do not assume any obligation to update any forward-looking statements for any reason, even if new information becomes available in th</w:t>
      </w:r>
      <w:r>
        <w:rPr>
          <w:sz w:val="20"/>
          <w:szCs w:val="20"/>
        </w:rPr>
        <w:t>e future.</w:t>
      </w:r>
    </w:p>
    <w:p w14:paraId="5F9A41C0" w14:textId="77777777" w:rsidR="00000000" w:rsidRDefault="00097612">
      <w:pPr>
        <w:pStyle w:val="a3"/>
        <w:spacing w:before="0" w:beforeAutospacing="0" w:after="0" w:afterAutospacing="0"/>
        <w:divId w:val="7103840"/>
        <w:rPr>
          <w:sz w:val="20"/>
          <w:szCs w:val="20"/>
        </w:rPr>
      </w:pPr>
      <w:r>
        <w:rPr>
          <w:sz w:val="20"/>
          <w:szCs w:val="20"/>
        </w:rPr>
        <w:t>​</w:t>
      </w:r>
    </w:p>
    <w:p w14:paraId="3BD93E17" w14:textId="77777777" w:rsidR="00000000" w:rsidRDefault="00097612">
      <w:pPr>
        <w:pStyle w:val="a3"/>
        <w:spacing w:before="0" w:beforeAutospacing="0" w:after="0" w:afterAutospacing="0"/>
        <w:divId w:val="7103840"/>
        <w:rPr>
          <w:sz w:val="20"/>
          <w:szCs w:val="20"/>
        </w:rPr>
      </w:pPr>
      <w:r>
        <w:rPr>
          <w:b/>
          <w:bCs/>
          <w:sz w:val="20"/>
          <w:szCs w:val="20"/>
        </w:rPr>
        <w:t>Management Overview</w:t>
      </w:r>
    </w:p>
    <w:p w14:paraId="182FBBF2" w14:textId="77777777" w:rsidR="00000000" w:rsidRDefault="00097612">
      <w:pPr>
        <w:pStyle w:val="a3"/>
        <w:spacing w:before="0" w:beforeAutospacing="0" w:after="0" w:afterAutospacing="0"/>
        <w:divId w:val="7103840"/>
        <w:rPr>
          <w:sz w:val="20"/>
          <w:szCs w:val="20"/>
        </w:rPr>
      </w:pPr>
      <w:r>
        <w:rPr>
          <w:sz w:val="10"/>
          <w:szCs w:val="10"/>
        </w:rPr>
        <w:t>​</w:t>
      </w:r>
    </w:p>
    <w:p w14:paraId="7A49E03E" w14:textId="77777777" w:rsidR="00000000" w:rsidRDefault="00097612">
      <w:pPr>
        <w:pStyle w:val="a3"/>
        <w:spacing w:before="0" w:beforeAutospacing="0" w:after="0" w:afterAutospacing="0"/>
        <w:ind w:firstLine="720"/>
        <w:divId w:val="7103840"/>
        <w:rPr>
          <w:sz w:val="20"/>
          <w:szCs w:val="20"/>
        </w:rPr>
      </w:pPr>
      <w:r>
        <w:rPr>
          <w:sz w:val="20"/>
          <w:szCs w:val="20"/>
        </w:rPr>
        <w:t>Theravance Biopharma, Inc. (“we,” “our” or “Theravance Biopharma”</w:t>
      </w:r>
      <w:r>
        <w:rPr>
          <w:sz w:val="20"/>
          <w:szCs w:val="20"/>
        </w:rPr>
        <w:t>) is a diversified biopharmaceutical company primarily focused on the discovery, development and commercialization of organ-selective medicines. Our purpose is to create transformational medicines to improve the lives of patients suffering from serious ill</w:t>
      </w:r>
      <w:r>
        <w:rPr>
          <w:sz w:val="20"/>
          <w:szCs w:val="20"/>
        </w:rPr>
        <w:t>nesses. Our research is focused in the areas of inflammation and immunology.</w:t>
      </w:r>
    </w:p>
    <w:p w14:paraId="7F2CA69A" w14:textId="77777777" w:rsidR="00000000" w:rsidRDefault="00097612">
      <w:pPr>
        <w:pStyle w:val="a3"/>
        <w:spacing w:before="0" w:beforeAutospacing="0" w:after="0" w:afterAutospacing="0"/>
        <w:ind w:firstLine="720"/>
        <w:divId w:val="7103840"/>
        <w:rPr>
          <w:sz w:val="20"/>
          <w:szCs w:val="20"/>
        </w:rPr>
      </w:pPr>
      <w:r>
        <w:rPr>
          <w:sz w:val="20"/>
          <w:szCs w:val="20"/>
        </w:rPr>
        <w:t>​</w:t>
      </w:r>
    </w:p>
    <w:p w14:paraId="6F005A5A" w14:textId="77777777" w:rsidR="00000000" w:rsidRDefault="00097612">
      <w:pPr>
        <w:pStyle w:val="a3"/>
        <w:spacing w:before="0" w:beforeAutospacing="0" w:after="0" w:afterAutospacing="0"/>
        <w:ind w:firstLine="720"/>
        <w:divId w:val="7103840"/>
        <w:rPr>
          <w:sz w:val="20"/>
          <w:szCs w:val="20"/>
        </w:rPr>
      </w:pPr>
      <w:r>
        <w:rPr>
          <w:sz w:val="20"/>
          <w:szCs w:val="20"/>
        </w:rPr>
        <w:t xml:space="preserve">In pursuit of our purpose, we apply insights and innovation at each stage of our business and utilize our internal capabilities and those of partners around the world. We apply </w:t>
      </w:r>
      <w:r>
        <w:rPr>
          <w:sz w:val="20"/>
          <w:szCs w:val="20"/>
        </w:rPr>
        <w:t>organ-selective expertise to biologically compelling targets to discover and develop medicines designed to treat underserved localized diseases and to limit systemic exposure, in order to maximize patient benefit and minimize risk. These efforts leverage y</w:t>
      </w:r>
      <w:r>
        <w:rPr>
          <w:sz w:val="20"/>
          <w:szCs w:val="20"/>
        </w:rPr>
        <w:t>ears of experience in developing lung-selective medicines to treat respiratory disease, including the United States (“US”) Food and Drug Administration (the “FDA”) approved YUPELRI</w:t>
      </w:r>
      <w:r>
        <w:rPr>
          <w:sz w:val="15"/>
          <w:szCs w:val="15"/>
          <w:vertAlign w:val="superscript"/>
        </w:rPr>
        <w:t>®</w:t>
      </w:r>
      <w:r>
        <w:rPr>
          <w:sz w:val="20"/>
          <w:szCs w:val="20"/>
        </w:rPr>
        <w:t xml:space="preserve"> (revefenacin) inhalation solution indicated for the maintenance treatment </w:t>
      </w:r>
      <w:r>
        <w:rPr>
          <w:sz w:val="20"/>
          <w:szCs w:val="20"/>
        </w:rPr>
        <w:t>of patients with chronic obstructive pulmonary disease (“COPD”). Our pipeline of internally discovered programs is targeted to address significant patient needs.</w:t>
      </w:r>
    </w:p>
    <w:p w14:paraId="7B972AFF" w14:textId="77777777" w:rsidR="00000000" w:rsidRDefault="00097612">
      <w:pPr>
        <w:pStyle w:val="a3"/>
        <w:spacing w:before="0" w:beforeAutospacing="0" w:after="0" w:afterAutospacing="0"/>
        <w:ind w:firstLine="720"/>
        <w:divId w:val="7103840"/>
        <w:rPr>
          <w:sz w:val="20"/>
          <w:szCs w:val="20"/>
        </w:rPr>
      </w:pPr>
      <w:r>
        <w:rPr>
          <w:sz w:val="20"/>
          <w:szCs w:val="20"/>
        </w:rPr>
        <w:t>​</w:t>
      </w:r>
    </w:p>
    <w:p w14:paraId="71598606" w14:textId="77777777" w:rsidR="00000000" w:rsidRDefault="00097612">
      <w:pPr>
        <w:pStyle w:val="a3"/>
        <w:spacing w:before="0" w:beforeAutospacing="0" w:after="0" w:afterAutospacing="0"/>
        <w:divId w:val="7103840"/>
        <w:rPr>
          <w:sz w:val="20"/>
          <w:szCs w:val="20"/>
        </w:rPr>
      </w:pPr>
      <w:r>
        <w:rPr>
          <w:sz w:val="20"/>
          <w:szCs w:val="20"/>
        </w:rPr>
        <w:t>We have an economic interest in potential future payments from Glaxo Group or one of its aff</w:t>
      </w:r>
      <w:r>
        <w:rPr>
          <w:sz w:val="20"/>
          <w:szCs w:val="20"/>
        </w:rPr>
        <w:t>iliates (“GSK”) pursuant to its agreements with Innoviva, Inc. (“Innoviva”) relating to certain programs, including TRELEGY ELLIPTA.</w:t>
      </w:r>
      <w:r>
        <w:rPr>
          <w:sz w:val="20"/>
          <w:szCs w:val="20"/>
        </w:rPr>
        <w:t xml:space="preserve"> </w:t>
      </w:r>
    </w:p>
    <w:p w14:paraId="12778B18" w14:textId="77777777" w:rsidR="00000000" w:rsidRDefault="00097612">
      <w:pPr>
        <w:pStyle w:val="a3"/>
        <w:spacing w:before="0" w:beforeAutospacing="0" w:after="0" w:afterAutospacing="0"/>
        <w:divId w:val="7103840"/>
        <w:rPr>
          <w:sz w:val="20"/>
          <w:szCs w:val="20"/>
        </w:rPr>
      </w:pPr>
      <w:r>
        <w:rPr>
          <w:sz w:val="20"/>
          <w:szCs w:val="20"/>
        </w:rPr>
        <w:t>​</w:t>
      </w:r>
    </w:p>
    <w:p w14:paraId="0F1FD563" w14:textId="77777777" w:rsidR="00000000" w:rsidRDefault="00097612">
      <w:pPr>
        <w:pStyle w:val="a3"/>
        <w:spacing w:before="0" w:beforeAutospacing="0" w:after="0" w:afterAutospacing="0"/>
        <w:divId w:val="7103840"/>
        <w:rPr>
          <w:sz w:val="20"/>
          <w:szCs w:val="20"/>
        </w:rPr>
      </w:pPr>
      <w:r>
        <w:rPr>
          <w:b/>
          <w:bCs/>
          <w:sz w:val="20"/>
          <w:szCs w:val="20"/>
        </w:rPr>
        <w:t>Program Highlights</w:t>
      </w:r>
    </w:p>
    <w:p w14:paraId="5349FD3F" w14:textId="77777777" w:rsidR="00000000" w:rsidRDefault="00097612">
      <w:pPr>
        <w:pStyle w:val="a3"/>
        <w:spacing w:before="0" w:beforeAutospacing="0" w:after="0" w:afterAutospacing="0"/>
        <w:divId w:val="7103840"/>
        <w:rPr>
          <w:sz w:val="20"/>
          <w:szCs w:val="20"/>
        </w:rPr>
      </w:pPr>
      <w:r>
        <w:rPr>
          <w:b/>
          <w:bCs/>
          <w:sz w:val="10"/>
          <w:szCs w:val="10"/>
        </w:rPr>
        <w:t>​</w:t>
      </w:r>
    </w:p>
    <w:p w14:paraId="58854243" w14:textId="77777777" w:rsidR="00000000" w:rsidRDefault="00097612">
      <w:pPr>
        <w:pStyle w:val="a3"/>
        <w:spacing w:before="0" w:beforeAutospacing="0" w:after="0" w:afterAutospacing="0"/>
        <w:divId w:val="7103840"/>
        <w:rPr>
          <w:sz w:val="20"/>
          <w:szCs w:val="20"/>
        </w:rPr>
      </w:pPr>
      <w:r>
        <w:rPr>
          <w:b/>
          <w:bCs/>
          <w:i/>
          <w:iCs/>
          <w:sz w:val="20"/>
          <w:szCs w:val="20"/>
        </w:rPr>
        <w:t xml:space="preserve">Gut-selective Pan-Janus Kinase (JAK) Inhibitor Program (TD-1473) </w:t>
      </w:r>
    </w:p>
    <w:p w14:paraId="0B4BDF28" w14:textId="77777777" w:rsidR="00000000" w:rsidRDefault="00097612">
      <w:pPr>
        <w:pStyle w:val="a3"/>
        <w:spacing w:before="0" w:beforeAutospacing="0" w:after="0" w:afterAutospacing="0"/>
        <w:divId w:val="7103840"/>
        <w:rPr>
          <w:sz w:val="20"/>
          <w:szCs w:val="20"/>
        </w:rPr>
      </w:pPr>
      <w:r>
        <w:rPr>
          <w:b/>
          <w:bCs/>
          <w:sz w:val="10"/>
          <w:szCs w:val="10"/>
        </w:rPr>
        <w:t>​</w:t>
      </w:r>
    </w:p>
    <w:p w14:paraId="78BCBAB3" w14:textId="77777777" w:rsidR="00000000" w:rsidRDefault="00097612">
      <w:pPr>
        <w:pStyle w:val="a3"/>
        <w:spacing w:before="0" w:beforeAutospacing="0" w:after="0" w:afterAutospacing="0"/>
        <w:ind w:firstLine="720"/>
        <w:divId w:val="7103840"/>
        <w:rPr>
          <w:sz w:val="20"/>
          <w:szCs w:val="20"/>
        </w:rPr>
      </w:pPr>
      <w:r>
        <w:rPr>
          <w:sz w:val="20"/>
          <w:szCs w:val="20"/>
        </w:rPr>
        <w:t>JAK inhibitors function by inhi</w:t>
      </w:r>
      <w:r>
        <w:rPr>
          <w:sz w:val="20"/>
          <w:szCs w:val="20"/>
        </w:rPr>
        <w:t>biting the activity of one or more of the Janus kinase family of enzymes (JAK1, JAK2, JAK3, TYK2) that play a key role in cytokine signaling. Inhibiting these JAK enzymes interferes with the JAK/STAT signaling pathway and, in turn, modulates the activity o</w:t>
      </w:r>
      <w:r>
        <w:rPr>
          <w:sz w:val="20"/>
          <w:szCs w:val="20"/>
        </w:rPr>
        <w:t>f a wide range of pro-inflammatory cytokines. JAK inhibitors are currently approved for the treatment of rheumatoid arthritis, myelofibrosis, and ulcerative colitis and have demonstrated therapeutic benefit for patients with Crohn’s disease. However, these</w:t>
      </w:r>
      <w:r>
        <w:rPr>
          <w:sz w:val="20"/>
          <w:szCs w:val="20"/>
        </w:rPr>
        <w:t xml:space="preserve"> products are known to have side effects based on their </w:t>
      </w:r>
    </w:p>
    <w:p w14:paraId="7B535591" w14:textId="77777777" w:rsidR="00000000" w:rsidRDefault="00097612">
      <w:pPr>
        <w:pStyle w:val="a3"/>
        <w:spacing w:before="360" w:beforeAutospacing="0" w:after="0" w:afterAutospacing="0"/>
        <w:jc w:val="center"/>
        <w:divId w:val="969632421"/>
        <w:rPr>
          <w:sz w:val="20"/>
          <w:szCs w:val="20"/>
        </w:rPr>
      </w:pPr>
      <w:r>
        <w:rPr>
          <w:sz w:val="20"/>
          <w:szCs w:val="20"/>
        </w:rPr>
        <w:t>21</w:t>
      </w:r>
    </w:p>
    <w:p w14:paraId="47069549" w14:textId="77777777" w:rsidR="00000000" w:rsidRDefault="00097612">
      <w:pPr>
        <w:pStyle w:val="a3"/>
        <w:spacing w:before="0" w:beforeAutospacing="0" w:after="600" w:afterAutospacing="0"/>
        <w:divId w:val="1235621671"/>
        <w:rPr>
          <w:sz w:val="20"/>
          <w:szCs w:val="20"/>
        </w:rPr>
      </w:pPr>
      <w:hyperlink w:anchor="TOC" w:history="1">
        <w:r>
          <w:rPr>
            <w:rStyle w:val="a4"/>
            <w:sz w:val="20"/>
            <w:szCs w:val="20"/>
          </w:rPr>
          <w:t>Table of Contents</w:t>
        </w:r>
      </w:hyperlink>
    </w:p>
    <w:p w14:paraId="6299E3DD" w14:textId="77777777" w:rsidR="00000000" w:rsidRDefault="00097612">
      <w:pPr>
        <w:pStyle w:val="a3"/>
        <w:spacing w:before="0" w:beforeAutospacing="0" w:after="0" w:afterAutospacing="0"/>
        <w:divId w:val="1330328279"/>
        <w:rPr>
          <w:sz w:val="20"/>
          <w:szCs w:val="20"/>
        </w:rPr>
      </w:pPr>
      <w:r>
        <w:rPr>
          <w:sz w:val="20"/>
          <w:szCs w:val="20"/>
        </w:rPr>
        <w:t>systemic exposure. In TD-1473, our program goal is to develop an orally administered, gut-selective pan-JAK inhibitor specifically designed to distribut</w:t>
      </w:r>
      <w:r>
        <w:rPr>
          <w:sz w:val="20"/>
          <w:szCs w:val="20"/>
        </w:rPr>
        <w:t>e adequately and predominantly to the tissues of the intestinal tract, treating inflammation in those tissues while minimizing systemic exposure. TD-1473 is in development as a potential treatment for a range of inflammatory intestinal diseases, including </w:t>
      </w:r>
      <w:r>
        <w:rPr>
          <w:sz w:val="20"/>
          <w:szCs w:val="20"/>
        </w:rPr>
        <w:t xml:space="preserve">ulcerative colitis and Crohn’s disease. </w:t>
      </w:r>
    </w:p>
    <w:p w14:paraId="44C78707" w14:textId="77777777" w:rsidR="00000000" w:rsidRDefault="00097612">
      <w:pPr>
        <w:pStyle w:val="a3"/>
        <w:spacing w:before="0" w:beforeAutospacing="0" w:after="0" w:afterAutospacing="0"/>
        <w:ind w:firstLine="720"/>
        <w:divId w:val="1330328279"/>
        <w:rPr>
          <w:sz w:val="20"/>
          <w:szCs w:val="20"/>
        </w:rPr>
      </w:pPr>
      <w:r>
        <w:rPr>
          <w:sz w:val="20"/>
          <w:szCs w:val="20"/>
        </w:rPr>
        <w:t>​</w:t>
      </w:r>
    </w:p>
    <w:p w14:paraId="3593E70B" w14:textId="77777777" w:rsidR="00000000" w:rsidRDefault="00097612">
      <w:pPr>
        <w:pStyle w:val="a3"/>
        <w:spacing w:before="0" w:beforeAutospacing="0" w:after="0" w:afterAutospacing="0"/>
        <w:ind w:firstLine="720"/>
        <w:divId w:val="1330328279"/>
        <w:rPr>
          <w:sz w:val="20"/>
          <w:szCs w:val="20"/>
        </w:rPr>
      </w:pPr>
      <w:r>
        <w:rPr>
          <w:sz w:val="20"/>
          <w:szCs w:val="20"/>
        </w:rPr>
        <w:t>Based on positive results from a Phase 1b exploratory study in ulcerative colitis and following dialogues with the FDA and European Medicines Agency (“EMA”) regarding study design, we advanced TD-1473 into two cli</w:t>
      </w:r>
      <w:r>
        <w:rPr>
          <w:sz w:val="20"/>
          <w:szCs w:val="20"/>
        </w:rPr>
        <w:t>nical studies in inflammatory intestinal diseases. The Phase 2 (DIONE) study is a twelve-week randomized, double-blind, placebo-controlled study designed to evaluate the efficacy and safety of patients with Crohn’s disease, which began dosing patients in l</w:t>
      </w:r>
      <w:r>
        <w:rPr>
          <w:sz w:val="20"/>
          <w:szCs w:val="20"/>
        </w:rPr>
        <w:t xml:space="preserve">ate 2018. The Phase 2b/3 (RHEA) study is a randomized, double-blind, placebo-controlled study to evaluate the efficacy and safety of eight weeks induction and 44 weeks maintenance therapy in patients with ulcerative colitis, which began dosing patients in </w:t>
      </w:r>
      <w:r>
        <w:rPr>
          <w:sz w:val="20"/>
          <w:szCs w:val="20"/>
        </w:rPr>
        <w:t>early 2019. We anticipate results from the Phase 2b portion of the ulcerative colitis study and Phase 2 Crohn’s disease study in late-2020.</w:t>
      </w:r>
    </w:p>
    <w:p w14:paraId="06136020" w14:textId="77777777" w:rsidR="00000000" w:rsidRDefault="00097612">
      <w:pPr>
        <w:pStyle w:val="a3"/>
        <w:spacing w:before="0" w:beforeAutospacing="0" w:after="0" w:afterAutospacing="0"/>
        <w:divId w:val="1330328279"/>
        <w:rPr>
          <w:sz w:val="20"/>
          <w:szCs w:val="20"/>
        </w:rPr>
      </w:pPr>
      <w:r>
        <w:rPr>
          <w:color w:val="FF0000"/>
          <w:sz w:val="20"/>
          <w:szCs w:val="20"/>
        </w:rPr>
        <w:t>​</w:t>
      </w:r>
    </w:p>
    <w:p w14:paraId="305B57E9" w14:textId="77777777" w:rsidR="00000000" w:rsidRDefault="00097612">
      <w:pPr>
        <w:pStyle w:val="a3"/>
        <w:spacing w:before="0" w:beforeAutospacing="0" w:after="0" w:afterAutospacing="0"/>
        <w:divId w:val="1330328279"/>
        <w:rPr>
          <w:sz w:val="20"/>
          <w:szCs w:val="20"/>
        </w:rPr>
      </w:pPr>
      <w:r>
        <w:rPr>
          <w:b/>
          <w:bCs/>
          <w:i/>
          <w:iCs/>
          <w:sz w:val="20"/>
          <w:szCs w:val="20"/>
        </w:rPr>
        <w:t>Irreversible Janus-Kinase 3 (JAK3) Inhibitor (TD-5202)</w:t>
      </w:r>
    </w:p>
    <w:p w14:paraId="3B484688" w14:textId="77777777" w:rsidR="00000000" w:rsidRDefault="00097612">
      <w:pPr>
        <w:pStyle w:val="a3"/>
        <w:spacing w:before="0" w:beforeAutospacing="0" w:after="0" w:afterAutospacing="0"/>
        <w:divId w:val="1330328279"/>
        <w:rPr>
          <w:sz w:val="20"/>
          <w:szCs w:val="20"/>
        </w:rPr>
      </w:pPr>
      <w:r>
        <w:rPr>
          <w:b/>
          <w:bCs/>
          <w:i/>
          <w:iCs/>
          <w:sz w:val="10"/>
          <w:szCs w:val="10"/>
        </w:rPr>
        <w:t>​</w:t>
      </w:r>
    </w:p>
    <w:p w14:paraId="5EC6B4C8" w14:textId="77777777" w:rsidR="00000000" w:rsidRDefault="00097612">
      <w:pPr>
        <w:pStyle w:val="a3"/>
        <w:spacing w:before="0" w:beforeAutospacing="0" w:after="0" w:afterAutospacing="0"/>
        <w:divId w:val="1330328279"/>
        <w:rPr>
          <w:sz w:val="20"/>
          <w:szCs w:val="20"/>
        </w:rPr>
      </w:pPr>
      <w:r>
        <w:rPr>
          <w:sz w:val="20"/>
          <w:szCs w:val="20"/>
        </w:rPr>
        <w:t xml:space="preserve">TD-5202 is an investigational, orally administered, gut-selective, irreversible JAK3 inhibitor that has demonstrated a high affinity for the JAK3 enzyme. Through the selective inhibition of JAK3, TD-5202 interferes with the JAK/STAT signaling pathway and, </w:t>
      </w:r>
      <w:r>
        <w:rPr>
          <w:sz w:val="20"/>
          <w:szCs w:val="20"/>
        </w:rPr>
        <w:t>in turn, modulates the activity of select pro-inflammatory cytokines, including IL-2, IL-15, and IL-21 which play a central role in the pathogenesis of T-cell mediated disease, including inflammatory intestinal disease, such as celiac disease. Importantly,</w:t>
      </w:r>
      <w:r>
        <w:rPr>
          <w:sz w:val="20"/>
          <w:szCs w:val="20"/>
        </w:rPr>
        <w:t xml:space="preserve"> TD-5202 is specifically designed to act locally within the intestinal wall thereby limiting systemic exposure.</w:t>
      </w:r>
      <w:r>
        <w:rPr>
          <w:sz w:val="20"/>
          <w:szCs w:val="20"/>
        </w:rPr>
        <w:t xml:space="preserve"> </w:t>
      </w:r>
    </w:p>
    <w:p w14:paraId="081253A5" w14:textId="77777777" w:rsidR="00000000" w:rsidRDefault="00097612">
      <w:pPr>
        <w:pStyle w:val="a3"/>
        <w:spacing w:before="0" w:beforeAutospacing="0" w:after="0" w:afterAutospacing="0"/>
        <w:divId w:val="1330328279"/>
        <w:rPr>
          <w:sz w:val="20"/>
          <w:szCs w:val="20"/>
        </w:rPr>
      </w:pPr>
      <w:r>
        <w:rPr>
          <w:sz w:val="20"/>
          <w:szCs w:val="20"/>
        </w:rPr>
        <w:t>​</w:t>
      </w:r>
    </w:p>
    <w:p w14:paraId="421FA580" w14:textId="77777777" w:rsidR="00000000" w:rsidRDefault="00097612">
      <w:pPr>
        <w:pStyle w:val="a3"/>
        <w:spacing w:before="0" w:beforeAutospacing="0" w:after="0" w:afterAutospacing="0"/>
        <w:divId w:val="1330328279"/>
        <w:rPr>
          <w:sz w:val="20"/>
          <w:szCs w:val="20"/>
        </w:rPr>
      </w:pPr>
      <w:r>
        <w:rPr>
          <w:sz w:val="20"/>
          <w:szCs w:val="20"/>
        </w:rPr>
        <w:t>In September 2019, we announced the initiation of a Phase 1 single ascending dose and multiple ascending dose trial designed to evaluate the safety and tolerability of TD-5202 in healthy subjects, plus assess plasma pharmacokinetics of TD-5202 to confirm c</w:t>
      </w:r>
      <w:r>
        <w:rPr>
          <w:sz w:val="20"/>
          <w:szCs w:val="20"/>
        </w:rPr>
        <w:t>irculating levels are low, consistent with a gut-selective approach. Data from the study is expected in the first half of 2020.</w:t>
      </w:r>
    </w:p>
    <w:p w14:paraId="531D010E" w14:textId="77777777" w:rsidR="00000000" w:rsidRDefault="00097612">
      <w:pPr>
        <w:pStyle w:val="a3"/>
        <w:spacing w:before="0" w:beforeAutospacing="0" w:after="0" w:afterAutospacing="0"/>
        <w:divId w:val="1330328279"/>
        <w:rPr>
          <w:sz w:val="20"/>
          <w:szCs w:val="20"/>
        </w:rPr>
      </w:pPr>
      <w:r>
        <w:rPr>
          <w:sz w:val="20"/>
          <w:szCs w:val="20"/>
        </w:rPr>
        <w:t>​</w:t>
      </w:r>
    </w:p>
    <w:p w14:paraId="1ABE62F6" w14:textId="77777777" w:rsidR="00000000" w:rsidRDefault="00097612">
      <w:pPr>
        <w:pStyle w:val="a3"/>
        <w:spacing w:before="0" w:beforeAutospacing="0" w:after="0" w:afterAutospacing="0"/>
        <w:divId w:val="1330328279"/>
        <w:rPr>
          <w:sz w:val="20"/>
          <w:szCs w:val="20"/>
        </w:rPr>
      </w:pPr>
      <w:r>
        <w:rPr>
          <w:sz w:val="20"/>
          <w:szCs w:val="20"/>
        </w:rPr>
        <w:t>We are developing TD-1473 and TD-5202 in collaboration with Janssen Biotech, Inc., (“Janssen”) as part of the companies’ globa</w:t>
      </w:r>
      <w:r>
        <w:rPr>
          <w:sz w:val="20"/>
          <w:szCs w:val="20"/>
        </w:rPr>
        <w:t xml:space="preserve">l co-development and commercialization agreement for novel, gut-selective JAK inhibitors. </w:t>
      </w:r>
    </w:p>
    <w:p w14:paraId="14E727EC" w14:textId="77777777" w:rsidR="00000000" w:rsidRDefault="00097612">
      <w:pPr>
        <w:pStyle w:val="a3"/>
        <w:spacing w:before="0" w:beforeAutospacing="0" w:after="0" w:afterAutospacing="0"/>
        <w:divId w:val="1330328279"/>
        <w:rPr>
          <w:sz w:val="20"/>
          <w:szCs w:val="20"/>
        </w:rPr>
      </w:pPr>
      <w:r>
        <w:rPr>
          <w:sz w:val="20"/>
          <w:szCs w:val="20"/>
        </w:rPr>
        <w:t>​</w:t>
      </w:r>
    </w:p>
    <w:p w14:paraId="02F35730" w14:textId="77777777" w:rsidR="00000000" w:rsidRDefault="00097612">
      <w:pPr>
        <w:pStyle w:val="a3"/>
        <w:spacing w:before="0" w:beforeAutospacing="0" w:after="0" w:afterAutospacing="0"/>
        <w:divId w:val="1330328279"/>
        <w:rPr>
          <w:sz w:val="20"/>
          <w:szCs w:val="20"/>
        </w:rPr>
      </w:pPr>
      <w:r>
        <w:rPr>
          <w:i/>
          <w:iCs/>
          <w:sz w:val="20"/>
          <w:szCs w:val="20"/>
        </w:rPr>
        <w:t>Janssen Biotech Collaboration</w:t>
      </w:r>
    </w:p>
    <w:p w14:paraId="4C6486BB" w14:textId="77777777" w:rsidR="00000000" w:rsidRDefault="00097612">
      <w:pPr>
        <w:pStyle w:val="a3"/>
        <w:spacing w:before="0" w:beforeAutospacing="0" w:after="0" w:afterAutospacing="0"/>
        <w:divId w:val="1330328279"/>
        <w:rPr>
          <w:sz w:val="20"/>
          <w:szCs w:val="20"/>
        </w:rPr>
      </w:pPr>
      <w:r>
        <w:rPr>
          <w:i/>
          <w:iCs/>
          <w:sz w:val="10"/>
          <w:szCs w:val="10"/>
        </w:rPr>
        <w:t>​</w:t>
      </w:r>
    </w:p>
    <w:p w14:paraId="479199EA" w14:textId="77777777" w:rsidR="00000000" w:rsidRDefault="00097612">
      <w:pPr>
        <w:pStyle w:val="a3"/>
        <w:spacing w:before="0" w:beforeAutospacing="0" w:after="0" w:afterAutospacing="0"/>
        <w:ind w:firstLine="720"/>
        <w:divId w:val="1330328279"/>
        <w:rPr>
          <w:sz w:val="20"/>
          <w:szCs w:val="20"/>
        </w:rPr>
      </w:pPr>
      <w:r>
        <w:rPr>
          <w:sz w:val="20"/>
          <w:szCs w:val="20"/>
        </w:rPr>
        <w:t>In February 2018, we announced a global co-development and commercialization agreement with Janssen for TD-1473 and related back-up</w:t>
      </w:r>
      <w:r>
        <w:rPr>
          <w:sz w:val="20"/>
          <w:szCs w:val="20"/>
        </w:rPr>
        <w:t xml:space="preserve"> compounds for inflammatory intestinal diseases, including ulcerative colitis and Crohn's disease. Under the terms of the agreement, we received an upfront payment of $100.0 million and will be eligible to receive up to an additional $900.0 million in pote</w:t>
      </w:r>
      <w:r>
        <w:rPr>
          <w:sz w:val="20"/>
          <w:szCs w:val="20"/>
        </w:rPr>
        <w:t>ntial payments, inclusive of a potential opt-in payment following completion of the Phase 2 Crohn’s study and the Phase 2b induction portion of the ulcerative colitis study. At that time, Janssen can elect to obtain an exclusive license to develop and comm</w:t>
      </w:r>
      <w:r>
        <w:rPr>
          <w:sz w:val="20"/>
          <w:szCs w:val="20"/>
        </w:rPr>
        <w:t>ercialize TD-1473 and certain related compounds by paying us a fee of $200.0 million. Upon such election, we and Janssen will jointly develop and commercialize TD-1473 in inflammatory intestinal diseases, and we and Janssen will share profits and losses in</w:t>
      </w:r>
      <w:r>
        <w:rPr>
          <w:sz w:val="20"/>
          <w:szCs w:val="20"/>
        </w:rPr>
        <w:t xml:space="preserve"> the US and expenses related to a potential Phase 3 program (67% to Janssen; 33% to Theravance Biopharma). In addition, we would receive royalties on ex-US sales at double-digit tiered percentage royalty rates.</w:t>
      </w:r>
    </w:p>
    <w:p w14:paraId="37CA78A8" w14:textId="77777777" w:rsidR="00000000" w:rsidRDefault="00097612">
      <w:pPr>
        <w:pStyle w:val="a3"/>
        <w:spacing w:before="0" w:beforeAutospacing="0" w:after="0" w:afterAutospacing="0"/>
        <w:ind w:firstLine="720"/>
        <w:divId w:val="1330328279"/>
        <w:rPr>
          <w:sz w:val="20"/>
          <w:szCs w:val="20"/>
        </w:rPr>
      </w:pPr>
      <w:r>
        <w:rPr>
          <w:sz w:val="20"/>
          <w:szCs w:val="20"/>
        </w:rPr>
        <w:t>​</w:t>
      </w:r>
    </w:p>
    <w:p w14:paraId="6D8385EB" w14:textId="77777777" w:rsidR="00000000" w:rsidRDefault="00097612">
      <w:pPr>
        <w:pStyle w:val="a3"/>
        <w:spacing w:before="0" w:beforeAutospacing="0" w:after="0" w:afterAutospacing="0"/>
        <w:ind w:firstLine="720"/>
        <w:divId w:val="1330328279"/>
        <w:rPr>
          <w:sz w:val="20"/>
          <w:szCs w:val="20"/>
        </w:rPr>
      </w:pPr>
      <w:r>
        <w:rPr>
          <w:sz w:val="20"/>
          <w:szCs w:val="20"/>
        </w:rPr>
        <w:t>The closing of the opt-in portion of the tr</w:t>
      </w:r>
      <w:r>
        <w:rPr>
          <w:sz w:val="20"/>
          <w:szCs w:val="20"/>
        </w:rPr>
        <w:t>ansaction is subject to clearance under the Hart-Scott-Rodino Antitrust Improvements Act (“HSR Act”). After Phase 2, Janssen would lead subsequent development of TD-1473 in Crohn’s disease if it makes such an election. We will lead development of TD-1473 i</w:t>
      </w:r>
      <w:r>
        <w:rPr>
          <w:sz w:val="20"/>
          <w:szCs w:val="20"/>
        </w:rPr>
        <w:t>n ulcerative colitis through completion of the Phase 2b/3 study. If TD-1473 is commercialized, we have the option to co-commercialize in the US, and Janssen would have sole commercialization responsibilities outside the US. </w:t>
      </w:r>
    </w:p>
    <w:p w14:paraId="69B56DBF" w14:textId="77777777" w:rsidR="00000000" w:rsidRDefault="00097612">
      <w:pPr>
        <w:pStyle w:val="a3"/>
        <w:spacing w:before="0" w:beforeAutospacing="0" w:after="0" w:afterAutospacing="0"/>
        <w:divId w:val="1330328279"/>
        <w:rPr>
          <w:sz w:val="20"/>
          <w:szCs w:val="20"/>
        </w:rPr>
      </w:pPr>
      <w:r>
        <w:rPr>
          <w:sz w:val="20"/>
          <w:szCs w:val="20"/>
        </w:rPr>
        <w:t>​</w:t>
      </w:r>
    </w:p>
    <w:p w14:paraId="70402F72" w14:textId="77777777" w:rsidR="00000000" w:rsidRDefault="00097612">
      <w:pPr>
        <w:pStyle w:val="a3"/>
        <w:spacing w:before="0" w:beforeAutospacing="0" w:after="0" w:afterAutospacing="0"/>
        <w:divId w:val="1330328279"/>
        <w:rPr>
          <w:sz w:val="20"/>
          <w:szCs w:val="20"/>
        </w:rPr>
      </w:pPr>
      <w:r>
        <w:rPr>
          <w:b/>
          <w:bCs/>
          <w:i/>
          <w:iCs/>
          <w:sz w:val="20"/>
          <w:szCs w:val="20"/>
        </w:rPr>
        <w:t>Ampreloxetine (TD-9855)</w:t>
      </w:r>
    </w:p>
    <w:p w14:paraId="69691A4E" w14:textId="77777777" w:rsidR="00000000" w:rsidRDefault="00097612">
      <w:pPr>
        <w:pStyle w:val="a3"/>
        <w:spacing w:before="0" w:beforeAutospacing="0" w:after="0" w:afterAutospacing="0"/>
        <w:divId w:val="1330328279"/>
        <w:rPr>
          <w:sz w:val="20"/>
          <w:szCs w:val="20"/>
        </w:rPr>
      </w:pPr>
      <w:r>
        <w:rPr>
          <w:b/>
          <w:bCs/>
          <w:i/>
          <w:iCs/>
          <w:sz w:val="10"/>
          <w:szCs w:val="10"/>
        </w:rPr>
        <w:t>​</w:t>
      </w:r>
    </w:p>
    <w:p w14:paraId="0022FFC7" w14:textId="77777777" w:rsidR="00000000" w:rsidRDefault="00097612">
      <w:pPr>
        <w:pStyle w:val="a3"/>
        <w:spacing w:before="0" w:beforeAutospacing="0" w:after="0" w:afterAutospacing="0"/>
        <w:ind w:firstLine="720"/>
        <w:divId w:val="1330328279"/>
        <w:rPr>
          <w:sz w:val="20"/>
          <w:szCs w:val="20"/>
        </w:rPr>
      </w:pPr>
      <w:r>
        <w:rPr>
          <w:sz w:val="20"/>
          <w:szCs w:val="20"/>
        </w:rPr>
        <w:t>Amp</w:t>
      </w:r>
      <w:r>
        <w:rPr>
          <w:sz w:val="20"/>
          <w:szCs w:val="20"/>
        </w:rPr>
        <w:t>reloxetine is an investigational, once-daily norepinephrine reuptake inhibitor (“NRI”) being developed for the treatment of patients with symptomatic neurogenic orthostatic hypotension (“nOH”). nOH is caused by primary autonomic failure conditions, includi</w:t>
      </w:r>
      <w:r>
        <w:rPr>
          <w:sz w:val="20"/>
          <w:szCs w:val="20"/>
        </w:rPr>
        <w:t xml:space="preserve">ng multiple system atrophy, Parkinson’s disease and pure autonomic failure. The compound has </w:t>
      </w:r>
    </w:p>
    <w:p w14:paraId="59BB15D0" w14:textId="77777777" w:rsidR="00000000" w:rsidRDefault="00097612">
      <w:pPr>
        <w:pStyle w:val="a3"/>
        <w:spacing w:before="360" w:beforeAutospacing="0" w:after="0" w:afterAutospacing="0"/>
        <w:jc w:val="center"/>
        <w:divId w:val="1897080959"/>
        <w:rPr>
          <w:sz w:val="20"/>
          <w:szCs w:val="20"/>
        </w:rPr>
      </w:pPr>
      <w:r>
        <w:rPr>
          <w:sz w:val="20"/>
          <w:szCs w:val="20"/>
        </w:rPr>
        <w:t>22</w:t>
      </w:r>
    </w:p>
    <w:p w14:paraId="79409FF5" w14:textId="77777777" w:rsidR="00000000" w:rsidRDefault="00097612">
      <w:pPr>
        <w:pStyle w:val="a3"/>
        <w:spacing w:before="0" w:beforeAutospacing="0" w:after="600" w:afterAutospacing="0"/>
        <w:divId w:val="1511141848"/>
        <w:rPr>
          <w:sz w:val="20"/>
          <w:szCs w:val="20"/>
        </w:rPr>
      </w:pPr>
      <w:hyperlink w:anchor="TOC" w:history="1">
        <w:r>
          <w:rPr>
            <w:rStyle w:val="a4"/>
            <w:sz w:val="20"/>
            <w:szCs w:val="20"/>
          </w:rPr>
          <w:t>Table of Contents</w:t>
        </w:r>
      </w:hyperlink>
    </w:p>
    <w:p w14:paraId="3F456899" w14:textId="77777777" w:rsidR="00000000" w:rsidRDefault="00097612">
      <w:pPr>
        <w:pStyle w:val="a3"/>
        <w:spacing w:before="0" w:beforeAutospacing="0" w:after="0" w:afterAutospacing="0"/>
        <w:divId w:val="825170477"/>
        <w:rPr>
          <w:sz w:val="20"/>
          <w:szCs w:val="20"/>
        </w:rPr>
      </w:pPr>
      <w:r>
        <w:rPr>
          <w:sz w:val="20"/>
          <w:szCs w:val="20"/>
        </w:rPr>
        <w:t>high affinity for binding to norepinephrine transporters. By blocking the action of these transporters, ampreloxeti</w:t>
      </w:r>
      <w:r>
        <w:rPr>
          <w:sz w:val="20"/>
          <w:szCs w:val="20"/>
        </w:rPr>
        <w:t>ne causes an increase in extracellular concentrations of norepinephrine.</w:t>
      </w:r>
    </w:p>
    <w:p w14:paraId="64CA9351" w14:textId="77777777" w:rsidR="00000000" w:rsidRDefault="00097612">
      <w:pPr>
        <w:pStyle w:val="a3"/>
        <w:spacing w:before="0" w:beforeAutospacing="0" w:after="0" w:afterAutospacing="0"/>
        <w:divId w:val="825170477"/>
        <w:rPr>
          <w:sz w:val="20"/>
          <w:szCs w:val="20"/>
        </w:rPr>
      </w:pPr>
      <w:r>
        <w:rPr>
          <w:sz w:val="20"/>
          <w:szCs w:val="20"/>
        </w:rPr>
        <w:t>​</w:t>
      </w:r>
    </w:p>
    <w:p w14:paraId="4A826D2E" w14:textId="77777777" w:rsidR="00000000" w:rsidRDefault="00097612">
      <w:pPr>
        <w:pStyle w:val="a3"/>
        <w:spacing w:before="0" w:beforeAutospacing="0" w:after="0" w:afterAutospacing="0"/>
        <w:ind w:firstLine="720"/>
        <w:divId w:val="825170477"/>
        <w:rPr>
          <w:sz w:val="20"/>
          <w:szCs w:val="20"/>
        </w:rPr>
      </w:pPr>
      <w:r>
        <w:rPr>
          <w:sz w:val="20"/>
          <w:szCs w:val="20"/>
        </w:rPr>
        <w:t xml:space="preserve">Based on positive top-line four-week results from a small exploratory Phase 2 study in nOH and discussions with the FDA, we advanced ampreloxetine into a Phase 3 program. The Phase </w:t>
      </w:r>
      <w:r>
        <w:rPr>
          <w:sz w:val="20"/>
          <w:szCs w:val="20"/>
        </w:rPr>
        <w:t>3 program includes two studies. The first study (SEQUOIA) is a four-week, randomized double-blind, placebo-controlled study designed to evaluate the efficacy and safety of ampreloxetine in patients with symptomatic nOH. The second study (REDWOOD) is a four</w:t>
      </w:r>
      <w:r>
        <w:rPr>
          <w:sz w:val="20"/>
          <w:szCs w:val="20"/>
        </w:rPr>
        <w:t>-month open label study followed by a six-week randomized withdrawal phase to evaluate the durability of patient response of ampreloxetine. We announced the initiation of patient dosing in each Phase 3 study in early 2019. We anticipate results from the Ph</w:t>
      </w:r>
      <w:r>
        <w:rPr>
          <w:sz w:val="20"/>
          <w:szCs w:val="20"/>
        </w:rPr>
        <w:t>ase 3 four-week efficacy study in the second half of 2020.</w:t>
      </w:r>
    </w:p>
    <w:p w14:paraId="08A366FD" w14:textId="77777777" w:rsidR="00000000" w:rsidRDefault="00097612">
      <w:pPr>
        <w:pStyle w:val="a3"/>
        <w:spacing w:before="0" w:beforeAutospacing="0" w:after="0" w:afterAutospacing="0"/>
        <w:ind w:firstLine="720"/>
        <w:divId w:val="825170477"/>
        <w:rPr>
          <w:sz w:val="20"/>
          <w:szCs w:val="20"/>
        </w:rPr>
      </w:pPr>
      <w:r>
        <w:rPr>
          <w:b/>
          <w:bCs/>
          <w:sz w:val="20"/>
          <w:szCs w:val="20"/>
        </w:rPr>
        <w:t>​</w:t>
      </w:r>
    </w:p>
    <w:p w14:paraId="7FB2B340" w14:textId="77777777" w:rsidR="00000000" w:rsidRDefault="00097612">
      <w:pPr>
        <w:pStyle w:val="a3"/>
        <w:spacing w:before="0" w:beforeAutospacing="0" w:after="0" w:afterAutospacing="0"/>
        <w:ind w:firstLine="720"/>
        <w:divId w:val="825170477"/>
        <w:rPr>
          <w:sz w:val="20"/>
          <w:szCs w:val="20"/>
        </w:rPr>
      </w:pPr>
      <w:r>
        <w:rPr>
          <w:sz w:val="20"/>
          <w:szCs w:val="20"/>
        </w:rPr>
        <w:t>In a poster presentation at the International Congress of Parkinson’s Disease and Movement Disorders</w:t>
      </w:r>
      <w:r>
        <w:rPr>
          <w:sz w:val="15"/>
          <w:szCs w:val="15"/>
          <w:vertAlign w:val="superscript"/>
        </w:rPr>
        <w:t>®</w:t>
      </w:r>
      <w:r>
        <w:rPr>
          <w:sz w:val="20"/>
          <w:szCs w:val="20"/>
        </w:rPr>
        <w:t xml:space="preserve"> (“MDS”) in September 2019, we announced supplemental data from the Phase 2 study of ampreloxe</w:t>
      </w:r>
      <w:r>
        <w:rPr>
          <w:sz w:val="20"/>
          <w:szCs w:val="20"/>
        </w:rPr>
        <w:t xml:space="preserve">tine in nOH. Data suggest mechanistic association between symptom improvement and increases in circulating norepinephrine levels over four weeks of ampreloxetine therapy. </w:t>
      </w:r>
    </w:p>
    <w:p w14:paraId="05939910" w14:textId="77777777" w:rsidR="00000000" w:rsidRDefault="00097612">
      <w:pPr>
        <w:pStyle w:val="a3"/>
        <w:spacing w:before="0" w:beforeAutospacing="0" w:after="0" w:afterAutospacing="0"/>
        <w:divId w:val="825170477"/>
        <w:rPr>
          <w:sz w:val="20"/>
          <w:szCs w:val="20"/>
        </w:rPr>
      </w:pPr>
      <w:r>
        <w:rPr>
          <w:sz w:val="20"/>
          <w:szCs w:val="20"/>
        </w:rPr>
        <w:t>​</w:t>
      </w:r>
    </w:p>
    <w:p w14:paraId="0A63A334" w14:textId="77777777" w:rsidR="00000000" w:rsidRDefault="00097612">
      <w:pPr>
        <w:pStyle w:val="a3"/>
        <w:spacing w:before="0" w:beforeAutospacing="0" w:after="0" w:afterAutospacing="0"/>
        <w:ind w:hanging="200"/>
        <w:divId w:val="825170477"/>
        <w:rPr>
          <w:sz w:val="20"/>
          <w:szCs w:val="20"/>
        </w:rPr>
      </w:pPr>
      <w:r>
        <w:rPr>
          <w:b/>
          <w:bCs/>
          <w:i/>
          <w:iCs/>
          <w:sz w:val="20"/>
          <w:szCs w:val="20"/>
        </w:rPr>
        <w:t>YUPELRI</w:t>
      </w:r>
      <w:r>
        <w:rPr>
          <w:rFonts w:ascii="Times New Roman Bold" w:hAnsi="Times New Roman Bold"/>
          <w:b/>
          <w:bCs/>
          <w:i/>
          <w:iCs/>
          <w:sz w:val="15"/>
          <w:szCs w:val="15"/>
          <w:vertAlign w:val="superscript"/>
        </w:rPr>
        <w:t>®</w:t>
      </w:r>
      <w:r>
        <w:rPr>
          <w:rFonts w:ascii="Times New Roman Bold" w:hAnsi="Times New Roman Bold"/>
          <w:b/>
          <w:bCs/>
          <w:i/>
          <w:iCs/>
          <w:sz w:val="15"/>
          <w:szCs w:val="15"/>
          <w:vertAlign w:val="superscript"/>
        </w:rPr>
        <w:t xml:space="preserve"> </w:t>
      </w:r>
      <w:r>
        <w:rPr>
          <w:b/>
          <w:bCs/>
          <w:i/>
          <w:iCs/>
          <w:sz w:val="20"/>
          <w:szCs w:val="20"/>
        </w:rPr>
        <w:t>(revefenacin) Inhalation Solution</w:t>
      </w:r>
    </w:p>
    <w:p w14:paraId="2B78B1B2" w14:textId="77777777" w:rsidR="00000000" w:rsidRDefault="00097612">
      <w:pPr>
        <w:pStyle w:val="a3"/>
        <w:spacing w:before="0" w:beforeAutospacing="0" w:after="0" w:afterAutospacing="0"/>
        <w:divId w:val="825170477"/>
        <w:rPr>
          <w:sz w:val="20"/>
          <w:szCs w:val="20"/>
        </w:rPr>
      </w:pPr>
      <w:r>
        <w:rPr>
          <w:sz w:val="10"/>
          <w:szCs w:val="10"/>
        </w:rPr>
        <w:t>​</w:t>
      </w:r>
    </w:p>
    <w:p w14:paraId="5045CF28" w14:textId="77777777" w:rsidR="00000000" w:rsidRDefault="00097612">
      <w:pPr>
        <w:pStyle w:val="a3"/>
        <w:spacing w:before="0" w:beforeAutospacing="0" w:after="0" w:afterAutospacing="0"/>
        <w:ind w:firstLine="720"/>
        <w:divId w:val="825170477"/>
        <w:rPr>
          <w:sz w:val="20"/>
          <w:szCs w:val="20"/>
        </w:rPr>
      </w:pPr>
      <w:r>
        <w:rPr>
          <w:sz w:val="20"/>
          <w:szCs w:val="20"/>
        </w:rPr>
        <w:t>YUPELRI (revefenacin) inhalation solution is a once-daily, nebulized long-acting muscarinic antagonist (“LAMA”) approved for the maintenance treatment of COPD in the US. LAMAs are recognized by international COPD treatment guidelines as a cornerstone of ma</w:t>
      </w:r>
      <w:r>
        <w:rPr>
          <w:sz w:val="20"/>
          <w:szCs w:val="20"/>
        </w:rPr>
        <w:t xml:space="preserve">intenance therapy for COPD, regardless of severity of disease. Our market research indicates there is an enduring population of COPD patients in the US that either need or prefer nebulized delivery for maintenance therapy. The stability of YUPELRI in both </w:t>
      </w:r>
      <w:r>
        <w:rPr>
          <w:sz w:val="20"/>
          <w:szCs w:val="20"/>
        </w:rPr>
        <w:t xml:space="preserve">metered dose inhaler and dry powder inhaler (“MDI/DPI”) formulations suggest that this LAMA could also serve as a foundation for novel handheld combination products. </w:t>
      </w:r>
    </w:p>
    <w:p w14:paraId="2129150A" w14:textId="77777777" w:rsidR="00000000" w:rsidRDefault="00097612">
      <w:pPr>
        <w:pStyle w:val="a3"/>
        <w:spacing w:before="0" w:beforeAutospacing="0" w:after="0" w:afterAutospacing="0"/>
        <w:ind w:firstLine="720"/>
        <w:divId w:val="825170477"/>
        <w:rPr>
          <w:sz w:val="20"/>
          <w:szCs w:val="20"/>
        </w:rPr>
      </w:pPr>
      <w:r>
        <w:rPr>
          <w:sz w:val="20"/>
          <w:szCs w:val="20"/>
        </w:rPr>
        <w:t>​</w:t>
      </w:r>
    </w:p>
    <w:p w14:paraId="4018DC80" w14:textId="77777777" w:rsidR="00000000" w:rsidRDefault="00097612">
      <w:pPr>
        <w:pStyle w:val="a3"/>
        <w:spacing w:before="0" w:beforeAutospacing="0" w:after="0" w:afterAutospacing="0"/>
        <w:ind w:firstLine="720"/>
        <w:divId w:val="825170477"/>
        <w:rPr>
          <w:sz w:val="20"/>
          <w:szCs w:val="20"/>
        </w:rPr>
      </w:pPr>
      <w:r>
        <w:rPr>
          <w:sz w:val="20"/>
          <w:szCs w:val="20"/>
        </w:rPr>
        <w:t>In November 2018, YUPELRI was approved by the FDA for the maintenance treatment of pati</w:t>
      </w:r>
      <w:r>
        <w:rPr>
          <w:sz w:val="20"/>
          <w:szCs w:val="20"/>
        </w:rPr>
        <w:t>ents with COPD. Following shipments into commercial channel in late 2018, we and Mylan formally launched our sales and marketing efforts in early 2019. The launch is progressing well in partnership with Mylan. We are tracking several key performance metric</w:t>
      </w:r>
      <w:r>
        <w:rPr>
          <w:sz w:val="20"/>
          <w:szCs w:val="20"/>
        </w:rPr>
        <w:t xml:space="preserve">s to gauge success in building early market acceptance, including formulary reviews, formulary wins and market access. Since launch, YUPELRI has been accepted on 70 formularies that account for a total of 196 institutional accounts. With respect to market </w:t>
      </w:r>
      <w:r>
        <w:rPr>
          <w:sz w:val="20"/>
          <w:szCs w:val="20"/>
        </w:rPr>
        <w:t>access, we have made important gains with confirmed commercial coverage of approximately 50% and Medicare Part B coverage for patients with supplement insurance of 100%. In May 2019, we announced that YUPELRI had been assigned a permanent unique Healthcare</w:t>
      </w:r>
      <w:r>
        <w:rPr>
          <w:sz w:val="20"/>
          <w:szCs w:val="20"/>
        </w:rPr>
        <w:t xml:space="preserve"> Common Procedure Coding System (“J-CODE”) nearly six months ahead of schedule. The permanent J-CODE allows for full automation of prescription adjudication, simplifying the process for pharmacists and patients. </w:t>
      </w:r>
    </w:p>
    <w:p w14:paraId="14CFF95D" w14:textId="77777777" w:rsidR="00000000" w:rsidRDefault="00097612">
      <w:pPr>
        <w:pStyle w:val="a3"/>
        <w:spacing w:before="0" w:beforeAutospacing="0" w:after="0" w:afterAutospacing="0"/>
        <w:divId w:val="825170477"/>
        <w:rPr>
          <w:sz w:val="20"/>
          <w:szCs w:val="20"/>
        </w:rPr>
      </w:pPr>
      <w:r>
        <w:rPr>
          <w:sz w:val="20"/>
          <w:szCs w:val="20"/>
        </w:rPr>
        <w:t>​</w:t>
      </w:r>
    </w:p>
    <w:p w14:paraId="099E169E" w14:textId="77777777" w:rsidR="00000000" w:rsidRDefault="00097612">
      <w:pPr>
        <w:pStyle w:val="a3"/>
        <w:spacing w:before="0" w:beforeAutospacing="0" w:after="0" w:afterAutospacing="0"/>
        <w:divId w:val="825170477"/>
        <w:rPr>
          <w:sz w:val="20"/>
          <w:szCs w:val="20"/>
        </w:rPr>
      </w:pPr>
      <w:r>
        <w:rPr>
          <w:i/>
          <w:iCs/>
          <w:sz w:val="20"/>
          <w:szCs w:val="20"/>
        </w:rPr>
        <w:t>Mylan Collaboration</w:t>
      </w:r>
    </w:p>
    <w:p w14:paraId="10D656DC" w14:textId="77777777" w:rsidR="00000000" w:rsidRDefault="00097612">
      <w:pPr>
        <w:pStyle w:val="a3"/>
        <w:spacing w:before="0" w:beforeAutospacing="0" w:after="0" w:afterAutospacing="0"/>
        <w:divId w:val="825170477"/>
        <w:rPr>
          <w:sz w:val="20"/>
          <w:szCs w:val="20"/>
        </w:rPr>
      </w:pPr>
      <w:r>
        <w:rPr>
          <w:sz w:val="10"/>
          <w:szCs w:val="10"/>
        </w:rPr>
        <w:t>​</w:t>
      </w:r>
    </w:p>
    <w:p w14:paraId="09CEF6E3" w14:textId="77777777" w:rsidR="00000000" w:rsidRDefault="00097612">
      <w:pPr>
        <w:pStyle w:val="a3"/>
        <w:spacing w:before="0" w:beforeAutospacing="0" w:after="0" w:afterAutospacing="0"/>
        <w:ind w:firstLine="720"/>
        <w:divId w:val="825170477"/>
        <w:rPr>
          <w:sz w:val="20"/>
          <w:szCs w:val="20"/>
        </w:rPr>
      </w:pPr>
      <w:r>
        <w:rPr>
          <w:sz w:val="20"/>
          <w:szCs w:val="20"/>
        </w:rPr>
        <w:t>In January 2015, My</w:t>
      </w:r>
      <w:r>
        <w:rPr>
          <w:sz w:val="20"/>
          <w:szCs w:val="20"/>
        </w:rPr>
        <w:t>lan Ireland Limited (“Mylan”) and we established a strategic collaboration for the development and commercialization of revefenacin. Partnering with a world leader in nebulized respiratory therapies enables us to expand the breadth of our revefenacin devel</w:t>
      </w:r>
      <w:r>
        <w:rPr>
          <w:sz w:val="20"/>
          <w:szCs w:val="20"/>
        </w:rPr>
        <w:t>opment program and extend our commercial reach beyond the acute care setting. Mylan funded the Phase 3 development program of YUPELRI, enabling us to advance other high value pipeline assets alongside YUPELRI.</w:t>
      </w:r>
    </w:p>
    <w:p w14:paraId="63E22872" w14:textId="77777777" w:rsidR="00000000" w:rsidRDefault="00097612">
      <w:pPr>
        <w:pStyle w:val="a3"/>
        <w:spacing w:before="0" w:beforeAutospacing="0" w:after="0" w:afterAutospacing="0"/>
        <w:divId w:val="825170477"/>
        <w:rPr>
          <w:sz w:val="20"/>
          <w:szCs w:val="20"/>
        </w:rPr>
      </w:pPr>
      <w:r>
        <w:rPr>
          <w:sz w:val="20"/>
          <w:szCs w:val="20"/>
        </w:rPr>
        <w:t>​</w:t>
      </w:r>
    </w:p>
    <w:p w14:paraId="76369047" w14:textId="77777777" w:rsidR="00000000" w:rsidRDefault="00097612">
      <w:pPr>
        <w:pStyle w:val="a3"/>
        <w:spacing w:before="0" w:beforeAutospacing="0" w:after="0" w:afterAutospacing="0"/>
        <w:ind w:firstLine="720"/>
        <w:divId w:val="825170477"/>
        <w:rPr>
          <w:sz w:val="20"/>
          <w:szCs w:val="20"/>
        </w:rPr>
      </w:pPr>
      <w:r>
        <w:rPr>
          <w:sz w:val="20"/>
          <w:szCs w:val="20"/>
        </w:rPr>
        <w:t>Under the terms of the Mylan Development and</w:t>
      </w:r>
      <w:r>
        <w:rPr>
          <w:sz w:val="20"/>
          <w:szCs w:val="20"/>
        </w:rPr>
        <w:t xml:space="preserve"> Commercialization Agreement (the “Mylan Agreement”), Mylan and we co-develop revefenacin for COPD and other respiratory diseases. We led the US Phase 3 development program for YUPELRI in COPD, and Mylan was responsible for reimbursement of our costs relat</w:t>
      </w:r>
      <w:r>
        <w:rPr>
          <w:sz w:val="20"/>
          <w:szCs w:val="20"/>
        </w:rPr>
        <w:t xml:space="preserve">ed to the registrational program up until the approval of the first new drug application (“NDA”), after which costs are shared. With YUPELRI approved in the US, Mylan is leading commercialization, and we co-promote the product in the US under a profit and </w:t>
      </w:r>
      <w:r>
        <w:rPr>
          <w:sz w:val="20"/>
          <w:szCs w:val="20"/>
        </w:rPr>
        <w:t>loss sharing arrangement (65% to Mylan; 35% to Theravance Biopharma). Outside the US, Mylan will be responsible for development and commercialization and will pay us a tiered royalty on net sales at percentage royalty rates ranging from low double-digits t</w:t>
      </w:r>
      <w:r>
        <w:rPr>
          <w:sz w:val="20"/>
          <w:szCs w:val="20"/>
        </w:rPr>
        <w:t xml:space="preserve">o mid-teens. </w:t>
      </w:r>
    </w:p>
    <w:p w14:paraId="2649DF18" w14:textId="77777777" w:rsidR="00000000" w:rsidRDefault="00097612">
      <w:pPr>
        <w:pStyle w:val="a3"/>
        <w:spacing w:before="0" w:beforeAutospacing="0" w:after="0" w:afterAutospacing="0"/>
        <w:divId w:val="825170477"/>
        <w:rPr>
          <w:sz w:val="20"/>
          <w:szCs w:val="20"/>
        </w:rPr>
      </w:pPr>
      <w:r>
        <w:rPr>
          <w:sz w:val="20"/>
          <w:szCs w:val="20"/>
        </w:rPr>
        <w:t>​</w:t>
      </w:r>
    </w:p>
    <w:p w14:paraId="7B005363" w14:textId="77777777" w:rsidR="00000000" w:rsidRDefault="00097612">
      <w:pPr>
        <w:pStyle w:val="a3"/>
        <w:spacing w:before="0" w:beforeAutospacing="0" w:after="0" w:afterAutospacing="0"/>
        <w:ind w:firstLine="720"/>
        <w:divId w:val="825170477"/>
        <w:rPr>
          <w:sz w:val="20"/>
          <w:szCs w:val="20"/>
        </w:rPr>
      </w:pPr>
      <w:r>
        <w:rPr>
          <w:sz w:val="20"/>
          <w:szCs w:val="20"/>
        </w:rPr>
        <w:t xml:space="preserve">Under the Mylan Agreement, Mylan paid us an initial payment of $15.0 million in cash in the second quarter of 2015. Also, pursuant to an agreement to purchase ordinary shares entered into on January 30, 2015, Mylan Inc., the indirect </w:t>
      </w:r>
    </w:p>
    <w:p w14:paraId="568BFB98" w14:textId="77777777" w:rsidR="00000000" w:rsidRDefault="00097612">
      <w:pPr>
        <w:pStyle w:val="a3"/>
        <w:spacing w:before="360" w:beforeAutospacing="0" w:after="0" w:afterAutospacing="0"/>
        <w:jc w:val="center"/>
        <w:divId w:val="1099108257"/>
        <w:rPr>
          <w:sz w:val="20"/>
          <w:szCs w:val="20"/>
        </w:rPr>
      </w:pPr>
      <w:r>
        <w:rPr>
          <w:sz w:val="20"/>
          <w:szCs w:val="20"/>
        </w:rPr>
        <w:t>23</w:t>
      </w:r>
    </w:p>
    <w:p w14:paraId="533FCF28" w14:textId="77777777" w:rsidR="00000000" w:rsidRDefault="00097612">
      <w:pPr>
        <w:pStyle w:val="a3"/>
        <w:spacing w:before="0" w:beforeAutospacing="0" w:after="600" w:afterAutospacing="0"/>
        <w:divId w:val="2080050950"/>
        <w:rPr>
          <w:sz w:val="20"/>
          <w:szCs w:val="20"/>
        </w:rPr>
      </w:pPr>
      <w:hyperlink w:anchor="TOC" w:history="1">
        <w:r>
          <w:rPr>
            <w:rStyle w:val="a4"/>
            <w:sz w:val="20"/>
            <w:szCs w:val="20"/>
          </w:rPr>
          <w:t>Table of Contents</w:t>
        </w:r>
      </w:hyperlink>
    </w:p>
    <w:p w14:paraId="51FB22AC" w14:textId="77777777" w:rsidR="00000000" w:rsidRDefault="00097612">
      <w:pPr>
        <w:pStyle w:val="a3"/>
        <w:spacing w:before="0" w:beforeAutospacing="0" w:after="0" w:afterAutospacing="0"/>
        <w:divId w:val="1837765651"/>
        <w:rPr>
          <w:sz w:val="20"/>
          <w:szCs w:val="20"/>
        </w:rPr>
      </w:pPr>
      <w:r>
        <w:rPr>
          <w:sz w:val="20"/>
          <w:szCs w:val="20"/>
        </w:rPr>
        <w:t>parent corporation of Mylan, made a $30.0 million equity investment in us, buying 1,585,790 ordinary shares from us in February 2015 in a private placement transaction at a price of approximately $18.918 per share,</w:t>
      </w:r>
      <w:r>
        <w:rPr>
          <w:sz w:val="20"/>
          <w:szCs w:val="20"/>
        </w:rPr>
        <w:t xml:space="preserve"> which represented a 10% premium over the volume weighted-average price per share of our ordinary shares for the five trading days ending on January 30, 2015. In February 2016, we earned a $15.0 million development milestone payment for achieving 50% enrol</w:t>
      </w:r>
      <w:r>
        <w:rPr>
          <w:sz w:val="20"/>
          <w:szCs w:val="20"/>
        </w:rPr>
        <w:t xml:space="preserve">lment in the Phase 3 twelve-month safety study. </w:t>
      </w:r>
    </w:p>
    <w:p w14:paraId="2A6E04F7" w14:textId="77777777" w:rsidR="00000000" w:rsidRDefault="00097612">
      <w:pPr>
        <w:pStyle w:val="a3"/>
        <w:spacing w:before="0" w:beforeAutospacing="0" w:after="0" w:afterAutospacing="0"/>
        <w:ind w:firstLine="720"/>
        <w:divId w:val="1837765651"/>
        <w:rPr>
          <w:sz w:val="20"/>
          <w:szCs w:val="20"/>
        </w:rPr>
      </w:pPr>
      <w:r>
        <w:rPr>
          <w:sz w:val="20"/>
          <w:szCs w:val="20"/>
        </w:rPr>
        <w:t>​</w:t>
      </w:r>
    </w:p>
    <w:p w14:paraId="59C14175" w14:textId="77777777" w:rsidR="00000000" w:rsidRDefault="00097612">
      <w:pPr>
        <w:pStyle w:val="a3"/>
        <w:spacing w:before="0" w:beforeAutospacing="0" w:after="0" w:afterAutospacing="0"/>
        <w:divId w:val="1837765651"/>
        <w:rPr>
          <w:sz w:val="20"/>
          <w:szCs w:val="20"/>
        </w:rPr>
      </w:pPr>
      <w:r>
        <w:rPr>
          <w:sz w:val="20"/>
          <w:szCs w:val="20"/>
          <w:shd w:val="clear" w:color="auto" w:fill="FFFFFF"/>
        </w:rPr>
        <w:t>In June 2019, we announced the expansion of the Mylan Agreement to grant Mylan exclusive development and commercialization rights to nebulized revefenacin in China and adjacent territories, which include H</w:t>
      </w:r>
      <w:r>
        <w:rPr>
          <w:sz w:val="20"/>
          <w:szCs w:val="20"/>
          <w:shd w:val="clear" w:color="auto" w:fill="FFFFFF"/>
        </w:rPr>
        <w:t xml:space="preserve">ong Kong SAR, the Macau SAR, and Taiwan. In exchange, we received an upfront payment of $18.5 million (before a required tax withholding) and will be eligible to receive additional potential development and sales milestones totaling $54.0 million together </w:t>
      </w:r>
      <w:r>
        <w:rPr>
          <w:sz w:val="20"/>
          <w:szCs w:val="20"/>
          <w:shd w:val="clear" w:color="auto" w:fill="FFFFFF"/>
        </w:rPr>
        <w:t>with low double-digit tiered royalties on net sales of nebulized revefenacin, if approved. Mylan will be responsible for all aspects of development and commercialization in the partnered regions, including pre- and post-launch activities and product regist</w:t>
      </w:r>
      <w:r>
        <w:rPr>
          <w:sz w:val="20"/>
          <w:szCs w:val="20"/>
          <w:shd w:val="clear" w:color="auto" w:fill="FFFFFF"/>
        </w:rPr>
        <w:t>ration and all associated costs.</w:t>
      </w:r>
    </w:p>
    <w:p w14:paraId="65F91B84" w14:textId="77777777" w:rsidR="00000000" w:rsidRDefault="00097612">
      <w:pPr>
        <w:pStyle w:val="a3"/>
        <w:spacing w:before="0" w:beforeAutospacing="0" w:after="0" w:afterAutospacing="0"/>
        <w:divId w:val="1837765651"/>
        <w:rPr>
          <w:sz w:val="20"/>
          <w:szCs w:val="20"/>
        </w:rPr>
      </w:pPr>
      <w:r>
        <w:rPr>
          <w:sz w:val="20"/>
          <w:szCs w:val="20"/>
        </w:rPr>
        <w:t>​</w:t>
      </w:r>
    </w:p>
    <w:p w14:paraId="20A17404" w14:textId="77777777" w:rsidR="00000000" w:rsidRDefault="00097612">
      <w:pPr>
        <w:pStyle w:val="a3"/>
        <w:spacing w:before="0" w:beforeAutospacing="0" w:after="0" w:afterAutospacing="0"/>
        <w:ind w:firstLine="720"/>
        <w:divId w:val="1837765651"/>
        <w:rPr>
          <w:sz w:val="20"/>
          <w:szCs w:val="20"/>
        </w:rPr>
      </w:pPr>
      <w:r>
        <w:rPr>
          <w:sz w:val="20"/>
          <w:szCs w:val="20"/>
        </w:rPr>
        <w:t>Under the Mylan Agreement, as of September 30, 2019, we are eligible to receive from Mylan potential global development, regulatory and sales milestone payments totaling up to $259.0 million in the aggregate, with $206.5 </w:t>
      </w:r>
      <w:r>
        <w:rPr>
          <w:sz w:val="20"/>
          <w:szCs w:val="20"/>
        </w:rPr>
        <w:t>million associated with YUPELRI monotherapy, and $52.5 million associated with future potential combination products. Of the $206.5 million associated with monotherapy, $187.5 million relates to sales milestones based on achieving certain levels of net sal</w:t>
      </w:r>
      <w:r>
        <w:rPr>
          <w:sz w:val="20"/>
          <w:szCs w:val="20"/>
        </w:rPr>
        <w:t>es and $19.0 million relates to global development and regulatory actions. The $52.5 million associated with future potential combination products relates solely to global development and regulatory actions. We do not expect to earn any significant milesto</w:t>
      </w:r>
      <w:r>
        <w:rPr>
          <w:sz w:val="20"/>
          <w:szCs w:val="20"/>
        </w:rPr>
        <w:t>ne payments from Mylan for the remainder of 2019.</w:t>
      </w:r>
    </w:p>
    <w:p w14:paraId="6CEC87DB" w14:textId="77777777" w:rsidR="00000000" w:rsidRDefault="00097612">
      <w:pPr>
        <w:pStyle w:val="a3"/>
        <w:spacing w:before="0" w:beforeAutospacing="0" w:after="0" w:afterAutospacing="0"/>
        <w:divId w:val="1837765651"/>
        <w:rPr>
          <w:sz w:val="20"/>
          <w:szCs w:val="20"/>
        </w:rPr>
      </w:pPr>
      <w:r>
        <w:rPr>
          <w:color w:val="FF0000"/>
          <w:sz w:val="20"/>
          <w:szCs w:val="20"/>
        </w:rPr>
        <w:t>​</w:t>
      </w:r>
    </w:p>
    <w:p w14:paraId="4924C48F" w14:textId="77777777" w:rsidR="00000000" w:rsidRDefault="00097612">
      <w:pPr>
        <w:pStyle w:val="a3"/>
        <w:spacing w:before="0" w:beforeAutospacing="0" w:after="0" w:afterAutospacing="0"/>
        <w:ind w:firstLine="720"/>
        <w:divId w:val="1837765651"/>
        <w:rPr>
          <w:sz w:val="20"/>
          <w:szCs w:val="20"/>
        </w:rPr>
      </w:pPr>
      <w:r>
        <w:rPr>
          <w:sz w:val="20"/>
          <w:szCs w:val="20"/>
        </w:rPr>
        <w:t>We retain worldwide rights to revefenacin delivered through other dosage forms, such as a MDI/DPI, while Mylan has certain rights of first negotiation with respect to our development and commercialization</w:t>
      </w:r>
      <w:r>
        <w:rPr>
          <w:sz w:val="20"/>
          <w:szCs w:val="20"/>
        </w:rPr>
        <w:t xml:space="preserve"> of revefenacin delivered other than via a nebulized inhalation product.</w:t>
      </w:r>
    </w:p>
    <w:p w14:paraId="22958049" w14:textId="77777777" w:rsidR="00000000" w:rsidRDefault="00097612">
      <w:pPr>
        <w:pStyle w:val="a3"/>
        <w:spacing w:before="0" w:beforeAutospacing="0" w:after="0" w:afterAutospacing="0"/>
        <w:divId w:val="1837765651"/>
        <w:rPr>
          <w:sz w:val="20"/>
          <w:szCs w:val="20"/>
        </w:rPr>
      </w:pPr>
      <w:r>
        <w:rPr>
          <w:b/>
          <w:bCs/>
          <w:color w:val="FF0000"/>
          <w:sz w:val="20"/>
          <w:szCs w:val="20"/>
        </w:rPr>
        <w:t>​</w:t>
      </w:r>
    </w:p>
    <w:p w14:paraId="5C673E4B" w14:textId="77777777" w:rsidR="00000000" w:rsidRDefault="00097612">
      <w:pPr>
        <w:pStyle w:val="a3"/>
        <w:spacing w:before="0" w:beforeAutospacing="0" w:after="0" w:afterAutospacing="0"/>
        <w:divId w:val="1837765651"/>
        <w:rPr>
          <w:sz w:val="20"/>
          <w:szCs w:val="20"/>
        </w:rPr>
      </w:pPr>
      <w:r>
        <w:rPr>
          <w:b/>
          <w:bCs/>
          <w:i/>
          <w:iCs/>
          <w:sz w:val="20"/>
          <w:szCs w:val="20"/>
        </w:rPr>
        <w:t>Lung-selective Pan-Janus Kinase (JAK) Inhibitor Program (TD-8236)</w:t>
      </w:r>
    </w:p>
    <w:p w14:paraId="7FCDB1E9" w14:textId="77777777" w:rsidR="00000000" w:rsidRDefault="00097612">
      <w:pPr>
        <w:pStyle w:val="a3"/>
        <w:spacing w:before="0" w:beforeAutospacing="0" w:after="0" w:afterAutospacing="0"/>
        <w:divId w:val="1837765651"/>
        <w:rPr>
          <w:sz w:val="20"/>
          <w:szCs w:val="20"/>
        </w:rPr>
      </w:pPr>
      <w:r>
        <w:rPr>
          <w:b/>
          <w:bCs/>
          <w:i/>
          <w:iCs/>
          <w:sz w:val="10"/>
          <w:szCs w:val="10"/>
        </w:rPr>
        <w:t>​</w:t>
      </w:r>
    </w:p>
    <w:p w14:paraId="112F42B7" w14:textId="77777777" w:rsidR="00000000" w:rsidRDefault="00097612">
      <w:pPr>
        <w:pStyle w:val="a3"/>
        <w:spacing w:before="0" w:beforeAutospacing="0" w:after="0" w:afterAutospacing="0"/>
        <w:ind w:firstLine="720"/>
        <w:divId w:val="1837765651"/>
        <w:rPr>
          <w:sz w:val="20"/>
          <w:szCs w:val="20"/>
        </w:rPr>
      </w:pPr>
      <w:r>
        <w:rPr>
          <w:sz w:val="20"/>
          <w:szCs w:val="20"/>
        </w:rPr>
        <w:t>TD-8236 is an investigational, lung-selective inhaled pan-JAK inhibitor that has demonstrated a high affinity for</w:t>
      </w:r>
      <w:r>
        <w:rPr>
          <w:sz w:val="20"/>
          <w:szCs w:val="20"/>
        </w:rPr>
        <w:t xml:space="preserve"> each of the JAK family of enzymes (JAK1, JAK2, JAK3 and TYK2) that play a key role in cytokine signaling. Inhibiting these JAK enzymes interferes with the JAK/STAT signaling pathway and, in turn, modulates the activity of a wide range of pro-inflammatory </w:t>
      </w:r>
      <w:r>
        <w:rPr>
          <w:sz w:val="20"/>
          <w:szCs w:val="20"/>
        </w:rPr>
        <w:t>cytokines. While orally-administered JAK inhibitors are currently approved for the treatment of a range of inflammatory diseases, no inhaled JAK inhibitor is approved for the treatment of airway disease, including asthma. The pan-JAK activity of TD-8236 su</w:t>
      </w:r>
      <w:r>
        <w:rPr>
          <w:sz w:val="20"/>
          <w:szCs w:val="20"/>
        </w:rPr>
        <w:t>ggests that it may impact a broad range of cytokines that have been associated both Th2-high and Th2-low asthma. Many moderate to severe asthma patients comprising these phenotypes remain symptomatic with currently available therapies. Importantly, TD-8236</w:t>
      </w:r>
      <w:r>
        <w:rPr>
          <w:sz w:val="20"/>
          <w:szCs w:val="20"/>
        </w:rPr>
        <w:t xml:space="preserve"> is designed to distribute adequately and predominantly within the lungs following dry powder inhalation, with the potential to treat inflammation within that organ while minimizing systemic exposure. In pre-clinical assessments, TD-8236 has shown to poten</w:t>
      </w:r>
      <w:r>
        <w:rPr>
          <w:sz w:val="20"/>
          <w:szCs w:val="20"/>
        </w:rPr>
        <w:t>tly inhibit targeted mediators of Th2-high and Th2-low asthma in human cells.</w:t>
      </w:r>
      <w:r>
        <w:rPr>
          <w:sz w:val="20"/>
          <w:szCs w:val="20"/>
        </w:rPr>
        <w:t xml:space="preserve"> </w:t>
      </w:r>
    </w:p>
    <w:p w14:paraId="5D1F1EC0" w14:textId="77777777" w:rsidR="00000000" w:rsidRDefault="00097612">
      <w:pPr>
        <w:pStyle w:val="a3"/>
        <w:spacing w:before="0" w:beforeAutospacing="0" w:after="0" w:afterAutospacing="0"/>
        <w:ind w:firstLine="720"/>
        <w:divId w:val="1837765651"/>
        <w:rPr>
          <w:sz w:val="20"/>
          <w:szCs w:val="20"/>
        </w:rPr>
      </w:pPr>
      <w:r>
        <w:rPr>
          <w:sz w:val="20"/>
          <w:szCs w:val="20"/>
        </w:rPr>
        <w:t>​</w:t>
      </w:r>
    </w:p>
    <w:p w14:paraId="0DEB9567" w14:textId="77777777" w:rsidR="00000000" w:rsidRDefault="00097612">
      <w:pPr>
        <w:pStyle w:val="a3"/>
        <w:spacing w:before="0" w:beforeAutospacing="0" w:after="0" w:afterAutospacing="0"/>
        <w:ind w:firstLine="720"/>
        <w:divId w:val="1837765651"/>
        <w:rPr>
          <w:sz w:val="20"/>
          <w:szCs w:val="20"/>
        </w:rPr>
      </w:pPr>
      <w:r>
        <w:rPr>
          <w:sz w:val="20"/>
          <w:szCs w:val="20"/>
        </w:rPr>
        <w:t>In September 2019, we announced positive results from a Phase 1 single-ascending dose and multiple-ascending dose clinical trial of TD-8236. Data from the study demonstrated TD-8236 to be generally well tolerated as a single dose (up to 4500 mcg) in health</w:t>
      </w:r>
      <w:r>
        <w:rPr>
          <w:sz w:val="20"/>
          <w:szCs w:val="20"/>
        </w:rPr>
        <w:t>y volunteers and as a once-daily dose (up to 4000 mcg) given for seven consecutive days in patients with mild asthma. There were no severe or serious adverse events reported and no subject discontinued due to adverse events. Pharmacokinetic results from th</w:t>
      </w:r>
      <w:r>
        <w:rPr>
          <w:sz w:val="20"/>
          <w:szCs w:val="20"/>
        </w:rPr>
        <w:t xml:space="preserve">e trial showed that plasma levels of TD-8236 in study subjects were several orders of magnitude below the levels predicted to cause systemic pharmacological activity, which is consistent with data from preclinical studies and the organ-selective design of </w:t>
      </w:r>
      <w:r>
        <w:rPr>
          <w:sz w:val="20"/>
          <w:szCs w:val="20"/>
        </w:rPr>
        <w:t xml:space="preserve">the compound. Additionally, evidence of the biological activity of TD-8236 in the lung was demonstrated in the repeat dose portion of the study, which recruited patients with mild asthma who had elevated levels of fractional exhaled nitric oxide (“FeNO”). </w:t>
      </w:r>
      <w:r>
        <w:rPr>
          <w:sz w:val="20"/>
          <w:szCs w:val="20"/>
        </w:rPr>
        <w:t>FeNO is an established disease activity biomarker in asthma, and reductions in FeNO are associated with a decrease in airway inflammation. Over the seven days of TD-8236 administration once daily by inhalation, patients experienced reductions in both pre-d</w:t>
      </w:r>
      <w:r>
        <w:rPr>
          <w:sz w:val="20"/>
          <w:szCs w:val="20"/>
        </w:rPr>
        <w:t>ose and six-hour post-dose FeNO compared to placebo at all doses above 150mcg. Importantly, this included &gt;10ppb reduction in pre-dose FeNO on Day 7 for all doses above 150mcg. The Phase 1 clinical trial also includes a biomarker cohort designed to evaluat</w:t>
      </w:r>
      <w:r>
        <w:rPr>
          <w:sz w:val="20"/>
          <w:szCs w:val="20"/>
        </w:rPr>
        <w:t>e multiple doses of TD-8236 in patients with moderate-to-severe asthma. Data from the biomarker cohort is expected in the first half of 2020. Also in</w:t>
      </w:r>
      <w:r>
        <w:rPr>
          <w:sz w:val="20"/>
          <w:szCs w:val="20"/>
        </w:rPr>
        <w:t xml:space="preserve"> </w:t>
      </w:r>
    </w:p>
    <w:p w14:paraId="21CF483E" w14:textId="77777777" w:rsidR="00000000" w:rsidRDefault="00097612">
      <w:pPr>
        <w:pStyle w:val="a3"/>
        <w:spacing w:before="360" w:beforeAutospacing="0" w:after="0" w:afterAutospacing="0"/>
        <w:jc w:val="center"/>
        <w:divId w:val="615798317"/>
        <w:rPr>
          <w:sz w:val="20"/>
          <w:szCs w:val="20"/>
        </w:rPr>
      </w:pPr>
      <w:r>
        <w:rPr>
          <w:sz w:val="20"/>
          <w:szCs w:val="20"/>
        </w:rPr>
        <w:t>24</w:t>
      </w:r>
    </w:p>
    <w:p w14:paraId="2813325D" w14:textId="77777777" w:rsidR="00000000" w:rsidRDefault="00097612">
      <w:pPr>
        <w:pStyle w:val="a3"/>
        <w:spacing w:before="0" w:beforeAutospacing="0" w:after="600" w:afterAutospacing="0"/>
        <w:divId w:val="1820923872"/>
        <w:rPr>
          <w:sz w:val="20"/>
          <w:szCs w:val="20"/>
        </w:rPr>
      </w:pPr>
      <w:hyperlink w:anchor="TOC" w:history="1">
        <w:r>
          <w:rPr>
            <w:rStyle w:val="a4"/>
            <w:sz w:val="20"/>
            <w:szCs w:val="20"/>
          </w:rPr>
          <w:t>Table of Contents</w:t>
        </w:r>
      </w:hyperlink>
    </w:p>
    <w:p w14:paraId="037FEA56" w14:textId="77777777" w:rsidR="00000000" w:rsidRDefault="00097612">
      <w:pPr>
        <w:pStyle w:val="a3"/>
        <w:spacing w:before="0" w:beforeAutospacing="0" w:after="0" w:afterAutospacing="0"/>
        <w:divId w:val="1774858972"/>
        <w:rPr>
          <w:sz w:val="20"/>
          <w:szCs w:val="20"/>
        </w:rPr>
      </w:pPr>
      <w:r>
        <w:rPr>
          <w:sz w:val="20"/>
          <w:szCs w:val="20"/>
        </w:rPr>
        <w:t>September of 2019, we announced plans to initiate a lung a</w:t>
      </w:r>
      <w:r>
        <w:rPr>
          <w:sz w:val="20"/>
          <w:szCs w:val="20"/>
        </w:rPr>
        <w:t>llergen challenge study of TD-8236 in asthma patients in the fourth quarter of 2019, and we expect data from the study in 2020.</w:t>
      </w:r>
      <w:r>
        <w:rPr>
          <w:sz w:val="20"/>
          <w:szCs w:val="20"/>
        </w:rPr>
        <w:t xml:space="preserve"> </w:t>
      </w:r>
    </w:p>
    <w:p w14:paraId="5D4DA2D5" w14:textId="77777777" w:rsidR="00000000" w:rsidRDefault="00097612">
      <w:pPr>
        <w:pStyle w:val="a3"/>
        <w:spacing w:before="0" w:beforeAutospacing="0" w:after="0" w:afterAutospacing="0"/>
        <w:divId w:val="1774858972"/>
        <w:rPr>
          <w:sz w:val="20"/>
          <w:szCs w:val="20"/>
        </w:rPr>
      </w:pPr>
      <w:r>
        <w:rPr>
          <w:sz w:val="20"/>
          <w:szCs w:val="20"/>
        </w:rPr>
        <w:t>​</w:t>
      </w:r>
    </w:p>
    <w:p w14:paraId="066CAB0F" w14:textId="77777777" w:rsidR="00000000" w:rsidRDefault="00097612">
      <w:pPr>
        <w:pStyle w:val="a3"/>
        <w:spacing w:before="0" w:beforeAutospacing="0" w:after="0" w:afterAutospacing="0"/>
        <w:divId w:val="1774858972"/>
        <w:rPr>
          <w:sz w:val="20"/>
          <w:szCs w:val="20"/>
        </w:rPr>
      </w:pPr>
      <w:r>
        <w:rPr>
          <w:b/>
          <w:bCs/>
          <w:i/>
          <w:iCs/>
          <w:sz w:val="20"/>
          <w:szCs w:val="20"/>
        </w:rPr>
        <w:t>Velusetrag (TD-5108)</w:t>
      </w:r>
    </w:p>
    <w:p w14:paraId="11EB2496" w14:textId="77777777" w:rsidR="00000000" w:rsidRDefault="00097612">
      <w:pPr>
        <w:pStyle w:val="a3"/>
        <w:spacing w:before="0" w:beforeAutospacing="0" w:after="0" w:afterAutospacing="0"/>
        <w:ind w:firstLine="720"/>
        <w:divId w:val="1774858972"/>
        <w:rPr>
          <w:sz w:val="20"/>
          <w:szCs w:val="20"/>
        </w:rPr>
      </w:pPr>
      <w:r>
        <w:rPr>
          <w:sz w:val="10"/>
          <w:szCs w:val="10"/>
        </w:rPr>
        <w:t>​</w:t>
      </w:r>
    </w:p>
    <w:p w14:paraId="04E74292" w14:textId="77777777" w:rsidR="00000000" w:rsidRDefault="00097612">
      <w:pPr>
        <w:pStyle w:val="a3"/>
        <w:spacing w:before="0" w:beforeAutospacing="0" w:after="0" w:afterAutospacing="0"/>
        <w:ind w:firstLine="720"/>
        <w:divId w:val="1774858972"/>
        <w:rPr>
          <w:sz w:val="20"/>
          <w:szCs w:val="20"/>
        </w:rPr>
      </w:pPr>
      <w:r>
        <w:rPr>
          <w:sz w:val="20"/>
          <w:szCs w:val="20"/>
        </w:rPr>
        <w:t xml:space="preserve">Velusetrag is an oral, investigational medicine developed for gastrointestinal motility disorders. It is a highly selective agonist with high intrinsic activity at the human 5-HT4 receptor. </w:t>
      </w:r>
    </w:p>
    <w:p w14:paraId="36F197BB" w14:textId="77777777" w:rsidR="00000000" w:rsidRDefault="00097612">
      <w:pPr>
        <w:pStyle w:val="a3"/>
        <w:spacing w:before="0" w:beforeAutospacing="0" w:after="0" w:afterAutospacing="0"/>
        <w:divId w:val="1774858972"/>
        <w:rPr>
          <w:sz w:val="20"/>
          <w:szCs w:val="20"/>
        </w:rPr>
      </w:pPr>
      <w:r>
        <w:rPr>
          <w:sz w:val="20"/>
          <w:szCs w:val="20"/>
        </w:rPr>
        <w:t>​</w:t>
      </w:r>
    </w:p>
    <w:p w14:paraId="6D56BFB7" w14:textId="77777777" w:rsidR="00000000" w:rsidRDefault="00097612">
      <w:pPr>
        <w:pStyle w:val="a3"/>
        <w:spacing w:before="0" w:beforeAutospacing="0" w:after="0" w:afterAutospacing="0"/>
        <w:divId w:val="1774858972"/>
        <w:rPr>
          <w:sz w:val="20"/>
          <w:szCs w:val="20"/>
        </w:rPr>
      </w:pPr>
      <w:r>
        <w:rPr>
          <w:i/>
          <w:iCs/>
          <w:sz w:val="20"/>
          <w:szCs w:val="20"/>
        </w:rPr>
        <w:t>Alfasigma S.p.A. Collaboration</w:t>
      </w:r>
    </w:p>
    <w:p w14:paraId="3405C711" w14:textId="77777777" w:rsidR="00000000" w:rsidRDefault="00097612">
      <w:pPr>
        <w:pStyle w:val="a3"/>
        <w:spacing w:before="0" w:beforeAutospacing="0" w:after="0" w:afterAutospacing="0"/>
        <w:divId w:val="1774858972"/>
        <w:rPr>
          <w:sz w:val="20"/>
          <w:szCs w:val="20"/>
        </w:rPr>
      </w:pPr>
      <w:r>
        <w:rPr>
          <w:i/>
          <w:iCs/>
          <w:sz w:val="10"/>
          <w:szCs w:val="10"/>
        </w:rPr>
        <w:t>​</w:t>
      </w:r>
    </w:p>
    <w:p w14:paraId="5CB2AD1E" w14:textId="77777777" w:rsidR="00000000" w:rsidRDefault="00097612">
      <w:pPr>
        <w:pStyle w:val="a3"/>
        <w:spacing w:before="0" w:beforeAutospacing="0" w:after="0" w:afterAutospacing="0"/>
        <w:ind w:firstLine="720"/>
        <w:divId w:val="1774858972"/>
        <w:rPr>
          <w:sz w:val="20"/>
          <w:szCs w:val="20"/>
        </w:rPr>
      </w:pPr>
      <w:r>
        <w:rPr>
          <w:sz w:val="20"/>
          <w:szCs w:val="20"/>
        </w:rPr>
        <w:t>In 2012, we partnered with Alf</w:t>
      </w:r>
      <w:r>
        <w:rPr>
          <w:sz w:val="20"/>
          <w:szCs w:val="20"/>
        </w:rPr>
        <w:t>asigma S.p.A. (“Alfasigma”) (formerly Alfa Wassermann S.p.A.) in the development of velusetrag and its commercialization in certain countries. In April 2018, Alfasigma exercised its option to develop and commercialize velusetrag, and we elected not to purs</w:t>
      </w:r>
      <w:r>
        <w:rPr>
          <w:sz w:val="20"/>
          <w:szCs w:val="20"/>
        </w:rPr>
        <w:t>ue further development due to our planned pipeline investments and in light of an FDA requirement that a chronically administered gastroparesis product in this class complete a large Phase 3 safety study. Global rights to develop, manufacture and commercia</w:t>
      </w:r>
      <w:r>
        <w:rPr>
          <w:sz w:val="20"/>
          <w:szCs w:val="20"/>
        </w:rPr>
        <w:t>lize velusetrag have been transferred to Alfasigma under the terms of the collaboration agreement. Also under the terms of the collaboration with Alfasigma, we are entitled to receive future potential development, regulatory and commercial milestone paymen</w:t>
      </w:r>
      <w:r>
        <w:rPr>
          <w:sz w:val="20"/>
          <w:szCs w:val="20"/>
        </w:rPr>
        <w:t>ts of up to $26.8 million, and tiered royalties on global net sales ranging from high single digits to the mid-teens.</w:t>
      </w:r>
    </w:p>
    <w:p w14:paraId="4DA83ED9" w14:textId="77777777" w:rsidR="00000000" w:rsidRDefault="00097612">
      <w:pPr>
        <w:pStyle w:val="a3"/>
        <w:spacing w:before="0" w:beforeAutospacing="0" w:after="0" w:afterAutospacing="0"/>
        <w:divId w:val="1774858972"/>
        <w:rPr>
          <w:sz w:val="20"/>
          <w:szCs w:val="20"/>
        </w:rPr>
      </w:pPr>
      <w:r>
        <w:rPr>
          <w:sz w:val="20"/>
          <w:szCs w:val="20"/>
        </w:rPr>
        <w:t>​</w:t>
      </w:r>
    </w:p>
    <w:p w14:paraId="4A7FFAB3" w14:textId="77777777" w:rsidR="00000000" w:rsidRDefault="00097612">
      <w:pPr>
        <w:pStyle w:val="a3"/>
        <w:spacing w:before="0" w:beforeAutospacing="0" w:after="0" w:afterAutospacing="0"/>
        <w:divId w:val="1774858972"/>
        <w:rPr>
          <w:sz w:val="20"/>
          <w:szCs w:val="20"/>
        </w:rPr>
      </w:pPr>
      <w:r>
        <w:rPr>
          <w:b/>
          <w:bCs/>
          <w:i/>
          <w:iCs/>
          <w:sz w:val="20"/>
          <w:szCs w:val="20"/>
        </w:rPr>
        <w:t>VIBATIV</w:t>
      </w:r>
      <w:r>
        <w:rPr>
          <w:b/>
          <w:bCs/>
          <w:i/>
          <w:iCs/>
          <w:sz w:val="15"/>
          <w:szCs w:val="15"/>
          <w:vertAlign w:val="superscript"/>
        </w:rPr>
        <w:t>®</w:t>
      </w:r>
      <w:r>
        <w:rPr>
          <w:b/>
          <w:bCs/>
          <w:i/>
          <w:iCs/>
          <w:sz w:val="20"/>
          <w:szCs w:val="20"/>
        </w:rPr>
        <w:t xml:space="preserve"> (telavancin)</w:t>
      </w:r>
    </w:p>
    <w:p w14:paraId="2AC18623" w14:textId="77777777" w:rsidR="00000000" w:rsidRDefault="00097612">
      <w:pPr>
        <w:pStyle w:val="a3"/>
        <w:spacing w:before="0" w:beforeAutospacing="0" w:after="0" w:afterAutospacing="0"/>
        <w:ind w:firstLine="720"/>
        <w:divId w:val="1774858972"/>
        <w:rPr>
          <w:sz w:val="20"/>
          <w:szCs w:val="20"/>
        </w:rPr>
      </w:pPr>
      <w:r>
        <w:rPr>
          <w:sz w:val="10"/>
          <w:szCs w:val="10"/>
        </w:rPr>
        <w:t>​</w:t>
      </w:r>
    </w:p>
    <w:p w14:paraId="5D43AFC6" w14:textId="77777777" w:rsidR="00000000" w:rsidRDefault="00097612">
      <w:pPr>
        <w:pStyle w:val="a3"/>
        <w:spacing w:before="0" w:beforeAutospacing="0" w:after="0" w:afterAutospacing="0"/>
        <w:ind w:firstLine="720"/>
        <w:divId w:val="1774858972"/>
        <w:rPr>
          <w:sz w:val="20"/>
          <w:szCs w:val="20"/>
        </w:rPr>
      </w:pPr>
      <w:r>
        <w:rPr>
          <w:sz w:val="20"/>
          <w:szCs w:val="20"/>
        </w:rPr>
        <w:t>VIBATIV is a bactericidal, once-daily injectable antibiotic to treat patients with serious, life-threatening inf</w:t>
      </w:r>
      <w:r>
        <w:rPr>
          <w:sz w:val="20"/>
          <w:szCs w:val="20"/>
        </w:rPr>
        <w:t xml:space="preserve">ections due to </w:t>
      </w:r>
      <w:r>
        <w:rPr>
          <w:i/>
          <w:iCs/>
          <w:sz w:val="20"/>
          <w:szCs w:val="20"/>
        </w:rPr>
        <w:t>Staphylococcus aureus</w:t>
      </w:r>
      <w:r>
        <w:rPr>
          <w:sz w:val="20"/>
          <w:szCs w:val="20"/>
        </w:rPr>
        <w:t xml:space="preserve"> and other Gram-positive bacteria, including methicillin-resistant (“MRSA”) strains, discovered and developed by Theravance Biopharma. VIBATIV is approved in the US for the treatment of adult patients with complicated sk</w:t>
      </w:r>
      <w:r>
        <w:rPr>
          <w:sz w:val="20"/>
          <w:szCs w:val="20"/>
        </w:rPr>
        <w:t xml:space="preserve">in and skin structure infections (“cSSSI”) caused by susceptible Gram-positive bacteria and for the treatment of adult patients with hospital-acquired and ventilator-associated bacterial pneumonia (“HABP”/“VABP”) caused by susceptible isolates of </w:t>
      </w:r>
      <w:r>
        <w:rPr>
          <w:i/>
          <w:iCs/>
          <w:sz w:val="20"/>
          <w:szCs w:val="20"/>
        </w:rPr>
        <w:t>Staphyloc</w:t>
      </w:r>
      <w:r>
        <w:rPr>
          <w:i/>
          <w:iCs/>
          <w:sz w:val="20"/>
          <w:szCs w:val="20"/>
        </w:rPr>
        <w:t>occus aureus</w:t>
      </w:r>
      <w:r>
        <w:rPr>
          <w:sz w:val="20"/>
          <w:szCs w:val="20"/>
        </w:rPr>
        <w:t xml:space="preserve"> when alternative treatments are not suitable. In addition, in 2016, the FDA authorized new clinical data into the VIBATIV label concerning concurrent bacteremia in cases of HABP/VABP and cSSSI. VIBATIV is also indicated in Canada and Russia fo</w:t>
      </w:r>
      <w:r>
        <w:rPr>
          <w:sz w:val="20"/>
          <w:szCs w:val="20"/>
        </w:rPr>
        <w:t>r cSSSI and HABP and VABP caused by Gram-positive bacteria, including MRSA.</w:t>
      </w:r>
      <w:r>
        <w:rPr>
          <w:i/>
          <w:iCs/>
          <w:sz w:val="20"/>
          <w:szCs w:val="20"/>
        </w:rPr>
        <w:t xml:space="preserve"> </w:t>
      </w:r>
    </w:p>
    <w:p w14:paraId="08BB2E94" w14:textId="77777777" w:rsidR="00000000" w:rsidRDefault="00097612">
      <w:pPr>
        <w:pStyle w:val="a3"/>
        <w:spacing w:before="0" w:beforeAutospacing="0" w:after="0" w:afterAutospacing="0"/>
        <w:divId w:val="1774858972"/>
        <w:rPr>
          <w:sz w:val="20"/>
          <w:szCs w:val="20"/>
        </w:rPr>
      </w:pPr>
      <w:r>
        <w:rPr>
          <w:sz w:val="20"/>
          <w:szCs w:val="20"/>
        </w:rPr>
        <w:t>​</w:t>
      </w:r>
    </w:p>
    <w:p w14:paraId="0FF6899C" w14:textId="77777777" w:rsidR="00000000" w:rsidRDefault="00097612">
      <w:pPr>
        <w:pStyle w:val="a3"/>
        <w:spacing w:before="0" w:beforeAutospacing="0" w:after="0" w:afterAutospacing="0"/>
        <w:ind w:firstLine="720"/>
        <w:divId w:val="1774858972"/>
        <w:rPr>
          <w:sz w:val="20"/>
          <w:szCs w:val="20"/>
        </w:rPr>
      </w:pPr>
      <w:r>
        <w:rPr>
          <w:sz w:val="20"/>
          <w:szCs w:val="20"/>
        </w:rPr>
        <w:t>In November 2018, we sold VIBATIV to Cumberland Pharmaceuticals Inc. (“Cumberland”) pursuant to an Asset Purchase Agreement (the “Agreement”). Under the Agreement, Cumberland pa</w:t>
      </w:r>
      <w:r>
        <w:rPr>
          <w:sz w:val="20"/>
          <w:szCs w:val="20"/>
        </w:rPr>
        <w:t>id us $20.0 million at the closing of the transaction and $5.0 million in April 2019. In addition, Cumberland will pay us tiered royalties of up to 20% of US net sales of VIBATIV until such time as royalties cumulatively total $100.0 million.</w:t>
      </w:r>
    </w:p>
    <w:p w14:paraId="0009CEBD" w14:textId="77777777" w:rsidR="00000000" w:rsidRDefault="00097612">
      <w:pPr>
        <w:pStyle w:val="a3"/>
        <w:spacing w:before="0" w:beforeAutospacing="0" w:after="0" w:afterAutospacing="0"/>
        <w:divId w:val="1774858972"/>
        <w:rPr>
          <w:sz w:val="20"/>
          <w:szCs w:val="20"/>
        </w:rPr>
      </w:pPr>
      <w:r>
        <w:rPr>
          <w:sz w:val="20"/>
          <w:szCs w:val="20"/>
        </w:rPr>
        <w:t>​</w:t>
      </w:r>
    </w:p>
    <w:p w14:paraId="134CCA75" w14:textId="77777777" w:rsidR="00000000" w:rsidRDefault="00097612">
      <w:pPr>
        <w:pStyle w:val="a3"/>
        <w:spacing w:before="0" w:beforeAutospacing="0" w:after="0" w:afterAutospacing="0"/>
        <w:divId w:val="1774858972"/>
        <w:rPr>
          <w:sz w:val="20"/>
          <w:szCs w:val="20"/>
        </w:rPr>
      </w:pPr>
      <w:r>
        <w:rPr>
          <w:b/>
          <w:bCs/>
          <w:i/>
          <w:iCs/>
          <w:sz w:val="20"/>
          <w:szCs w:val="20"/>
        </w:rPr>
        <w:t>Selective 5</w:t>
      </w:r>
      <w:r>
        <w:rPr>
          <w:b/>
          <w:bCs/>
          <w:i/>
          <w:iCs/>
          <w:sz w:val="20"/>
          <w:szCs w:val="20"/>
        </w:rPr>
        <w:t>-HT4 Agonist (TD-8954)</w:t>
      </w:r>
    </w:p>
    <w:p w14:paraId="03FF9AEA" w14:textId="77777777" w:rsidR="00000000" w:rsidRDefault="00097612">
      <w:pPr>
        <w:pStyle w:val="a3"/>
        <w:spacing w:before="0" w:beforeAutospacing="0" w:after="0" w:afterAutospacing="0"/>
        <w:divId w:val="1774858972"/>
        <w:rPr>
          <w:sz w:val="20"/>
          <w:szCs w:val="20"/>
        </w:rPr>
      </w:pPr>
      <w:r>
        <w:rPr>
          <w:sz w:val="10"/>
          <w:szCs w:val="10"/>
        </w:rPr>
        <w:t>​</w:t>
      </w:r>
    </w:p>
    <w:p w14:paraId="7FE6AACF" w14:textId="77777777" w:rsidR="00000000" w:rsidRDefault="00097612">
      <w:pPr>
        <w:pStyle w:val="a3"/>
        <w:spacing w:before="0" w:beforeAutospacing="0" w:after="0" w:afterAutospacing="0"/>
        <w:ind w:firstLine="720"/>
        <w:divId w:val="1774858972"/>
        <w:rPr>
          <w:sz w:val="20"/>
          <w:szCs w:val="20"/>
        </w:rPr>
      </w:pPr>
      <w:r>
        <w:rPr>
          <w:sz w:val="20"/>
          <w:szCs w:val="20"/>
        </w:rPr>
        <w:t xml:space="preserve">TD-8954 is a selective 5-HT4 receptor agonist being developed for potential use in the treatment of gastrointestinal motility disorders. </w:t>
      </w:r>
    </w:p>
    <w:p w14:paraId="4F33D0DC" w14:textId="77777777" w:rsidR="00000000" w:rsidRDefault="00097612">
      <w:pPr>
        <w:pStyle w:val="a3"/>
        <w:spacing w:before="0" w:beforeAutospacing="0" w:after="0" w:afterAutospacing="0"/>
        <w:divId w:val="1774858972"/>
        <w:rPr>
          <w:sz w:val="20"/>
          <w:szCs w:val="20"/>
        </w:rPr>
      </w:pPr>
      <w:r>
        <w:rPr>
          <w:sz w:val="20"/>
          <w:szCs w:val="20"/>
        </w:rPr>
        <w:t>​</w:t>
      </w:r>
    </w:p>
    <w:p w14:paraId="11E073E6" w14:textId="77777777" w:rsidR="00000000" w:rsidRDefault="00097612">
      <w:pPr>
        <w:pStyle w:val="a3"/>
        <w:spacing w:before="0" w:beforeAutospacing="0" w:after="0" w:afterAutospacing="0"/>
        <w:divId w:val="1774858972"/>
        <w:rPr>
          <w:sz w:val="20"/>
          <w:szCs w:val="20"/>
        </w:rPr>
      </w:pPr>
      <w:r>
        <w:rPr>
          <w:i/>
          <w:iCs/>
          <w:sz w:val="20"/>
          <w:szCs w:val="20"/>
        </w:rPr>
        <w:t>Takeda Collaborative Arrangement</w:t>
      </w:r>
    </w:p>
    <w:p w14:paraId="6ACAE836" w14:textId="77777777" w:rsidR="00000000" w:rsidRDefault="00097612">
      <w:pPr>
        <w:pStyle w:val="a3"/>
        <w:spacing w:before="0" w:beforeAutospacing="0" w:after="0" w:afterAutospacing="0"/>
        <w:divId w:val="1774858972"/>
        <w:rPr>
          <w:sz w:val="20"/>
          <w:szCs w:val="20"/>
        </w:rPr>
      </w:pPr>
      <w:r>
        <w:rPr>
          <w:sz w:val="10"/>
          <w:szCs w:val="10"/>
        </w:rPr>
        <w:t>​</w:t>
      </w:r>
    </w:p>
    <w:p w14:paraId="053B5F86" w14:textId="77777777" w:rsidR="00000000" w:rsidRDefault="00097612">
      <w:pPr>
        <w:pStyle w:val="a3"/>
        <w:spacing w:before="0" w:beforeAutospacing="0" w:after="0" w:afterAutospacing="0"/>
        <w:ind w:firstLine="720"/>
        <w:divId w:val="1774858972"/>
        <w:rPr>
          <w:sz w:val="20"/>
          <w:szCs w:val="20"/>
        </w:rPr>
      </w:pPr>
      <w:r>
        <w:rPr>
          <w:sz w:val="20"/>
          <w:szCs w:val="20"/>
        </w:rPr>
        <w:t>In June </w:t>
      </w:r>
      <w:r>
        <w:rPr>
          <w:sz w:val="20"/>
          <w:szCs w:val="20"/>
        </w:rPr>
        <w:t>2016, we entered into a License and Collaboration Agreement (the “Takeda Agreement”) with Millennium Pharmaceuticals, Inc., a Delaware corporation (“Millennium”), in order to establish a collaboration for the development and commercialization of TD-8954 (T</w:t>
      </w:r>
      <w:r>
        <w:rPr>
          <w:sz w:val="20"/>
          <w:szCs w:val="20"/>
        </w:rPr>
        <w:t xml:space="preserve">AK-954). Millennium is an indirect wholly-owned subsidiary of Takeda Pharmaceutical Company Limited (“Takeda”). TD-8954 is currently in a Phase 2 study as a potential treatment for post-operative gastrointestinal dysfunction. Under the terms of the Takeda </w:t>
      </w:r>
      <w:r>
        <w:rPr>
          <w:sz w:val="20"/>
          <w:szCs w:val="20"/>
        </w:rPr>
        <w:t>Agreement, Takeda is responsible for worldwide development and commercialization of TD-8954. We received an upfront cash payment of $15.0 million and will be eligible to receive success-based development, regulatory and sales milestone payments from Takeda</w:t>
      </w:r>
      <w:r>
        <w:rPr>
          <w:sz w:val="20"/>
          <w:szCs w:val="20"/>
        </w:rPr>
        <w:t>. We will also be eligible to receive a tiered royalty on worldwide net sales by Takeda at percentage royalty rates ranging from low double-digits to mid-teens.</w:t>
      </w:r>
    </w:p>
    <w:p w14:paraId="51CC4D8D" w14:textId="77777777" w:rsidR="00000000" w:rsidRDefault="00097612">
      <w:pPr>
        <w:pStyle w:val="a3"/>
        <w:spacing w:before="0" w:beforeAutospacing="0" w:after="0" w:afterAutospacing="0"/>
        <w:divId w:val="1774858972"/>
        <w:rPr>
          <w:sz w:val="20"/>
          <w:szCs w:val="20"/>
        </w:rPr>
      </w:pPr>
      <w:r>
        <w:rPr>
          <w:sz w:val="20"/>
          <w:szCs w:val="20"/>
        </w:rPr>
        <w:t>​</w:t>
      </w:r>
    </w:p>
    <w:p w14:paraId="25C80B11" w14:textId="77777777" w:rsidR="00000000" w:rsidRDefault="00097612">
      <w:pPr>
        <w:pStyle w:val="a3"/>
        <w:spacing w:before="0" w:beforeAutospacing="0" w:after="120" w:afterAutospacing="0"/>
        <w:divId w:val="1774858972"/>
        <w:rPr>
          <w:sz w:val="20"/>
          <w:szCs w:val="20"/>
        </w:rPr>
      </w:pPr>
      <w:r>
        <w:rPr>
          <w:b/>
          <w:bCs/>
          <w:sz w:val="20"/>
          <w:szCs w:val="20"/>
        </w:rPr>
        <w:t>Research Projects</w:t>
      </w:r>
    </w:p>
    <w:p w14:paraId="065D53C9" w14:textId="77777777" w:rsidR="00000000" w:rsidRDefault="00097612">
      <w:pPr>
        <w:pStyle w:val="a3"/>
        <w:spacing w:before="0" w:beforeAutospacing="0" w:after="0" w:afterAutospacing="0"/>
        <w:ind w:firstLine="720"/>
        <w:divId w:val="1774858972"/>
        <w:rPr>
          <w:sz w:val="20"/>
          <w:szCs w:val="20"/>
        </w:rPr>
      </w:pPr>
      <w:r>
        <w:rPr>
          <w:sz w:val="20"/>
          <w:szCs w:val="20"/>
        </w:rPr>
        <w:t>Our research goal is to design organ-selective medicines that target diseas</w:t>
      </w:r>
      <w:r>
        <w:rPr>
          <w:sz w:val="20"/>
          <w:szCs w:val="20"/>
        </w:rPr>
        <w:t>ed tissues, without systemic exposure, in order to maximize patient benefit and minimize risk. The intention is to expand the therapeutic index of our potential medicines compared to conventional systemic therapies. Our efforts leverage years of experience</w:t>
      </w:r>
      <w:r>
        <w:rPr>
          <w:sz w:val="20"/>
          <w:szCs w:val="20"/>
        </w:rPr>
        <w:t xml:space="preserve"> in developing lung-</w:t>
      </w:r>
    </w:p>
    <w:p w14:paraId="4563F9DF" w14:textId="77777777" w:rsidR="00000000" w:rsidRDefault="00097612">
      <w:pPr>
        <w:pStyle w:val="a3"/>
        <w:spacing w:before="360" w:beforeAutospacing="0" w:after="0" w:afterAutospacing="0"/>
        <w:jc w:val="center"/>
        <w:divId w:val="827019760"/>
        <w:rPr>
          <w:sz w:val="20"/>
          <w:szCs w:val="20"/>
        </w:rPr>
      </w:pPr>
      <w:r>
        <w:rPr>
          <w:sz w:val="20"/>
          <w:szCs w:val="20"/>
        </w:rPr>
        <w:t>25</w:t>
      </w:r>
    </w:p>
    <w:p w14:paraId="2775AE2A" w14:textId="77777777" w:rsidR="00000000" w:rsidRDefault="00097612">
      <w:pPr>
        <w:pStyle w:val="a3"/>
        <w:spacing w:before="0" w:beforeAutospacing="0" w:after="600" w:afterAutospacing="0"/>
        <w:divId w:val="1546286360"/>
        <w:rPr>
          <w:sz w:val="20"/>
          <w:szCs w:val="20"/>
        </w:rPr>
      </w:pPr>
      <w:hyperlink w:anchor="TOC" w:history="1">
        <w:r>
          <w:rPr>
            <w:rStyle w:val="a4"/>
            <w:sz w:val="20"/>
            <w:szCs w:val="20"/>
          </w:rPr>
          <w:t>Table of Contents</w:t>
        </w:r>
      </w:hyperlink>
    </w:p>
    <w:p w14:paraId="68A7460A" w14:textId="77777777" w:rsidR="00000000" w:rsidRDefault="00097612">
      <w:pPr>
        <w:pStyle w:val="a3"/>
        <w:spacing w:before="0" w:beforeAutospacing="0" w:after="0" w:afterAutospacing="0"/>
        <w:divId w:val="899710933"/>
        <w:rPr>
          <w:sz w:val="20"/>
          <w:szCs w:val="20"/>
        </w:rPr>
      </w:pPr>
      <w:r>
        <w:rPr>
          <w:sz w:val="20"/>
          <w:szCs w:val="20"/>
        </w:rPr>
        <w:t>selective medicines, such as YUPELRI, to treat respiratory diseases, and have led to the discovery of the gut-selective pan-JAK inhibitor TD-1473 in inflammatory intestinal diseases and th</w:t>
      </w:r>
      <w:r>
        <w:rPr>
          <w:sz w:val="20"/>
          <w:szCs w:val="20"/>
        </w:rPr>
        <w:t>e lung-selective inhaled JAK inhibitor TD-8236 in serious respiratory disease. We plan to advance towards the clinic other research projects with various mechanisms of action, each specifically tailored for the organ of interest, as we identify and validat</w:t>
      </w:r>
      <w:r>
        <w:rPr>
          <w:sz w:val="20"/>
          <w:szCs w:val="20"/>
        </w:rPr>
        <w:t xml:space="preserve">e potentially appropriate compounds. Our research is focused in the areas of inflammation and immunology, and our pipeline of internally discovered programs is targeted to address significant patient needs. </w:t>
      </w:r>
    </w:p>
    <w:p w14:paraId="7436E417" w14:textId="77777777" w:rsidR="00000000" w:rsidRDefault="00097612">
      <w:pPr>
        <w:pStyle w:val="a3"/>
        <w:spacing w:before="0" w:beforeAutospacing="0" w:after="0" w:afterAutospacing="0"/>
        <w:divId w:val="899710933"/>
        <w:rPr>
          <w:sz w:val="20"/>
          <w:szCs w:val="20"/>
        </w:rPr>
      </w:pPr>
      <w:r>
        <w:rPr>
          <w:sz w:val="20"/>
          <w:szCs w:val="20"/>
        </w:rPr>
        <w:t>​</w:t>
      </w:r>
    </w:p>
    <w:p w14:paraId="78D94D39" w14:textId="77777777" w:rsidR="00000000" w:rsidRDefault="00097612">
      <w:pPr>
        <w:pStyle w:val="a3"/>
        <w:spacing w:before="0" w:beforeAutospacing="0" w:after="120" w:afterAutospacing="0"/>
        <w:divId w:val="899710933"/>
        <w:rPr>
          <w:sz w:val="20"/>
          <w:szCs w:val="20"/>
        </w:rPr>
      </w:pPr>
      <w:r>
        <w:rPr>
          <w:b/>
          <w:bCs/>
          <w:sz w:val="20"/>
          <w:szCs w:val="20"/>
        </w:rPr>
        <w:t>Economic Interest in GSK-Partnered Respiratory</w:t>
      </w:r>
      <w:r>
        <w:rPr>
          <w:b/>
          <w:bCs/>
          <w:sz w:val="20"/>
          <w:szCs w:val="20"/>
        </w:rPr>
        <w:t xml:space="preserve"> Programs</w:t>
      </w:r>
    </w:p>
    <w:p w14:paraId="4374821C" w14:textId="77777777" w:rsidR="00000000" w:rsidRDefault="00097612">
      <w:pPr>
        <w:pStyle w:val="a3"/>
        <w:spacing w:before="0" w:beforeAutospacing="0" w:after="0" w:afterAutospacing="0"/>
        <w:ind w:firstLine="720"/>
        <w:divId w:val="899710933"/>
        <w:rPr>
          <w:sz w:val="12"/>
          <w:szCs w:val="12"/>
        </w:rPr>
      </w:pPr>
      <w:r>
        <w:rPr>
          <w:sz w:val="20"/>
          <w:szCs w:val="20"/>
        </w:rPr>
        <w:t>We are entitled to receive an 85% economic interest in any future payments that may be made by GSK to Theravance Respiratory Company, LLC (“TRC”) pursuant to its agreements with Innoviva (net of TRC expenses paid and the amount of cash, if any, e</w:t>
      </w:r>
      <w:r>
        <w:rPr>
          <w:sz w:val="20"/>
          <w:szCs w:val="20"/>
        </w:rPr>
        <w:t>xpected to be used in TRC over the next four fiscal quarters) relating to the GSK-Partnered Respiratory Programs, which Innoviva partnered with GSK and assigned to TRC in connection with Innoviva’s separation of its biopharmaceutical operations into its th</w:t>
      </w:r>
      <w:r>
        <w:rPr>
          <w:sz w:val="20"/>
          <w:szCs w:val="20"/>
        </w:rPr>
        <w:t>en wholly-owned subsidiary Theravance Biopharma in June 2014. The GSK-Partnered Respiratory Programs consist primarily of the TRELEGY ELLIPTA program and the inhaled Bifunctional Muscarinic Antagonist-Beta2 Agonist (“MABA”) program, each of which are descr</w:t>
      </w:r>
      <w:r>
        <w:rPr>
          <w:sz w:val="20"/>
          <w:szCs w:val="20"/>
        </w:rPr>
        <w:t>ibed in more detail below. We are entitled to this economic interest through our equity ownership in TRC. Our economic interest does not include any payments associated with RELVAR</w:t>
      </w:r>
      <w:r>
        <w:rPr>
          <w:sz w:val="13"/>
          <w:szCs w:val="13"/>
          <w:vertAlign w:val="superscript"/>
        </w:rPr>
        <w:t>®</w:t>
      </w:r>
      <w:r>
        <w:rPr>
          <w:sz w:val="20"/>
          <w:szCs w:val="20"/>
        </w:rPr>
        <w:t xml:space="preserve"> ELLIPTA</w:t>
      </w:r>
      <w:r>
        <w:rPr>
          <w:sz w:val="13"/>
          <w:szCs w:val="13"/>
          <w:vertAlign w:val="superscript"/>
        </w:rPr>
        <w:t>®</w:t>
      </w:r>
      <w:r>
        <w:rPr>
          <w:sz w:val="20"/>
          <w:szCs w:val="20"/>
        </w:rPr>
        <w:t>/BREO</w:t>
      </w:r>
      <w:r>
        <w:rPr>
          <w:sz w:val="13"/>
          <w:szCs w:val="13"/>
          <w:vertAlign w:val="superscript"/>
        </w:rPr>
        <w:t>®</w:t>
      </w:r>
      <w:r>
        <w:rPr>
          <w:sz w:val="20"/>
          <w:szCs w:val="20"/>
        </w:rPr>
        <w:t xml:space="preserve"> ELLIPTA</w:t>
      </w:r>
      <w:r>
        <w:rPr>
          <w:sz w:val="13"/>
          <w:szCs w:val="13"/>
          <w:vertAlign w:val="superscript"/>
        </w:rPr>
        <w:t>®</w:t>
      </w:r>
      <w:r>
        <w:rPr>
          <w:sz w:val="20"/>
          <w:szCs w:val="20"/>
        </w:rPr>
        <w:t>, ANORO</w:t>
      </w:r>
      <w:r>
        <w:rPr>
          <w:sz w:val="13"/>
          <w:szCs w:val="13"/>
          <w:vertAlign w:val="superscript"/>
        </w:rPr>
        <w:t>®</w:t>
      </w:r>
      <w:r>
        <w:rPr>
          <w:sz w:val="20"/>
          <w:szCs w:val="20"/>
        </w:rPr>
        <w:t xml:space="preserve"> ELLIPTA</w:t>
      </w:r>
      <w:r>
        <w:rPr>
          <w:sz w:val="13"/>
          <w:szCs w:val="13"/>
          <w:vertAlign w:val="superscript"/>
        </w:rPr>
        <w:t>®</w:t>
      </w:r>
      <w:r>
        <w:rPr>
          <w:sz w:val="20"/>
          <w:szCs w:val="20"/>
        </w:rPr>
        <w:t xml:space="preserve"> or vilanterol monotherapy. </w:t>
      </w:r>
    </w:p>
    <w:p w14:paraId="67B0567E" w14:textId="77777777" w:rsidR="00000000" w:rsidRDefault="00097612">
      <w:pPr>
        <w:pStyle w:val="a3"/>
        <w:spacing w:before="0" w:beforeAutospacing="0" w:after="0" w:afterAutospacing="0"/>
        <w:ind w:firstLine="720"/>
        <w:divId w:val="899710933"/>
        <w:rPr>
          <w:sz w:val="20"/>
          <w:szCs w:val="20"/>
        </w:rPr>
      </w:pPr>
      <w:r>
        <w:rPr>
          <w:sz w:val="20"/>
          <w:szCs w:val="20"/>
        </w:rPr>
        <w:t>​</w:t>
      </w:r>
    </w:p>
    <w:p w14:paraId="72F3164F" w14:textId="77777777" w:rsidR="00000000" w:rsidRDefault="00097612">
      <w:pPr>
        <w:pStyle w:val="a3"/>
        <w:spacing w:before="0" w:beforeAutospacing="0" w:after="0" w:afterAutospacing="0"/>
        <w:ind w:firstLine="720"/>
        <w:divId w:val="899710933"/>
        <w:rPr>
          <w:sz w:val="20"/>
          <w:szCs w:val="20"/>
        </w:rPr>
      </w:pPr>
      <w:r>
        <w:rPr>
          <w:sz w:val="20"/>
          <w:szCs w:val="20"/>
        </w:rPr>
        <w:t xml:space="preserve">In </w:t>
      </w:r>
      <w:r>
        <w:rPr>
          <w:sz w:val="20"/>
          <w:szCs w:val="20"/>
        </w:rPr>
        <w:t>May 2019, we announced that we had initiated an arbitration against Innoviva and TRC because Innoviva had caused TRC to not make certain distributions owed to us with respect to our 85% economic interest in TRC. A final decision was issued in September 201</w:t>
      </w:r>
      <w:r>
        <w:rPr>
          <w:sz w:val="20"/>
          <w:szCs w:val="20"/>
        </w:rPr>
        <w:t>9. See Part II, Item 1 “Legal Proceedings” for further information.</w:t>
      </w:r>
    </w:p>
    <w:p w14:paraId="72ABBC2C" w14:textId="77777777" w:rsidR="00000000" w:rsidRDefault="00097612">
      <w:pPr>
        <w:pStyle w:val="a3"/>
        <w:spacing w:before="0" w:beforeAutospacing="0" w:after="0" w:afterAutospacing="0"/>
        <w:ind w:firstLine="720"/>
        <w:divId w:val="899710933"/>
        <w:rPr>
          <w:sz w:val="20"/>
          <w:szCs w:val="20"/>
        </w:rPr>
      </w:pPr>
      <w:r>
        <w:rPr>
          <w:sz w:val="20"/>
          <w:szCs w:val="20"/>
        </w:rPr>
        <w:t>​</w:t>
      </w:r>
    </w:p>
    <w:p w14:paraId="415EDE58" w14:textId="77777777" w:rsidR="00000000" w:rsidRDefault="00097612">
      <w:pPr>
        <w:pStyle w:val="a3"/>
        <w:spacing w:before="0" w:beforeAutospacing="0" w:after="0" w:afterAutospacing="0"/>
        <w:ind w:firstLine="720"/>
        <w:divId w:val="899710933"/>
        <w:rPr>
          <w:sz w:val="20"/>
          <w:szCs w:val="20"/>
        </w:rPr>
      </w:pPr>
      <w:r>
        <w:rPr>
          <w:sz w:val="20"/>
          <w:szCs w:val="20"/>
        </w:rPr>
        <w:t>The following information regarding the TRELEGY ELLIPTA and MABA programs is based solely upon publicly available information and may not reflect the most recent developments under the p</w:t>
      </w:r>
      <w:r>
        <w:rPr>
          <w:sz w:val="20"/>
          <w:szCs w:val="20"/>
        </w:rPr>
        <w:t>rograms.</w:t>
      </w:r>
    </w:p>
    <w:p w14:paraId="6F84A145" w14:textId="77777777" w:rsidR="00000000" w:rsidRDefault="00097612">
      <w:pPr>
        <w:pStyle w:val="a3"/>
        <w:spacing w:before="0" w:beforeAutospacing="0" w:after="0" w:afterAutospacing="0"/>
        <w:divId w:val="899710933"/>
        <w:rPr>
          <w:sz w:val="20"/>
          <w:szCs w:val="20"/>
        </w:rPr>
      </w:pPr>
      <w:r>
        <w:rPr>
          <w:sz w:val="20"/>
          <w:szCs w:val="20"/>
        </w:rPr>
        <w:t>​</w:t>
      </w:r>
    </w:p>
    <w:p w14:paraId="4E2BC2F6" w14:textId="77777777" w:rsidR="00000000" w:rsidRDefault="00097612">
      <w:pPr>
        <w:pStyle w:val="a3"/>
        <w:spacing w:before="0" w:beforeAutospacing="0" w:after="120" w:afterAutospacing="0"/>
        <w:divId w:val="899710933"/>
        <w:rPr>
          <w:sz w:val="20"/>
          <w:szCs w:val="20"/>
        </w:rPr>
      </w:pPr>
      <w:r>
        <w:rPr>
          <w:b/>
          <w:bCs/>
          <w:i/>
          <w:iCs/>
          <w:sz w:val="20"/>
          <w:szCs w:val="20"/>
        </w:rPr>
        <w:t>TRELEGY ELLIPTA (the combination of fluticasone furoate/umeclidinium bromide/vilanterol)</w:t>
      </w:r>
    </w:p>
    <w:p w14:paraId="7FE32A9C" w14:textId="77777777" w:rsidR="00000000" w:rsidRDefault="00097612">
      <w:pPr>
        <w:pStyle w:val="a3"/>
        <w:spacing w:before="0" w:beforeAutospacing="0" w:after="0" w:afterAutospacing="0"/>
        <w:ind w:firstLine="720"/>
        <w:divId w:val="899710933"/>
        <w:rPr>
          <w:sz w:val="20"/>
          <w:szCs w:val="20"/>
        </w:rPr>
      </w:pPr>
      <w:r>
        <w:rPr>
          <w:sz w:val="20"/>
          <w:szCs w:val="20"/>
        </w:rPr>
        <w:t>TRELEGY ELLIPTA is the first treatment to provide the activity of an inhaled corticosteroid (FF) plus two bronchodilators (UMEC, a LAMA, and VI, a long-acti</w:t>
      </w:r>
      <w:r>
        <w:rPr>
          <w:sz w:val="20"/>
          <w:szCs w:val="20"/>
        </w:rPr>
        <w:t>ng beta2 agonist, or LABA) in a single delivery device administered once-daily. TRELEGY ELLIPTA is approved for use in the US and EU for the long-term, once-daily, maintenance treatment of patients with COPD. We are entitled to receive an 85% economic inte</w:t>
      </w:r>
      <w:r>
        <w:rPr>
          <w:sz w:val="20"/>
          <w:szCs w:val="20"/>
        </w:rPr>
        <w:t>rest in the royalties payable by GSK to TRC on worldwide net sales (net of TRC expenses paid and the amount of cash, if any, expected to be used by TRC pursuant to the TRC LLC Agreement over the next four fiscal quarters). Those royalties are upward-tierin</w:t>
      </w:r>
      <w:r>
        <w:rPr>
          <w:sz w:val="20"/>
          <w:szCs w:val="20"/>
        </w:rPr>
        <w:t>g from 6.5% to 10%, resulting in cash flows to Theravance Biopharma of approximately 5.5% to 8.5% of worldwide net sales of TRELEGY ELLIPTA. Theravance Biopharma is not responsible for any of GSK’s costs related to the development or commercialization of T</w:t>
      </w:r>
      <w:r>
        <w:rPr>
          <w:sz w:val="20"/>
          <w:szCs w:val="20"/>
        </w:rPr>
        <w:t>RELEGY ELLIPTA.</w:t>
      </w:r>
    </w:p>
    <w:p w14:paraId="48E69B4E" w14:textId="77777777" w:rsidR="00000000" w:rsidRDefault="00097612">
      <w:pPr>
        <w:pStyle w:val="a3"/>
        <w:spacing w:before="0" w:beforeAutospacing="0" w:after="0" w:afterAutospacing="0"/>
        <w:ind w:firstLine="720"/>
        <w:divId w:val="899710933"/>
        <w:rPr>
          <w:sz w:val="20"/>
          <w:szCs w:val="20"/>
        </w:rPr>
      </w:pPr>
      <w:r>
        <w:rPr>
          <w:sz w:val="20"/>
          <w:szCs w:val="20"/>
        </w:rPr>
        <w:t>​</w:t>
      </w:r>
    </w:p>
    <w:p w14:paraId="51E0EA42" w14:textId="77777777" w:rsidR="00000000" w:rsidRDefault="00097612">
      <w:pPr>
        <w:pStyle w:val="a3"/>
        <w:spacing w:before="0" w:beforeAutospacing="0" w:after="0" w:afterAutospacing="0"/>
        <w:ind w:firstLine="720"/>
        <w:divId w:val="899710933"/>
        <w:rPr>
          <w:sz w:val="20"/>
          <w:szCs w:val="20"/>
        </w:rPr>
      </w:pPr>
      <w:r>
        <w:rPr>
          <w:sz w:val="20"/>
          <w:szCs w:val="20"/>
        </w:rPr>
        <w:t>GSK and Innoviva conducted two global pivotal Phase 3 studies of TRELEGY ELLIPTA in COPD, the IMPACT study and the FULFIL study. In September 2017, GSK and Innoviva announced that the FDA approved TRELEGY ELLIPTA for the long-term, once-d</w:t>
      </w:r>
      <w:r>
        <w:rPr>
          <w:sz w:val="20"/>
          <w:szCs w:val="20"/>
        </w:rPr>
        <w:t>aily, maintenance treatment of appropriate patients with COPD. TRELEGY ELLIPTA is currently approved in 36 markets with additional approvals expected in 2019, including a potential approval in China in the fourth quarter of 2019. In August 2019, GSK announ</w:t>
      </w:r>
      <w:r>
        <w:rPr>
          <w:sz w:val="20"/>
          <w:szCs w:val="20"/>
        </w:rPr>
        <w:t>ced that it had filed a supplemental new drug application (“sNDA”) to the FDA supporting revised labelling for TRELEGY ELLIPTA on reduction in risk of all-cause mortality compared with ANORO ELLIPTA in patients with COPD.</w:t>
      </w:r>
      <w:r>
        <w:rPr>
          <w:sz w:val="20"/>
          <w:szCs w:val="20"/>
        </w:rPr>
        <w:t xml:space="preserve"> </w:t>
      </w:r>
    </w:p>
    <w:p w14:paraId="3C87C789" w14:textId="77777777" w:rsidR="00000000" w:rsidRDefault="00097612">
      <w:pPr>
        <w:pStyle w:val="a3"/>
        <w:spacing w:before="0" w:beforeAutospacing="0" w:after="0" w:afterAutospacing="0"/>
        <w:ind w:firstLine="720"/>
        <w:divId w:val="899710933"/>
        <w:rPr>
          <w:sz w:val="20"/>
          <w:szCs w:val="20"/>
        </w:rPr>
      </w:pPr>
      <w:r>
        <w:rPr>
          <w:sz w:val="20"/>
          <w:szCs w:val="20"/>
        </w:rPr>
        <w:t>​</w:t>
      </w:r>
    </w:p>
    <w:p w14:paraId="3FFE9947" w14:textId="77777777" w:rsidR="00000000" w:rsidRDefault="00097612">
      <w:pPr>
        <w:pStyle w:val="a3"/>
        <w:spacing w:before="0" w:beforeAutospacing="0" w:after="0" w:afterAutospacing="0"/>
        <w:ind w:firstLine="720"/>
        <w:divId w:val="899710933"/>
        <w:rPr>
          <w:sz w:val="20"/>
          <w:szCs w:val="20"/>
        </w:rPr>
      </w:pPr>
      <w:r>
        <w:rPr>
          <w:sz w:val="20"/>
          <w:szCs w:val="20"/>
        </w:rPr>
        <w:t xml:space="preserve">Additionally, GSK and Innoviva </w:t>
      </w:r>
      <w:r>
        <w:rPr>
          <w:sz w:val="20"/>
          <w:szCs w:val="20"/>
        </w:rPr>
        <w:t>conducted a Phase 3 (CAPTAIN) study of TRELEGY ELLIPTA in patients with asthma. In May 2019, GSK and Innoviva announced that the study had met its primary endpoint and in October 2019, GSK announced it had filed a sNDA with the FDA seeking an additional in</w:t>
      </w:r>
      <w:r>
        <w:rPr>
          <w:sz w:val="20"/>
          <w:szCs w:val="20"/>
        </w:rPr>
        <w:t>dication for the use of once-daily, single-inhaler triple therapy, TRELEGY ELLIPTA, for the treatment of asthma in adults.</w:t>
      </w:r>
    </w:p>
    <w:p w14:paraId="254B0FB6" w14:textId="77777777" w:rsidR="00000000" w:rsidRDefault="00097612">
      <w:pPr>
        <w:pStyle w:val="a3"/>
        <w:spacing w:before="0" w:beforeAutospacing="0" w:after="0" w:afterAutospacing="0"/>
        <w:ind w:firstLine="720"/>
        <w:divId w:val="899710933"/>
        <w:rPr>
          <w:sz w:val="20"/>
          <w:szCs w:val="20"/>
        </w:rPr>
      </w:pPr>
      <w:r>
        <w:rPr>
          <w:sz w:val="20"/>
          <w:szCs w:val="20"/>
        </w:rPr>
        <w:t>​</w:t>
      </w:r>
    </w:p>
    <w:p w14:paraId="4BA68791" w14:textId="77777777" w:rsidR="00000000" w:rsidRDefault="00097612">
      <w:pPr>
        <w:pStyle w:val="a3"/>
        <w:spacing w:before="0" w:beforeAutospacing="0" w:after="120" w:afterAutospacing="0"/>
        <w:divId w:val="899710933"/>
        <w:rPr>
          <w:sz w:val="20"/>
          <w:szCs w:val="20"/>
        </w:rPr>
      </w:pPr>
      <w:r>
        <w:rPr>
          <w:b/>
          <w:bCs/>
          <w:i/>
          <w:iCs/>
          <w:sz w:val="20"/>
          <w:szCs w:val="20"/>
        </w:rPr>
        <w:t xml:space="preserve">Theravance Respiratory Company, LLC </w:t>
      </w:r>
    </w:p>
    <w:p w14:paraId="4EABA655" w14:textId="77777777" w:rsidR="00000000" w:rsidRDefault="00097612">
      <w:pPr>
        <w:pStyle w:val="a3"/>
        <w:spacing w:before="0" w:beforeAutospacing="0" w:after="0" w:afterAutospacing="0"/>
        <w:ind w:firstLine="720"/>
        <w:divId w:val="899710933"/>
        <w:rPr>
          <w:sz w:val="20"/>
          <w:szCs w:val="20"/>
        </w:rPr>
      </w:pPr>
      <w:r>
        <w:rPr>
          <w:sz w:val="20"/>
          <w:szCs w:val="20"/>
        </w:rPr>
        <w:t>Our equity interest in TRC is the mechanism by which we are entitled to the 85% economic interest in any future payments made by GSK under the strategic alliance agreement and under the portion of the collaboration agreement assigned to TRC by Innoviva (ne</w:t>
      </w:r>
      <w:r>
        <w:rPr>
          <w:sz w:val="20"/>
          <w:szCs w:val="20"/>
        </w:rPr>
        <w:t xml:space="preserve">t of TRC expenses paid and the amount of cash, if any, expected to be used by TRC in TRC over the </w:t>
      </w:r>
    </w:p>
    <w:p w14:paraId="2A18F0DC" w14:textId="77777777" w:rsidR="00000000" w:rsidRDefault="00097612">
      <w:pPr>
        <w:pStyle w:val="a3"/>
        <w:spacing w:before="360" w:beforeAutospacing="0" w:after="0" w:afterAutospacing="0"/>
        <w:jc w:val="center"/>
        <w:divId w:val="1255746534"/>
        <w:rPr>
          <w:sz w:val="20"/>
          <w:szCs w:val="20"/>
        </w:rPr>
      </w:pPr>
      <w:r>
        <w:rPr>
          <w:sz w:val="20"/>
          <w:szCs w:val="20"/>
        </w:rPr>
        <w:t>26</w:t>
      </w:r>
    </w:p>
    <w:p w14:paraId="19DCE391" w14:textId="77777777" w:rsidR="00000000" w:rsidRDefault="00097612">
      <w:pPr>
        <w:pStyle w:val="a3"/>
        <w:spacing w:before="0" w:beforeAutospacing="0" w:after="600" w:afterAutospacing="0"/>
        <w:divId w:val="954798801"/>
        <w:rPr>
          <w:sz w:val="20"/>
          <w:szCs w:val="20"/>
        </w:rPr>
      </w:pPr>
      <w:hyperlink w:anchor="TOC" w:history="1">
        <w:r>
          <w:rPr>
            <w:rStyle w:val="a4"/>
            <w:sz w:val="20"/>
            <w:szCs w:val="20"/>
          </w:rPr>
          <w:t>Table of Contents</w:t>
        </w:r>
      </w:hyperlink>
    </w:p>
    <w:p w14:paraId="4A12FBA1" w14:textId="77777777" w:rsidR="00000000" w:rsidRDefault="00097612">
      <w:pPr>
        <w:pStyle w:val="a3"/>
        <w:spacing w:before="0" w:beforeAutospacing="0" w:after="0" w:afterAutospacing="0"/>
        <w:divId w:val="1698852195"/>
        <w:rPr>
          <w:sz w:val="20"/>
          <w:szCs w:val="20"/>
        </w:rPr>
      </w:pPr>
      <w:r>
        <w:rPr>
          <w:sz w:val="20"/>
          <w:szCs w:val="20"/>
        </w:rPr>
        <w:t xml:space="preserve">next four fiscal quarters). The royalty payments from GSK to TRC arising from the net sales of </w:t>
      </w:r>
      <w:r>
        <w:rPr>
          <w:caps/>
          <w:sz w:val="20"/>
          <w:szCs w:val="20"/>
        </w:rPr>
        <w:t>Trelegy Ellipta</w:t>
      </w:r>
      <w:r>
        <w:rPr>
          <w:sz w:val="20"/>
          <w:szCs w:val="20"/>
        </w:rPr>
        <w:t xml:space="preserve"> are presented on our condensed consolidated statements of operations within “Income from investment in TRC, LLC” and is classified as non-operating income. Seventy-five percent of the “Income from investment in TRC, LLC,” as evidenced by the Issuer Class </w:t>
      </w:r>
      <w:r>
        <w:rPr>
          <w:sz w:val="20"/>
          <w:szCs w:val="20"/>
        </w:rPr>
        <w:t>C Units, is available only for payment of the $250.0 million aggregate amount of 9.0% fixed-rate non-recourse term notes due 2033 (the “Non-Recourse 2033 Notes”) and is not available to pay our other obligations or the claims of our other creditors. The dr</w:t>
      </w:r>
      <w:r>
        <w:rPr>
          <w:sz w:val="20"/>
          <w:szCs w:val="20"/>
        </w:rPr>
        <w:t xml:space="preserve">ug programs assigned to TRC include all </w:t>
      </w:r>
      <w:r>
        <w:rPr>
          <w:caps/>
          <w:sz w:val="20"/>
          <w:szCs w:val="20"/>
        </w:rPr>
        <w:t>Trelegy Ellipta</w:t>
      </w:r>
      <w:r>
        <w:rPr>
          <w:sz w:val="20"/>
          <w:szCs w:val="20"/>
        </w:rPr>
        <w:t xml:space="preserve"> products and the MABA program, as monotherapy and in combination with other therapeutically active components, such as an inhaled corticosteroid (“ICS”), as well as any other product or combination of</w:t>
      </w:r>
      <w:r>
        <w:rPr>
          <w:sz w:val="20"/>
          <w:szCs w:val="20"/>
        </w:rPr>
        <w:t xml:space="preserve"> products that may be discovered and developed in the future under these GSK agreements.</w:t>
      </w:r>
    </w:p>
    <w:p w14:paraId="554C340B" w14:textId="77777777" w:rsidR="00000000" w:rsidRDefault="00097612">
      <w:pPr>
        <w:pStyle w:val="a3"/>
        <w:spacing w:before="0" w:beforeAutospacing="0" w:after="0" w:afterAutospacing="0"/>
        <w:ind w:firstLine="720"/>
        <w:divId w:val="1698852195"/>
        <w:rPr>
          <w:sz w:val="20"/>
          <w:szCs w:val="20"/>
        </w:rPr>
      </w:pPr>
      <w:r>
        <w:rPr>
          <w:sz w:val="20"/>
          <w:szCs w:val="20"/>
        </w:rPr>
        <w:t>​</w:t>
      </w:r>
    </w:p>
    <w:p w14:paraId="67755AB1" w14:textId="77777777" w:rsidR="00000000" w:rsidRDefault="00097612">
      <w:pPr>
        <w:pStyle w:val="a3"/>
        <w:spacing w:before="0" w:beforeAutospacing="0" w:after="0" w:afterAutospacing="0"/>
        <w:ind w:firstLine="720"/>
        <w:divId w:val="1698852195"/>
        <w:rPr>
          <w:sz w:val="20"/>
          <w:szCs w:val="20"/>
        </w:rPr>
      </w:pPr>
      <w:r>
        <w:rPr>
          <w:sz w:val="20"/>
          <w:szCs w:val="20"/>
        </w:rPr>
        <w:t>Our special purpose subsidiary Triple Royalty Sub LLC (the “Issuer”) issued the Non-Recourse 2033 Notes in November 2018, which are secured by all of the Issuer’s ri</w:t>
      </w:r>
      <w:r>
        <w:rPr>
          <w:sz w:val="20"/>
          <w:szCs w:val="20"/>
        </w:rPr>
        <w:t xml:space="preserve">ghts, title and interest as a holder of certain membership interests (the “Issuer Class C Units”) in TRC. The Issuer Class C Units entitle the Issuer to receive 63.75% of the economic interest that TRC receives in any future payments made by GSK under the </w:t>
      </w:r>
      <w:r>
        <w:rPr>
          <w:sz w:val="20"/>
          <w:szCs w:val="20"/>
        </w:rPr>
        <w:t xml:space="preserve">agreements described above, or 75% of the income from our ownership interest in TRC. The primary source of funds to make payments on the Non-Recourse 2033 Notes will be 75% of the income from our ownership interest in TRC, as evidenced by the Issuer Class </w:t>
      </w:r>
      <w:r>
        <w:rPr>
          <w:sz w:val="20"/>
          <w:szCs w:val="20"/>
        </w:rPr>
        <w:t>C Units.</w:t>
      </w:r>
      <w:r>
        <w:rPr>
          <w:sz w:val="20"/>
          <w:szCs w:val="20"/>
        </w:rPr>
        <w:t xml:space="preserve"> </w:t>
      </w:r>
      <w:r>
        <w:rPr>
          <w:sz w:val="20"/>
          <w:szCs w:val="20"/>
        </w:rPr>
        <w:t>Since the principal and interest payments on the Non-Recourse 2033 Notes are ultimately based on royalties from TRELEGY ELLIPTA product sales, which will vary from quarter to quarter, the Non-Recourse 2033 Notes may be repaid prior to the final ma</w:t>
      </w:r>
      <w:r>
        <w:rPr>
          <w:sz w:val="20"/>
          <w:szCs w:val="20"/>
        </w:rPr>
        <w:t>turity date in 2033.</w:t>
      </w:r>
      <w:r>
        <w:rPr>
          <w:sz w:val="20"/>
          <w:szCs w:val="20"/>
        </w:rPr>
        <w:t xml:space="preserve"> </w:t>
      </w:r>
      <w:r>
        <w:rPr>
          <w:sz w:val="20"/>
          <w:szCs w:val="20"/>
        </w:rPr>
        <w:t>In order to comply with Regulation RR – Credit Risk Retention (17 C.F.R. Part 246), 5.0% of the original principal amount (equal to $12.5 million) of the Non-Recourse 2033 Notes were retained by Theravance Biopharma R&amp;D, Inc., our whol</w:t>
      </w:r>
      <w:r>
        <w:rPr>
          <w:sz w:val="20"/>
          <w:szCs w:val="20"/>
        </w:rPr>
        <w:t xml:space="preserve">ly-owned subsidiary, and is eliminated in our condensed consolidated financial statements. </w:t>
      </w:r>
    </w:p>
    <w:p w14:paraId="1C252A32" w14:textId="77777777" w:rsidR="00000000" w:rsidRDefault="00097612">
      <w:pPr>
        <w:pStyle w:val="a3"/>
        <w:spacing w:before="0" w:beforeAutospacing="0" w:after="0" w:afterAutospacing="0"/>
        <w:ind w:firstLine="720"/>
        <w:divId w:val="1698852195"/>
        <w:rPr>
          <w:sz w:val="20"/>
          <w:szCs w:val="20"/>
        </w:rPr>
      </w:pPr>
      <w:r>
        <w:rPr>
          <w:sz w:val="20"/>
          <w:szCs w:val="20"/>
        </w:rPr>
        <w:t>​</w:t>
      </w:r>
    </w:p>
    <w:p w14:paraId="58D0773C" w14:textId="77777777" w:rsidR="00000000" w:rsidRDefault="00097612">
      <w:pPr>
        <w:pStyle w:val="a3"/>
        <w:spacing w:before="0" w:beforeAutospacing="0" w:after="0" w:afterAutospacing="0"/>
        <w:ind w:firstLine="720"/>
        <w:divId w:val="1698852195"/>
        <w:rPr>
          <w:sz w:val="20"/>
          <w:szCs w:val="20"/>
        </w:rPr>
      </w:pPr>
      <w:r>
        <w:rPr>
          <w:sz w:val="20"/>
          <w:szCs w:val="20"/>
        </w:rPr>
        <w:t>Through October 15, 2020, the terms of the Non-Recourse 2033 Notes provide that to the extent there are insufficient funds to satisfy the Issuer’s scheduled quart</w:t>
      </w:r>
      <w:r>
        <w:rPr>
          <w:sz w:val="20"/>
          <w:szCs w:val="20"/>
        </w:rPr>
        <w:t>erly interest obligations, the shortfall shall be added to the principal amount of the Non-Recourse 2033 Notes without a default or event of default occurring. The terms of the Non-Recourse 2033 Notes also provide that, at Theravance Biopharma’s option, th</w:t>
      </w:r>
      <w:r>
        <w:rPr>
          <w:sz w:val="20"/>
          <w:szCs w:val="20"/>
        </w:rPr>
        <w:t xml:space="preserve">e quarterly interest payment obligations can be satisfied by making a capital contribution to the Issuer, but not for more than four (4) consecutive quarterly interest payment dates or for more than six (6) quarterly interest payment dates during the term </w:t>
      </w:r>
      <w:r>
        <w:rPr>
          <w:sz w:val="20"/>
          <w:szCs w:val="20"/>
        </w:rPr>
        <w:t>of the notes. For the April 15, 2019 and July 15, 2019 interest payment dates, Theravance Biopharma R&amp;D, Inc. (parent entity of Issuer) made a capital contribution to satisfy the interest payment obligations for these two scheduled payments while we arbitr</w:t>
      </w:r>
      <w:r>
        <w:rPr>
          <w:sz w:val="20"/>
          <w:szCs w:val="20"/>
        </w:rPr>
        <w:t>ated the dispute with Innoviva discussed below in Part II, Item 1 “Legal Proceedings.”</w:t>
      </w:r>
    </w:p>
    <w:p w14:paraId="507B260B" w14:textId="77777777" w:rsidR="00000000" w:rsidRDefault="00097612">
      <w:pPr>
        <w:pStyle w:val="a3"/>
        <w:spacing w:before="0" w:beforeAutospacing="0" w:after="0" w:afterAutospacing="0"/>
        <w:divId w:val="1698852195"/>
        <w:rPr>
          <w:sz w:val="20"/>
          <w:szCs w:val="20"/>
        </w:rPr>
      </w:pPr>
      <w:r>
        <w:rPr>
          <w:b/>
          <w:bCs/>
          <w:sz w:val="20"/>
          <w:szCs w:val="20"/>
        </w:rPr>
        <w:t>​</w:t>
      </w:r>
    </w:p>
    <w:p w14:paraId="1F6F4765" w14:textId="77777777" w:rsidR="00000000" w:rsidRDefault="00097612">
      <w:pPr>
        <w:pStyle w:val="a3"/>
        <w:spacing w:before="0" w:beforeAutospacing="0" w:after="0" w:afterAutospacing="0"/>
        <w:divId w:val="1698852195"/>
        <w:rPr>
          <w:sz w:val="20"/>
          <w:szCs w:val="20"/>
        </w:rPr>
      </w:pPr>
      <w:r>
        <w:rPr>
          <w:b/>
          <w:bCs/>
          <w:sz w:val="20"/>
          <w:szCs w:val="20"/>
        </w:rPr>
        <w:t xml:space="preserve">2020 Annual General Meeting of Shareholders </w:t>
      </w:r>
    </w:p>
    <w:p w14:paraId="0B12A78A" w14:textId="77777777" w:rsidR="00000000" w:rsidRDefault="00097612">
      <w:pPr>
        <w:pStyle w:val="a3"/>
        <w:spacing w:before="0" w:beforeAutospacing="0" w:after="0" w:afterAutospacing="0"/>
        <w:divId w:val="1698852195"/>
        <w:rPr>
          <w:sz w:val="20"/>
          <w:szCs w:val="20"/>
        </w:rPr>
      </w:pPr>
      <w:r>
        <w:rPr>
          <w:sz w:val="20"/>
          <w:szCs w:val="20"/>
        </w:rPr>
        <w:t>​</w:t>
      </w:r>
    </w:p>
    <w:p w14:paraId="65B2154C" w14:textId="77777777" w:rsidR="00000000" w:rsidRDefault="00097612">
      <w:pPr>
        <w:pStyle w:val="a3"/>
        <w:spacing w:before="0" w:beforeAutospacing="0" w:after="0" w:afterAutospacing="0"/>
        <w:divId w:val="1698852195"/>
        <w:rPr>
          <w:sz w:val="20"/>
          <w:szCs w:val="20"/>
        </w:rPr>
      </w:pPr>
      <w:r>
        <w:rPr>
          <w:sz w:val="20"/>
          <w:szCs w:val="20"/>
        </w:rPr>
        <w:t>The Company will hold its 2020 Annual General Meeting of Shareholders on Tuesday, April 28, 2020 in Dublin, Ireland. Further information regarding the Annual General Meeting will be provided in the Company’s proxy materials, which will be filed with the SE</w:t>
      </w:r>
      <w:r>
        <w:rPr>
          <w:sz w:val="20"/>
          <w:szCs w:val="20"/>
        </w:rPr>
        <w:t>C and made available to shareholders prior to the Annual General Meeting.</w:t>
      </w:r>
    </w:p>
    <w:p w14:paraId="7BE7FF57" w14:textId="77777777" w:rsidR="00000000" w:rsidRDefault="00097612">
      <w:pPr>
        <w:pStyle w:val="a3"/>
        <w:spacing w:before="0" w:beforeAutospacing="0" w:after="0" w:afterAutospacing="0"/>
        <w:ind w:firstLine="720"/>
        <w:divId w:val="1698852195"/>
        <w:rPr>
          <w:sz w:val="20"/>
          <w:szCs w:val="20"/>
        </w:rPr>
      </w:pPr>
      <w:r>
        <w:rPr>
          <w:sz w:val="20"/>
          <w:szCs w:val="20"/>
        </w:rPr>
        <w:t>​</w:t>
      </w:r>
    </w:p>
    <w:p w14:paraId="0E3B9AAE" w14:textId="77777777" w:rsidR="00000000" w:rsidRDefault="00097612">
      <w:pPr>
        <w:pStyle w:val="a3"/>
        <w:spacing w:before="0" w:beforeAutospacing="0" w:after="0" w:afterAutospacing="0"/>
        <w:divId w:val="1698852195"/>
        <w:rPr>
          <w:sz w:val="20"/>
          <w:szCs w:val="20"/>
        </w:rPr>
      </w:pPr>
      <w:r>
        <w:rPr>
          <w:b/>
          <w:bCs/>
          <w:sz w:val="20"/>
          <w:szCs w:val="20"/>
        </w:rPr>
        <w:t>Critical Accounting Policies and Estimates</w:t>
      </w:r>
    </w:p>
    <w:p w14:paraId="1FA9B23F" w14:textId="77777777" w:rsidR="00000000" w:rsidRDefault="00097612">
      <w:pPr>
        <w:pStyle w:val="a3"/>
        <w:spacing w:before="0" w:beforeAutospacing="0" w:after="0" w:afterAutospacing="0"/>
        <w:divId w:val="1698852195"/>
        <w:rPr>
          <w:sz w:val="20"/>
          <w:szCs w:val="20"/>
        </w:rPr>
      </w:pPr>
      <w:r>
        <w:rPr>
          <w:sz w:val="10"/>
          <w:szCs w:val="10"/>
        </w:rPr>
        <w:t>​</w:t>
      </w:r>
    </w:p>
    <w:p w14:paraId="4C27D4BB" w14:textId="77777777" w:rsidR="00000000" w:rsidRDefault="00097612">
      <w:pPr>
        <w:pStyle w:val="a3"/>
        <w:spacing w:before="0" w:beforeAutospacing="0" w:after="0" w:afterAutospacing="0"/>
        <w:ind w:firstLine="720"/>
        <w:divId w:val="1698852195"/>
        <w:rPr>
          <w:sz w:val="20"/>
          <w:szCs w:val="20"/>
        </w:rPr>
      </w:pPr>
      <w:r>
        <w:rPr>
          <w:sz w:val="20"/>
          <w:szCs w:val="20"/>
        </w:rPr>
        <w:t>Our management’s discussion and analysis of our financial condition and results of operations is based on our financial statements, whi</w:t>
      </w:r>
      <w:r>
        <w:rPr>
          <w:sz w:val="20"/>
          <w:szCs w:val="20"/>
        </w:rPr>
        <w:t>ch have been prepared in accordance with US generally accepted accounting principles (“GAAP”). The preparation of these financial statements requires us to make estimates and assumptions that affect the reported amounts of assets and liabilities and the di</w:t>
      </w:r>
      <w:r>
        <w:rPr>
          <w:sz w:val="20"/>
          <w:szCs w:val="20"/>
        </w:rPr>
        <w:t>sclosure of contingent assets and liabilities at the date of the financial statements, as well as the reported revenue generated and expenses incurred during the reporting periods. Our estimates are based on our historical experience and on various other f</w:t>
      </w:r>
      <w:r>
        <w:rPr>
          <w:sz w:val="20"/>
          <w:szCs w:val="20"/>
        </w:rPr>
        <w:t>actors that we believe are reasonable under the circumstances, the results of which form the basis for making judgments about the carrying value of assets and liabilities that are not readily apparent from other sources. Actual results may differ from thes</w:t>
      </w:r>
      <w:r>
        <w:rPr>
          <w:sz w:val="20"/>
          <w:szCs w:val="20"/>
        </w:rPr>
        <w:t>e estimates under different assumptions or conditions. There have been no material changes to the critical accounting policies and estimates discussed in our Annual Report on Form 10-K for the year ended December 31, 2018.</w:t>
      </w:r>
    </w:p>
    <w:p w14:paraId="2F18EC77" w14:textId="77777777" w:rsidR="00000000" w:rsidRDefault="00097612">
      <w:pPr>
        <w:pStyle w:val="a3"/>
        <w:spacing w:before="0" w:beforeAutospacing="0" w:after="0" w:afterAutospacing="0"/>
        <w:ind w:firstLine="720"/>
        <w:divId w:val="1698852195"/>
        <w:rPr>
          <w:sz w:val="20"/>
          <w:szCs w:val="20"/>
        </w:rPr>
      </w:pPr>
      <w:r>
        <w:rPr>
          <w:sz w:val="20"/>
          <w:szCs w:val="20"/>
        </w:rPr>
        <w:t>​</w:t>
      </w:r>
    </w:p>
    <w:p w14:paraId="6A346599" w14:textId="77777777" w:rsidR="00000000" w:rsidRDefault="00097612">
      <w:pPr>
        <w:pStyle w:val="a3"/>
        <w:spacing w:before="360" w:beforeAutospacing="0" w:after="0" w:afterAutospacing="0"/>
        <w:jc w:val="center"/>
        <w:divId w:val="548996062"/>
        <w:rPr>
          <w:sz w:val="20"/>
          <w:szCs w:val="20"/>
        </w:rPr>
      </w:pPr>
      <w:r>
        <w:rPr>
          <w:sz w:val="20"/>
          <w:szCs w:val="20"/>
        </w:rPr>
        <w:t>27</w:t>
      </w:r>
    </w:p>
    <w:p w14:paraId="772A8CA6" w14:textId="77777777" w:rsidR="00000000" w:rsidRDefault="00097612">
      <w:pPr>
        <w:pStyle w:val="a3"/>
        <w:spacing w:before="0" w:beforeAutospacing="0" w:after="600" w:afterAutospacing="0"/>
        <w:divId w:val="1803112313"/>
        <w:rPr>
          <w:sz w:val="20"/>
          <w:szCs w:val="20"/>
        </w:rPr>
      </w:pPr>
      <w:hyperlink w:anchor="TOC" w:history="1">
        <w:r>
          <w:rPr>
            <w:rStyle w:val="a4"/>
            <w:sz w:val="20"/>
            <w:szCs w:val="20"/>
          </w:rPr>
          <w:t>Ta</w:t>
        </w:r>
        <w:r>
          <w:rPr>
            <w:rStyle w:val="a4"/>
            <w:sz w:val="20"/>
            <w:szCs w:val="20"/>
          </w:rPr>
          <w:t>ble of Contents</w:t>
        </w:r>
      </w:hyperlink>
    </w:p>
    <w:p w14:paraId="3662B5FD" w14:textId="77777777" w:rsidR="00000000" w:rsidRDefault="00097612">
      <w:pPr>
        <w:pStyle w:val="a3"/>
        <w:spacing w:before="0" w:beforeAutospacing="0" w:after="0" w:afterAutospacing="0"/>
        <w:divId w:val="2100758947"/>
        <w:rPr>
          <w:sz w:val="20"/>
          <w:szCs w:val="20"/>
        </w:rPr>
      </w:pPr>
      <w:r>
        <w:rPr>
          <w:b/>
          <w:bCs/>
          <w:sz w:val="20"/>
          <w:szCs w:val="20"/>
        </w:rPr>
        <w:t>Results of Operations</w:t>
      </w:r>
    </w:p>
    <w:p w14:paraId="03EC8427" w14:textId="77777777" w:rsidR="00000000" w:rsidRDefault="00097612">
      <w:pPr>
        <w:pStyle w:val="a3"/>
        <w:spacing w:before="0" w:beforeAutospacing="0" w:after="0" w:afterAutospacing="0"/>
        <w:divId w:val="2100758947"/>
        <w:rPr>
          <w:sz w:val="20"/>
          <w:szCs w:val="20"/>
        </w:rPr>
      </w:pPr>
      <w:r>
        <w:rPr>
          <w:b/>
          <w:bCs/>
          <w:sz w:val="10"/>
          <w:szCs w:val="10"/>
        </w:rPr>
        <w:t>​</w:t>
      </w:r>
    </w:p>
    <w:p w14:paraId="23968C75" w14:textId="77777777" w:rsidR="00000000" w:rsidRDefault="00097612">
      <w:pPr>
        <w:pStyle w:val="a3"/>
        <w:spacing w:before="0" w:beforeAutospacing="0" w:after="0" w:afterAutospacing="0"/>
        <w:divId w:val="2100758947"/>
        <w:rPr>
          <w:sz w:val="20"/>
          <w:szCs w:val="20"/>
        </w:rPr>
      </w:pPr>
      <w:r>
        <w:rPr>
          <w:b/>
          <w:bCs/>
          <w:i/>
          <w:iCs/>
          <w:sz w:val="20"/>
          <w:szCs w:val="20"/>
        </w:rPr>
        <w:t>Revenue</w:t>
      </w:r>
    </w:p>
    <w:p w14:paraId="6197387F" w14:textId="77777777" w:rsidR="00000000" w:rsidRDefault="00097612">
      <w:pPr>
        <w:pStyle w:val="a3"/>
        <w:spacing w:before="0" w:beforeAutospacing="0" w:after="0" w:afterAutospacing="0"/>
        <w:divId w:val="2100758947"/>
        <w:rPr>
          <w:sz w:val="20"/>
          <w:szCs w:val="20"/>
        </w:rPr>
      </w:pPr>
      <w:r>
        <w:rPr>
          <w:b/>
          <w:bCs/>
          <w:sz w:val="10"/>
          <w:szCs w:val="10"/>
        </w:rPr>
        <w:t>​</w:t>
      </w:r>
    </w:p>
    <w:p w14:paraId="015F51BB" w14:textId="77777777" w:rsidR="00000000" w:rsidRDefault="00097612">
      <w:pPr>
        <w:pStyle w:val="a3"/>
        <w:spacing w:before="0" w:beforeAutospacing="0" w:after="0" w:afterAutospacing="0"/>
        <w:ind w:firstLine="720"/>
        <w:divId w:val="2100758947"/>
        <w:rPr>
          <w:sz w:val="20"/>
          <w:szCs w:val="20"/>
        </w:rPr>
      </w:pPr>
      <w:r>
        <w:rPr>
          <w:sz w:val="20"/>
          <w:szCs w:val="20"/>
        </w:rPr>
        <w:t>Revenue, as compared to the comparable periods in the prior year, was as follows:</w:t>
      </w:r>
    </w:p>
    <w:p w14:paraId="40CF347F" w14:textId="77777777" w:rsidR="00000000" w:rsidRDefault="00097612">
      <w:pPr>
        <w:pStyle w:val="a3"/>
        <w:spacing w:before="0" w:beforeAutospacing="0" w:after="0" w:afterAutospacing="0"/>
        <w:divId w:val="2100758947"/>
        <w:rPr>
          <w:sz w:val="20"/>
          <w:szCs w:val="20"/>
        </w:rPr>
      </w:pPr>
      <w:r>
        <w:rPr>
          <w:sz w:val="20"/>
          <w:szCs w:val="20"/>
        </w:rPr>
        <w:t>​</w:t>
      </w:r>
    </w:p>
    <w:tbl>
      <w:tblPr>
        <w:tblW w:w="5128" w:type="pct"/>
        <w:tblInd w:w="-1" w:type="dxa"/>
        <w:tblCellMar>
          <w:top w:w="15" w:type="dxa"/>
          <w:left w:w="0" w:type="dxa"/>
          <w:bottom w:w="15" w:type="dxa"/>
          <w:right w:w="0" w:type="dxa"/>
        </w:tblCellMar>
        <w:tblLook w:val="04A0" w:firstRow="1" w:lastRow="0" w:firstColumn="1" w:lastColumn="0" w:noHBand="0" w:noVBand="1"/>
      </w:tblPr>
      <w:tblGrid>
        <w:gridCol w:w="1631"/>
        <w:gridCol w:w="160"/>
        <w:gridCol w:w="100"/>
        <w:gridCol w:w="610"/>
        <w:gridCol w:w="160"/>
        <w:gridCol w:w="100"/>
        <w:gridCol w:w="610"/>
        <w:gridCol w:w="160"/>
        <w:gridCol w:w="100"/>
        <w:gridCol w:w="584"/>
        <w:gridCol w:w="160"/>
        <w:gridCol w:w="383"/>
        <w:gridCol w:w="267"/>
        <w:gridCol w:w="160"/>
        <w:gridCol w:w="100"/>
        <w:gridCol w:w="610"/>
        <w:gridCol w:w="160"/>
        <w:gridCol w:w="100"/>
        <w:gridCol w:w="610"/>
        <w:gridCol w:w="160"/>
        <w:gridCol w:w="100"/>
        <w:gridCol w:w="684"/>
        <w:gridCol w:w="160"/>
        <w:gridCol w:w="383"/>
        <w:gridCol w:w="267"/>
      </w:tblGrid>
      <w:tr w:rsidR="00000000" w14:paraId="6EEDE9AD" w14:textId="77777777">
        <w:trPr>
          <w:divId w:val="2100758947"/>
          <w:trHeight w:val="20"/>
        </w:trPr>
        <w:tc>
          <w:tcPr>
            <w:tcW w:w="1523" w:type="pct"/>
            <w:tcMar>
              <w:top w:w="0" w:type="dxa"/>
              <w:left w:w="0" w:type="dxa"/>
              <w:bottom w:w="0" w:type="dxa"/>
              <w:right w:w="0" w:type="dxa"/>
            </w:tcMar>
            <w:vAlign w:val="bottom"/>
            <w:hideMark/>
          </w:tcPr>
          <w:p w14:paraId="681DC381" w14:textId="77777777" w:rsidR="00000000" w:rsidRDefault="00097612">
            <w:pPr>
              <w:pStyle w:val="a3"/>
              <w:spacing w:before="0" w:beforeAutospacing="0" w:after="0" w:afterAutospacing="0"/>
              <w:divId w:val="38557548"/>
              <w:rPr>
                <w:sz w:val="20"/>
                <w:szCs w:val="20"/>
              </w:rPr>
            </w:pPr>
            <w:r>
              <w:rPr>
                <w:sz w:val="2"/>
                <w:szCs w:val="2"/>
              </w:rPr>
              <w:t>​</w:t>
            </w:r>
          </w:p>
        </w:tc>
        <w:tc>
          <w:tcPr>
            <w:tcW w:w="77" w:type="pct"/>
            <w:noWrap/>
            <w:tcMar>
              <w:top w:w="0" w:type="dxa"/>
              <w:left w:w="0" w:type="dxa"/>
              <w:bottom w:w="0" w:type="dxa"/>
              <w:right w:w="0" w:type="dxa"/>
            </w:tcMar>
            <w:vAlign w:val="bottom"/>
            <w:hideMark/>
          </w:tcPr>
          <w:p w14:paraId="58E20939" w14:textId="77777777" w:rsidR="00000000" w:rsidRDefault="00097612">
            <w:pPr>
              <w:pStyle w:val="a3"/>
              <w:spacing w:before="0" w:beforeAutospacing="0" w:after="0" w:afterAutospacing="0"/>
              <w:divId w:val="526482467"/>
              <w:rPr>
                <w:sz w:val="20"/>
                <w:szCs w:val="20"/>
              </w:rPr>
            </w:pPr>
            <w:r>
              <w:rPr>
                <w:sz w:val="2"/>
                <w:szCs w:val="2"/>
              </w:rPr>
              <w:t>​</w:t>
            </w:r>
          </w:p>
        </w:tc>
        <w:tc>
          <w:tcPr>
            <w:tcW w:w="48" w:type="pct"/>
            <w:noWrap/>
            <w:tcMar>
              <w:top w:w="0" w:type="dxa"/>
              <w:left w:w="0" w:type="dxa"/>
              <w:bottom w:w="0" w:type="dxa"/>
              <w:right w:w="0" w:type="dxa"/>
            </w:tcMar>
            <w:vAlign w:val="bottom"/>
            <w:hideMark/>
          </w:tcPr>
          <w:p w14:paraId="7288B5FB" w14:textId="77777777" w:rsidR="00000000" w:rsidRDefault="00097612">
            <w:pPr>
              <w:pStyle w:val="a3"/>
              <w:spacing w:before="0" w:beforeAutospacing="0" w:after="0" w:afterAutospacing="0"/>
              <w:divId w:val="1900364395"/>
              <w:rPr>
                <w:sz w:val="20"/>
                <w:szCs w:val="20"/>
              </w:rPr>
            </w:pPr>
            <w:r>
              <w:rPr>
                <w:sz w:val="2"/>
                <w:szCs w:val="2"/>
              </w:rPr>
              <w:t>​</w:t>
            </w:r>
          </w:p>
        </w:tc>
        <w:tc>
          <w:tcPr>
            <w:tcW w:w="319" w:type="pct"/>
            <w:noWrap/>
            <w:tcMar>
              <w:top w:w="0" w:type="dxa"/>
              <w:left w:w="0" w:type="dxa"/>
              <w:bottom w:w="0" w:type="dxa"/>
              <w:right w:w="0" w:type="dxa"/>
            </w:tcMar>
            <w:vAlign w:val="bottom"/>
            <w:hideMark/>
          </w:tcPr>
          <w:p w14:paraId="01BA5C11" w14:textId="77777777" w:rsidR="00000000" w:rsidRDefault="00097612">
            <w:pPr>
              <w:pStyle w:val="a3"/>
              <w:spacing w:before="0" w:beforeAutospacing="0" w:after="0" w:afterAutospacing="0"/>
              <w:divId w:val="208763597"/>
              <w:rPr>
                <w:sz w:val="20"/>
                <w:szCs w:val="20"/>
              </w:rPr>
            </w:pPr>
            <w:r>
              <w:rPr>
                <w:sz w:val="2"/>
                <w:szCs w:val="2"/>
              </w:rPr>
              <w:t>​</w:t>
            </w:r>
          </w:p>
        </w:tc>
        <w:tc>
          <w:tcPr>
            <w:tcW w:w="77" w:type="pct"/>
            <w:noWrap/>
            <w:tcMar>
              <w:top w:w="0" w:type="dxa"/>
              <w:left w:w="0" w:type="dxa"/>
              <w:bottom w:w="0" w:type="dxa"/>
              <w:right w:w="0" w:type="dxa"/>
            </w:tcMar>
            <w:vAlign w:val="bottom"/>
            <w:hideMark/>
          </w:tcPr>
          <w:p w14:paraId="656AB1A5" w14:textId="77777777" w:rsidR="00000000" w:rsidRDefault="00097612">
            <w:pPr>
              <w:pStyle w:val="a3"/>
              <w:spacing w:before="0" w:beforeAutospacing="0" w:after="0" w:afterAutospacing="0"/>
              <w:divId w:val="1346319887"/>
              <w:rPr>
                <w:sz w:val="20"/>
                <w:szCs w:val="20"/>
              </w:rPr>
            </w:pPr>
            <w:r>
              <w:rPr>
                <w:sz w:val="2"/>
                <w:szCs w:val="2"/>
              </w:rPr>
              <w:t>​</w:t>
            </w:r>
          </w:p>
        </w:tc>
        <w:tc>
          <w:tcPr>
            <w:tcW w:w="48" w:type="pct"/>
            <w:noWrap/>
            <w:tcMar>
              <w:top w:w="0" w:type="dxa"/>
              <w:left w:w="0" w:type="dxa"/>
              <w:bottom w:w="0" w:type="dxa"/>
              <w:right w:w="0" w:type="dxa"/>
            </w:tcMar>
            <w:vAlign w:val="bottom"/>
            <w:hideMark/>
          </w:tcPr>
          <w:p w14:paraId="492DECFF" w14:textId="77777777" w:rsidR="00000000" w:rsidRDefault="00097612">
            <w:pPr>
              <w:pStyle w:val="a3"/>
              <w:spacing w:before="0" w:beforeAutospacing="0" w:after="0" w:afterAutospacing="0"/>
              <w:divId w:val="1948005542"/>
              <w:rPr>
                <w:sz w:val="20"/>
                <w:szCs w:val="20"/>
              </w:rPr>
            </w:pPr>
            <w:r>
              <w:rPr>
                <w:sz w:val="2"/>
                <w:szCs w:val="2"/>
              </w:rPr>
              <w:t>​</w:t>
            </w:r>
          </w:p>
        </w:tc>
        <w:tc>
          <w:tcPr>
            <w:tcW w:w="319" w:type="pct"/>
            <w:noWrap/>
            <w:tcMar>
              <w:top w:w="0" w:type="dxa"/>
              <w:left w:w="0" w:type="dxa"/>
              <w:bottom w:w="0" w:type="dxa"/>
              <w:right w:w="0" w:type="dxa"/>
            </w:tcMar>
            <w:vAlign w:val="bottom"/>
            <w:hideMark/>
          </w:tcPr>
          <w:p w14:paraId="01E9CC41" w14:textId="77777777" w:rsidR="00000000" w:rsidRDefault="00097612">
            <w:pPr>
              <w:pStyle w:val="a3"/>
              <w:spacing w:before="0" w:beforeAutospacing="0" w:after="0" w:afterAutospacing="0"/>
              <w:divId w:val="1615942666"/>
              <w:rPr>
                <w:sz w:val="20"/>
                <w:szCs w:val="20"/>
              </w:rPr>
            </w:pPr>
            <w:r>
              <w:rPr>
                <w:sz w:val="2"/>
                <w:szCs w:val="2"/>
              </w:rPr>
              <w:t>​</w:t>
            </w:r>
          </w:p>
        </w:tc>
        <w:tc>
          <w:tcPr>
            <w:tcW w:w="77" w:type="pct"/>
            <w:noWrap/>
            <w:tcMar>
              <w:top w:w="0" w:type="dxa"/>
              <w:left w:w="0" w:type="dxa"/>
              <w:bottom w:w="0" w:type="dxa"/>
              <w:right w:w="0" w:type="dxa"/>
            </w:tcMar>
            <w:vAlign w:val="bottom"/>
            <w:hideMark/>
          </w:tcPr>
          <w:p w14:paraId="014D9662" w14:textId="77777777" w:rsidR="00000000" w:rsidRDefault="00097612">
            <w:pPr>
              <w:pStyle w:val="a3"/>
              <w:spacing w:before="0" w:beforeAutospacing="0" w:after="0" w:afterAutospacing="0"/>
              <w:divId w:val="1745645808"/>
              <w:rPr>
                <w:sz w:val="20"/>
                <w:szCs w:val="20"/>
              </w:rPr>
            </w:pPr>
            <w:r>
              <w:rPr>
                <w:sz w:val="2"/>
                <w:szCs w:val="2"/>
              </w:rPr>
              <w:t>​</w:t>
            </w:r>
          </w:p>
        </w:tc>
        <w:tc>
          <w:tcPr>
            <w:tcW w:w="48" w:type="pct"/>
            <w:noWrap/>
            <w:tcMar>
              <w:top w:w="0" w:type="dxa"/>
              <w:left w:w="0" w:type="dxa"/>
              <w:bottom w:w="0" w:type="dxa"/>
              <w:right w:w="0" w:type="dxa"/>
            </w:tcMar>
            <w:vAlign w:val="bottom"/>
            <w:hideMark/>
          </w:tcPr>
          <w:p w14:paraId="188EECFF" w14:textId="77777777" w:rsidR="00000000" w:rsidRDefault="00097612">
            <w:pPr>
              <w:pStyle w:val="a3"/>
              <w:spacing w:before="0" w:beforeAutospacing="0" w:after="0" w:afterAutospacing="0"/>
              <w:divId w:val="1279797315"/>
              <w:rPr>
                <w:sz w:val="20"/>
                <w:szCs w:val="20"/>
              </w:rPr>
            </w:pPr>
            <w:r>
              <w:rPr>
                <w:sz w:val="2"/>
                <w:szCs w:val="2"/>
              </w:rPr>
              <w:t>​</w:t>
            </w:r>
          </w:p>
        </w:tc>
        <w:tc>
          <w:tcPr>
            <w:tcW w:w="306" w:type="pct"/>
            <w:noWrap/>
            <w:tcMar>
              <w:top w:w="0" w:type="dxa"/>
              <w:left w:w="0" w:type="dxa"/>
              <w:bottom w:w="0" w:type="dxa"/>
              <w:right w:w="0" w:type="dxa"/>
            </w:tcMar>
            <w:vAlign w:val="bottom"/>
            <w:hideMark/>
          </w:tcPr>
          <w:p w14:paraId="3E26B05F" w14:textId="77777777" w:rsidR="00000000" w:rsidRDefault="00097612">
            <w:pPr>
              <w:pStyle w:val="a3"/>
              <w:spacing w:before="0" w:beforeAutospacing="0" w:after="0" w:afterAutospacing="0"/>
              <w:divId w:val="617953965"/>
              <w:rPr>
                <w:sz w:val="20"/>
                <w:szCs w:val="20"/>
              </w:rPr>
            </w:pPr>
            <w:r>
              <w:rPr>
                <w:sz w:val="2"/>
                <w:szCs w:val="2"/>
              </w:rPr>
              <w:t>​</w:t>
            </w:r>
          </w:p>
        </w:tc>
        <w:tc>
          <w:tcPr>
            <w:tcW w:w="77" w:type="pct"/>
            <w:noWrap/>
            <w:tcMar>
              <w:top w:w="0" w:type="dxa"/>
              <w:left w:w="0" w:type="dxa"/>
              <w:bottom w:w="0" w:type="dxa"/>
              <w:right w:w="0" w:type="dxa"/>
            </w:tcMar>
            <w:vAlign w:val="bottom"/>
            <w:hideMark/>
          </w:tcPr>
          <w:p w14:paraId="6D490D00" w14:textId="77777777" w:rsidR="00000000" w:rsidRDefault="00097612">
            <w:pPr>
              <w:pStyle w:val="a3"/>
              <w:spacing w:before="0" w:beforeAutospacing="0" w:after="0" w:afterAutospacing="0"/>
              <w:divId w:val="1972395267"/>
              <w:rPr>
                <w:sz w:val="20"/>
                <w:szCs w:val="20"/>
              </w:rPr>
            </w:pPr>
            <w:r>
              <w:rPr>
                <w:sz w:val="2"/>
                <w:szCs w:val="2"/>
              </w:rPr>
              <w:t>​</w:t>
            </w:r>
          </w:p>
        </w:tc>
        <w:tc>
          <w:tcPr>
            <w:tcW w:w="185" w:type="pct"/>
            <w:noWrap/>
            <w:tcMar>
              <w:top w:w="0" w:type="dxa"/>
              <w:left w:w="0" w:type="dxa"/>
              <w:bottom w:w="0" w:type="dxa"/>
              <w:right w:w="0" w:type="dxa"/>
            </w:tcMar>
            <w:vAlign w:val="bottom"/>
            <w:hideMark/>
          </w:tcPr>
          <w:p w14:paraId="268498E9" w14:textId="77777777" w:rsidR="00000000" w:rsidRDefault="00097612">
            <w:pPr>
              <w:pStyle w:val="a3"/>
              <w:spacing w:before="0" w:beforeAutospacing="0" w:after="0" w:afterAutospacing="0"/>
              <w:divId w:val="671222846"/>
              <w:rPr>
                <w:sz w:val="20"/>
                <w:szCs w:val="20"/>
              </w:rPr>
            </w:pPr>
            <w:r>
              <w:rPr>
                <w:sz w:val="2"/>
                <w:szCs w:val="2"/>
              </w:rPr>
              <w:t>​</w:t>
            </w:r>
          </w:p>
        </w:tc>
        <w:tc>
          <w:tcPr>
            <w:tcW w:w="129" w:type="pct"/>
            <w:noWrap/>
            <w:tcMar>
              <w:top w:w="0" w:type="dxa"/>
              <w:left w:w="0" w:type="dxa"/>
              <w:bottom w:w="0" w:type="dxa"/>
              <w:right w:w="0" w:type="dxa"/>
            </w:tcMar>
            <w:vAlign w:val="bottom"/>
            <w:hideMark/>
          </w:tcPr>
          <w:p w14:paraId="47EAE94D" w14:textId="77777777" w:rsidR="00000000" w:rsidRDefault="00097612">
            <w:pPr>
              <w:pStyle w:val="a3"/>
              <w:spacing w:before="0" w:beforeAutospacing="0" w:after="0" w:afterAutospacing="0"/>
              <w:divId w:val="457913951"/>
              <w:rPr>
                <w:sz w:val="20"/>
                <w:szCs w:val="20"/>
              </w:rPr>
            </w:pPr>
            <w:r>
              <w:rPr>
                <w:sz w:val="2"/>
                <w:szCs w:val="2"/>
              </w:rPr>
              <w:t>​</w:t>
            </w:r>
          </w:p>
        </w:tc>
        <w:tc>
          <w:tcPr>
            <w:tcW w:w="77" w:type="pct"/>
            <w:noWrap/>
            <w:tcMar>
              <w:top w:w="0" w:type="dxa"/>
              <w:left w:w="0" w:type="dxa"/>
              <w:bottom w:w="0" w:type="dxa"/>
              <w:right w:w="0" w:type="dxa"/>
            </w:tcMar>
            <w:vAlign w:val="bottom"/>
            <w:hideMark/>
          </w:tcPr>
          <w:p w14:paraId="1A0513D4" w14:textId="77777777" w:rsidR="00000000" w:rsidRDefault="00097612">
            <w:pPr>
              <w:pStyle w:val="a3"/>
              <w:spacing w:before="0" w:beforeAutospacing="0" w:after="0" w:afterAutospacing="0"/>
              <w:divId w:val="1251505288"/>
              <w:rPr>
                <w:sz w:val="20"/>
                <w:szCs w:val="20"/>
              </w:rPr>
            </w:pPr>
            <w:r>
              <w:rPr>
                <w:sz w:val="2"/>
                <w:szCs w:val="2"/>
              </w:rPr>
              <w:t>​</w:t>
            </w:r>
          </w:p>
        </w:tc>
        <w:tc>
          <w:tcPr>
            <w:tcW w:w="48" w:type="pct"/>
            <w:noWrap/>
            <w:tcMar>
              <w:top w:w="0" w:type="dxa"/>
              <w:left w:w="0" w:type="dxa"/>
              <w:bottom w:w="0" w:type="dxa"/>
              <w:right w:w="0" w:type="dxa"/>
            </w:tcMar>
            <w:vAlign w:val="bottom"/>
            <w:hideMark/>
          </w:tcPr>
          <w:p w14:paraId="4FD67239" w14:textId="77777777" w:rsidR="00000000" w:rsidRDefault="00097612">
            <w:pPr>
              <w:pStyle w:val="a3"/>
              <w:spacing w:before="0" w:beforeAutospacing="0" w:after="0" w:afterAutospacing="0"/>
              <w:divId w:val="357241215"/>
              <w:rPr>
                <w:sz w:val="20"/>
                <w:szCs w:val="20"/>
              </w:rPr>
            </w:pPr>
            <w:r>
              <w:rPr>
                <w:sz w:val="2"/>
                <w:szCs w:val="2"/>
              </w:rPr>
              <w:t>​</w:t>
            </w:r>
          </w:p>
        </w:tc>
        <w:tc>
          <w:tcPr>
            <w:tcW w:w="319" w:type="pct"/>
            <w:noWrap/>
            <w:tcMar>
              <w:top w:w="0" w:type="dxa"/>
              <w:left w:w="0" w:type="dxa"/>
              <w:bottom w:w="0" w:type="dxa"/>
              <w:right w:w="0" w:type="dxa"/>
            </w:tcMar>
            <w:vAlign w:val="bottom"/>
            <w:hideMark/>
          </w:tcPr>
          <w:p w14:paraId="70E8D61C" w14:textId="77777777" w:rsidR="00000000" w:rsidRDefault="00097612">
            <w:pPr>
              <w:pStyle w:val="a3"/>
              <w:spacing w:before="0" w:beforeAutospacing="0" w:after="0" w:afterAutospacing="0"/>
              <w:divId w:val="1395734123"/>
              <w:rPr>
                <w:sz w:val="20"/>
                <w:szCs w:val="20"/>
              </w:rPr>
            </w:pPr>
            <w:r>
              <w:rPr>
                <w:sz w:val="2"/>
                <w:szCs w:val="2"/>
              </w:rPr>
              <w:t>​</w:t>
            </w:r>
          </w:p>
        </w:tc>
        <w:tc>
          <w:tcPr>
            <w:tcW w:w="77" w:type="pct"/>
            <w:noWrap/>
            <w:tcMar>
              <w:top w:w="0" w:type="dxa"/>
              <w:left w:w="0" w:type="dxa"/>
              <w:bottom w:w="0" w:type="dxa"/>
              <w:right w:w="0" w:type="dxa"/>
            </w:tcMar>
            <w:vAlign w:val="bottom"/>
            <w:hideMark/>
          </w:tcPr>
          <w:p w14:paraId="2F6AF578" w14:textId="77777777" w:rsidR="00000000" w:rsidRDefault="00097612">
            <w:pPr>
              <w:pStyle w:val="a3"/>
              <w:spacing w:before="0" w:beforeAutospacing="0" w:after="0" w:afterAutospacing="0"/>
              <w:divId w:val="655426341"/>
              <w:rPr>
                <w:sz w:val="20"/>
                <w:szCs w:val="20"/>
              </w:rPr>
            </w:pPr>
            <w:r>
              <w:rPr>
                <w:sz w:val="2"/>
                <w:szCs w:val="2"/>
              </w:rPr>
              <w:t>​</w:t>
            </w:r>
          </w:p>
        </w:tc>
        <w:tc>
          <w:tcPr>
            <w:tcW w:w="48" w:type="pct"/>
            <w:noWrap/>
            <w:tcMar>
              <w:top w:w="0" w:type="dxa"/>
              <w:left w:w="0" w:type="dxa"/>
              <w:bottom w:w="0" w:type="dxa"/>
              <w:right w:w="0" w:type="dxa"/>
            </w:tcMar>
            <w:vAlign w:val="bottom"/>
            <w:hideMark/>
          </w:tcPr>
          <w:p w14:paraId="3557DBD4" w14:textId="77777777" w:rsidR="00000000" w:rsidRDefault="00097612">
            <w:pPr>
              <w:pStyle w:val="a3"/>
              <w:spacing w:before="0" w:beforeAutospacing="0" w:after="0" w:afterAutospacing="0"/>
              <w:divId w:val="569341853"/>
              <w:rPr>
                <w:sz w:val="20"/>
                <w:szCs w:val="20"/>
              </w:rPr>
            </w:pPr>
            <w:r>
              <w:rPr>
                <w:sz w:val="2"/>
                <w:szCs w:val="2"/>
              </w:rPr>
              <w:t>​</w:t>
            </w:r>
          </w:p>
        </w:tc>
        <w:tc>
          <w:tcPr>
            <w:tcW w:w="319" w:type="pct"/>
            <w:noWrap/>
            <w:tcMar>
              <w:top w:w="0" w:type="dxa"/>
              <w:left w:w="0" w:type="dxa"/>
              <w:bottom w:w="0" w:type="dxa"/>
              <w:right w:w="0" w:type="dxa"/>
            </w:tcMar>
            <w:vAlign w:val="bottom"/>
            <w:hideMark/>
          </w:tcPr>
          <w:p w14:paraId="069928B0" w14:textId="77777777" w:rsidR="00000000" w:rsidRDefault="00097612">
            <w:pPr>
              <w:pStyle w:val="a3"/>
              <w:spacing w:before="0" w:beforeAutospacing="0" w:after="0" w:afterAutospacing="0"/>
              <w:divId w:val="806364486"/>
              <w:rPr>
                <w:sz w:val="20"/>
                <w:szCs w:val="20"/>
              </w:rPr>
            </w:pPr>
            <w:r>
              <w:rPr>
                <w:sz w:val="2"/>
                <w:szCs w:val="2"/>
              </w:rPr>
              <w:t>​</w:t>
            </w:r>
          </w:p>
        </w:tc>
        <w:tc>
          <w:tcPr>
            <w:tcW w:w="77" w:type="pct"/>
            <w:noWrap/>
            <w:tcMar>
              <w:top w:w="0" w:type="dxa"/>
              <w:left w:w="0" w:type="dxa"/>
              <w:bottom w:w="0" w:type="dxa"/>
              <w:right w:w="0" w:type="dxa"/>
            </w:tcMar>
            <w:vAlign w:val="bottom"/>
            <w:hideMark/>
          </w:tcPr>
          <w:p w14:paraId="3CBAA528" w14:textId="77777777" w:rsidR="00000000" w:rsidRDefault="00097612">
            <w:pPr>
              <w:pStyle w:val="a3"/>
              <w:spacing w:before="0" w:beforeAutospacing="0" w:after="0" w:afterAutospacing="0"/>
              <w:divId w:val="397703038"/>
              <w:rPr>
                <w:sz w:val="20"/>
                <w:szCs w:val="20"/>
              </w:rPr>
            </w:pPr>
            <w:r>
              <w:rPr>
                <w:sz w:val="2"/>
                <w:szCs w:val="2"/>
              </w:rPr>
              <w:t>​</w:t>
            </w:r>
          </w:p>
        </w:tc>
        <w:tc>
          <w:tcPr>
            <w:tcW w:w="48" w:type="pct"/>
            <w:noWrap/>
            <w:tcMar>
              <w:top w:w="0" w:type="dxa"/>
              <w:left w:w="0" w:type="dxa"/>
              <w:bottom w:w="0" w:type="dxa"/>
              <w:right w:w="0" w:type="dxa"/>
            </w:tcMar>
            <w:vAlign w:val="bottom"/>
            <w:hideMark/>
          </w:tcPr>
          <w:p w14:paraId="5F5EB25E" w14:textId="77777777" w:rsidR="00000000" w:rsidRDefault="00097612">
            <w:pPr>
              <w:pStyle w:val="a3"/>
              <w:spacing w:before="0" w:beforeAutospacing="0" w:after="0" w:afterAutospacing="0"/>
              <w:divId w:val="209850672"/>
              <w:rPr>
                <w:sz w:val="20"/>
                <w:szCs w:val="20"/>
              </w:rPr>
            </w:pPr>
            <w:r>
              <w:rPr>
                <w:sz w:val="2"/>
                <w:szCs w:val="2"/>
              </w:rPr>
              <w:t>​</w:t>
            </w:r>
          </w:p>
        </w:tc>
        <w:tc>
          <w:tcPr>
            <w:tcW w:w="354" w:type="pct"/>
            <w:noWrap/>
            <w:tcMar>
              <w:top w:w="0" w:type="dxa"/>
              <w:left w:w="0" w:type="dxa"/>
              <w:bottom w:w="0" w:type="dxa"/>
              <w:right w:w="0" w:type="dxa"/>
            </w:tcMar>
            <w:vAlign w:val="bottom"/>
            <w:hideMark/>
          </w:tcPr>
          <w:p w14:paraId="4EED9AE3" w14:textId="77777777" w:rsidR="00000000" w:rsidRDefault="00097612">
            <w:pPr>
              <w:pStyle w:val="a3"/>
              <w:spacing w:before="0" w:beforeAutospacing="0" w:after="0" w:afterAutospacing="0"/>
              <w:divId w:val="1464494190"/>
              <w:rPr>
                <w:sz w:val="20"/>
                <w:szCs w:val="20"/>
              </w:rPr>
            </w:pPr>
            <w:r>
              <w:rPr>
                <w:sz w:val="2"/>
                <w:szCs w:val="2"/>
              </w:rPr>
              <w:t>​</w:t>
            </w:r>
          </w:p>
        </w:tc>
        <w:tc>
          <w:tcPr>
            <w:tcW w:w="77" w:type="pct"/>
            <w:noWrap/>
            <w:tcMar>
              <w:top w:w="0" w:type="dxa"/>
              <w:left w:w="0" w:type="dxa"/>
              <w:bottom w:w="0" w:type="dxa"/>
              <w:right w:w="0" w:type="dxa"/>
            </w:tcMar>
            <w:vAlign w:val="bottom"/>
            <w:hideMark/>
          </w:tcPr>
          <w:p w14:paraId="0C5BCF09" w14:textId="77777777" w:rsidR="00000000" w:rsidRDefault="00097612">
            <w:pPr>
              <w:pStyle w:val="a3"/>
              <w:spacing w:before="0" w:beforeAutospacing="0" w:after="0" w:afterAutospacing="0"/>
              <w:divId w:val="2114738896"/>
              <w:rPr>
                <w:sz w:val="20"/>
                <w:szCs w:val="20"/>
              </w:rPr>
            </w:pPr>
            <w:r>
              <w:rPr>
                <w:sz w:val="2"/>
                <w:szCs w:val="2"/>
              </w:rPr>
              <w:t>​</w:t>
            </w:r>
          </w:p>
        </w:tc>
        <w:tc>
          <w:tcPr>
            <w:tcW w:w="185" w:type="pct"/>
            <w:noWrap/>
            <w:tcMar>
              <w:top w:w="0" w:type="dxa"/>
              <w:left w:w="0" w:type="dxa"/>
              <w:bottom w:w="0" w:type="dxa"/>
              <w:right w:w="0" w:type="dxa"/>
            </w:tcMar>
            <w:vAlign w:val="bottom"/>
            <w:hideMark/>
          </w:tcPr>
          <w:p w14:paraId="39223435" w14:textId="77777777" w:rsidR="00000000" w:rsidRDefault="00097612">
            <w:pPr>
              <w:pStyle w:val="a3"/>
              <w:spacing w:before="0" w:beforeAutospacing="0" w:after="0" w:afterAutospacing="0"/>
              <w:divId w:val="434401831"/>
              <w:rPr>
                <w:sz w:val="20"/>
                <w:szCs w:val="20"/>
              </w:rPr>
            </w:pPr>
            <w:r>
              <w:rPr>
                <w:sz w:val="2"/>
                <w:szCs w:val="2"/>
              </w:rPr>
              <w:t>​</w:t>
            </w:r>
          </w:p>
        </w:tc>
        <w:tc>
          <w:tcPr>
            <w:tcW w:w="129" w:type="pct"/>
            <w:noWrap/>
            <w:tcMar>
              <w:top w:w="0" w:type="dxa"/>
              <w:left w:w="0" w:type="dxa"/>
              <w:bottom w:w="0" w:type="dxa"/>
              <w:right w:w="0" w:type="dxa"/>
            </w:tcMar>
            <w:vAlign w:val="bottom"/>
            <w:hideMark/>
          </w:tcPr>
          <w:p w14:paraId="7039A7F9" w14:textId="77777777" w:rsidR="00000000" w:rsidRDefault="00097612">
            <w:pPr>
              <w:pStyle w:val="a3"/>
              <w:spacing w:before="0" w:beforeAutospacing="0" w:after="0" w:afterAutospacing="0"/>
              <w:divId w:val="1062944018"/>
              <w:rPr>
                <w:sz w:val="20"/>
                <w:szCs w:val="20"/>
              </w:rPr>
            </w:pPr>
            <w:r>
              <w:rPr>
                <w:sz w:val="2"/>
                <w:szCs w:val="2"/>
              </w:rPr>
              <w:t>​</w:t>
            </w:r>
          </w:p>
        </w:tc>
      </w:tr>
      <w:tr w:rsidR="00000000" w14:paraId="5DDFAE94" w14:textId="77777777">
        <w:trPr>
          <w:divId w:val="2100758947"/>
        </w:trPr>
        <w:tc>
          <w:tcPr>
            <w:tcW w:w="1523" w:type="pct"/>
            <w:shd w:val="clear" w:color="auto" w:fill="auto"/>
            <w:tcMar>
              <w:top w:w="0" w:type="dxa"/>
              <w:left w:w="0" w:type="dxa"/>
              <w:bottom w:w="0" w:type="dxa"/>
              <w:right w:w="0" w:type="dxa"/>
            </w:tcMar>
            <w:vAlign w:val="bottom"/>
            <w:hideMark/>
          </w:tcPr>
          <w:p w14:paraId="382A732E" w14:textId="77777777" w:rsidR="00000000" w:rsidRDefault="00097612">
            <w:pPr>
              <w:pStyle w:val="a3"/>
              <w:spacing w:before="0" w:beforeAutospacing="0" w:after="0" w:afterAutospacing="0"/>
              <w:rPr>
                <w:sz w:val="20"/>
                <w:szCs w:val="20"/>
              </w:rPr>
            </w:pPr>
            <w:r>
              <w:rPr>
                <w:b/>
                <w:bCs/>
                <w:sz w:val="16"/>
                <w:szCs w:val="16"/>
              </w:rPr>
              <w:t>​</w:t>
            </w:r>
          </w:p>
        </w:tc>
        <w:tc>
          <w:tcPr>
            <w:tcW w:w="77" w:type="pct"/>
            <w:shd w:val="clear" w:color="auto" w:fill="auto"/>
            <w:noWrap/>
            <w:tcMar>
              <w:top w:w="0" w:type="dxa"/>
              <w:left w:w="0" w:type="dxa"/>
              <w:bottom w:w="0" w:type="dxa"/>
              <w:right w:w="0" w:type="dxa"/>
            </w:tcMar>
            <w:vAlign w:val="bottom"/>
            <w:hideMark/>
          </w:tcPr>
          <w:p w14:paraId="4F9183C0" w14:textId="77777777" w:rsidR="00000000" w:rsidRDefault="00097612">
            <w:pPr>
              <w:pStyle w:val="a3"/>
              <w:spacing w:before="0" w:beforeAutospacing="0" w:after="0" w:afterAutospacing="0"/>
              <w:jc w:val="center"/>
              <w:rPr>
                <w:sz w:val="20"/>
                <w:szCs w:val="20"/>
              </w:rPr>
            </w:pPr>
            <w:r>
              <w:rPr>
                <w:b/>
                <w:bCs/>
                <w:sz w:val="16"/>
                <w:szCs w:val="16"/>
              </w:rPr>
              <w:t>​</w:t>
            </w:r>
          </w:p>
        </w:tc>
        <w:tc>
          <w:tcPr>
            <w:tcW w:w="812" w:type="pct"/>
            <w:gridSpan w:val="5"/>
            <w:shd w:val="clear" w:color="auto" w:fill="auto"/>
            <w:noWrap/>
            <w:tcMar>
              <w:top w:w="0" w:type="dxa"/>
              <w:left w:w="0" w:type="dxa"/>
              <w:bottom w:w="0" w:type="dxa"/>
              <w:right w:w="0" w:type="dxa"/>
            </w:tcMar>
            <w:vAlign w:val="bottom"/>
            <w:hideMark/>
          </w:tcPr>
          <w:p w14:paraId="1C784700"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77" w:type="pct"/>
            <w:shd w:val="clear" w:color="auto" w:fill="auto"/>
            <w:noWrap/>
            <w:tcMar>
              <w:top w:w="0" w:type="dxa"/>
              <w:left w:w="0" w:type="dxa"/>
              <w:bottom w:w="0" w:type="dxa"/>
              <w:right w:w="0" w:type="dxa"/>
            </w:tcMar>
            <w:vAlign w:val="bottom"/>
            <w:hideMark/>
          </w:tcPr>
          <w:p w14:paraId="4D489434" w14:textId="77777777" w:rsidR="00000000" w:rsidRDefault="00097612">
            <w:pPr>
              <w:pStyle w:val="a3"/>
              <w:spacing w:before="0" w:beforeAutospacing="0" w:after="0" w:afterAutospacing="0"/>
              <w:jc w:val="center"/>
              <w:rPr>
                <w:sz w:val="20"/>
                <w:szCs w:val="20"/>
              </w:rPr>
            </w:pPr>
            <w:r>
              <w:rPr>
                <w:b/>
                <w:bCs/>
                <w:sz w:val="16"/>
                <w:szCs w:val="16"/>
              </w:rPr>
              <w:t>​</w:t>
            </w:r>
          </w:p>
        </w:tc>
        <w:tc>
          <w:tcPr>
            <w:tcW w:w="48" w:type="pct"/>
            <w:shd w:val="clear" w:color="auto" w:fill="auto"/>
            <w:noWrap/>
            <w:tcMar>
              <w:top w:w="0" w:type="dxa"/>
              <w:left w:w="0" w:type="dxa"/>
              <w:bottom w:w="0" w:type="dxa"/>
              <w:right w:w="0" w:type="dxa"/>
            </w:tcMar>
            <w:vAlign w:val="bottom"/>
            <w:hideMark/>
          </w:tcPr>
          <w:p w14:paraId="746A7A7C" w14:textId="77777777" w:rsidR="00000000" w:rsidRDefault="00097612">
            <w:pPr>
              <w:pStyle w:val="a3"/>
              <w:spacing w:before="0" w:beforeAutospacing="0" w:after="0" w:afterAutospacing="0"/>
              <w:jc w:val="center"/>
              <w:rPr>
                <w:sz w:val="20"/>
                <w:szCs w:val="20"/>
              </w:rPr>
            </w:pPr>
            <w:r>
              <w:rPr>
                <w:sz w:val="16"/>
                <w:szCs w:val="16"/>
              </w:rPr>
              <w:t>​</w:t>
            </w:r>
          </w:p>
        </w:tc>
        <w:tc>
          <w:tcPr>
            <w:tcW w:w="306" w:type="pct"/>
            <w:shd w:val="clear" w:color="auto" w:fill="auto"/>
            <w:noWrap/>
            <w:tcMar>
              <w:top w:w="0" w:type="dxa"/>
              <w:left w:w="0" w:type="dxa"/>
              <w:bottom w:w="0" w:type="dxa"/>
              <w:right w:w="0" w:type="dxa"/>
            </w:tcMar>
            <w:vAlign w:val="bottom"/>
            <w:hideMark/>
          </w:tcPr>
          <w:p w14:paraId="33E9E0F5" w14:textId="77777777" w:rsidR="00000000" w:rsidRDefault="00097612">
            <w:pPr>
              <w:pStyle w:val="a3"/>
              <w:spacing w:before="0" w:beforeAutospacing="0" w:after="0" w:afterAutospacing="0"/>
              <w:jc w:val="center"/>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14:paraId="2E67DEDD" w14:textId="77777777" w:rsidR="00000000" w:rsidRDefault="00097612">
            <w:pPr>
              <w:pStyle w:val="a3"/>
              <w:spacing w:before="0" w:beforeAutospacing="0" w:after="0" w:afterAutospacing="0"/>
              <w:jc w:val="center"/>
              <w:rPr>
                <w:sz w:val="20"/>
                <w:szCs w:val="20"/>
              </w:rPr>
            </w:pPr>
            <w:r>
              <w:rPr>
                <w:sz w:val="16"/>
                <w:szCs w:val="16"/>
              </w:rPr>
              <w:t>​</w:t>
            </w:r>
          </w:p>
        </w:tc>
        <w:tc>
          <w:tcPr>
            <w:tcW w:w="185" w:type="pct"/>
            <w:shd w:val="clear" w:color="auto" w:fill="auto"/>
            <w:noWrap/>
            <w:tcMar>
              <w:top w:w="0" w:type="dxa"/>
              <w:left w:w="0" w:type="dxa"/>
              <w:bottom w:w="0" w:type="dxa"/>
              <w:right w:w="0" w:type="dxa"/>
            </w:tcMar>
            <w:vAlign w:val="bottom"/>
            <w:hideMark/>
          </w:tcPr>
          <w:p w14:paraId="61DD7F2D" w14:textId="77777777" w:rsidR="00000000" w:rsidRDefault="00097612">
            <w:pPr>
              <w:pStyle w:val="a3"/>
              <w:spacing w:before="0" w:beforeAutospacing="0" w:after="0" w:afterAutospacing="0"/>
              <w:jc w:val="center"/>
              <w:rPr>
                <w:sz w:val="20"/>
                <w:szCs w:val="20"/>
              </w:rPr>
            </w:pPr>
            <w:r>
              <w:rPr>
                <w:sz w:val="16"/>
                <w:szCs w:val="16"/>
              </w:rPr>
              <w:t>​</w:t>
            </w:r>
          </w:p>
        </w:tc>
        <w:tc>
          <w:tcPr>
            <w:tcW w:w="129" w:type="pct"/>
            <w:shd w:val="clear" w:color="auto" w:fill="auto"/>
            <w:noWrap/>
            <w:tcMar>
              <w:top w:w="0" w:type="dxa"/>
              <w:left w:w="0" w:type="dxa"/>
              <w:bottom w:w="0" w:type="dxa"/>
              <w:right w:w="0" w:type="dxa"/>
            </w:tcMar>
            <w:vAlign w:val="bottom"/>
            <w:hideMark/>
          </w:tcPr>
          <w:p w14:paraId="0964D8B6" w14:textId="77777777" w:rsidR="00000000" w:rsidRDefault="00097612">
            <w:pPr>
              <w:pStyle w:val="a3"/>
              <w:spacing w:before="0" w:beforeAutospacing="0" w:after="0" w:afterAutospacing="0"/>
              <w:jc w:val="center"/>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14:paraId="7CDA7F27" w14:textId="77777777" w:rsidR="00000000" w:rsidRDefault="00097612">
            <w:pPr>
              <w:pStyle w:val="a3"/>
              <w:spacing w:before="0" w:beforeAutospacing="0" w:after="0" w:afterAutospacing="0"/>
              <w:jc w:val="center"/>
              <w:rPr>
                <w:sz w:val="20"/>
                <w:szCs w:val="20"/>
              </w:rPr>
            </w:pPr>
            <w:r>
              <w:rPr>
                <w:b/>
                <w:bCs/>
                <w:sz w:val="16"/>
                <w:szCs w:val="16"/>
              </w:rPr>
              <w:t>​</w:t>
            </w:r>
          </w:p>
        </w:tc>
        <w:tc>
          <w:tcPr>
            <w:tcW w:w="812" w:type="pct"/>
            <w:gridSpan w:val="5"/>
            <w:shd w:val="clear" w:color="auto" w:fill="auto"/>
            <w:noWrap/>
            <w:tcMar>
              <w:top w:w="0" w:type="dxa"/>
              <w:left w:w="0" w:type="dxa"/>
              <w:bottom w:w="0" w:type="dxa"/>
              <w:right w:w="0" w:type="dxa"/>
            </w:tcMar>
            <w:vAlign w:val="bottom"/>
            <w:hideMark/>
          </w:tcPr>
          <w:p w14:paraId="654CEE7B"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77" w:type="pct"/>
            <w:shd w:val="clear" w:color="auto" w:fill="auto"/>
            <w:noWrap/>
            <w:tcMar>
              <w:top w:w="0" w:type="dxa"/>
              <w:left w:w="0" w:type="dxa"/>
              <w:bottom w:w="0" w:type="dxa"/>
              <w:right w:w="0" w:type="dxa"/>
            </w:tcMar>
            <w:vAlign w:val="bottom"/>
            <w:hideMark/>
          </w:tcPr>
          <w:p w14:paraId="5365D380" w14:textId="77777777" w:rsidR="00000000" w:rsidRDefault="00097612">
            <w:pPr>
              <w:pStyle w:val="a3"/>
              <w:spacing w:before="0" w:beforeAutospacing="0" w:after="0" w:afterAutospacing="0"/>
              <w:jc w:val="center"/>
              <w:rPr>
                <w:sz w:val="20"/>
                <w:szCs w:val="20"/>
              </w:rPr>
            </w:pPr>
            <w:r>
              <w:rPr>
                <w:b/>
                <w:bCs/>
                <w:sz w:val="16"/>
                <w:szCs w:val="16"/>
              </w:rPr>
              <w:t>​</w:t>
            </w:r>
          </w:p>
        </w:tc>
        <w:tc>
          <w:tcPr>
            <w:tcW w:w="48" w:type="pct"/>
            <w:shd w:val="clear" w:color="auto" w:fill="auto"/>
            <w:noWrap/>
            <w:tcMar>
              <w:top w:w="0" w:type="dxa"/>
              <w:left w:w="0" w:type="dxa"/>
              <w:bottom w:w="0" w:type="dxa"/>
              <w:right w:w="0" w:type="dxa"/>
            </w:tcMar>
            <w:vAlign w:val="bottom"/>
            <w:hideMark/>
          </w:tcPr>
          <w:p w14:paraId="046FC825" w14:textId="77777777" w:rsidR="00000000" w:rsidRDefault="00097612">
            <w:pPr>
              <w:pStyle w:val="a3"/>
              <w:spacing w:before="0" w:beforeAutospacing="0" w:after="0" w:afterAutospacing="0"/>
              <w:jc w:val="center"/>
              <w:rPr>
                <w:sz w:val="20"/>
                <w:szCs w:val="20"/>
              </w:rPr>
            </w:pPr>
            <w:r>
              <w:rPr>
                <w:sz w:val="16"/>
                <w:szCs w:val="16"/>
              </w:rPr>
              <w:t>​</w:t>
            </w:r>
          </w:p>
        </w:tc>
        <w:tc>
          <w:tcPr>
            <w:tcW w:w="354" w:type="pct"/>
            <w:shd w:val="clear" w:color="auto" w:fill="auto"/>
            <w:noWrap/>
            <w:tcMar>
              <w:top w:w="0" w:type="dxa"/>
              <w:left w:w="0" w:type="dxa"/>
              <w:bottom w:w="0" w:type="dxa"/>
              <w:right w:w="0" w:type="dxa"/>
            </w:tcMar>
            <w:vAlign w:val="bottom"/>
            <w:hideMark/>
          </w:tcPr>
          <w:p w14:paraId="4F5DE378" w14:textId="77777777" w:rsidR="00000000" w:rsidRDefault="00097612">
            <w:pPr>
              <w:pStyle w:val="a3"/>
              <w:spacing w:before="0" w:beforeAutospacing="0" w:after="0" w:afterAutospacing="0"/>
              <w:jc w:val="center"/>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14:paraId="5FEC5CFE" w14:textId="77777777" w:rsidR="00000000" w:rsidRDefault="00097612">
            <w:pPr>
              <w:pStyle w:val="a3"/>
              <w:spacing w:before="0" w:beforeAutospacing="0" w:after="0" w:afterAutospacing="0"/>
              <w:jc w:val="center"/>
              <w:rPr>
                <w:sz w:val="20"/>
                <w:szCs w:val="20"/>
              </w:rPr>
            </w:pPr>
            <w:r>
              <w:rPr>
                <w:sz w:val="16"/>
                <w:szCs w:val="16"/>
              </w:rPr>
              <w:t>​</w:t>
            </w:r>
          </w:p>
        </w:tc>
        <w:tc>
          <w:tcPr>
            <w:tcW w:w="185" w:type="pct"/>
            <w:shd w:val="clear" w:color="auto" w:fill="auto"/>
            <w:noWrap/>
            <w:tcMar>
              <w:top w:w="0" w:type="dxa"/>
              <w:left w:w="0" w:type="dxa"/>
              <w:bottom w:w="0" w:type="dxa"/>
              <w:right w:w="0" w:type="dxa"/>
            </w:tcMar>
            <w:vAlign w:val="bottom"/>
            <w:hideMark/>
          </w:tcPr>
          <w:p w14:paraId="09B8536B" w14:textId="77777777" w:rsidR="00000000" w:rsidRDefault="00097612">
            <w:pPr>
              <w:pStyle w:val="a3"/>
              <w:spacing w:before="0" w:beforeAutospacing="0" w:after="0" w:afterAutospacing="0"/>
              <w:jc w:val="center"/>
              <w:rPr>
                <w:sz w:val="20"/>
                <w:szCs w:val="20"/>
              </w:rPr>
            </w:pPr>
            <w:r>
              <w:rPr>
                <w:sz w:val="16"/>
                <w:szCs w:val="16"/>
              </w:rPr>
              <w:t>​</w:t>
            </w:r>
          </w:p>
        </w:tc>
        <w:tc>
          <w:tcPr>
            <w:tcW w:w="129" w:type="pct"/>
            <w:shd w:val="clear" w:color="auto" w:fill="auto"/>
            <w:noWrap/>
            <w:tcMar>
              <w:top w:w="0" w:type="dxa"/>
              <w:left w:w="0" w:type="dxa"/>
              <w:bottom w:w="0" w:type="dxa"/>
              <w:right w:w="0" w:type="dxa"/>
            </w:tcMar>
            <w:vAlign w:val="bottom"/>
            <w:hideMark/>
          </w:tcPr>
          <w:p w14:paraId="7F64ECDC" w14:textId="77777777" w:rsidR="00000000" w:rsidRDefault="00097612">
            <w:pPr>
              <w:pStyle w:val="a3"/>
              <w:spacing w:before="0" w:beforeAutospacing="0" w:after="0" w:afterAutospacing="0"/>
              <w:jc w:val="center"/>
              <w:rPr>
                <w:sz w:val="20"/>
                <w:szCs w:val="20"/>
              </w:rPr>
            </w:pPr>
            <w:r>
              <w:rPr>
                <w:sz w:val="16"/>
                <w:szCs w:val="16"/>
              </w:rPr>
              <w:t>​</w:t>
            </w:r>
          </w:p>
        </w:tc>
      </w:tr>
      <w:tr w:rsidR="00000000" w14:paraId="05635663" w14:textId="77777777">
        <w:trPr>
          <w:divId w:val="2100758947"/>
        </w:trPr>
        <w:tc>
          <w:tcPr>
            <w:tcW w:w="1523" w:type="pct"/>
            <w:shd w:val="clear" w:color="auto" w:fill="auto"/>
            <w:tcMar>
              <w:top w:w="0" w:type="dxa"/>
              <w:left w:w="0" w:type="dxa"/>
              <w:bottom w:w="0" w:type="dxa"/>
              <w:right w:w="0" w:type="dxa"/>
            </w:tcMar>
            <w:vAlign w:val="bottom"/>
            <w:hideMark/>
          </w:tcPr>
          <w:p w14:paraId="69394AF1" w14:textId="77777777" w:rsidR="00000000" w:rsidRDefault="00097612">
            <w:pPr>
              <w:pStyle w:val="a3"/>
              <w:spacing w:before="0" w:beforeAutospacing="0" w:after="0" w:afterAutospacing="0"/>
              <w:rPr>
                <w:sz w:val="20"/>
                <w:szCs w:val="20"/>
              </w:rPr>
            </w:pPr>
            <w:r>
              <w:rPr>
                <w:b/>
                <w:bCs/>
                <w:sz w:val="16"/>
                <w:szCs w:val="16"/>
              </w:rPr>
              <w:t>​</w:t>
            </w:r>
          </w:p>
        </w:tc>
        <w:tc>
          <w:tcPr>
            <w:tcW w:w="77" w:type="pct"/>
            <w:shd w:val="clear" w:color="auto" w:fill="auto"/>
            <w:noWrap/>
            <w:tcMar>
              <w:top w:w="0" w:type="dxa"/>
              <w:left w:w="0" w:type="dxa"/>
              <w:bottom w:w="0" w:type="dxa"/>
              <w:right w:w="0" w:type="dxa"/>
            </w:tcMar>
            <w:vAlign w:val="bottom"/>
            <w:hideMark/>
          </w:tcPr>
          <w:p w14:paraId="55FCDDF6" w14:textId="77777777" w:rsidR="00000000" w:rsidRDefault="00097612">
            <w:pPr>
              <w:pStyle w:val="a3"/>
              <w:spacing w:before="0" w:beforeAutospacing="0" w:after="0" w:afterAutospacing="0"/>
              <w:jc w:val="center"/>
              <w:rPr>
                <w:sz w:val="20"/>
                <w:szCs w:val="20"/>
              </w:rPr>
            </w:pPr>
            <w:r>
              <w:rPr>
                <w:b/>
                <w:bCs/>
                <w:sz w:val="16"/>
                <w:szCs w:val="16"/>
              </w:rPr>
              <w:t>​</w:t>
            </w:r>
          </w:p>
        </w:tc>
        <w:tc>
          <w:tcPr>
            <w:tcW w:w="812" w:type="pct"/>
            <w:gridSpan w:val="5"/>
            <w:tcBorders>
              <w:bottom w:val="single" w:sz="6" w:space="0" w:color="000000"/>
            </w:tcBorders>
            <w:shd w:val="clear" w:color="auto" w:fill="auto"/>
            <w:noWrap/>
            <w:tcMar>
              <w:top w:w="0" w:type="dxa"/>
              <w:left w:w="0" w:type="dxa"/>
              <w:bottom w:w="0" w:type="dxa"/>
              <w:right w:w="0" w:type="dxa"/>
            </w:tcMar>
            <w:vAlign w:val="bottom"/>
            <w:hideMark/>
          </w:tcPr>
          <w:p w14:paraId="60DBFB1C"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7" w:type="pct"/>
            <w:shd w:val="clear" w:color="auto" w:fill="auto"/>
            <w:noWrap/>
            <w:tcMar>
              <w:top w:w="0" w:type="dxa"/>
              <w:left w:w="0" w:type="dxa"/>
              <w:bottom w:w="0" w:type="dxa"/>
              <w:right w:w="0" w:type="dxa"/>
            </w:tcMar>
            <w:vAlign w:val="bottom"/>
            <w:hideMark/>
          </w:tcPr>
          <w:p w14:paraId="723D4BB8" w14:textId="77777777" w:rsidR="00000000" w:rsidRDefault="00097612">
            <w:pPr>
              <w:pStyle w:val="a3"/>
              <w:spacing w:before="0" w:beforeAutospacing="0" w:after="0" w:afterAutospacing="0"/>
              <w:rPr>
                <w:sz w:val="20"/>
                <w:szCs w:val="20"/>
              </w:rPr>
            </w:pPr>
            <w:r>
              <w:rPr>
                <w:b/>
                <w:bCs/>
                <w:sz w:val="16"/>
                <w:szCs w:val="16"/>
              </w:rPr>
              <w:t>​</w:t>
            </w:r>
          </w:p>
        </w:tc>
        <w:tc>
          <w:tcPr>
            <w:tcW w:w="617" w:type="pct"/>
            <w:gridSpan w:val="4"/>
            <w:tcBorders>
              <w:bottom w:val="single" w:sz="6" w:space="0" w:color="000000"/>
            </w:tcBorders>
            <w:shd w:val="clear" w:color="auto" w:fill="auto"/>
            <w:noWrap/>
            <w:tcMar>
              <w:top w:w="0" w:type="dxa"/>
              <w:left w:w="0" w:type="dxa"/>
              <w:bottom w:w="0" w:type="dxa"/>
              <w:right w:w="0" w:type="dxa"/>
            </w:tcMar>
            <w:vAlign w:val="bottom"/>
            <w:hideMark/>
          </w:tcPr>
          <w:p w14:paraId="348EB6EC" w14:textId="77777777" w:rsidR="00000000" w:rsidRDefault="00097612">
            <w:pPr>
              <w:pStyle w:val="a3"/>
              <w:spacing w:before="0" w:beforeAutospacing="0" w:after="0" w:afterAutospacing="0"/>
              <w:jc w:val="center"/>
              <w:rPr>
                <w:sz w:val="16"/>
                <w:szCs w:val="16"/>
              </w:rPr>
            </w:pPr>
            <w:r>
              <w:rPr>
                <w:b/>
                <w:bCs/>
                <w:sz w:val="16"/>
                <w:szCs w:val="16"/>
              </w:rPr>
              <w:t>Change</w:t>
            </w:r>
          </w:p>
        </w:tc>
        <w:tc>
          <w:tcPr>
            <w:tcW w:w="129" w:type="pct"/>
            <w:shd w:val="clear" w:color="auto" w:fill="auto"/>
            <w:noWrap/>
            <w:tcMar>
              <w:top w:w="0" w:type="dxa"/>
              <w:left w:w="0" w:type="dxa"/>
              <w:bottom w:w="0" w:type="dxa"/>
              <w:right w:w="0" w:type="dxa"/>
            </w:tcMar>
            <w:vAlign w:val="bottom"/>
            <w:hideMark/>
          </w:tcPr>
          <w:p w14:paraId="620C56EC" w14:textId="77777777" w:rsidR="00000000" w:rsidRDefault="00097612">
            <w:pPr>
              <w:pStyle w:val="a3"/>
              <w:spacing w:before="0" w:beforeAutospacing="0" w:after="0" w:afterAutospacing="0"/>
              <w:rPr>
                <w:sz w:val="20"/>
                <w:szCs w:val="20"/>
              </w:rPr>
            </w:pPr>
            <w:r>
              <w:rPr>
                <w:b/>
                <w:bCs/>
                <w:sz w:val="16"/>
                <w:szCs w:val="16"/>
              </w:rPr>
              <w:t>​</w:t>
            </w:r>
          </w:p>
        </w:tc>
        <w:tc>
          <w:tcPr>
            <w:tcW w:w="77" w:type="pct"/>
            <w:shd w:val="clear" w:color="auto" w:fill="auto"/>
            <w:noWrap/>
            <w:tcMar>
              <w:top w:w="0" w:type="dxa"/>
              <w:left w:w="0" w:type="dxa"/>
              <w:bottom w:w="0" w:type="dxa"/>
              <w:right w:w="0" w:type="dxa"/>
            </w:tcMar>
            <w:vAlign w:val="bottom"/>
            <w:hideMark/>
          </w:tcPr>
          <w:p w14:paraId="0E6F77C0" w14:textId="77777777" w:rsidR="00000000" w:rsidRDefault="00097612">
            <w:pPr>
              <w:pStyle w:val="a3"/>
              <w:spacing w:before="0" w:beforeAutospacing="0" w:after="0" w:afterAutospacing="0"/>
              <w:jc w:val="center"/>
              <w:rPr>
                <w:sz w:val="20"/>
                <w:szCs w:val="20"/>
              </w:rPr>
            </w:pPr>
            <w:r>
              <w:rPr>
                <w:b/>
                <w:bCs/>
                <w:sz w:val="16"/>
                <w:szCs w:val="16"/>
              </w:rPr>
              <w:t>​</w:t>
            </w:r>
          </w:p>
        </w:tc>
        <w:tc>
          <w:tcPr>
            <w:tcW w:w="812" w:type="pct"/>
            <w:gridSpan w:val="5"/>
            <w:tcBorders>
              <w:bottom w:val="single" w:sz="6" w:space="0" w:color="000000"/>
            </w:tcBorders>
            <w:shd w:val="clear" w:color="auto" w:fill="auto"/>
            <w:noWrap/>
            <w:tcMar>
              <w:top w:w="0" w:type="dxa"/>
              <w:left w:w="0" w:type="dxa"/>
              <w:bottom w:w="0" w:type="dxa"/>
              <w:right w:w="0" w:type="dxa"/>
            </w:tcMar>
            <w:vAlign w:val="bottom"/>
            <w:hideMark/>
          </w:tcPr>
          <w:p w14:paraId="6551B652"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7" w:type="pct"/>
            <w:shd w:val="clear" w:color="auto" w:fill="auto"/>
            <w:noWrap/>
            <w:tcMar>
              <w:top w:w="0" w:type="dxa"/>
              <w:left w:w="0" w:type="dxa"/>
              <w:bottom w:w="0" w:type="dxa"/>
              <w:right w:w="0" w:type="dxa"/>
            </w:tcMar>
            <w:vAlign w:val="bottom"/>
            <w:hideMark/>
          </w:tcPr>
          <w:p w14:paraId="0ACC6320" w14:textId="77777777" w:rsidR="00000000" w:rsidRDefault="00097612">
            <w:pPr>
              <w:pStyle w:val="a3"/>
              <w:spacing w:before="0" w:beforeAutospacing="0" w:after="0" w:afterAutospacing="0"/>
              <w:jc w:val="center"/>
              <w:rPr>
                <w:sz w:val="20"/>
                <w:szCs w:val="20"/>
              </w:rPr>
            </w:pPr>
            <w:r>
              <w:rPr>
                <w:b/>
                <w:bCs/>
                <w:sz w:val="16"/>
                <w:szCs w:val="16"/>
              </w:rPr>
              <w:t>​</w:t>
            </w:r>
          </w:p>
        </w:tc>
        <w:tc>
          <w:tcPr>
            <w:tcW w:w="666" w:type="pct"/>
            <w:gridSpan w:val="4"/>
            <w:tcBorders>
              <w:bottom w:val="single" w:sz="6" w:space="0" w:color="000000"/>
            </w:tcBorders>
            <w:shd w:val="clear" w:color="auto" w:fill="auto"/>
            <w:noWrap/>
            <w:tcMar>
              <w:top w:w="0" w:type="dxa"/>
              <w:left w:w="0" w:type="dxa"/>
              <w:bottom w:w="0" w:type="dxa"/>
              <w:right w:w="0" w:type="dxa"/>
            </w:tcMar>
            <w:vAlign w:val="bottom"/>
            <w:hideMark/>
          </w:tcPr>
          <w:p w14:paraId="5E03755A" w14:textId="77777777" w:rsidR="00000000" w:rsidRDefault="00097612">
            <w:pPr>
              <w:pStyle w:val="a3"/>
              <w:spacing w:before="0" w:beforeAutospacing="0" w:after="0" w:afterAutospacing="0"/>
              <w:jc w:val="center"/>
              <w:rPr>
                <w:sz w:val="16"/>
                <w:szCs w:val="16"/>
              </w:rPr>
            </w:pPr>
            <w:r>
              <w:rPr>
                <w:b/>
                <w:bCs/>
                <w:sz w:val="16"/>
                <w:szCs w:val="16"/>
              </w:rPr>
              <w:t>Change</w:t>
            </w:r>
          </w:p>
        </w:tc>
        <w:tc>
          <w:tcPr>
            <w:tcW w:w="129" w:type="pct"/>
            <w:shd w:val="clear" w:color="auto" w:fill="auto"/>
            <w:noWrap/>
            <w:tcMar>
              <w:top w:w="0" w:type="dxa"/>
              <w:left w:w="0" w:type="dxa"/>
              <w:bottom w:w="0" w:type="dxa"/>
              <w:right w:w="0" w:type="dxa"/>
            </w:tcMar>
            <w:vAlign w:val="bottom"/>
            <w:hideMark/>
          </w:tcPr>
          <w:p w14:paraId="45B9D669" w14:textId="77777777" w:rsidR="00000000" w:rsidRDefault="00097612">
            <w:pPr>
              <w:pStyle w:val="a3"/>
              <w:spacing w:before="0" w:beforeAutospacing="0" w:after="0" w:afterAutospacing="0"/>
              <w:rPr>
                <w:sz w:val="20"/>
                <w:szCs w:val="20"/>
              </w:rPr>
            </w:pPr>
            <w:r>
              <w:rPr>
                <w:b/>
                <w:bCs/>
                <w:sz w:val="16"/>
                <w:szCs w:val="16"/>
              </w:rPr>
              <w:t>​</w:t>
            </w:r>
          </w:p>
        </w:tc>
      </w:tr>
      <w:tr w:rsidR="00000000" w14:paraId="6B0C82D0" w14:textId="77777777">
        <w:trPr>
          <w:divId w:val="2100758947"/>
        </w:trPr>
        <w:tc>
          <w:tcPr>
            <w:tcW w:w="1523" w:type="pct"/>
            <w:tcBorders>
              <w:bottom w:val="single" w:sz="6" w:space="0" w:color="000000"/>
            </w:tcBorders>
            <w:shd w:val="clear" w:color="auto" w:fill="auto"/>
            <w:tcMar>
              <w:top w:w="0" w:type="dxa"/>
              <w:left w:w="0" w:type="dxa"/>
              <w:bottom w:w="0" w:type="dxa"/>
              <w:right w:w="0" w:type="dxa"/>
            </w:tcMar>
            <w:vAlign w:val="bottom"/>
            <w:hideMark/>
          </w:tcPr>
          <w:p w14:paraId="4EF5B814" w14:textId="77777777" w:rsidR="00000000" w:rsidRDefault="00097612">
            <w:pPr>
              <w:pStyle w:val="a3"/>
              <w:spacing w:before="0" w:beforeAutospacing="0" w:after="0" w:afterAutospacing="0"/>
              <w:rPr>
                <w:sz w:val="16"/>
                <w:szCs w:val="16"/>
              </w:rPr>
            </w:pPr>
            <w:r>
              <w:rPr>
                <w:b/>
                <w:bCs/>
                <w:sz w:val="16"/>
                <w:szCs w:val="16"/>
              </w:rPr>
              <w:t>(In thousands)</w:t>
            </w:r>
          </w:p>
        </w:tc>
        <w:tc>
          <w:tcPr>
            <w:tcW w:w="77" w:type="pct"/>
            <w:shd w:val="clear" w:color="auto" w:fill="auto"/>
            <w:noWrap/>
            <w:tcMar>
              <w:top w:w="0" w:type="dxa"/>
              <w:left w:w="0" w:type="dxa"/>
              <w:bottom w:w="0" w:type="dxa"/>
              <w:right w:w="0" w:type="dxa"/>
            </w:tcMar>
            <w:vAlign w:val="bottom"/>
            <w:hideMark/>
          </w:tcPr>
          <w:p w14:paraId="43A3C63C" w14:textId="77777777" w:rsidR="00000000" w:rsidRDefault="00097612">
            <w:pPr>
              <w:pStyle w:val="a3"/>
              <w:spacing w:before="0" w:beforeAutospacing="0" w:after="0" w:afterAutospacing="0"/>
              <w:jc w:val="center"/>
              <w:rPr>
                <w:sz w:val="16"/>
                <w:szCs w:val="16"/>
              </w:rPr>
            </w:pPr>
            <w:r>
              <w:rPr>
                <w:b/>
                <w:bCs/>
                <w:sz w:val="16"/>
                <w:szCs w:val="16"/>
              </w:rPr>
              <w:t>    </w:t>
            </w:r>
          </w:p>
        </w:tc>
        <w:tc>
          <w:tcPr>
            <w:tcW w:w="367" w:type="pct"/>
            <w:gridSpan w:val="2"/>
            <w:tcBorders>
              <w:bottom w:val="single" w:sz="6" w:space="0" w:color="000000"/>
            </w:tcBorders>
            <w:shd w:val="clear" w:color="auto" w:fill="auto"/>
            <w:noWrap/>
            <w:tcMar>
              <w:top w:w="0" w:type="dxa"/>
              <w:left w:w="0" w:type="dxa"/>
              <w:bottom w:w="0" w:type="dxa"/>
              <w:right w:w="0" w:type="dxa"/>
            </w:tcMar>
            <w:vAlign w:val="bottom"/>
            <w:hideMark/>
          </w:tcPr>
          <w:p w14:paraId="7CF8C602" w14:textId="77777777" w:rsidR="00000000" w:rsidRDefault="00097612">
            <w:pPr>
              <w:pStyle w:val="a3"/>
              <w:spacing w:before="0" w:beforeAutospacing="0" w:after="0" w:afterAutospacing="0"/>
              <w:jc w:val="center"/>
              <w:rPr>
                <w:sz w:val="16"/>
                <w:szCs w:val="16"/>
              </w:rPr>
            </w:pPr>
            <w:r>
              <w:rPr>
                <w:b/>
                <w:bCs/>
                <w:sz w:val="16"/>
                <w:szCs w:val="16"/>
              </w:rPr>
              <w:t>2019</w:t>
            </w:r>
          </w:p>
        </w:tc>
        <w:tc>
          <w:tcPr>
            <w:tcW w:w="77" w:type="pct"/>
            <w:shd w:val="clear" w:color="auto" w:fill="auto"/>
            <w:noWrap/>
            <w:tcMar>
              <w:top w:w="0" w:type="dxa"/>
              <w:left w:w="0" w:type="dxa"/>
              <w:bottom w:w="0" w:type="dxa"/>
              <w:right w:w="0" w:type="dxa"/>
            </w:tcMar>
            <w:vAlign w:val="bottom"/>
            <w:hideMark/>
          </w:tcPr>
          <w:p w14:paraId="6ED12F3D" w14:textId="77777777" w:rsidR="00000000" w:rsidRDefault="00097612">
            <w:pPr>
              <w:pStyle w:val="a3"/>
              <w:spacing w:before="0" w:beforeAutospacing="0" w:after="0" w:afterAutospacing="0"/>
              <w:jc w:val="center"/>
              <w:rPr>
                <w:sz w:val="16"/>
                <w:szCs w:val="16"/>
              </w:rPr>
            </w:pPr>
            <w:r>
              <w:rPr>
                <w:b/>
                <w:bCs/>
                <w:sz w:val="16"/>
                <w:szCs w:val="16"/>
              </w:rPr>
              <w:t>    </w:t>
            </w:r>
          </w:p>
        </w:tc>
        <w:tc>
          <w:tcPr>
            <w:tcW w:w="367" w:type="pct"/>
            <w:gridSpan w:val="2"/>
            <w:tcBorders>
              <w:bottom w:val="single" w:sz="6" w:space="0" w:color="000000"/>
            </w:tcBorders>
            <w:shd w:val="clear" w:color="auto" w:fill="auto"/>
            <w:noWrap/>
            <w:tcMar>
              <w:top w:w="0" w:type="dxa"/>
              <w:left w:w="0" w:type="dxa"/>
              <w:bottom w:w="0" w:type="dxa"/>
              <w:right w:w="0" w:type="dxa"/>
            </w:tcMar>
            <w:vAlign w:val="bottom"/>
            <w:hideMark/>
          </w:tcPr>
          <w:p w14:paraId="6A0E2261" w14:textId="77777777" w:rsidR="00000000" w:rsidRDefault="00097612">
            <w:pPr>
              <w:pStyle w:val="a3"/>
              <w:spacing w:before="0" w:beforeAutospacing="0" w:after="0" w:afterAutospacing="0"/>
              <w:jc w:val="center"/>
              <w:rPr>
                <w:sz w:val="16"/>
                <w:szCs w:val="16"/>
              </w:rPr>
            </w:pPr>
            <w:r>
              <w:rPr>
                <w:b/>
                <w:bCs/>
                <w:sz w:val="16"/>
                <w:szCs w:val="16"/>
              </w:rPr>
              <w:t>2018</w:t>
            </w:r>
          </w:p>
        </w:tc>
        <w:tc>
          <w:tcPr>
            <w:tcW w:w="77" w:type="pct"/>
            <w:shd w:val="clear" w:color="auto" w:fill="auto"/>
            <w:noWrap/>
            <w:tcMar>
              <w:top w:w="0" w:type="dxa"/>
              <w:left w:w="0" w:type="dxa"/>
              <w:bottom w:w="0" w:type="dxa"/>
              <w:right w:w="0" w:type="dxa"/>
            </w:tcMar>
            <w:vAlign w:val="bottom"/>
            <w:hideMark/>
          </w:tcPr>
          <w:p w14:paraId="3B49E0BE" w14:textId="77777777" w:rsidR="00000000" w:rsidRDefault="00097612">
            <w:pPr>
              <w:pStyle w:val="a3"/>
              <w:spacing w:before="0" w:beforeAutospacing="0" w:after="0" w:afterAutospacing="0"/>
              <w:jc w:val="center"/>
              <w:rPr>
                <w:sz w:val="16"/>
                <w:szCs w:val="16"/>
              </w:rPr>
            </w:pPr>
            <w:r>
              <w:rPr>
                <w:b/>
                <w:bCs/>
                <w:sz w:val="16"/>
                <w:szCs w:val="16"/>
              </w:rPr>
              <w:t>    </w:t>
            </w:r>
          </w:p>
        </w:tc>
        <w:tc>
          <w:tcPr>
            <w:tcW w:w="354" w:type="pct"/>
            <w:gridSpan w:val="2"/>
            <w:tcBorders>
              <w:bottom w:val="single" w:sz="6" w:space="0" w:color="000000"/>
            </w:tcBorders>
            <w:shd w:val="clear" w:color="auto" w:fill="auto"/>
            <w:noWrap/>
            <w:tcMar>
              <w:top w:w="0" w:type="dxa"/>
              <w:left w:w="0" w:type="dxa"/>
              <w:bottom w:w="0" w:type="dxa"/>
              <w:right w:w="0" w:type="dxa"/>
            </w:tcMar>
            <w:vAlign w:val="bottom"/>
            <w:hideMark/>
          </w:tcPr>
          <w:p w14:paraId="1C3FBC62" w14:textId="77777777" w:rsidR="00000000" w:rsidRDefault="00097612">
            <w:pPr>
              <w:pStyle w:val="a3"/>
              <w:spacing w:before="0" w:beforeAutospacing="0" w:after="0" w:afterAutospacing="0"/>
              <w:jc w:val="center"/>
              <w:rPr>
                <w:sz w:val="16"/>
                <w:szCs w:val="16"/>
              </w:rPr>
            </w:pPr>
            <w:r>
              <w:rPr>
                <w:b/>
                <w:bCs/>
                <w:sz w:val="16"/>
                <w:szCs w:val="16"/>
              </w:rPr>
              <w:t>$</w:t>
            </w:r>
          </w:p>
        </w:tc>
        <w:tc>
          <w:tcPr>
            <w:tcW w:w="77" w:type="pct"/>
            <w:shd w:val="clear" w:color="auto" w:fill="auto"/>
            <w:noWrap/>
            <w:tcMar>
              <w:top w:w="0" w:type="dxa"/>
              <w:left w:w="0" w:type="dxa"/>
              <w:bottom w:w="0" w:type="dxa"/>
              <w:right w:w="0" w:type="dxa"/>
            </w:tcMar>
            <w:vAlign w:val="bottom"/>
            <w:hideMark/>
          </w:tcPr>
          <w:p w14:paraId="542AA988" w14:textId="77777777" w:rsidR="00000000" w:rsidRDefault="00097612">
            <w:pPr>
              <w:pStyle w:val="a3"/>
              <w:spacing w:before="0" w:beforeAutospacing="0" w:after="0" w:afterAutospacing="0"/>
              <w:jc w:val="center"/>
              <w:rPr>
                <w:sz w:val="16"/>
                <w:szCs w:val="16"/>
              </w:rPr>
            </w:pPr>
            <w:r>
              <w:rPr>
                <w:b/>
                <w:bCs/>
                <w:sz w:val="16"/>
                <w:szCs w:val="16"/>
              </w:rPr>
              <w:t>    </w:t>
            </w:r>
          </w:p>
        </w:tc>
        <w:tc>
          <w:tcPr>
            <w:tcW w:w="185" w:type="pct"/>
            <w:tcBorders>
              <w:bottom w:val="single" w:sz="6" w:space="0" w:color="000000"/>
            </w:tcBorders>
            <w:shd w:val="clear" w:color="auto" w:fill="auto"/>
            <w:noWrap/>
            <w:tcMar>
              <w:top w:w="0" w:type="dxa"/>
              <w:left w:w="0" w:type="dxa"/>
              <w:bottom w:w="0" w:type="dxa"/>
              <w:right w:w="0" w:type="dxa"/>
            </w:tcMar>
            <w:vAlign w:val="bottom"/>
            <w:hideMark/>
          </w:tcPr>
          <w:p w14:paraId="03B6AD83" w14:textId="77777777" w:rsidR="00000000" w:rsidRDefault="00097612">
            <w:pPr>
              <w:pStyle w:val="a3"/>
              <w:spacing w:before="0" w:beforeAutospacing="0" w:after="0" w:afterAutospacing="0"/>
              <w:jc w:val="center"/>
              <w:rPr>
                <w:sz w:val="16"/>
                <w:szCs w:val="16"/>
              </w:rPr>
            </w:pPr>
            <w:r>
              <w:rPr>
                <w:b/>
                <w:bCs/>
                <w:sz w:val="16"/>
                <w:szCs w:val="16"/>
              </w:rPr>
              <w:t>%</w:t>
            </w:r>
          </w:p>
        </w:tc>
        <w:tc>
          <w:tcPr>
            <w:tcW w:w="129" w:type="pct"/>
            <w:shd w:val="clear" w:color="auto" w:fill="auto"/>
            <w:noWrap/>
            <w:tcMar>
              <w:top w:w="0" w:type="dxa"/>
              <w:left w:w="0" w:type="dxa"/>
              <w:bottom w:w="0" w:type="dxa"/>
              <w:right w:w="0" w:type="dxa"/>
            </w:tcMar>
            <w:vAlign w:val="bottom"/>
            <w:hideMark/>
          </w:tcPr>
          <w:p w14:paraId="122B2BAC" w14:textId="77777777" w:rsidR="00000000" w:rsidRDefault="00097612">
            <w:pPr>
              <w:pStyle w:val="a3"/>
              <w:spacing w:before="0" w:beforeAutospacing="0" w:after="0" w:afterAutospacing="0"/>
              <w:jc w:val="center"/>
              <w:rPr>
                <w:sz w:val="16"/>
                <w:szCs w:val="16"/>
              </w:rPr>
            </w:pPr>
            <w:r>
              <w:rPr>
                <w:b/>
                <w:bCs/>
                <w:sz w:val="16"/>
                <w:szCs w:val="16"/>
              </w:rPr>
              <w:t>    </w:t>
            </w:r>
          </w:p>
        </w:tc>
        <w:tc>
          <w:tcPr>
            <w:tcW w:w="77" w:type="pct"/>
            <w:shd w:val="clear" w:color="auto" w:fill="auto"/>
            <w:noWrap/>
            <w:tcMar>
              <w:top w:w="0" w:type="dxa"/>
              <w:left w:w="0" w:type="dxa"/>
              <w:bottom w:w="0" w:type="dxa"/>
              <w:right w:w="0" w:type="dxa"/>
            </w:tcMar>
            <w:vAlign w:val="bottom"/>
            <w:hideMark/>
          </w:tcPr>
          <w:p w14:paraId="1D3717FD" w14:textId="77777777" w:rsidR="00000000" w:rsidRDefault="00097612">
            <w:pPr>
              <w:pStyle w:val="a3"/>
              <w:spacing w:before="0" w:beforeAutospacing="0" w:after="0" w:afterAutospacing="0"/>
              <w:jc w:val="center"/>
              <w:rPr>
                <w:sz w:val="16"/>
                <w:szCs w:val="16"/>
              </w:rPr>
            </w:pPr>
            <w:r>
              <w:rPr>
                <w:b/>
                <w:bCs/>
                <w:sz w:val="16"/>
                <w:szCs w:val="16"/>
              </w:rPr>
              <w:t>    </w:t>
            </w:r>
          </w:p>
        </w:tc>
        <w:tc>
          <w:tcPr>
            <w:tcW w:w="367" w:type="pct"/>
            <w:gridSpan w:val="2"/>
            <w:tcBorders>
              <w:bottom w:val="single" w:sz="6" w:space="0" w:color="000000"/>
            </w:tcBorders>
            <w:shd w:val="clear" w:color="auto" w:fill="auto"/>
            <w:noWrap/>
            <w:tcMar>
              <w:top w:w="0" w:type="dxa"/>
              <w:left w:w="0" w:type="dxa"/>
              <w:bottom w:w="0" w:type="dxa"/>
              <w:right w:w="0" w:type="dxa"/>
            </w:tcMar>
            <w:vAlign w:val="bottom"/>
            <w:hideMark/>
          </w:tcPr>
          <w:p w14:paraId="65A008B8" w14:textId="77777777" w:rsidR="00000000" w:rsidRDefault="00097612">
            <w:pPr>
              <w:pStyle w:val="a3"/>
              <w:spacing w:before="0" w:beforeAutospacing="0" w:after="0" w:afterAutospacing="0"/>
              <w:jc w:val="center"/>
              <w:rPr>
                <w:sz w:val="16"/>
                <w:szCs w:val="16"/>
              </w:rPr>
            </w:pPr>
            <w:r>
              <w:rPr>
                <w:b/>
                <w:bCs/>
                <w:sz w:val="16"/>
                <w:szCs w:val="16"/>
              </w:rPr>
              <w:t>2019</w:t>
            </w:r>
          </w:p>
        </w:tc>
        <w:tc>
          <w:tcPr>
            <w:tcW w:w="77" w:type="pct"/>
            <w:shd w:val="clear" w:color="auto" w:fill="auto"/>
            <w:noWrap/>
            <w:tcMar>
              <w:top w:w="0" w:type="dxa"/>
              <w:left w:w="0" w:type="dxa"/>
              <w:bottom w:w="0" w:type="dxa"/>
              <w:right w:w="0" w:type="dxa"/>
            </w:tcMar>
            <w:vAlign w:val="bottom"/>
            <w:hideMark/>
          </w:tcPr>
          <w:p w14:paraId="477B6372" w14:textId="77777777" w:rsidR="00000000" w:rsidRDefault="00097612">
            <w:pPr>
              <w:pStyle w:val="a3"/>
              <w:spacing w:before="0" w:beforeAutospacing="0" w:after="0" w:afterAutospacing="0"/>
              <w:jc w:val="center"/>
              <w:rPr>
                <w:sz w:val="16"/>
                <w:szCs w:val="16"/>
              </w:rPr>
            </w:pPr>
            <w:r>
              <w:rPr>
                <w:b/>
                <w:bCs/>
                <w:sz w:val="16"/>
                <w:szCs w:val="16"/>
              </w:rPr>
              <w:t>    </w:t>
            </w:r>
          </w:p>
        </w:tc>
        <w:tc>
          <w:tcPr>
            <w:tcW w:w="367" w:type="pct"/>
            <w:gridSpan w:val="2"/>
            <w:tcBorders>
              <w:bottom w:val="single" w:sz="6" w:space="0" w:color="000000"/>
            </w:tcBorders>
            <w:shd w:val="clear" w:color="auto" w:fill="auto"/>
            <w:noWrap/>
            <w:tcMar>
              <w:top w:w="0" w:type="dxa"/>
              <w:left w:w="0" w:type="dxa"/>
              <w:bottom w:w="0" w:type="dxa"/>
              <w:right w:w="0" w:type="dxa"/>
            </w:tcMar>
            <w:vAlign w:val="bottom"/>
            <w:hideMark/>
          </w:tcPr>
          <w:p w14:paraId="63A2D5C4" w14:textId="77777777" w:rsidR="00000000" w:rsidRDefault="00097612">
            <w:pPr>
              <w:pStyle w:val="a3"/>
              <w:spacing w:before="0" w:beforeAutospacing="0" w:after="0" w:afterAutospacing="0"/>
              <w:jc w:val="center"/>
              <w:rPr>
                <w:sz w:val="16"/>
                <w:szCs w:val="16"/>
              </w:rPr>
            </w:pPr>
            <w:r>
              <w:rPr>
                <w:b/>
                <w:bCs/>
                <w:sz w:val="16"/>
                <w:szCs w:val="16"/>
              </w:rPr>
              <w:t>2018</w:t>
            </w:r>
          </w:p>
        </w:tc>
        <w:tc>
          <w:tcPr>
            <w:tcW w:w="77" w:type="pct"/>
            <w:shd w:val="clear" w:color="auto" w:fill="auto"/>
            <w:noWrap/>
            <w:tcMar>
              <w:top w:w="0" w:type="dxa"/>
              <w:left w:w="0" w:type="dxa"/>
              <w:bottom w:w="0" w:type="dxa"/>
              <w:right w:w="0" w:type="dxa"/>
            </w:tcMar>
            <w:vAlign w:val="bottom"/>
            <w:hideMark/>
          </w:tcPr>
          <w:p w14:paraId="78EFB9BC" w14:textId="77777777" w:rsidR="00000000" w:rsidRDefault="00097612">
            <w:pPr>
              <w:pStyle w:val="a3"/>
              <w:spacing w:before="0" w:beforeAutospacing="0" w:after="0" w:afterAutospacing="0"/>
              <w:jc w:val="center"/>
              <w:rPr>
                <w:sz w:val="16"/>
                <w:szCs w:val="16"/>
              </w:rPr>
            </w:pPr>
            <w:r>
              <w:rPr>
                <w:b/>
                <w:bCs/>
                <w:sz w:val="16"/>
                <w:szCs w:val="16"/>
              </w:rPr>
              <w:t>    </w:t>
            </w:r>
          </w:p>
        </w:tc>
        <w:tc>
          <w:tcPr>
            <w:tcW w:w="403" w:type="pct"/>
            <w:gridSpan w:val="2"/>
            <w:tcBorders>
              <w:bottom w:val="single" w:sz="6" w:space="0" w:color="000000"/>
            </w:tcBorders>
            <w:shd w:val="clear" w:color="auto" w:fill="auto"/>
            <w:noWrap/>
            <w:tcMar>
              <w:top w:w="0" w:type="dxa"/>
              <w:left w:w="0" w:type="dxa"/>
              <w:bottom w:w="0" w:type="dxa"/>
              <w:right w:w="0" w:type="dxa"/>
            </w:tcMar>
            <w:vAlign w:val="bottom"/>
            <w:hideMark/>
          </w:tcPr>
          <w:p w14:paraId="1FB552F7" w14:textId="77777777" w:rsidR="00000000" w:rsidRDefault="00097612">
            <w:pPr>
              <w:pStyle w:val="a3"/>
              <w:spacing w:before="0" w:beforeAutospacing="0" w:after="0" w:afterAutospacing="0"/>
              <w:jc w:val="center"/>
              <w:rPr>
                <w:sz w:val="16"/>
                <w:szCs w:val="16"/>
              </w:rPr>
            </w:pPr>
            <w:r>
              <w:rPr>
                <w:b/>
                <w:bCs/>
                <w:sz w:val="16"/>
                <w:szCs w:val="16"/>
              </w:rPr>
              <w:t>$</w:t>
            </w:r>
          </w:p>
        </w:tc>
        <w:tc>
          <w:tcPr>
            <w:tcW w:w="77" w:type="pct"/>
            <w:shd w:val="clear" w:color="auto" w:fill="auto"/>
            <w:noWrap/>
            <w:tcMar>
              <w:top w:w="0" w:type="dxa"/>
              <w:left w:w="0" w:type="dxa"/>
              <w:bottom w:w="0" w:type="dxa"/>
              <w:right w:w="0" w:type="dxa"/>
            </w:tcMar>
            <w:vAlign w:val="bottom"/>
            <w:hideMark/>
          </w:tcPr>
          <w:p w14:paraId="0A3C9657" w14:textId="77777777" w:rsidR="00000000" w:rsidRDefault="00097612">
            <w:pPr>
              <w:pStyle w:val="a3"/>
              <w:spacing w:before="0" w:beforeAutospacing="0" w:after="0" w:afterAutospacing="0"/>
              <w:jc w:val="center"/>
              <w:rPr>
                <w:sz w:val="16"/>
                <w:szCs w:val="16"/>
              </w:rPr>
            </w:pPr>
            <w:r>
              <w:rPr>
                <w:b/>
                <w:bCs/>
                <w:sz w:val="16"/>
                <w:szCs w:val="16"/>
              </w:rPr>
              <w:t>    </w:t>
            </w:r>
          </w:p>
        </w:tc>
        <w:tc>
          <w:tcPr>
            <w:tcW w:w="185" w:type="pct"/>
            <w:tcBorders>
              <w:bottom w:val="single" w:sz="6" w:space="0" w:color="000000"/>
            </w:tcBorders>
            <w:shd w:val="clear" w:color="auto" w:fill="auto"/>
            <w:noWrap/>
            <w:tcMar>
              <w:top w:w="0" w:type="dxa"/>
              <w:left w:w="0" w:type="dxa"/>
              <w:bottom w:w="0" w:type="dxa"/>
              <w:right w:w="0" w:type="dxa"/>
            </w:tcMar>
            <w:vAlign w:val="bottom"/>
            <w:hideMark/>
          </w:tcPr>
          <w:p w14:paraId="51603B75" w14:textId="77777777" w:rsidR="00000000" w:rsidRDefault="00097612">
            <w:pPr>
              <w:pStyle w:val="a3"/>
              <w:spacing w:before="0" w:beforeAutospacing="0" w:after="0" w:afterAutospacing="0"/>
              <w:jc w:val="center"/>
              <w:rPr>
                <w:sz w:val="16"/>
                <w:szCs w:val="16"/>
              </w:rPr>
            </w:pPr>
            <w:r>
              <w:rPr>
                <w:b/>
                <w:bCs/>
                <w:sz w:val="16"/>
                <w:szCs w:val="16"/>
              </w:rPr>
              <w:t>%</w:t>
            </w:r>
          </w:p>
        </w:tc>
        <w:tc>
          <w:tcPr>
            <w:tcW w:w="129" w:type="pct"/>
            <w:shd w:val="clear" w:color="auto" w:fill="auto"/>
            <w:noWrap/>
            <w:tcMar>
              <w:top w:w="0" w:type="dxa"/>
              <w:left w:w="0" w:type="dxa"/>
              <w:bottom w:w="0" w:type="dxa"/>
              <w:right w:w="0" w:type="dxa"/>
            </w:tcMar>
            <w:vAlign w:val="bottom"/>
            <w:hideMark/>
          </w:tcPr>
          <w:p w14:paraId="73D5C5A7" w14:textId="77777777" w:rsidR="00000000" w:rsidRDefault="00097612">
            <w:pPr>
              <w:pStyle w:val="a3"/>
              <w:spacing w:before="0" w:beforeAutospacing="0" w:after="0" w:afterAutospacing="0"/>
              <w:jc w:val="center"/>
              <w:rPr>
                <w:sz w:val="16"/>
                <w:szCs w:val="16"/>
              </w:rPr>
            </w:pPr>
            <w:r>
              <w:rPr>
                <w:b/>
                <w:bCs/>
                <w:sz w:val="16"/>
                <w:szCs w:val="16"/>
              </w:rPr>
              <w:t>    </w:t>
            </w:r>
          </w:p>
        </w:tc>
      </w:tr>
      <w:tr w:rsidR="00000000" w14:paraId="1ACA6A28" w14:textId="77777777">
        <w:trPr>
          <w:divId w:val="2100758947"/>
        </w:trPr>
        <w:tc>
          <w:tcPr>
            <w:tcW w:w="1523" w:type="pct"/>
            <w:shd w:val="clear" w:color="auto" w:fill="CCEEFF"/>
            <w:tcMar>
              <w:top w:w="0" w:type="dxa"/>
              <w:left w:w="0" w:type="dxa"/>
              <w:bottom w:w="0" w:type="dxa"/>
              <w:right w:w="0" w:type="dxa"/>
            </w:tcMar>
            <w:vAlign w:val="bottom"/>
            <w:hideMark/>
          </w:tcPr>
          <w:p w14:paraId="5A035C2C" w14:textId="77777777" w:rsidR="00000000" w:rsidRDefault="00097612">
            <w:pPr>
              <w:pStyle w:val="a3"/>
              <w:spacing w:before="0" w:beforeAutospacing="0" w:after="0" w:afterAutospacing="0"/>
              <w:rPr>
                <w:sz w:val="20"/>
                <w:szCs w:val="20"/>
              </w:rPr>
            </w:pPr>
            <w:r>
              <w:rPr>
                <w:sz w:val="20"/>
                <w:szCs w:val="20"/>
              </w:rPr>
              <w:t>Product sales</w:t>
            </w:r>
          </w:p>
        </w:tc>
        <w:tc>
          <w:tcPr>
            <w:tcW w:w="77" w:type="pct"/>
            <w:shd w:val="clear" w:color="auto" w:fill="CCEEFF"/>
            <w:noWrap/>
            <w:tcMar>
              <w:top w:w="0" w:type="dxa"/>
              <w:left w:w="0" w:type="dxa"/>
              <w:bottom w:w="0" w:type="dxa"/>
              <w:right w:w="0" w:type="dxa"/>
            </w:tcMar>
            <w:vAlign w:val="bottom"/>
            <w:hideMark/>
          </w:tcPr>
          <w:p w14:paraId="4DF3F281" w14:textId="77777777" w:rsidR="00000000" w:rsidRDefault="00097612">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22AB15A2" w14:textId="77777777" w:rsidR="00000000" w:rsidRDefault="00097612">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14:paraId="1869A85E" w14:textId="77777777" w:rsidR="00000000" w:rsidRDefault="00097612">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286CE0B0" w14:textId="77777777" w:rsidR="00000000" w:rsidRDefault="00097612">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73F47ECD" w14:textId="77777777" w:rsidR="00000000" w:rsidRDefault="00097612">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14:paraId="05B16787" w14:textId="77777777" w:rsidR="00000000" w:rsidRDefault="00097612">
            <w:pPr>
              <w:pStyle w:val="a3"/>
              <w:spacing w:before="0" w:beforeAutospacing="0" w:after="0" w:afterAutospacing="0"/>
              <w:ind w:right="60"/>
              <w:jc w:val="right"/>
              <w:rPr>
                <w:sz w:val="20"/>
                <w:szCs w:val="20"/>
              </w:rPr>
            </w:pPr>
            <w:r>
              <w:rPr>
                <w:sz w:val="20"/>
                <w:szCs w:val="20"/>
              </w:rPr>
              <w:t>3,84</w:t>
            </w:r>
            <w:r>
              <w:rPr>
                <w:sz w:val="20"/>
                <w:szCs w:val="20"/>
              </w:rPr>
              <w:t>9</w:t>
            </w:r>
          </w:p>
        </w:tc>
        <w:tc>
          <w:tcPr>
            <w:tcW w:w="77" w:type="pct"/>
            <w:shd w:val="clear" w:color="auto" w:fill="CCEEFF"/>
            <w:noWrap/>
            <w:tcMar>
              <w:top w:w="0" w:type="dxa"/>
              <w:left w:w="0" w:type="dxa"/>
              <w:bottom w:w="0" w:type="dxa"/>
              <w:right w:w="0" w:type="dxa"/>
            </w:tcMar>
            <w:vAlign w:val="bottom"/>
            <w:hideMark/>
          </w:tcPr>
          <w:p w14:paraId="01DD4CA3" w14:textId="77777777" w:rsidR="00000000" w:rsidRDefault="00097612">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21D1AB3C" w14:textId="77777777" w:rsidR="00000000" w:rsidRDefault="00097612">
            <w:pPr>
              <w:pStyle w:val="a3"/>
              <w:spacing w:before="0" w:beforeAutospacing="0" w:after="0" w:afterAutospacing="0"/>
              <w:jc w:val="center"/>
              <w:rPr>
                <w:sz w:val="20"/>
                <w:szCs w:val="20"/>
              </w:rPr>
            </w:pPr>
            <w:r>
              <w:rPr>
                <w:sz w:val="20"/>
                <w:szCs w:val="20"/>
              </w:rPr>
              <w:t>$</w:t>
            </w:r>
          </w:p>
        </w:tc>
        <w:tc>
          <w:tcPr>
            <w:tcW w:w="306" w:type="pct"/>
            <w:shd w:val="clear" w:color="auto" w:fill="CCEEFF"/>
            <w:noWrap/>
            <w:tcMar>
              <w:top w:w="0" w:type="dxa"/>
              <w:left w:w="0" w:type="dxa"/>
              <w:bottom w:w="0" w:type="dxa"/>
              <w:right w:w="0" w:type="dxa"/>
            </w:tcMar>
            <w:vAlign w:val="bottom"/>
            <w:hideMark/>
          </w:tcPr>
          <w:p w14:paraId="03A2E21D" w14:textId="77777777" w:rsidR="00000000" w:rsidRDefault="00097612">
            <w:pPr>
              <w:pStyle w:val="a3"/>
              <w:spacing w:before="0" w:beforeAutospacing="0" w:after="0" w:afterAutospacing="0"/>
              <w:jc w:val="right"/>
              <w:rPr>
                <w:sz w:val="20"/>
                <w:szCs w:val="20"/>
              </w:rPr>
            </w:pPr>
            <w:r>
              <w:rPr>
                <w:sz w:val="20"/>
                <w:szCs w:val="20"/>
              </w:rPr>
              <w:t>(3,849</w:t>
            </w:r>
            <w:r>
              <w:rPr>
                <w:sz w:val="20"/>
                <w:szCs w:val="20"/>
              </w:rPr>
              <w:t>)</w:t>
            </w:r>
          </w:p>
        </w:tc>
        <w:tc>
          <w:tcPr>
            <w:tcW w:w="77" w:type="pct"/>
            <w:shd w:val="clear" w:color="auto" w:fill="CCEEFF"/>
            <w:noWrap/>
            <w:tcMar>
              <w:top w:w="0" w:type="dxa"/>
              <w:left w:w="0" w:type="dxa"/>
              <w:bottom w:w="0" w:type="dxa"/>
              <w:right w:w="0" w:type="dxa"/>
            </w:tcMar>
            <w:vAlign w:val="bottom"/>
            <w:hideMark/>
          </w:tcPr>
          <w:p w14:paraId="1AC91754" w14:textId="77777777" w:rsidR="00000000" w:rsidRDefault="00097612">
            <w:pPr>
              <w:pStyle w:val="a3"/>
              <w:spacing w:before="0" w:beforeAutospacing="0" w:after="0" w:afterAutospacing="0"/>
              <w:rPr>
                <w:sz w:val="20"/>
                <w:szCs w:val="20"/>
              </w:rPr>
            </w:pPr>
            <w:r>
              <w:rPr>
                <w:sz w:val="20"/>
                <w:szCs w:val="20"/>
              </w:rPr>
              <w:t>​</w:t>
            </w:r>
          </w:p>
        </w:tc>
        <w:tc>
          <w:tcPr>
            <w:tcW w:w="185" w:type="pct"/>
            <w:shd w:val="clear" w:color="auto" w:fill="CCEEFF"/>
            <w:noWrap/>
            <w:tcMar>
              <w:top w:w="0" w:type="dxa"/>
              <w:left w:w="0" w:type="dxa"/>
              <w:bottom w:w="0" w:type="dxa"/>
              <w:right w:w="0" w:type="dxa"/>
            </w:tcMar>
            <w:vAlign w:val="bottom"/>
            <w:hideMark/>
          </w:tcPr>
          <w:p w14:paraId="2F90AC1C" w14:textId="77777777" w:rsidR="00000000" w:rsidRDefault="00097612">
            <w:pPr>
              <w:pStyle w:val="a3"/>
              <w:spacing w:before="0" w:beforeAutospacing="0" w:after="0" w:afterAutospacing="0"/>
              <w:ind w:right="6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14:paraId="5C2789A8" w14:textId="77777777" w:rsidR="00000000" w:rsidRDefault="00097612">
            <w:pPr>
              <w:pStyle w:val="a3"/>
              <w:spacing w:before="0" w:beforeAutospacing="0" w:after="0"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14:paraId="73D8E9EA" w14:textId="77777777" w:rsidR="00000000" w:rsidRDefault="00097612">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6392A7D2" w14:textId="77777777" w:rsidR="00000000" w:rsidRDefault="00097612">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14:paraId="0C3D2033" w14:textId="77777777" w:rsidR="00000000" w:rsidRDefault="00097612">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2008F023" w14:textId="77777777" w:rsidR="00000000" w:rsidRDefault="00097612">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11F13D9E" w14:textId="77777777" w:rsidR="00000000" w:rsidRDefault="00097612">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14:paraId="6ED59423" w14:textId="77777777" w:rsidR="00000000" w:rsidRDefault="00097612">
            <w:pPr>
              <w:pStyle w:val="a3"/>
              <w:spacing w:before="0" w:beforeAutospacing="0" w:after="0" w:afterAutospacing="0"/>
              <w:ind w:right="60"/>
              <w:jc w:val="right"/>
              <w:rPr>
                <w:sz w:val="20"/>
                <w:szCs w:val="20"/>
              </w:rPr>
            </w:pPr>
            <w:r>
              <w:rPr>
                <w:sz w:val="20"/>
                <w:szCs w:val="20"/>
              </w:rPr>
              <w:t>12,88</w:t>
            </w:r>
            <w:r>
              <w:rPr>
                <w:sz w:val="20"/>
                <w:szCs w:val="20"/>
              </w:rPr>
              <w:t>9</w:t>
            </w:r>
          </w:p>
        </w:tc>
        <w:tc>
          <w:tcPr>
            <w:tcW w:w="77" w:type="pct"/>
            <w:shd w:val="clear" w:color="auto" w:fill="CCEEFF"/>
            <w:noWrap/>
            <w:tcMar>
              <w:top w:w="0" w:type="dxa"/>
              <w:left w:w="0" w:type="dxa"/>
              <w:bottom w:w="0" w:type="dxa"/>
              <w:right w:w="0" w:type="dxa"/>
            </w:tcMar>
            <w:vAlign w:val="bottom"/>
            <w:hideMark/>
          </w:tcPr>
          <w:p w14:paraId="12A0F655" w14:textId="77777777" w:rsidR="00000000" w:rsidRDefault="00097612">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4416D8D8" w14:textId="77777777" w:rsidR="00000000" w:rsidRDefault="00097612">
            <w:pPr>
              <w:pStyle w:val="a3"/>
              <w:spacing w:before="0" w:beforeAutospacing="0" w:after="0" w:afterAutospacing="0"/>
              <w:jc w:val="center"/>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14:paraId="3B89B8A0" w14:textId="77777777" w:rsidR="00000000" w:rsidRDefault="00097612">
            <w:pPr>
              <w:pStyle w:val="a3"/>
              <w:spacing w:before="0" w:beforeAutospacing="0" w:after="0" w:afterAutospacing="0"/>
              <w:jc w:val="right"/>
              <w:rPr>
                <w:sz w:val="20"/>
                <w:szCs w:val="20"/>
              </w:rPr>
            </w:pPr>
            <w:r>
              <w:rPr>
                <w:sz w:val="20"/>
                <w:szCs w:val="20"/>
              </w:rPr>
              <w:t>(12,889</w:t>
            </w:r>
            <w:r>
              <w:rPr>
                <w:sz w:val="20"/>
                <w:szCs w:val="20"/>
              </w:rPr>
              <w:t>)</w:t>
            </w:r>
          </w:p>
        </w:tc>
        <w:tc>
          <w:tcPr>
            <w:tcW w:w="77" w:type="pct"/>
            <w:shd w:val="clear" w:color="auto" w:fill="CCEEFF"/>
            <w:noWrap/>
            <w:tcMar>
              <w:top w:w="0" w:type="dxa"/>
              <w:left w:w="0" w:type="dxa"/>
              <w:bottom w:w="0" w:type="dxa"/>
              <w:right w:w="0" w:type="dxa"/>
            </w:tcMar>
            <w:vAlign w:val="bottom"/>
            <w:hideMark/>
          </w:tcPr>
          <w:p w14:paraId="2D7CAA04" w14:textId="77777777" w:rsidR="00000000" w:rsidRDefault="00097612">
            <w:pPr>
              <w:pStyle w:val="a3"/>
              <w:spacing w:before="0" w:beforeAutospacing="0" w:after="0" w:afterAutospacing="0"/>
              <w:jc w:val="center"/>
              <w:rPr>
                <w:sz w:val="20"/>
                <w:szCs w:val="20"/>
              </w:rPr>
            </w:pPr>
            <w:r>
              <w:rPr>
                <w:sz w:val="20"/>
                <w:szCs w:val="20"/>
              </w:rPr>
              <w:t>​</w:t>
            </w:r>
          </w:p>
        </w:tc>
        <w:tc>
          <w:tcPr>
            <w:tcW w:w="185" w:type="pct"/>
            <w:shd w:val="clear" w:color="auto" w:fill="CCEEFF"/>
            <w:noWrap/>
            <w:tcMar>
              <w:top w:w="0" w:type="dxa"/>
              <w:left w:w="0" w:type="dxa"/>
              <w:bottom w:w="0" w:type="dxa"/>
              <w:right w:w="0" w:type="dxa"/>
            </w:tcMar>
            <w:vAlign w:val="bottom"/>
            <w:hideMark/>
          </w:tcPr>
          <w:p w14:paraId="229337C4" w14:textId="77777777" w:rsidR="00000000" w:rsidRDefault="00097612">
            <w:pPr>
              <w:pStyle w:val="a3"/>
              <w:spacing w:before="0" w:beforeAutospacing="0" w:after="0" w:afterAutospacing="0"/>
              <w:ind w:right="6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14:paraId="04CF2BA7" w14:textId="77777777" w:rsidR="00000000" w:rsidRDefault="00097612">
            <w:pPr>
              <w:pStyle w:val="a3"/>
              <w:spacing w:before="0" w:beforeAutospacing="0" w:after="0" w:afterAutospacing="0"/>
              <w:jc w:val="center"/>
              <w:rPr>
                <w:sz w:val="20"/>
                <w:szCs w:val="20"/>
              </w:rPr>
            </w:pPr>
            <w:r>
              <w:rPr>
                <w:sz w:val="20"/>
                <w:szCs w:val="20"/>
              </w:rPr>
              <w:t>%  </w:t>
            </w:r>
          </w:p>
        </w:tc>
      </w:tr>
      <w:tr w:rsidR="00000000" w14:paraId="2F2C6E2A" w14:textId="77777777">
        <w:trPr>
          <w:divId w:val="2100758947"/>
        </w:trPr>
        <w:tc>
          <w:tcPr>
            <w:tcW w:w="1523" w:type="pct"/>
            <w:tcMar>
              <w:top w:w="0" w:type="dxa"/>
              <w:left w:w="0" w:type="dxa"/>
              <w:bottom w:w="0" w:type="dxa"/>
              <w:right w:w="0" w:type="dxa"/>
            </w:tcMar>
            <w:vAlign w:val="bottom"/>
            <w:hideMark/>
          </w:tcPr>
          <w:p w14:paraId="625734C1" w14:textId="77777777" w:rsidR="00000000" w:rsidRDefault="00097612">
            <w:pPr>
              <w:pStyle w:val="a3"/>
              <w:spacing w:before="0" w:beforeAutospacing="0" w:after="0" w:afterAutospacing="0"/>
              <w:rPr>
                <w:sz w:val="20"/>
                <w:szCs w:val="20"/>
              </w:rPr>
            </w:pPr>
            <w:r>
              <w:rPr>
                <w:sz w:val="20"/>
                <w:szCs w:val="20"/>
              </w:rPr>
              <w:t>Collaboration revenue</w:t>
            </w:r>
          </w:p>
        </w:tc>
        <w:tc>
          <w:tcPr>
            <w:tcW w:w="77" w:type="pct"/>
            <w:noWrap/>
            <w:tcMar>
              <w:top w:w="0" w:type="dxa"/>
              <w:left w:w="0" w:type="dxa"/>
              <w:bottom w:w="0" w:type="dxa"/>
              <w:right w:w="0" w:type="dxa"/>
            </w:tcMar>
            <w:vAlign w:val="bottom"/>
            <w:hideMark/>
          </w:tcPr>
          <w:p w14:paraId="468FC11B" w14:textId="77777777" w:rsidR="00000000" w:rsidRDefault="00097612">
            <w:pPr>
              <w:pStyle w:val="a3"/>
              <w:spacing w:before="0" w:beforeAutospacing="0" w:after="0" w:afterAutospacing="0"/>
              <w:rPr>
                <w:sz w:val="20"/>
                <w:szCs w:val="20"/>
              </w:rPr>
            </w:pPr>
            <w:r>
              <w:rPr>
                <w:sz w:val="20"/>
                <w:szCs w:val="20"/>
              </w:rPr>
              <w:t>​</w:t>
            </w:r>
          </w:p>
        </w:tc>
        <w:tc>
          <w:tcPr>
            <w:tcW w:w="48" w:type="pct"/>
            <w:noWrap/>
            <w:tcMar>
              <w:top w:w="0" w:type="dxa"/>
              <w:left w:w="0" w:type="dxa"/>
              <w:bottom w:w="0" w:type="dxa"/>
              <w:right w:w="0" w:type="dxa"/>
            </w:tcMar>
            <w:vAlign w:val="bottom"/>
            <w:hideMark/>
          </w:tcPr>
          <w:p w14:paraId="13EFFF5B" w14:textId="77777777" w:rsidR="00000000" w:rsidRDefault="00097612">
            <w:pPr>
              <w:pStyle w:val="a3"/>
              <w:spacing w:before="0" w:beforeAutospacing="0" w:after="0" w:afterAutospacing="0"/>
              <w:jc w:val="center"/>
              <w:rPr>
                <w:sz w:val="20"/>
                <w:szCs w:val="20"/>
              </w:rPr>
            </w:pPr>
            <w:r>
              <w:rPr>
                <w:sz w:val="20"/>
                <w:szCs w:val="20"/>
              </w:rPr>
              <w:t>​</w:t>
            </w:r>
          </w:p>
        </w:tc>
        <w:tc>
          <w:tcPr>
            <w:tcW w:w="319" w:type="pct"/>
            <w:noWrap/>
            <w:tcMar>
              <w:top w:w="0" w:type="dxa"/>
              <w:left w:w="0" w:type="dxa"/>
              <w:bottom w:w="0" w:type="dxa"/>
              <w:right w:w="0" w:type="dxa"/>
            </w:tcMar>
            <w:vAlign w:val="bottom"/>
            <w:hideMark/>
          </w:tcPr>
          <w:p w14:paraId="7923F1AA" w14:textId="77777777" w:rsidR="00000000" w:rsidRDefault="00097612">
            <w:pPr>
              <w:pStyle w:val="a3"/>
              <w:spacing w:before="0" w:beforeAutospacing="0" w:after="0" w:afterAutospacing="0"/>
              <w:ind w:right="60"/>
              <w:jc w:val="right"/>
              <w:rPr>
                <w:sz w:val="20"/>
                <w:szCs w:val="20"/>
              </w:rPr>
            </w:pPr>
            <w:r>
              <w:rPr>
                <w:sz w:val="20"/>
                <w:szCs w:val="20"/>
              </w:rPr>
              <w:t>8,83</w:t>
            </w:r>
            <w:r>
              <w:rPr>
                <w:sz w:val="20"/>
                <w:szCs w:val="20"/>
              </w:rPr>
              <w:t>6</w:t>
            </w:r>
          </w:p>
        </w:tc>
        <w:tc>
          <w:tcPr>
            <w:tcW w:w="77" w:type="pct"/>
            <w:noWrap/>
            <w:tcMar>
              <w:top w:w="0" w:type="dxa"/>
              <w:left w:w="0" w:type="dxa"/>
              <w:bottom w:w="0" w:type="dxa"/>
              <w:right w:w="0" w:type="dxa"/>
            </w:tcMar>
            <w:vAlign w:val="bottom"/>
            <w:hideMark/>
          </w:tcPr>
          <w:p w14:paraId="72FAFC05" w14:textId="77777777" w:rsidR="00000000" w:rsidRDefault="00097612">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14:paraId="21A32FFF" w14:textId="77777777" w:rsidR="00000000" w:rsidRDefault="00097612">
            <w:pPr>
              <w:pStyle w:val="a3"/>
              <w:spacing w:before="0" w:beforeAutospacing="0" w:after="0" w:afterAutospacing="0"/>
              <w:jc w:val="center"/>
              <w:rPr>
                <w:sz w:val="20"/>
                <w:szCs w:val="20"/>
              </w:rPr>
            </w:pPr>
            <w:r>
              <w:rPr>
                <w:sz w:val="20"/>
                <w:szCs w:val="20"/>
              </w:rPr>
              <w:t>​</w:t>
            </w:r>
          </w:p>
        </w:tc>
        <w:tc>
          <w:tcPr>
            <w:tcW w:w="319" w:type="pct"/>
            <w:noWrap/>
            <w:tcMar>
              <w:top w:w="0" w:type="dxa"/>
              <w:left w:w="0" w:type="dxa"/>
              <w:bottom w:w="0" w:type="dxa"/>
              <w:right w:w="0" w:type="dxa"/>
            </w:tcMar>
            <w:vAlign w:val="bottom"/>
            <w:hideMark/>
          </w:tcPr>
          <w:p w14:paraId="0C751DEF" w14:textId="77777777" w:rsidR="00000000" w:rsidRDefault="00097612">
            <w:pPr>
              <w:pStyle w:val="a3"/>
              <w:spacing w:before="0" w:beforeAutospacing="0" w:after="0" w:afterAutospacing="0"/>
              <w:ind w:right="60"/>
              <w:jc w:val="right"/>
              <w:rPr>
                <w:sz w:val="20"/>
                <w:szCs w:val="20"/>
              </w:rPr>
            </w:pPr>
            <w:r>
              <w:rPr>
                <w:sz w:val="20"/>
                <w:szCs w:val="20"/>
              </w:rPr>
              <w:t>8,98</w:t>
            </w:r>
            <w:r>
              <w:rPr>
                <w:sz w:val="20"/>
                <w:szCs w:val="20"/>
              </w:rPr>
              <w:t>9</w:t>
            </w:r>
          </w:p>
        </w:tc>
        <w:tc>
          <w:tcPr>
            <w:tcW w:w="77" w:type="pct"/>
            <w:noWrap/>
            <w:tcMar>
              <w:top w:w="0" w:type="dxa"/>
              <w:left w:w="0" w:type="dxa"/>
              <w:bottom w:w="0" w:type="dxa"/>
              <w:right w:w="0" w:type="dxa"/>
            </w:tcMar>
            <w:vAlign w:val="bottom"/>
            <w:hideMark/>
          </w:tcPr>
          <w:p w14:paraId="040A1A91" w14:textId="77777777" w:rsidR="00000000" w:rsidRDefault="00097612">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14:paraId="12A9DDC2" w14:textId="77777777" w:rsidR="00000000" w:rsidRDefault="00097612">
            <w:pPr>
              <w:pStyle w:val="a3"/>
              <w:spacing w:before="0" w:beforeAutospacing="0" w:after="0" w:afterAutospacing="0"/>
              <w:jc w:val="center"/>
              <w:rPr>
                <w:sz w:val="20"/>
                <w:szCs w:val="20"/>
              </w:rPr>
            </w:pPr>
            <w:r>
              <w:rPr>
                <w:sz w:val="20"/>
                <w:szCs w:val="20"/>
              </w:rPr>
              <w:t>​</w:t>
            </w:r>
          </w:p>
        </w:tc>
        <w:tc>
          <w:tcPr>
            <w:tcW w:w="306" w:type="pct"/>
            <w:noWrap/>
            <w:tcMar>
              <w:top w:w="0" w:type="dxa"/>
              <w:left w:w="0" w:type="dxa"/>
              <w:bottom w:w="0" w:type="dxa"/>
              <w:right w:w="0" w:type="dxa"/>
            </w:tcMar>
            <w:vAlign w:val="bottom"/>
            <w:hideMark/>
          </w:tcPr>
          <w:p w14:paraId="19AD0DFB" w14:textId="77777777" w:rsidR="00000000" w:rsidRDefault="00097612">
            <w:pPr>
              <w:pStyle w:val="a3"/>
              <w:spacing w:before="0" w:beforeAutospacing="0" w:after="0" w:afterAutospacing="0"/>
              <w:jc w:val="right"/>
              <w:rPr>
                <w:sz w:val="20"/>
                <w:szCs w:val="20"/>
              </w:rPr>
            </w:pPr>
            <w:r>
              <w:rPr>
                <w:sz w:val="20"/>
                <w:szCs w:val="20"/>
              </w:rPr>
              <w:t>(153</w:t>
            </w:r>
            <w:r>
              <w:rPr>
                <w:sz w:val="20"/>
                <w:szCs w:val="20"/>
              </w:rPr>
              <w:t>)</w:t>
            </w:r>
          </w:p>
        </w:tc>
        <w:tc>
          <w:tcPr>
            <w:tcW w:w="77" w:type="pct"/>
            <w:noWrap/>
            <w:tcMar>
              <w:top w:w="0" w:type="dxa"/>
              <w:left w:w="0" w:type="dxa"/>
              <w:bottom w:w="0" w:type="dxa"/>
              <w:right w:w="0" w:type="dxa"/>
            </w:tcMar>
            <w:vAlign w:val="bottom"/>
            <w:hideMark/>
          </w:tcPr>
          <w:p w14:paraId="1EFE19FF" w14:textId="77777777" w:rsidR="00000000" w:rsidRDefault="00097612">
            <w:pPr>
              <w:pStyle w:val="a3"/>
              <w:spacing w:before="0" w:beforeAutospacing="0" w:after="0" w:afterAutospacing="0"/>
              <w:jc w:val="center"/>
              <w:rPr>
                <w:sz w:val="20"/>
                <w:szCs w:val="20"/>
              </w:rPr>
            </w:pPr>
            <w:r>
              <w:rPr>
                <w:sz w:val="20"/>
                <w:szCs w:val="20"/>
              </w:rPr>
              <w:t>​</w:t>
            </w:r>
          </w:p>
        </w:tc>
        <w:tc>
          <w:tcPr>
            <w:tcW w:w="185" w:type="pct"/>
            <w:noWrap/>
            <w:tcMar>
              <w:top w:w="0" w:type="dxa"/>
              <w:left w:w="0" w:type="dxa"/>
              <w:bottom w:w="0" w:type="dxa"/>
              <w:right w:w="0" w:type="dxa"/>
            </w:tcMar>
            <w:vAlign w:val="bottom"/>
            <w:hideMark/>
          </w:tcPr>
          <w:p w14:paraId="15380DE0" w14:textId="77777777" w:rsidR="00000000" w:rsidRDefault="00097612">
            <w:pPr>
              <w:pStyle w:val="a3"/>
              <w:spacing w:before="0" w:beforeAutospacing="0" w:after="0" w:afterAutospacing="0"/>
              <w:jc w:val="right"/>
              <w:rPr>
                <w:sz w:val="20"/>
                <w:szCs w:val="20"/>
              </w:rPr>
            </w:pPr>
            <w:r>
              <w:rPr>
                <w:sz w:val="20"/>
                <w:szCs w:val="20"/>
              </w:rPr>
              <w:t>(2</w:t>
            </w:r>
            <w:r>
              <w:rPr>
                <w:sz w:val="20"/>
                <w:szCs w:val="20"/>
              </w:rPr>
              <w:t>)</w:t>
            </w:r>
          </w:p>
        </w:tc>
        <w:tc>
          <w:tcPr>
            <w:tcW w:w="129" w:type="pct"/>
            <w:noWrap/>
            <w:tcMar>
              <w:top w:w="0" w:type="dxa"/>
              <w:left w:w="0" w:type="dxa"/>
              <w:bottom w:w="0" w:type="dxa"/>
              <w:right w:w="0" w:type="dxa"/>
            </w:tcMar>
            <w:vAlign w:val="bottom"/>
            <w:hideMark/>
          </w:tcPr>
          <w:p w14:paraId="227913BB" w14:textId="77777777" w:rsidR="00000000" w:rsidRDefault="00097612">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14:paraId="19F6C01B" w14:textId="77777777" w:rsidR="00000000" w:rsidRDefault="00097612">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14:paraId="2A34971D" w14:textId="77777777" w:rsidR="00000000" w:rsidRDefault="00097612">
            <w:pPr>
              <w:pStyle w:val="a3"/>
              <w:spacing w:before="0" w:beforeAutospacing="0" w:after="0" w:afterAutospacing="0"/>
              <w:jc w:val="center"/>
              <w:rPr>
                <w:sz w:val="20"/>
                <w:szCs w:val="20"/>
              </w:rPr>
            </w:pPr>
            <w:r>
              <w:rPr>
                <w:sz w:val="20"/>
                <w:szCs w:val="20"/>
              </w:rPr>
              <w:t>​</w:t>
            </w:r>
          </w:p>
        </w:tc>
        <w:tc>
          <w:tcPr>
            <w:tcW w:w="319" w:type="pct"/>
            <w:noWrap/>
            <w:tcMar>
              <w:top w:w="0" w:type="dxa"/>
              <w:left w:w="0" w:type="dxa"/>
              <w:bottom w:w="0" w:type="dxa"/>
              <w:right w:w="0" w:type="dxa"/>
            </w:tcMar>
            <w:vAlign w:val="bottom"/>
            <w:hideMark/>
          </w:tcPr>
          <w:p w14:paraId="3E95FC11" w14:textId="77777777" w:rsidR="00000000" w:rsidRDefault="00097612">
            <w:pPr>
              <w:pStyle w:val="a3"/>
              <w:spacing w:before="0" w:beforeAutospacing="0" w:after="0" w:afterAutospacing="0"/>
              <w:ind w:right="60"/>
              <w:jc w:val="right"/>
              <w:rPr>
                <w:sz w:val="20"/>
                <w:szCs w:val="20"/>
              </w:rPr>
            </w:pPr>
            <w:r>
              <w:rPr>
                <w:sz w:val="20"/>
                <w:szCs w:val="20"/>
              </w:rPr>
              <w:t>21,66</w:t>
            </w:r>
            <w:r>
              <w:rPr>
                <w:sz w:val="20"/>
                <w:szCs w:val="20"/>
              </w:rPr>
              <w:t>6</w:t>
            </w:r>
          </w:p>
        </w:tc>
        <w:tc>
          <w:tcPr>
            <w:tcW w:w="77" w:type="pct"/>
            <w:noWrap/>
            <w:tcMar>
              <w:top w:w="0" w:type="dxa"/>
              <w:left w:w="0" w:type="dxa"/>
              <w:bottom w:w="0" w:type="dxa"/>
              <w:right w:w="0" w:type="dxa"/>
            </w:tcMar>
            <w:vAlign w:val="bottom"/>
            <w:hideMark/>
          </w:tcPr>
          <w:p w14:paraId="1AF3EB6C" w14:textId="77777777" w:rsidR="00000000" w:rsidRDefault="00097612">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14:paraId="1A9B6082" w14:textId="77777777" w:rsidR="00000000" w:rsidRDefault="00097612">
            <w:pPr>
              <w:pStyle w:val="a3"/>
              <w:spacing w:before="0" w:beforeAutospacing="0" w:after="0" w:afterAutospacing="0"/>
              <w:jc w:val="center"/>
              <w:rPr>
                <w:sz w:val="20"/>
                <w:szCs w:val="20"/>
              </w:rPr>
            </w:pPr>
            <w:r>
              <w:rPr>
                <w:sz w:val="20"/>
                <w:szCs w:val="20"/>
              </w:rPr>
              <w:t>​</w:t>
            </w:r>
          </w:p>
        </w:tc>
        <w:tc>
          <w:tcPr>
            <w:tcW w:w="319" w:type="pct"/>
            <w:noWrap/>
            <w:tcMar>
              <w:top w:w="0" w:type="dxa"/>
              <w:left w:w="0" w:type="dxa"/>
              <w:bottom w:w="0" w:type="dxa"/>
              <w:right w:w="0" w:type="dxa"/>
            </w:tcMar>
            <w:vAlign w:val="bottom"/>
            <w:hideMark/>
          </w:tcPr>
          <w:p w14:paraId="55D21FA3" w14:textId="77777777" w:rsidR="00000000" w:rsidRDefault="00097612">
            <w:pPr>
              <w:pStyle w:val="a3"/>
              <w:spacing w:before="0" w:beforeAutospacing="0" w:after="0" w:afterAutospacing="0"/>
              <w:ind w:right="60"/>
              <w:jc w:val="right"/>
              <w:rPr>
                <w:sz w:val="20"/>
                <w:szCs w:val="20"/>
              </w:rPr>
            </w:pPr>
            <w:r>
              <w:rPr>
                <w:sz w:val="20"/>
                <w:szCs w:val="20"/>
              </w:rPr>
              <w:t>31,74</w:t>
            </w:r>
            <w:r>
              <w:rPr>
                <w:sz w:val="20"/>
                <w:szCs w:val="20"/>
              </w:rPr>
              <w:t>4</w:t>
            </w:r>
          </w:p>
        </w:tc>
        <w:tc>
          <w:tcPr>
            <w:tcW w:w="77" w:type="pct"/>
            <w:noWrap/>
            <w:tcMar>
              <w:top w:w="0" w:type="dxa"/>
              <w:left w:w="0" w:type="dxa"/>
              <w:bottom w:w="0" w:type="dxa"/>
              <w:right w:w="0" w:type="dxa"/>
            </w:tcMar>
            <w:vAlign w:val="bottom"/>
            <w:hideMark/>
          </w:tcPr>
          <w:p w14:paraId="791483D5" w14:textId="77777777" w:rsidR="00000000" w:rsidRDefault="00097612">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14:paraId="2312777E" w14:textId="77777777" w:rsidR="00000000" w:rsidRDefault="00097612">
            <w:pPr>
              <w:pStyle w:val="a3"/>
              <w:spacing w:before="0" w:beforeAutospacing="0" w:after="0" w:afterAutospacing="0"/>
              <w:jc w:val="center"/>
              <w:rPr>
                <w:sz w:val="20"/>
                <w:szCs w:val="20"/>
              </w:rPr>
            </w:pPr>
            <w:r>
              <w:rPr>
                <w:sz w:val="20"/>
                <w:szCs w:val="20"/>
              </w:rPr>
              <w:t>​</w:t>
            </w:r>
          </w:p>
        </w:tc>
        <w:tc>
          <w:tcPr>
            <w:tcW w:w="354" w:type="pct"/>
            <w:noWrap/>
            <w:tcMar>
              <w:top w:w="0" w:type="dxa"/>
              <w:left w:w="0" w:type="dxa"/>
              <w:bottom w:w="0" w:type="dxa"/>
              <w:right w:w="0" w:type="dxa"/>
            </w:tcMar>
            <w:vAlign w:val="bottom"/>
            <w:hideMark/>
          </w:tcPr>
          <w:p w14:paraId="167EF305" w14:textId="77777777" w:rsidR="00000000" w:rsidRDefault="00097612">
            <w:pPr>
              <w:pStyle w:val="a3"/>
              <w:spacing w:before="0" w:beforeAutospacing="0" w:after="0" w:afterAutospacing="0"/>
              <w:jc w:val="right"/>
              <w:rPr>
                <w:sz w:val="20"/>
                <w:szCs w:val="20"/>
              </w:rPr>
            </w:pPr>
            <w:r>
              <w:rPr>
                <w:sz w:val="20"/>
                <w:szCs w:val="20"/>
              </w:rPr>
              <w:t>(10,078</w:t>
            </w:r>
            <w:r>
              <w:rPr>
                <w:sz w:val="20"/>
                <w:szCs w:val="20"/>
              </w:rPr>
              <w:t>)</w:t>
            </w:r>
          </w:p>
        </w:tc>
        <w:tc>
          <w:tcPr>
            <w:tcW w:w="77" w:type="pct"/>
            <w:noWrap/>
            <w:tcMar>
              <w:top w:w="0" w:type="dxa"/>
              <w:left w:w="0" w:type="dxa"/>
              <w:bottom w:w="0" w:type="dxa"/>
              <w:right w:w="0" w:type="dxa"/>
            </w:tcMar>
            <w:vAlign w:val="bottom"/>
            <w:hideMark/>
          </w:tcPr>
          <w:p w14:paraId="1F3DBCEB" w14:textId="77777777" w:rsidR="00000000" w:rsidRDefault="00097612">
            <w:pPr>
              <w:pStyle w:val="a3"/>
              <w:spacing w:before="0" w:beforeAutospacing="0" w:after="0" w:afterAutospacing="0"/>
              <w:jc w:val="center"/>
              <w:rPr>
                <w:sz w:val="20"/>
                <w:szCs w:val="20"/>
              </w:rPr>
            </w:pPr>
            <w:r>
              <w:rPr>
                <w:sz w:val="20"/>
                <w:szCs w:val="20"/>
              </w:rPr>
              <w:t>​</w:t>
            </w:r>
          </w:p>
        </w:tc>
        <w:tc>
          <w:tcPr>
            <w:tcW w:w="185" w:type="pct"/>
            <w:noWrap/>
            <w:tcMar>
              <w:top w:w="0" w:type="dxa"/>
              <w:left w:w="0" w:type="dxa"/>
              <w:bottom w:w="0" w:type="dxa"/>
              <w:right w:w="0" w:type="dxa"/>
            </w:tcMar>
            <w:vAlign w:val="bottom"/>
            <w:hideMark/>
          </w:tcPr>
          <w:p w14:paraId="1E853C65" w14:textId="77777777" w:rsidR="00000000" w:rsidRDefault="00097612">
            <w:pPr>
              <w:pStyle w:val="a3"/>
              <w:spacing w:before="0" w:beforeAutospacing="0" w:after="0" w:afterAutospacing="0"/>
              <w:jc w:val="right"/>
              <w:rPr>
                <w:sz w:val="20"/>
                <w:szCs w:val="20"/>
              </w:rPr>
            </w:pPr>
            <w:r>
              <w:rPr>
                <w:sz w:val="20"/>
                <w:szCs w:val="20"/>
              </w:rPr>
              <w:t>(32</w:t>
            </w:r>
            <w:r>
              <w:rPr>
                <w:sz w:val="20"/>
                <w:szCs w:val="20"/>
              </w:rPr>
              <w:t>)</w:t>
            </w:r>
          </w:p>
        </w:tc>
        <w:tc>
          <w:tcPr>
            <w:tcW w:w="129" w:type="pct"/>
            <w:noWrap/>
            <w:tcMar>
              <w:top w:w="0" w:type="dxa"/>
              <w:left w:w="0" w:type="dxa"/>
              <w:bottom w:w="0" w:type="dxa"/>
              <w:right w:w="0" w:type="dxa"/>
            </w:tcMar>
            <w:vAlign w:val="bottom"/>
            <w:hideMark/>
          </w:tcPr>
          <w:p w14:paraId="786AAAEE" w14:textId="77777777" w:rsidR="00000000" w:rsidRDefault="00097612">
            <w:pPr>
              <w:pStyle w:val="a3"/>
              <w:spacing w:before="0" w:beforeAutospacing="0" w:after="0" w:afterAutospacing="0"/>
              <w:jc w:val="center"/>
              <w:rPr>
                <w:sz w:val="20"/>
                <w:szCs w:val="20"/>
              </w:rPr>
            </w:pPr>
            <w:r>
              <w:rPr>
                <w:sz w:val="20"/>
                <w:szCs w:val="20"/>
              </w:rPr>
              <w:t>​</w:t>
            </w:r>
          </w:p>
        </w:tc>
      </w:tr>
      <w:tr w:rsidR="00000000" w14:paraId="21295149" w14:textId="77777777">
        <w:trPr>
          <w:divId w:val="2100758947"/>
        </w:trPr>
        <w:tc>
          <w:tcPr>
            <w:tcW w:w="1523" w:type="pct"/>
            <w:shd w:val="clear" w:color="auto" w:fill="CCEEFF"/>
            <w:tcMar>
              <w:top w:w="0" w:type="dxa"/>
              <w:left w:w="0" w:type="dxa"/>
              <w:bottom w:w="0" w:type="dxa"/>
              <w:right w:w="0" w:type="dxa"/>
            </w:tcMar>
            <w:vAlign w:val="bottom"/>
            <w:hideMark/>
          </w:tcPr>
          <w:p w14:paraId="568B04EB" w14:textId="77777777" w:rsidR="00000000" w:rsidRDefault="00097612">
            <w:pPr>
              <w:pStyle w:val="a3"/>
              <w:spacing w:before="0" w:beforeAutospacing="0" w:after="0" w:afterAutospacing="0"/>
              <w:rPr>
                <w:sz w:val="20"/>
                <w:szCs w:val="20"/>
              </w:rPr>
            </w:pPr>
            <w:r>
              <w:rPr>
                <w:sz w:val="20"/>
                <w:szCs w:val="20"/>
              </w:rPr>
              <w:t>Licensing revenue</w:t>
            </w:r>
          </w:p>
        </w:tc>
        <w:tc>
          <w:tcPr>
            <w:tcW w:w="77" w:type="pct"/>
            <w:shd w:val="clear" w:color="auto" w:fill="CCEEFF"/>
            <w:noWrap/>
            <w:tcMar>
              <w:top w:w="0" w:type="dxa"/>
              <w:left w:w="0" w:type="dxa"/>
              <w:bottom w:w="0" w:type="dxa"/>
              <w:right w:w="0" w:type="dxa"/>
            </w:tcMar>
            <w:vAlign w:val="bottom"/>
            <w:hideMark/>
          </w:tcPr>
          <w:p w14:paraId="2E488609" w14:textId="77777777" w:rsidR="00000000" w:rsidRDefault="00097612">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2F4AD8DE" w14:textId="77777777" w:rsidR="00000000" w:rsidRDefault="00097612">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14:paraId="656E8F11" w14:textId="77777777" w:rsidR="00000000" w:rsidRDefault="00097612">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5D7377E2" w14:textId="77777777" w:rsidR="00000000" w:rsidRDefault="00097612">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31CB0AD8" w14:textId="77777777" w:rsidR="00000000" w:rsidRDefault="00097612">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14:paraId="556BCFF7" w14:textId="77777777" w:rsidR="00000000" w:rsidRDefault="00097612">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24162C38" w14:textId="77777777" w:rsidR="00000000" w:rsidRDefault="00097612">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01AB32FE" w14:textId="77777777" w:rsidR="00000000" w:rsidRDefault="00097612">
            <w:pPr>
              <w:pStyle w:val="a3"/>
              <w:spacing w:before="0" w:beforeAutospacing="0" w:after="0" w:afterAutospacing="0"/>
              <w:jc w:val="center"/>
              <w:rPr>
                <w:sz w:val="20"/>
                <w:szCs w:val="20"/>
              </w:rPr>
            </w:pPr>
            <w:r>
              <w:rPr>
                <w:sz w:val="20"/>
                <w:szCs w:val="20"/>
              </w:rPr>
              <w:t>​</w:t>
            </w:r>
          </w:p>
        </w:tc>
        <w:tc>
          <w:tcPr>
            <w:tcW w:w="306" w:type="pct"/>
            <w:shd w:val="clear" w:color="auto" w:fill="CCEEFF"/>
            <w:noWrap/>
            <w:tcMar>
              <w:top w:w="0" w:type="dxa"/>
              <w:left w:w="0" w:type="dxa"/>
              <w:bottom w:w="0" w:type="dxa"/>
              <w:right w:w="0" w:type="dxa"/>
            </w:tcMar>
            <w:vAlign w:val="bottom"/>
            <w:hideMark/>
          </w:tcPr>
          <w:p w14:paraId="1FCFFB2A" w14:textId="77777777" w:rsidR="00000000" w:rsidRDefault="00097612">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08E33947" w14:textId="77777777" w:rsidR="00000000" w:rsidRDefault="00097612">
            <w:pPr>
              <w:pStyle w:val="a3"/>
              <w:spacing w:before="0" w:beforeAutospacing="0" w:after="0" w:afterAutospacing="0"/>
              <w:jc w:val="center"/>
              <w:rPr>
                <w:sz w:val="20"/>
                <w:szCs w:val="20"/>
              </w:rPr>
            </w:pPr>
            <w:r>
              <w:rPr>
                <w:sz w:val="20"/>
                <w:szCs w:val="20"/>
              </w:rPr>
              <w:t>​</w:t>
            </w:r>
          </w:p>
        </w:tc>
        <w:tc>
          <w:tcPr>
            <w:tcW w:w="185" w:type="pct"/>
            <w:shd w:val="clear" w:color="auto" w:fill="CCEEFF"/>
            <w:noWrap/>
            <w:tcMar>
              <w:top w:w="0" w:type="dxa"/>
              <w:left w:w="0" w:type="dxa"/>
              <w:bottom w:w="0" w:type="dxa"/>
              <w:right w:w="0" w:type="dxa"/>
            </w:tcMar>
            <w:vAlign w:val="bottom"/>
            <w:hideMark/>
          </w:tcPr>
          <w:p w14:paraId="10191A0F" w14:textId="77777777" w:rsidR="00000000" w:rsidRDefault="00097612">
            <w:pPr>
              <w:pStyle w:val="a3"/>
              <w:spacing w:before="0" w:beforeAutospacing="0" w:after="0" w:afterAutospacing="0"/>
              <w:ind w:right="6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14:paraId="2E096CF2" w14:textId="77777777" w:rsidR="00000000" w:rsidRDefault="00097612">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3AA53BEF" w14:textId="77777777" w:rsidR="00000000" w:rsidRDefault="00097612">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6FF90641" w14:textId="77777777" w:rsidR="00000000" w:rsidRDefault="00097612">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14:paraId="3F71E1ED" w14:textId="77777777" w:rsidR="00000000" w:rsidRDefault="00097612">
            <w:pPr>
              <w:pStyle w:val="a3"/>
              <w:spacing w:before="0" w:beforeAutospacing="0" w:after="0" w:afterAutospacing="0"/>
              <w:ind w:right="60"/>
              <w:jc w:val="right"/>
              <w:rPr>
                <w:sz w:val="20"/>
                <w:szCs w:val="20"/>
              </w:rPr>
            </w:pPr>
            <w:r>
              <w:rPr>
                <w:sz w:val="20"/>
                <w:szCs w:val="20"/>
              </w:rPr>
              <w:t>18,50</w:t>
            </w:r>
            <w:r>
              <w:rPr>
                <w:sz w:val="20"/>
                <w:szCs w:val="20"/>
              </w:rPr>
              <w:t>0</w:t>
            </w:r>
          </w:p>
        </w:tc>
        <w:tc>
          <w:tcPr>
            <w:tcW w:w="77" w:type="pct"/>
            <w:shd w:val="clear" w:color="auto" w:fill="CCEEFF"/>
            <w:noWrap/>
            <w:tcMar>
              <w:top w:w="0" w:type="dxa"/>
              <w:left w:w="0" w:type="dxa"/>
              <w:bottom w:w="0" w:type="dxa"/>
              <w:right w:w="0" w:type="dxa"/>
            </w:tcMar>
            <w:vAlign w:val="bottom"/>
            <w:hideMark/>
          </w:tcPr>
          <w:p w14:paraId="0EF513BF" w14:textId="77777777" w:rsidR="00000000" w:rsidRDefault="00097612">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6B034746" w14:textId="77777777" w:rsidR="00000000" w:rsidRDefault="00097612">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14:paraId="77D22DCE" w14:textId="77777777" w:rsidR="00000000" w:rsidRDefault="00097612">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55342EE5" w14:textId="77777777" w:rsidR="00000000" w:rsidRDefault="00097612">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4DF7F928" w14:textId="77777777" w:rsidR="00000000" w:rsidRDefault="00097612">
            <w:pPr>
              <w:pStyle w:val="a3"/>
              <w:spacing w:before="0" w:beforeAutospacing="0" w:after="0" w:afterAutospacing="0"/>
              <w:jc w:val="center"/>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14:paraId="3D1E57F0" w14:textId="77777777" w:rsidR="00000000" w:rsidRDefault="00097612">
            <w:pPr>
              <w:pStyle w:val="a3"/>
              <w:spacing w:before="0" w:beforeAutospacing="0" w:after="0" w:afterAutospacing="0"/>
              <w:ind w:right="60"/>
              <w:jc w:val="right"/>
              <w:rPr>
                <w:sz w:val="20"/>
                <w:szCs w:val="20"/>
              </w:rPr>
            </w:pPr>
            <w:r>
              <w:rPr>
                <w:sz w:val="20"/>
                <w:szCs w:val="20"/>
              </w:rPr>
              <w:t>18,50</w:t>
            </w:r>
            <w:r>
              <w:rPr>
                <w:sz w:val="20"/>
                <w:szCs w:val="20"/>
              </w:rPr>
              <w:t>0</w:t>
            </w:r>
          </w:p>
        </w:tc>
        <w:tc>
          <w:tcPr>
            <w:tcW w:w="77" w:type="pct"/>
            <w:shd w:val="clear" w:color="auto" w:fill="CCEEFF"/>
            <w:noWrap/>
            <w:tcMar>
              <w:top w:w="0" w:type="dxa"/>
              <w:left w:w="0" w:type="dxa"/>
              <w:bottom w:w="0" w:type="dxa"/>
              <w:right w:w="0" w:type="dxa"/>
            </w:tcMar>
            <w:vAlign w:val="bottom"/>
            <w:hideMark/>
          </w:tcPr>
          <w:p w14:paraId="502054F3" w14:textId="77777777" w:rsidR="00000000" w:rsidRDefault="00097612">
            <w:pPr>
              <w:pStyle w:val="a3"/>
              <w:spacing w:before="0" w:beforeAutospacing="0" w:after="0" w:afterAutospacing="0"/>
              <w:jc w:val="center"/>
              <w:rPr>
                <w:sz w:val="20"/>
                <w:szCs w:val="20"/>
              </w:rPr>
            </w:pPr>
            <w:r>
              <w:rPr>
                <w:sz w:val="20"/>
                <w:szCs w:val="20"/>
              </w:rPr>
              <w:t>​</w:t>
            </w:r>
          </w:p>
        </w:tc>
        <w:tc>
          <w:tcPr>
            <w:tcW w:w="185" w:type="pct"/>
            <w:shd w:val="clear" w:color="auto" w:fill="CCEEFF"/>
            <w:noWrap/>
            <w:tcMar>
              <w:top w:w="0" w:type="dxa"/>
              <w:left w:w="0" w:type="dxa"/>
              <w:bottom w:w="0" w:type="dxa"/>
              <w:right w:w="0" w:type="dxa"/>
            </w:tcMar>
            <w:vAlign w:val="bottom"/>
            <w:hideMark/>
          </w:tcPr>
          <w:p w14:paraId="0367C20D" w14:textId="77777777" w:rsidR="00000000" w:rsidRDefault="00097612">
            <w:pPr>
              <w:pStyle w:val="a3"/>
              <w:spacing w:before="0" w:beforeAutospacing="0" w:after="0" w:afterAutospacing="0"/>
              <w:ind w:right="6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14:paraId="3E8C230C" w14:textId="77777777" w:rsidR="00000000" w:rsidRDefault="00097612">
            <w:pPr>
              <w:pStyle w:val="a3"/>
              <w:spacing w:before="0" w:beforeAutospacing="0" w:after="0" w:afterAutospacing="0"/>
              <w:jc w:val="center"/>
              <w:rPr>
                <w:sz w:val="20"/>
                <w:szCs w:val="20"/>
              </w:rPr>
            </w:pPr>
            <w:r>
              <w:rPr>
                <w:sz w:val="20"/>
                <w:szCs w:val="20"/>
              </w:rPr>
              <w:t>​</w:t>
            </w:r>
          </w:p>
        </w:tc>
      </w:tr>
      <w:tr w:rsidR="00000000" w14:paraId="4463FD5F" w14:textId="77777777">
        <w:trPr>
          <w:divId w:val="2100758947"/>
        </w:trPr>
        <w:tc>
          <w:tcPr>
            <w:tcW w:w="1523" w:type="pct"/>
            <w:tcMar>
              <w:top w:w="0" w:type="dxa"/>
              <w:left w:w="0" w:type="dxa"/>
              <w:bottom w:w="0" w:type="dxa"/>
              <w:right w:w="0" w:type="dxa"/>
            </w:tcMar>
            <w:vAlign w:val="bottom"/>
            <w:hideMark/>
          </w:tcPr>
          <w:p w14:paraId="492033C3" w14:textId="77777777" w:rsidR="00000000" w:rsidRDefault="00097612">
            <w:pPr>
              <w:pStyle w:val="a3"/>
              <w:spacing w:before="0" w:beforeAutospacing="0" w:after="0" w:afterAutospacing="0"/>
              <w:rPr>
                <w:sz w:val="20"/>
                <w:szCs w:val="20"/>
              </w:rPr>
            </w:pPr>
            <w:r>
              <w:rPr>
                <w:sz w:val="20"/>
                <w:szCs w:val="20"/>
              </w:rPr>
              <w:t>Mylan collaboration agreement</w:t>
            </w:r>
          </w:p>
        </w:tc>
        <w:tc>
          <w:tcPr>
            <w:tcW w:w="77" w:type="pct"/>
            <w:noWrap/>
            <w:tcMar>
              <w:top w:w="0" w:type="dxa"/>
              <w:left w:w="0" w:type="dxa"/>
              <w:bottom w:w="0" w:type="dxa"/>
              <w:right w:w="0" w:type="dxa"/>
            </w:tcMar>
            <w:vAlign w:val="bottom"/>
            <w:hideMark/>
          </w:tcPr>
          <w:p w14:paraId="736E9C4C" w14:textId="77777777" w:rsidR="00000000" w:rsidRDefault="00097612">
            <w:pPr>
              <w:pStyle w:val="a3"/>
              <w:spacing w:before="0" w:beforeAutospacing="0" w:after="0" w:afterAutospacing="0"/>
              <w:rPr>
                <w:sz w:val="20"/>
                <w:szCs w:val="20"/>
              </w:rPr>
            </w:pPr>
            <w:r>
              <w:rPr>
                <w:sz w:val="20"/>
                <w:szCs w:val="20"/>
              </w:rPr>
              <w:t>​</w:t>
            </w:r>
          </w:p>
        </w:tc>
        <w:tc>
          <w:tcPr>
            <w:tcW w:w="48" w:type="pct"/>
            <w:tcBorders>
              <w:bottom w:val="single" w:sz="6" w:space="0" w:color="000000"/>
            </w:tcBorders>
            <w:noWrap/>
            <w:tcMar>
              <w:top w:w="0" w:type="dxa"/>
              <w:left w:w="0" w:type="dxa"/>
              <w:bottom w:w="0" w:type="dxa"/>
              <w:right w:w="0" w:type="dxa"/>
            </w:tcMar>
            <w:vAlign w:val="bottom"/>
            <w:hideMark/>
          </w:tcPr>
          <w:p w14:paraId="756F155A" w14:textId="77777777" w:rsidR="00000000" w:rsidRDefault="00097612">
            <w:pPr>
              <w:pStyle w:val="a3"/>
              <w:spacing w:before="0" w:beforeAutospacing="0" w:after="0" w:afterAutospacing="0"/>
              <w:jc w:val="center"/>
              <w:rPr>
                <w:sz w:val="20"/>
                <w:szCs w:val="20"/>
              </w:rPr>
            </w:pPr>
            <w:r>
              <w:rPr>
                <w:sz w:val="20"/>
                <w:szCs w:val="20"/>
              </w:rPr>
              <w:t> </w:t>
            </w:r>
          </w:p>
        </w:tc>
        <w:tc>
          <w:tcPr>
            <w:tcW w:w="319" w:type="pct"/>
            <w:tcBorders>
              <w:bottom w:val="single" w:sz="6" w:space="0" w:color="000000"/>
            </w:tcBorders>
            <w:noWrap/>
            <w:tcMar>
              <w:top w:w="0" w:type="dxa"/>
              <w:left w:w="0" w:type="dxa"/>
              <w:bottom w:w="0" w:type="dxa"/>
              <w:right w:w="0" w:type="dxa"/>
            </w:tcMar>
            <w:vAlign w:val="bottom"/>
            <w:hideMark/>
          </w:tcPr>
          <w:p w14:paraId="419326BD" w14:textId="77777777" w:rsidR="00000000" w:rsidRDefault="00097612">
            <w:pPr>
              <w:pStyle w:val="a3"/>
              <w:spacing w:before="0" w:beforeAutospacing="0" w:after="0" w:afterAutospacing="0"/>
              <w:ind w:right="60"/>
              <w:jc w:val="right"/>
              <w:rPr>
                <w:sz w:val="20"/>
                <w:szCs w:val="20"/>
              </w:rPr>
            </w:pPr>
            <w:r>
              <w:rPr>
                <w:sz w:val="20"/>
                <w:szCs w:val="20"/>
              </w:rPr>
              <w:t>3,59</w:t>
            </w:r>
            <w:r>
              <w:rPr>
                <w:sz w:val="20"/>
                <w:szCs w:val="20"/>
              </w:rPr>
              <w:t>1</w:t>
            </w:r>
          </w:p>
        </w:tc>
        <w:tc>
          <w:tcPr>
            <w:tcW w:w="77" w:type="pct"/>
            <w:noWrap/>
            <w:tcMar>
              <w:top w:w="0" w:type="dxa"/>
              <w:left w:w="0" w:type="dxa"/>
              <w:bottom w:w="0" w:type="dxa"/>
              <w:right w:w="0" w:type="dxa"/>
            </w:tcMar>
            <w:vAlign w:val="bottom"/>
            <w:hideMark/>
          </w:tcPr>
          <w:p w14:paraId="4542030A" w14:textId="77777777" w:rsidR="00000000" w:rsidRDefault="00097612">
            <w:pPr>
              <w:pStyle w:val="a3"/>
              <w:spacing w:before="0" w:beforeAutospacing="0" w:after="0" w:afterAutospacing="0"/>
              <w:rPr>
                <w:sz w:val="20"/>
                <w:szCs w:val="20"/>
              </w:rPr>
            </w:pPr>
            <w:r>
              <w:rPr>
                <w:sz w:val="20"/>
                <w:szCs w:val="20"/>
              </w:rPr>
              <w:t>​</w:t>
            </w:r>
          </w:p>
        </w:tc>
        <w:tc>
          <w:tcPr>
            <w:tcW w:w="48" w:type="pct"/>
            <w:tcBorders>
              <w:bottom w:val="single" w:sz="6" w:space="0" w:color="000000"/>
            </w:tcBorders>
            <w:noWrap/>
            <w:tcMar>
              <w:top w:w="0" w:type="dxa"/>
              <w:left w:w="0" w:type="dxa"/>
              <w:bottom w:w="0" w:type="dxa"/>
              <w:right w:w="0" w:type="dxa"/>
            </w:tcMar>
            <w:vAlign w:val="bottom"/>
            <w:hideMark/>
          </w:tcPr>
          <w:p w14:paraId="107B836F" w14:textId="77777777" w:rsidR="00000000" w:rsidRDefault="00097612">
            <w:pPr>
              <w:pStyle w:val="a3"/>
              <w:spacing w:before="0" w:beforeAutospacing="0" w:after="0" w:afterAutospacing="0"/>
              <w:jc w:val="center"/>
              <w:rPr>
                <w:sz w:val="20"/>
                <w:szCs w:val="20"/>
              </w:rPr>
            </w:pPr>
            <w:r>
              <w:rPr>
                <w:sz w:val="20"/>
                <w:szCs w:val="20"/>
              </w:rPr>
              <w:t> </w:t>
            </w:r>
          </w:p>
        </w:tc>
        <w:tc>
          <w:tcPr>
            <w:tcW w:w="319" w:type="pct"/>
            <w:tcBorders>
              <w:bottom w:val="single" w:sz="6" w:space="0" w:color="000000"/>
            </w:tcBorders>
            <w:noWrap/>
            <w:tcMar>
              <w:top w:w="0" w:type="dxa"/>
              <w:left w:w="0" w:type="dxa"/>
              <w:bottom w:w="0" w:type="dxa"/>
              <w:right w:w="0" w:type="dxa"/>
            </w:tcMar>
            <w:vAlign w:val="bottom"/>
            <w:hideMark/>
          </w:tcPr>
          <w:p w14:paraId="6D6DE2E8" w14:textId="77777777" w:rsidR="00000000" w:rsidRDefault="00097612">
            <w:pPr>
              <w:pStyle w:val="a3"/>
              <w:spacing w:before="0" w:beforeAutospacing="0" w:after="0"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14:paraId="2BA6D738" w14:textId="77777777" w:rsidR="00000000" w:rsidRDefault="00097612">
            <w:pPr>
              <w:pStyle w:val="a3"/>
              <w:spacing w:before="0" w:beforeAutospacing="0" w:after="0" w:afterAutospacing="0"/>
              <w:rPr>
                <w:sz w:val="20"/>
                <w:szCs w:val="20"/>
              </w:rPr>
            </w:pPr>
            <w:r>
              <w:rPr>
                <w:sz w:val="20"/>
                <w:szCs w:val="20"/>
              </w:rPr>
              <w:t>​</w:t>
            </w:r>
          </w:p>
        </w:tc>
        <w:tc>
          <w:tcPr>
            <w:tcW w:w="48" w:type="pct"/>
            <w:tcBorders>
              <w:bottom w:val="single" w:sz="6" w:space="0" w:color="000000"/>
            </w:tcBorders>
            <w:noWrap/>
            <w:tcMar>
              <w:top w:w="0" w:type="dxa"/>
              <w:left w:w="0" w:type="dxa"/>
              <w:bottom w:w="0" w:type="dxa"/>
              <w:right w:w="0" w:type="dxa"/>
            </w:tcMar>
            <w:vAlign w:val="bottom"/>
            <w:hideMark/>
          </w:tcPr>
          <w:p w14:paraId="3A9B396A" w14:textId="77777777" w:rsidR="00000000" w:rsidRDefault="00097612">
            <w:pPr>
              <w:pStyle w:val="a3"/>
              <w:spacing w:before="0" w:beforeAutospacing="0" w:after="0" w:afterAutospacing="0"/>
              <w:jc w:val="center"/>
              <w:rPr>
                <w:sz w:val="20"/>
                <w:szCs w:val="20"/>
              </w:rPr>
            </w:pPr>
            <w:r>
              <w:rPr>
                <w:sz w:val="20"/>
                <w:szCs w:val="20"/>
              </w:rPr>
              <w:t>​</w:t>
            </w:r>
          </w:p>
        </w:tc>
        <w:tc>
          <w:tcPr>
            <w:tcW w:w="306" w:type="pct"/>
            <w:tcBorders>
              <w:bottom w:val="single" w:sz="6" w:space="0" w:color="000000"/>
            </w:tcBorders>
            <w:noWrap/>
            <w:tcMar>
              <w:top w:w="0" w:type="dxa"/>
              <w:left w:w="0" w:type="dxa"/>
              <w:bottom w:w="0" w:type="dxa"/>
              <w:right w:w="0" w:type="dxa"/>
            </w:tcMar>
            <w:vAlign w:val="bottom"/>
            <w:hideMark/>
          </w:tcPr>
          <w:p w14:paraId="6FF66894" w14:textId="77777777" w:rsidR="00000000" w:rsidRDefault="00097612">
            <w:pPr>
              <w:pStyle w:val="a3"/>
              <w:spacing w:before="0" w:beforeAutospacing="0" w:after="0" w:afterAutospacing="0"/>
              <w:ind w:right="60"/>
              <w:jc w:val="right"/>
              <w:rPr>
                <w:sz w:val="20"/>
                <w:szCs w:val="20"/>
              </w:rPr>
            </w:pPr>
            <w:r>
              <w:rPr>
                <w:sz w:val="20"/>
                <w:szCs w:val="20"/>
              </w:rPr>
              <w:t>3,59</w:t>
            </w:r>
            <w:r>
              <w:rPr>
                <w:sz w:val="20"/>
                <w:szCs w:val="20"/>
              </w:rPr>
              <w:t>1</w:t>
            </w:r>
          </w:p>
        </w:tc>
        <w:tc>
          <w:tcPr>
            <w:tcW w:w="77" w:type="pct"/>
            <w:noWrap/>
            <w:tcMar>
              <w:top w:w="0" w:type="dxa"/>
              <w:left w:w="0" w:type="dxa"/>
              <w:bottom w:w="0" w:type="dxa"/>
              <w:right w:w="0" w:type="dxa"/>
            </w:tcMar>
            <w:vAlign w:val="bottom"/>
            <w:hideMark/>
          </w:tcPr>
          <w:p w14:paraId="5B16E422" w14:textId="77777777" w:rsidR="00000000" w:rsidRDefault="00097612">
            <w:pPr>
              <w:pStyle w:val="a3"/>
              <w:spacing w:before="0" w:beforeAutospacing="0" w:after="0" w:afterAutospacing="0"/>
              <w:rPr>
                <w:sz w:val="20"/>
                <w:szCs w:val="20"/>
              </w:rPr>
            </w:pPr>
            <w:r>
              <w:rPr>
                <w:sz w:val="20"/>
                <w:szCs w:val="20"/>
              </w:rPr>
              <w:t>​</w:t>
            </w:r>
          </w:p>
        </w:tc>
        <w:tc>
          <w:tcPr>
            <w:tcW w:w="185" w:type="pct"/>
            <w:tcBorders>
              <w:bottom w:val="single" w:sz="6" w:space="0" w:color="000000"/>
            </w:tcBorders>
            <w:noWrap/>
            <w:tcMar>
              <w:top w:w="0" w:type="dxa"/>
              <w:left w:w="0" w:type="dxa"/>
              <w:bottom w:w="0" w:type="dxa"/>
              <w:right w:w="0" w:type="dxa"/>
            </w:tcMar>
            <w:vAlign w:val="bottom"/>
            <w:hideMark/>
          </w:tcPr>
          <w:p w14:paraId="183ADB9F" w14:textId="77777777" w:rsidR="00000000" w:rsidRDefault="00097612">
            <w:pPr>
              <w:pStyle w:val="a3"/>
              <w:spacing w:before="0" w:beforeAutospacing="0" w:after="0" w:afterAutospacing="0"/>
              <w:ind w:right="60"/>
              <w:jc w:val="right"/>
              <w:rPr>
                <w:sz w:val="20"/>
                <w:szCs w:val="20"/>
              </w:rPr>
            </w:pPr>
            <w:r>
              <w:rPr>
                <w:sz w:val="20"/>
                <w:szCs w:val="20"/>
              </w:rPr>
              <w:t>NM</w:t>
            </w:r>
          </w:p>
        </w:tc>
        <w:tc>
          <w:tcPr>
            <w:tcW w:w="129" w:type="pct"/>
            <w:noWrap/>
            <w:tcMar>
              <w:top w:w="0" w:type="dxa"/>
              <w:left w:w="0" w:type="dxa"/>
              <w:bottom w:w="0" w:type="dxa"/>
              <w:right w:w="0" w:type="dxa"/>
            </w:tcMar>
            <w:vAlign w:val="bottom"/>
            <w:hideMark/>
          </w:tcPr>
          <w:p w14:paraId="2508327D" w14:textId="77777777" w:rsidR="00000000" w:rsidRDefault="00097612">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14:paraId="4685A313" w14:textId="77777777" w:rsidR="00000000" w:rsidRDefault="00097612">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noWrap/>
            <w:tcMar>
              <w:top w:w="0" w:type="dxa"/>
              <w:left w:w="0" w:type="dxa"/>
              <w:bottom w:w="0" w:type="dxa"/>
              <w:right w:w="0" w:type="dxa"/>
            </w:tcMar>
            <w:vAlign w:val="bottom"/>
            <w:hideMark/>
          </w:tcPr>
          <w:p w14:paraId="0FCDFC8D" w14:textId="77777777" w:rsidR="00000000" w:rsidRDefault="00097612">
            <w:pPr>
              <w:pStyle w:val="a3"/>
              <w:spacing w:before="0" w:beforeAutospacing="0" w:after="0" w:afterAutospacing="0"/>
              <w:jc w:val="center"/>
              <w:rPr>
                <w:sz w:val="20"/>
                <w:szCs w:val="20"/>
              </w:rPr>
            </w:pPr>
            <w:r>
              <w:rPr>
                <w:sz w:val="20"/>
                <w:szCs w:val="20"/>
              </w:rPr>
              <w:t> </w:t>
            </w:r>
          </w:p>
        </w:tc>
        <w:tc>
          <w:tcPr>
            <w:tcW w:w="319" w:type="pct"/>
            <w:tcBorders>
              <w:bottom w:val="single" w:sz="6" w:space="0" w:color="000000"/>
            </w:tcBorders>
            <w:noWrap/>
            <w:tcMar>
              <w:top w:w="0" w:type="dxa"/>
              <w:left w:w="0" w:type="dxa"/>
              <w:bottom w:w="0" w:type="dxa"/>
              <w:right w:w="0" w:type="dxa"/>
            </w:tcMar>
            <w:vAlign w:val="bottom"/>
            <w:hideMark/>
          </w:tcPr>
          <w:p w14:paraId="6C5E6F3B" w14:textId="77777777" w:rsidR="00000000" w:rsidRDefault="00097612">
            <w:pPr>
              <w:pStyle w:val="a3"/>
              <w:spacing w:before="0" w:beforeAutospacing="0" w:after="0" w:afterAutospacing="0"/>
              <w:ind w:right="60"/>
              <w:jc w:val="right"/>
              <w:rPr>
                <w:sz w:val="20"/>
                <w:szCs w:val="20"/>
              </w:rPr>
            </w:pPr>
            <w:r>
              <w:rPr>
                <w:sz w:val="20"/>
                <w:szCs w:val="20"/>
              </w:rPr>
              <w:t>3,74</w:t>
            </w:r>
            <w:r>
              <w:rPr>
                <w:sz w:val="20"/>
                <w:szCs w:val="20"/>
              </w:rPr>
              <w:t>9</w:t>
            </w:r>
          </w:p>
        </w:tc>
        <w:tc>
          <w:tcPr>
            <w:tcW w:w="77" w:type="pct"/>
            <w:noWrap/>
            <w:tcMar>
              <w:top w:w="0" w:type="dxa"/>
              <w:left w:w="0" w:type="dxa"/>
              <w:bottom w:w="0" w:type="dxa"/>
              <w:right w:w="0" w:type="dxa"/>
            </w:tcMar>
            <w:vAlign w:val="bottom"/>
            <w:hideMark/>
          </w:tcPr>
          <w:p w14:paraId="7DDE2B9B" w14:textId="77777777" w:rsidR="00000000" w:rsidRDefault="00097612">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noWrap/>
            <w:tcMar>
              <w:top w:w="0" w:type="dxa"/>
              <w:left w:w="0" w:type="dxa"/>
              <w:bottom w:w="0" w:type="dxa"/>
              <w:right w:w="0" w:type="dxa"/>
            </w:tcMar>
            <w:vAlign w:val="bottom"/>
            <w:hideMark/>
          </w:tcPr>
          <w:p w14:paraId="4F3BDF34" w14:textId="77777777" w:rsidR="00000000" w:rsidRDefault="00097612">
            <w:pPr>
              <w:pStyle w:val="a3"/>
              <w:spacing w:before="0" w:beforeAutospacing="0" w:after="0" w:afterAutospacing="0"/>
              <w:jc w:val="center"/>
              <w:rPr>
                <w:sz w:val="20"/>
                <w:szCs w:val="20"/>
              </w:rPr>
            </w:pPr>
            <w:r>
              <w:rPr>
                <w:sz w:val="20"/>
                <w:szCs w:val="20"/>
              </w:rPr>
              <w:t> </w:t>
            </w:r>
          </w:p>
        </w:tc>
        <w:tc>
          <w:tcPr>
            <w:tcW w:w="319" w:type="pct"/>
            <w:tcBorders>
              <w:bottom w:val="single" w:sz="6" w:space="0" w:color="000000"/>
            </w:tcBorders>
            <w:noWrap/>
            <w:tcMar>
              <w:top w:w="0" w:type="dxa"/>
              <w:left w:w="0" w:type="dxa"/>
              <w:bottom w:w="0" w:type="dxa"/>
              <w:right w:w="0" w:type="dxa"/>
            </w:tcMar>
            <w:vAlign w:val="bottom"/>
            <w:hideMark/>
          </w:tcPr>
          <w:p w14:paraId="46EEBE82" w14:textId="77777777" w:rsidR="00000000" w:rsidRDefault="00097612">
            <w:pPr>
              <w:pStyle w:val="a3"/>
              <w:spacing w:before="0" w:beforeAutospacing="0" w:after="0" w:afterAutospacing="0"/>
              <w:ind w:right="60"/>
              <w:jc w:val="right"/>
              <w:rPr>
                <w:sz w:val="20"/>
                <w:szCs w:val="20"/>
              </w:rPr>
            </w:pPr>
            <w:r>
              <w:rPr>
                <w:sz w:val="20"/>
                <w:szCs w:val="20"/>
              </w:rPr>
              <w:t>—</w:t>
            </w:r>
          </w:p>
        </w:tc>
        <w:tc>
          <w:tcPr>
            <w:tcW w:w="77" w:type="pct"/>
            <w:noWrap/>
            <w:tcMar>
              <w:top w:w="0" w:type="dxa"/>
              <w:left w:w="0" w:type="dxa"/>
              <w:bottom w:w="0" w:type="dxa"/>
              <w:right w:w="0" w:type="dxa"/>
            </w:tcMar>
            <w:vAlign w:val="bottom"/>
            <w:hideMark/>
          </w:tcPr>
          <w:p w14:paraId="500F5B4A" w14:textId="77777777" w:rsidR="00000000" w:rsidRDefault="00097612">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noWrap/>
            <w:tcMar>
              <w:top w:w="0" w:type="dxa"/>
              <w:left w:w="0" w:type="dxa"/>
              <w:bottom w:w="0" w:type="dxa"/>
              <w:right w:w="0" w:type="dxa"/>
            </w:tcMar>
            <w:vAlign w:val="bottom"/>
            <w:hideMark/>
          </w:tcPr>
          <w:p w14:paraId="782E0C75" w14:textId="77777777" w:rsidR="00000000" w:rsidRDefault="00097612">
            <w:pPr>
              <w:pStyle w:val="a3"/>
              <w:spacing w:before="0" w:beforeAutospacing="0" w:after="0" w:afterAutospacing="0"/>
              <w:jc w:val="center"/>
              <w:rPr>
                <w:sz w:val="20"/>
                <w:szCs w:val="20"/>
              </w:rPr>
            </w:pPr>
            <w:r>
              <w:rPr>
                <w:sz w:val="20"/>
                <w:szCs w:val="20"/>
              </w:rPr>
              <w:t>​</w:t>
            </w:r>
          </w:p>
        </w:tc>
        <w:tc>
          <w:tcPr>
            <w:tcW w:w="354" w:type="pct"/>
            <w:tcBorders>
              <w:bottom w:val="single" w:sz="6" w:space="0" w:color="000000"/>
            </w:tcBorders>
            <w:noWrap/>
            <w:tcMar>
              <w:top w:w="0" w:type="dxa"/>
              <w:left w:w="0" w:type="dxa"/>
              <w:bottom w:w="0" w:type="dxa"/>
              <w:right w:w="0" w:type="dxa"/>
            </w:tcMar>
            <w:vAlign w:val="bottom"/>
            <w:hideMark/>
          </w:tcPr>
          <w:p w14:paraId="19A0D7E5" w14:textId="77777777" w:rsidR="00000000" w:rsidRDefault="00097612">
            <w:pPr>
              <w:pStyle w:val="a3"/>
              <w:spacing w:before="0" w:beforeAutospacing="0" w:after="0" w:afterAutospacing="0"/>
              <w:ind w:right="60"/>
              <w:jc w:val="right"/>
              <w:rPr>
                <w:sz w:val="20"/>
                <w:szCs w:val="20"/>
              </w:rPr>
            </w:pPr>
            <w:r>
              <w:rPr>
                <w:sz w:val="20"/>
                <w:szCs w:val="20"/>
              </w:rPr>
              <w:t>3,74</w:t>
            </w:r>
            <w:r>
              <w:rPr>
                <w:sz w:val="20"/>
                <w:szCs w:val="20"/>
              </w:rPr>
              <w:t>9</w:t>
            </w:r>
          </w:p>
        </w:tc>
        <w:tc>
          <w:tcPr>
            <w:tcW w:w="77" w:type="pct"/>
            <w:noWrap/>
            <w:tcMar>
              <w:top w:w="0" w:type="dxa"/>
              <w:left w:w="0" w:type="dxa"/>
              <w:bottom w:w="0" w:type="dxa"/>
              <w:right w:w="0" w:type="dxa"/>
            </w:tcMar>
            <w:vAlign w:val="bottom"/>
            <w:hideMark/>
          </w:tcPr>
          <w:p w14:paraId="4A873B8A" w14:textId="77777777" w:rsidR="00000000" w:rsidRDefault="00097612">
            <w:pPr>
              <w:pStyle w:val="a3"/>
              <w:spacing w:before="0" w:beforeAutospacing="0" w:after="0" w:afterAutospacing="0"/>
              <w:jc w:val="center"/>
              <w:rPr>
                <w:sz w:val="20"/>
                <w:szCs w:val="20"/>
              </w:rPr>
            </w:pPr>
            <w:r>
              <w:rPr>
                <w:sz w:val="20"/>
                <w:szCs w:val="20"/>
              </w:rPr>
              <w:t>​</w:t>
            </w:r>
          </w:p>
        </w:tc>
        <w:tc>
          <w:tcPr>
            <w:tcW w:w="185" w:type="pct"/>
            <w:tcBorders>
              <w:bottom w:val="single" w:sz="6" w:space="0" w:color="000000"/>
            </w:tcBorders>
            <w:noWrap/>
            <w:tcMar>
              <w:top w:w="0" w:type="dxa"/>
              <w:left w:w="0" w:type="dxa"/>
              <w:bottom w:w="0" w:type="dxa"/>
              <w:right w:w="0" w:type="dxa"/>
            </w:tcMar>
            <w:vAlign w:val="bottom"/>
            <w:hideMark/>
          </w:tcPr>
          <w:p w14:paraId="410404AF" w14:textId="77777777" w:rsidR="00000000" w:rsidRDefault="00097612">
            <w:pPr>
              <w:pStyle w:val="a3"/>
              <w:spacing w:before="0" w:beforeAutospacing="0" w:after="0" w:afterAutospacing="0"/>
              <w:ind w:right="60"/>
              <w:jc w:val="right"/>
              <w:rPr>
                <w:sz w:val="20"/>
                <w:szCs w:val="20"/>
              </w:rPr>
            </w:pPr>
            <w:r>
              <w:rPr>
                <w:sz w:val="20"/>
                <w:szCs w:val="20"/>
              </w:rPr>
              <w:t>NM</w:t>
            </w:r>
          </w:p>
        </w:tc>
        <w:tc>
          <w:tcPr>
            <w:tcW w:w="129" w:type="pct"/>
            <w:noWrap/>
            <w:tcMar>
              <w:top w:w="0" w:type="dxa"/>
              <w:left w:w="0" w:type="dxa"/>
              <w:bottom w:w="0" w:type="dxa"/>
              <w:right w:w="0" w:type="dxa"/>
            </w:tcMar>
            <w:vAlign w:val="bottom"/>
            <w:hideMark/>
          </w:tcPr>
          <w:p w14:paraId="52348876" w14:textId="77777777" w:rsidR="00000000" w:rsidRDefault="00097612">
            <w:pPr>
              <w:pStyle w:val="a3"/>
              <w:spacing w:before="0" w:beforeAutospacing="0" w:after="0" w:afterAutospacing="0"/>
              <w:jc w:val="center"/>
              <w:rPr>
                <w:sz w:val="20"/>
                <w:szCs w:val="20"/>
              </w:rPr>
            </w:pPr>
            <w:r>
              <w:rPr>
                <w:sz w:val="20"/>
                <w:szCs w:val="20"/>
              </w:rPr>
              <w:t>​</w:t>
            </w:r>
          </w:p>
        </w:tc>
      </w:tr>
      <w:tr w:rsidR="00000000" w14:paraId="67353C9A" w14:textId="77777777">
        <w:trPr>
          <w:divId w:val="2100758947"/>
        </w:trPr>
        <w:tc>
          <w:tcPr>
            <w:tcW w:w="1523" w:type="pct"/>
            <w:shd w:val="clear" w:color="auto" w:fill="CCEEFF"/>
            <w:tcMar>
              <w:top w:w="0" w:type="dxa"/>
              <w:left w:w="0" w:type="dxa"/>
              <w:bottom w:w="0" w:type="dxa"/>
              <w:right w:w="0" w:type="dxa"/>
            </w:tcMar>
            <w:vAlign w:val="bottom"/>
            <w:hideMark/>
          </w:tcPr>
          <w:p w14:paraId="4AFBEB92" w14:textId="77777777" w:rsidR="00000000" w:rsidRDefault="00097612">
            <w:pPr>
              <w:pStyle w:val="a3"/>
              <w:spacing w:before="0" w:beforeAutospacing="0" w:after="0" w:afterAutospacing="0"/>
              <w:ind w:left="120"/>
              <w:rPr>
                <w:sz w:val="20"/>
                <w:szCs w:val="20"/>
              </w:rPr>
            </w:pPr>
            <w:r>
              <w:rPr>
                <w:sz w:val="20"/>
                <w:szCs w:val="20"/>
              </w:rPr>
              <w:t>Total revenue</w:t>
            </w:r>
          </w:p>
        </w:tc>
        <w:tc>
          <w:tcPr>
            <w:tcW w:w="77" w:type="pct"/>
            <w:shd w:val="clear" w:color="auto" w:fill="CCEEFF"/>
            <w:noWrap/>
            <w:tcMar>
              <w:top w:w="0" w:type="dxa"/>
              <w:left w:w="0" w:type="dxa"/>
              <w:bottom w:w="0" w:type="dxa"/>
              <w:right w:w="0" w:type="dxa"/>
            </w:tcMar>
            <w:vAlign w:val="bottom"/>
            <w:hideMark/>
          </w:tcPr>
          <w:p w14:paraId="3D891382" w14:textId="77777777" w:rsidR="00000000" w:rsidRDefault="00097612">
            <w:pPr>
              <w:pStyle w:val="a3"/>
              <w:spacing w:before="0" w:beforeAutospacing="0" w:after="0" w:afterAutospacing="0"/>
              <w:rPr>
                <w:sz w:val="20"/>
                <w:szCs w:val="20"/>
              </w:rPr>
            </w:pPr>
            <w:r>
              <w:rPr>
                <w:sz w:val="20"/>
                <w:szCs w:val="20"/>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4EBE4967" w14:textId="77777777" w:rsidR="00000000" w:rsidRDefault="00097612">
            <w:pPr>
              <w:pStyle w:val="a3"/>
              <w:spacing w:before="0" w:beforeAutospacing="0" w:after="0" w:afterAutospacing="0"/>
              <w:jc w:val="center"/>
              <w:rPr>
                <w:sz w:val="20"/>
                <w:szCs w:val="20"/>
              </w:rPr>
            </w:pPr>
            <w:r>
              <w:rPr>
                <w:sz w:val="20"/>
                <w:szCs w:val="20"/>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14:paraId="7512D2D3" w14:textId="77777777" w:rsidR="00000000" w:rsidRDefault="00097612">
            <w:pPr>
              <w:pStyle w:val="a3"/>
              <w:spacing w:before="0" w:beforeAutospacing="0" w:after="0" w:afterAutospacing="0"/>
              <w:ind w:right="60"/>
              <w:jc w:val="right"/>
              <w:rPr>
                <w:sz w:val="20"/>
                <w:szCs w:val="20"/>
              </w:rPr>
            </w:pPr>
            <w:r>
              <w:rPr>
                <w:sz w:val="20"/>
                <w:szCs w:val="20"/>
              </w:rPr>
              <w:t>12,42</w:t>
            </w:r>
            <w:r>
              <w:rPr>
                <w:sz w:val="20"/>
                <w:szCs w:val="20"/>
              </w:rPr>
              <w:t>7</w:t>
            </w:r>
          </w:p>
        </w:tc>
        <w:tc>
          <w:tcPr>
            <w:tcW w:w="77" w:type="pct"/>
            <w:shd w:val="clear" w:color="auto" w:fill="CCEEFF"/>
            <w:noWrap/>
            <w:tcMar>
              <w:top w:w="0" w:type="dxa"/>
              <w:left w:w="0" w:type="dxa"/>
              <w:bottom w:w="0" w:type="dxa"/>
              <w:right w:w="0" w:type="dxa"/>
            </w:tcMar>
            <w:vAlign w:val="bottom"/>
            <w:hideMark/>
          </w:tcPr>
          <w:p w14:paraId="6E2EE3C2" w14:textId="77777777" w:rsidR="00000000" w:rsidRDefault="00097612">
            <w:pPr>
              <w:pStyle w:val="a3"/>
              <w:spacing w:before="0" w:beforeAutospacing="0" w:after="0" w:afterAutospacing="0"/>
              <w:rPr>
                <w:sz w:val="20"/>
                <w:szCs w:val="20"/>
              </w:rPr>
            </w:pPr>
            <w:r>
              <w:rPr>
                <w:sz w:val="20"/>
                <w:szCs w:val="20"/>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17E4741A" w14:textId="77777777" w:rsidR="00000000" w:rsidRDefault="00097612">
            <w:pPr>
              <w:pStyle w:val="a3"/>
              <w:spacing w:before="0" w:beforeAutospacing="0" w:after="0" w:afterAutospacing="0"/>
              <w:jc w:val="center"/>
              <w:rPr>
                <w:sz w:val="20"/>
                <w:szCs w:val="20"/>
              </w:rPr>
            </w:pPr>
            <w:r>
              <w:rPr>
                <w:sz w:val="20"/>
                <w:szCs w:val="20"/>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14:paraId="3246CF34" w14:textId="77777777" w:rsidR="00000000" w:rsidRDefault="00097612">
            <w:pPr>
              <w:pStyle w:val="a3"/>
              <w:spacing w:before="0" w:beforeAutospacing="0" w:after="0" w:afterAutospacing="0"/>
              <w:ind w:right="60"/>
              <w:jc w:val="right"/>
              <w:rPr>
                <w:sz w:val="20"/>
                <w:szCs w:val="20"/>
              </w:rPr>
            </w:pPr>
            <w:r>
              <w:rPr>
                <w:sz w:val="20"/>
                <w:szCs w:val="20"/>
              </w:rPr>
              <w:t>12,83</w:t>
            </w:r>
            <w:r>
              <w:rPr>
                <w:sz w:val="20"/>
                <w:szCs w:val="20"/>
              </w:rPr>
              <w:t>8</w:t>
            </w:r>
          </w:p>
        </w:tc>
        <w:tc>
          <w:tcPr>
            <w:tcW w:w="77" w:type="pct"/>
            <w:shd w:val="clear" w:color="auto" w:fill="CCEEFF"/>
            <w:noWrap/>
            <w:tcMar>
              <w:top w:w="0" w:type="dxa"/>
              <w:left w:w="0" w:type="dxa"/>
              <w:bottom w:w="0" w:type="dxa"/>
              <w:right w:w="0" w:type="dxa"/>
            </w:tcMar>
            <w:vAlign w:val="bottom"/>
            <w:hideMark/>
          </w:tcPr>
          <w:p w14:paraId="6187DBD9" w14:textId="77777777" w:rsidR="00000000" w:rsidRDefault="00097612">
            <w:pPr>
              <w:pStyle w:val="a3"/>
              <w:spacing w:before="0" w:beforeAutospacing="0" w:after="0" w:afterAutospacing="0"/>
              <w:rPr>
                <w:sz w:val="20"/>
                <w:szCs w:val="20"/>
              </w:rPr>
            </w:pPr>
            <w:r>
              <w:rPr>
                <w:sz w:val="20"/>
                <w:szCs w:val="20"/>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340A0B7E" w14:textId="77777777" w:rsidR="00000000" w:rsidRDefault="00097612">
            <w:pPr>
              <w:pStyle w:val="a3"/>
              <w:spacing w:before="0" w:beforeAutospacing="0" w:after="0" w:afterAutospacing="0"/>
              <w:jc w:val="center"/>
              <w:rPr>
                <w:sz w:val="20"/>
                <w:szCs w:val="20"/>
              </w:rPr>
            </w:pPr>
            <w:r>
              <w:rPr>
                <w:sz w:val="20"/>
                <w:szCs w:val="20"/>
              </w:rPr>
              <w:t>$</w:t>
            </w:r>
          </w:p>
        </w:tc>
        <w:tc>
          <w:tcPr>
            <w:tcW w:w="306" w:type="pct"/>
            <w:tcBorders>
              <w:bottom w:val="double" w:sz="6" w:space="0" w:color="000000"/>
            </w:tcBorders>
            <w:shd w:val="clear" w:color="auto" w:fill="CCEEFF"/>
            <w:noWrap/>
            <w:tcMar>
              <w:top w:w="0" w:type="dxa"/>
              <w:left w:w="0" w:type="dxa"/>
              <w:bottom w:w="0" w:type="dxa"/>
              <w:right w:w="0" w:type="dxa"/>
            </w:tcMar>
            <w:vAlign w:val="bottom"/>
            <w:hideMark/>
          </w:tcPr>
          <w:p w14:paraId="0067BDB0" w14:textId="77777777" w:rsidR="00000000" w:rsidRDefault="00097612">
            <w:pPr>
              <w:pStyle w:val="a3"/>
              <w:spacing w:before="0" w:beforeAutospacing="0" w:after="0" w:afterAutospacing="0"/>
              <w:jc w:val="right"/>
              <w:rPr>
                <w:sz w:val="20"/>
                <w:szCs w:val="20"/>
              </w:rPr>
            </w:pPr>
            <w:r>
              <w:rPr>
                <w:sz w:val="20"/>
                <w:szCs w:val="20"/>
              </w:rPr>
              <w:t>(411</w:t>
            </w:r>
            <w:r>
              <w:rPr>
                <w:sz w:val="20"/>
                <w:szCs w:val="20"/>
              </w:rPr>
              <w:t>)</w:t>
            </w:r>
          </w:p>
        </w:tc>
        <w:tc>
          <w:tcPr>
            <w:tcW w:w="77" w:type="pct"/>
            <w:shd w:val="clear" w:color="auto" w:fill="CCEEFF"/>
            <w:noWrap/>
            <w:tcMar>
              <w:top w:w="0" w:type="dxa"/>
              <w:left w:w="0" w:type="dxa"/>
              <w:bottom w:w="0" w:type="dxa"/>
              <w:right w:w="0" w:type="dxa"/>
            </w:tcMar>
            <w:vAlign w:val="bottom"/>
            <w:hideMark/>
          </w:tcPr>
          <w:p w14:paraId="26E4C568" w14:textId="77777777" w:rsidR="00000000" w:rsidRDefault="00097612">
            <w:pPr>
              <w:pStyle w:val="a3"/>
              <w:spacing w:before="0" w:beforeAutospacing="0" w:after="0" w:afterAutospacing="0"/>
              <w:rPr>
                <w:sz w:val="20"/>
                <w:szCs w:val="20"/>
              </w:rPr>
            </w:pPr>
            <w:r>
              <w:rPr>
                <w:sz w:val="20"/>
                <w:szCs w:val="20"/>
              </w:rPr>
              <w:t>​</w:t>
            </w:r>
          </w:p>
        </w:tc>
        <w:tc>
          <w:tcPr>
            <w:tcW w:w="185" w:type="pct"/>
            <w:tcBorders>
              <w:bottom w:val="double" w:sz="6" w:space="0" w:color="000000"/>
            </w:tcBorders>
            <w:shd w:val="clear" w:color="auto" w:fill="CCEEFF"/>
            <w:noWrap/>
            <w:tcMar>
              <w:top w:w="0" w:type="dxa"/>
              <w:left w:w="0" w:type="dxa"/>
              <w:bottom w:w="0" w:type="dxa"/>
              <w:right w:w="0" w:type="dxa"/>
            </w:tcMar>
            <w:vAlign w:val="bottom"/>
            <w:hideMark/>
          </w:tcPr>
          <w:p w14:paraId="3175F0AA" w14:textId="77777777" w:rsidR="00000000" w:rsidRDefault="00097612">
            <w:pPr>
              <w:pStyle w:val="a3"/>
              <w:spacing w:before="0" w:beforeAutospacing="0" w:after="0" w:afterAutospacing="0"/>
              <w:jc w:val="right"/>
              <w:rPr>
                <w:sz w:val="20"/>
                <w:szCs w:val="20"/>
              </w:rPr>
            </w:pPr>
            <w:r>
              <w:rPr>
                <w:sz w:val="20"/>
                <w:szCs w:val="20"/>
              </w:rPr>
              <w:t>(3</w:t>
            </w:r>
            <w:r>
              <w:rPr>
                <w:sz w:val="20"/>
                <w:szCs w:val="20"/>
              </w:rPr>
              <w:t>)</w:t>
            </w:r>
          </w:p>
        </w:tc>
        <w:tc>
          <w:tcPr>
            <w:tcW w:w="129" w:type="pct"/>
            <w:shd w:val="clear" w:color="auto" w:fill="CCEEFF"/>
            <w:noWrap/>
            <w:tcMar>
              <w:top w:w="0" w:type="dxa"/>
              <w:left w:w="0" w:type="dxa"/>
              <w:bottom w:w="0" w:type="dxa"/>
              <w:right w:w="0" w:type="dxa"/>
            </w:tcMar>
            <w:vAlign w:val="bottom"/>
            <w:hideMark/>
          </w:tcPr>
          <w:p w14:paraId="149E6F5F" w14:textId="77777777" w:rsidR="00000000" w:rsidRDefault="00097612">
            <w:pPr>
              <w:pStyle w:val="a3"/>
              <w:spacing w:before="0" w:beforeAutospacing="0" w:after="0"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14:paraId="1D23392D" w14:textId="77777777" w:rsidR="00000000" w:rsidRDefault="00097612">
            <w:pPr>
              <w:pStyle w:val="a3"/>
              <w:spacing w:before="0" w:beforeAutospacing="0" w:after="0" w:afterAutospacing="0"/>
              <w:jc w:val="center"/>
              <w:rPr>
                <w:sz w:val="20"/>
                <w:szCs w:val="20"/>
              </w:rPr>
            </w:pPr>
            <w:r>
              <w:rPr>
                <w:sz w:val="20"/>
                <w:szCs w:val="20"/>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6B552685" w14:textId="77777777" w:rsidR="00000000" w:rsidRDefault="00097612">
            <w:pPr>
              <w:pStyle w:val="a3"/>
              <w:spacing w:before="0" w:beforeAutospacing="0" w:after="0" w:afterAutospacing="0"/>
              <w:jc w:val="center"/>
              <w:rPr>
                <w:sz w:val="20"/>
                <w:szCs w:val="20"/>
              </w:rPr>
            </w:pPr>
            <w:r>
              <w:rPr>
                <w:sz w:val="20"/>
                <w:szCs w:val="20"/>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14:paraId="3CB3BED8" w14:textId="77777777" w:rsidR="00000000" w:rsidRDefault="00097612">
            <w:pPr>
              <w:pStyle w:val="a3"/>
              <w:spacing w:before="0" w:beforeAutospacing="0" w:after="0" w:afterAutospacing="0"/>
              <w:ind w:right="60"/>
              <w:jc w:val="right"/>
              <w:rPr>
                <w:sz w:val="20"/>
                <w:szCs w:val="20"/>
              </w:rPr>
            </w:pPr>
            <w:r>
              <w:rPr>
                <w:sz w:val="20"/>
                <w:szCs w:val="20"/>
              </w:rPr>
              <w:t>43,91</w:t>
            </w:r>
            <w:r>
              <w:rPr>
                <w:sz w:val="20"/>
                <w:szCs w:val="20"/>
              </w:rPr>
              <w:t>5</w:t>
            </w:r>
          </w:p>
        </w:tc>
        <w:tc>
          <w:tcPr>
            <w:tcW w:w="77" w:type="pct"/>
            <w:shd w:val="clear" w:color="auto" w:fill="CCEEFF"/>
            <w:noWrap/>
            <w:tcMar>
              <w:top w:w="0" w:type="dxa"/>
              <w:left w:w="0" w:type="dxa"/>
              <w:bottom w:w="0" w:type="dxa"/>
              <w:right w:w="0" w:type="dxa"/>
            </w:tcMar>
            <w:vAlign w:val="bottom"/>
            <w:hideMark/>
          </w:tcPr>
          <w:p w14:paraId="56AD2821" w14:textId="77777777" w:rsidR="00000000" w:rsidRDefault="00097612">
            <w:pPr>
              <w:pStyle w:val="a3"/>
              <w:spacing w:before="0" w:beforeAutospacing="0" w:after="0" w:afterAutospacing="0"/>
              <w:jc w:val="center"/>
              <w:rPr>
                <w:sz w:val="20"/>
                <w:szCs w:val="20"/>
              </w:rPr>
            </w:pPr>
            <w:r>
              <w:rPr>
                <w:sz w:val="20"/>
                <w:szCs w:val="20"/>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4BE954A7" w14:textId="77777777" w:rsidR="00000000" w:rsidRDefault="00097612">
            <w:pPr>
              <w:pStyle w:val="a3"/>
              <w:spacing w:before="0" w:beforeAutospacing="0" w:after="0" w:afterAutospacing="0"/>
              <w:jc w:val="center"/>
              <w:rPr>
                <w:sz w:val="20"/>
                <w:szCs w:val="20"/>
              </w:rPr>
            </w:pPr>
            <w:r>
              <w:rPr>
                <w:sz w:val="20"/>
                <w:szCs w:val="20"/>
              </w:rPr>
              <w:t>$</w:t>
            </w:r>
          </w:p>
        </w:tc>
        <w:tc>
          <w:tcPr>
            <w:tcW w:w="319" w:type="pct"/>
            <w:tcBorders>
              <w:bottom w:val="double" w:sz="6" w:space="0" w:color="000000"/>
            </w:tcBorders>
            <w:shd w:val="clear" w:color="auto" w:fill="CCEEFF"/>
            <w:noWrap/>
            <w:tcMar>
              <w:top w:w="0" w:type="dxa"/>
              <w:left w:w="0" w:type="dxa"/>
              <w:bottom w:w="0" w:type="dxa"/>
              <w:right w:w="0" w:type="dxa"/>
            </w:tcMar>
            <w:vAlign w:val="bottom"/>
            <w:hideMark/>
          </w:tcPr>
          <w:p w14:paraId="51615C44" w14:textId="77777777" w:rsidR="00000000" w:rsidRDefault="00097612">
            <w:pPr>
              <w:pStyle w:val="a3"/>
              <w:spacing w:before="0" w:beforeAutospacing="0" w:after="0" w:afterAutospacing="0"/>
              <w:ind w:right="60"/>
              <w:jc w:val="right"/>
              <w:rPr>
                <w:sz w:val="20"/>
                <w:szCs w:val="20"/>
              </w:rPr>
            </w:pPr>
            <w:r>
              <w:rPr>
                <w:sz w:val="20"/>
                <w:szCs w:val="20"/>
              </w:rPr>
              <w:t>44,63</w:t>
            </w:r>
            <w:r>
              <w:rPr>
                <w:sz w:val="20"/>
                <w:szCs w:val="20"/>
              </w:rPr>
              <w:t>3</w:t>
            </w:r>
          </w:p>
        </w:tc>
        <w:tc>
          <w:tcPr>
            <w:tcW w:w="77" w:type="pct"/>
            <w:shd w:val="clear" w:color="auto" w:fill="CCEEFF"/>
            <w:noWrap/>
            <w:tcMar>
              <w:top w:w="0" w:type="dxa"/>
              <w:left w:w="0" w:type="dxa"/>
              <w:bottom w:w="0" w:type="dxa"/>
              <w:right w:w="0" w:type="dxa"/>
            </w:tcMar>
            <w:vAlign w:val="bottom"/>
            <w:hideMark/>
          </w:tcPr>
          <w:p w14:paraId="1F1D6F20" w14:textId="77777777" w:rsidR="00000000" w:rsidRDefault="00097612">
            <w:pPr>
              <w:pStyle w:val="a3"/>
              <w:spacing w:before="0" w:beforeAutospacing="0" w:after="0" w:afterAutospacing="0"/>
              <w:jc w:val="center"/>
              <w:rPr>
                <w:sz w:val="20"/>
                <w:szCs w:val="20"/>
              </w:rPr>
            </w:pPr>
            <w:r>
              <w:rPr>
                <w:sz w:val="20"/>
                <w:szCs w:val="20"/>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473CF0F9" w14:textId="77777777" w:rsidR="00000000" w:rsidRDefault="00097612">
            <w:pPr>
              <w:pStyle w:val="a3"/>
              <w:spacing w:before="0" w:beforeAutospacing="0" w:after="0" w:afterAutospacing="0"/>
              <w:jc w:val="center"/>
              <w:rPr>
                <w:sz w:val="20"/>
                <w:szCs w:val="20"/>
              </w:rPr>
            </w:pPr>
            <w:r>
              <w:rPr>
                <w:sz w:val="20"/>
                <w:szCs w:val="20"/>
              </w:rPr>
              <w:t>$</w:t>
            </w:r>
          </w:p>
        </w:tc>
        <w:tc>
          <w:tcPr>
            <w:tcW w:w="354" w:type="pct"/>
            <w:tcBorders>
              <w:bottom w:val="double" w:sz="6" w:space="0" w:color="000000"/>
            </w:tcBorders>
            <w:shd w:val="clear" w:color="auto" w:fill="CCEEFF"/>
            <w:noWrap/>
            <w:tcMar>
              <w:top w:w="0" w:type="dxa"/>
              <w:left w:w="0" w:type="dxa"/>
              <w:bottom w:w="0" w:type="dxa"/>
              <w:right w:w="0" w:type="dxa"/>
            </w:tcMar>
            <w:vAlign w:val="bottom"/>
            <w:hideMark/>
          </w:tcPr>
          <w:p w14:paraId="07F54BD7" w14:textId="77777777" w:rsidR="00000000" w:rsidRDefault="00097612">
            <w:pPr>
              <w:pStyle w:val="a3"/>
              <w:spacing w:before="0" w:beforeAutospacing="0" w:after="0" w:afterAutospacing="0"/>
              <w:jc w:val="right"/>
              <w:rPr>
                <w:sz w:val="20"/>
                <w:szCs w:val="20"/>
              </w:rPr>
            </w:pPr>
            <w:r>
              <w:rPr>
                <w:sz w:val="20"/>
                <w:szCs w:val="20"/>
              </w:rPr>
              <w:t>(718</w:t>
            </w:r>
            <w:r>
              <w:rPr>
                <w:sz w:val="20"/>
                <w:szCs w:val="20"/>
              </w:rPr>
              <w:t>)</w:t>
            </w:r>
          </w:p>
        </w:tc>
        <w:tc>
          <w:tcPr>
            <w:tcW w:w="77" w:type="pct"/>
            <w:shd w:val="clear" w:color="auto" w:fill="CCEEFF"/>
            <w:noWrap/>
            <w:tcMar>
              <w:top w:w="0" w:type="dxa"/>
              <w:left w:w="0" w:type="dxa"/>
              <w:bottom w:w="0" w:type="dxa"/>
              <w:right w:w="0" w:type="dxa"/>
            </w:tcMar>
            <w:vAlign w:val="bottom"/>
            <w:hideMark/>
          </w:tcPr>
          <w:p w14:paraId="686B203D" w14:textId="77777777" w:rsidR="00000000" w:rsidRDefault="00097612">
            <w:pPr>
              <w:pStyle w:val="a3"/>
              <w:spacing w:before="0" w:beforeAutospacing="0" w:after="0" w:afterAutospacing="0"/>
              <w:jc w:val="center"/>
              <w:rPr>
                <w:sz w:val="20"/>
                <w:szCs w:val="20"/>
              </w:rPr>
            </w:pPr>
            <w:r>
              <w:rPr>
                <w:sz w:val="20"/>
                <w:szCs w:val="20"/>
              </w:rPr>
              <w:t>​</w:t>
            </w:r>
          </w:p>
        </w:tc>
        <w:tc>
          <w:tcPr>
            <w:tcW w:w="185" w:type="pct"/>
            <w:tcBorders>
              <w:bottom w:val="double" w:sz="6" w:space="0" w:color="000000"/>
            </w:tcBorders>
            <w:shd w:val="clear" w:color="auto" w:fill="CCEEFF"/>
            <w:noWrap/>
            <w:tcMar>
              <w:top w:w="0" w:type="dxa"/>
              <w:left w:w="0" w:type="dxa"/>
              <w:bottom w:w="0" w:type="dxa"/>
              <w:right w:w="0" w:type="dxa"/>
            </w:tcMar>
            <w:vAlign w:val="bottom"/>
            <w:hideMark/>
          </w:tcPr>
          <w:p w14:paraId="70C0B9A5" w14:textId="77777777" w:rsidR="00000000" w:rsidRDefault="00097612">
            <w:pPr>
              <w:pStyle w:val="a3"/>
              <w:spacing w:before="0" w:beforeAutospacing="0" w:after="0" w:afterAutospacing="0"/>
              <w:jc w:val="right"/>
              <w:rPr>
                <w:sz w:val="20"/>
                <w:szCs w:val="20"/>
              </w:rPr>
            </w:pPr>
            <w:r>
              <w:rPr>
                <w:sz w:val="20"/>
                <w:szCs w:val="20"/>
              </w:rPr>
              <w:t>(2</w:t>
            </w:r>
            <w:r>
              <w:rPr>
                <w:sz w:val="20"/>
                <w:szCs w:val="20"/>
              </w:rPr>
              <w:t>)</w:t>
            </w:r>
          </w:p>
        </w:tc>
        <w:tc>
          <w:tcPr>
            <w:tcW w:w="129" w:type="pct"/>
            <w:shd w:val="clear" w:color="auto" w:fill="CCEEFF"/>
            <w:noWrap/>
            <w:tcMar>
              <w:top w:w="0" w:type="dxa"/>
              <w:left w:w="0" w:type="dxa"/>
              <w:bottom w:w="0" w:type="dxa"/>
              <w:right w:w="0" w:type="dxa"/>
            </w:tcMar>
            <w:vAlign w:val="bottom"/>
            <w:hideMark/>
          </w:tcPr>
          <w:p w14:paraId="2C9EE7F4" w14:textId="77777777" w:rsidR="00000000" w:rsidRDefault="00097612">
            <w:pPr>
              <w:pStyle w:val="a3"/>
              <w:spacing w:before="0" w:beforeAutospacing="0" w:after="0" w:afterAutospacing="0"/>
              <w:jc w:val="center"/>
              <w:rPr>
                <w:sz w:val="20"/>
                <w:szCs w:val="20"/>
              </w:rPr>
            </w:pPr>
            <w:r>
              <w:rPr>
                <w:sz w:val="20"/>
                <w:szCs w:val="20"/>
              </w:rPr>
              <w:t>%  </w:t>
            </w:r>
          </w:p>
        </w:tc>
      </w:tr>
    </w:tbl>
    <w:p w14:paraId="0062CC4C" w14:textId="77777777" w:rsidR="00000000" w:rsidRDefault="00097612">
      <w:pPr>
        <w:pStyle w:val="a3"/>
        <w:spacing w:before="0" w:beforeAutospacing="0" w:after="0" w:afterAutospacing="0"/>
        <w:divId w:val="2100758947"/>
        <w:rPr>
          <w:sz w:val="20"/>
          <w:szCs w:val="20"/>
        </w:rPr>
      </w:pPr>
      <w:r>
        <w:rPr>
          <w:sz w:val="20"/>
          <w:szCs w:val="20"/>
        </w:rPr>
        <w:t>NM: Not Meaningful</w:t>
      </w:r>
    </w:p>
    <w:p w14:paraId="694425BF" w14:textId="77777777" w:rsidR="00000000" w:rsidRDefault="00097612">
      <w:pPr>
        <w:pStyle w:val="a3"/>
        <w:spacing w:before="0" w:beforeAutospacing="0" w:after="0" w:afterAutospacing="0"/>
        <w:divId w:val="2100758947"/>
        <w:rPr>
          <w:sz w:val="20"/>
          <w:szCs w:val="20"/>
        </w:rPr>
      </w:pPr>
      <w:r>
        <w:rPr>
          <w:sz w:val="20"/>
          <w:szCs w:val="20"/>
        </w:rPr>
        <w:t>​</w:t>
      </w:r>
    </w:p>
    <w:p w14:paraId="7668FBAF" w14:textId="77777777" w:rsidR="00000000" w:rsidRDefault="00097612">
      <w:pPr>
        <w:pStyle w:val="a3"/>
        <w:spacing w:before="0" w:beforeAutospacing="0" w:after="0" w:afterAutospacing="0"/>
        <w:ind w:firstLine="720"/>
        <w:divId w:val="2100758947"/>
        <w:rPr>
          <w:sz w:val="20"/>
          <w:szCs w:val="20"/>
        </w:rPr>
      </w:pPr>
      <w:r>
        <w:rPr>
          <w:sz w:val="20"/>
          <w:szCs w:val="20"/>
        </w:rPr>
        <w:t xml:space="preserve">As a result of the sale of our VIBATIV business to Cumberland in November 2018, no product sales were recognized for the three and nine months ended September 30, 2019. </w:t>
      </w:r>
    </w:p>
    <w:p w14:paraId="348C54FF" w14:textId="77777777" w:rsidR="00000000" w:rsidRDefault="00097612">
      <w:pPr>
        <w:pStyle w:val="a3"/>
        <w:spacing w:before="0" w:beforeAutospacing="0" w:after="0" w:afterAutospacing="0"/>
        <w:divId w:val="2100758947"/>
        <w:rPr>
          <w:sz w:val="20"/>
          <w:szCs w:val="20"/>
        </w:rPr>
      </w:pPr>
      <w:r>
        <w:rPr>
          <w:sz w:val="20"/>
          <w:szCs w:val="20"/>
        </w:rPr>
        <w:t>​</w:t>
      </w:r>
    </w:p>
    <w:p w14:paraId="06A58E30" w14:textId="77777777" w:rsidR="00000000" w:rsidRDefault="00097612">
      <w:pPr>
        <w:pStyle w:val="a3"/>
        <w:spacing w:before="0" w:beforeAutospacing="0" w:after="0" w:afterAutospacing="0"/>
        <w:ind w:firstLine="720"/>
        <w:divId w:val="2100758947"/>
        <w:rPr>
          <w:sz w:val="20"/>
          <w:szCs w:val="20"/>
        </w:rPr>
      </w:pPr>
      <w:r>
        <w:rPr>
          <w:sz w:val="20"/>
          <w:szCs w:val="20"/>
        </w:rPr>
        <w:t xml:space="preserve">Collaboration revenue decreased by $0.2 million and $10.1 million for the three and </w:t>
      </w:r>
      <w:r>
        <w:rPr>
          <w:sz w:val="20"/>
          <w:szCs w:val="20"/>
        </w:rPr>
        <w:t xml:space="preserve">nine months ended September 30, 2019, respectively, compared to the same periods in 2018. The $0.2 million decrease for the three month period ended September 30, 2019 was primarily attributed to a lower portion of recognized revenue related to the $100.0 </w:t>
      </w:r>
      <w:r>
        <w:rPr>
          <w:sz w:val="20"/>
          <w:szCs w:val="20"/>
        </w:rPr>
        <w:t>million upfront payment from the Janssen collaboration agreement that was entered into in February 2018. The $10.1 million decrease for the nine month period ended September 30,</w:t>
      </w:r>
      <w:r>
        <w:rPr>
          <w:sz w:val="15"/>
          <w:szCs w:val="15"/>
          <w:vertAlign w:val="superscript"/>
        </w:rPr>
        <w:t xml:space="preserve"> </w:t>
      </w:r>
      <w:r>
        <w:rPr>
          <w:sz w:val="20"/>
          <w:szCs w:val="20"/>
        </w:rPr>
        <w:t>2019 was primarily attributed to the April 2018 exercise by Alfasigma of its o</w:t>
      </w:r>
      <w:r>
        <w:rPr>
          <w:sz w:val="20"/>
          <w:szCs w:val="20"/>
        </w:rPr>
        <w:t>ption to develop and commercialize velusetrag.</w:t>
      </w:r>
    </w:p>
    <w:p w14:paraId="184C68DC" w14:textId="77777777" w:rsidR="00000000" w:rsidRDefault="00097612">
      <w:pPr>
        <w:pStyle w:val="a3"/>
        <w:spacing w:before="0" w:beforeAutospacing="0" w:after="0" w:afterAutospacing="0"/>
        <w:divId w:val="2100758947"/>
        <w:rPr>
          <w:sz w:val="20"/>
          <w:szCs w:val="20"/>
        </w:rPr>
      </w:pPr>
      <w:r>
        <w:rPr>
          <w:sz w:val="20"/>
          <w:szCs w:val="20"/>
        </w:rPr>
        <w:t>​</w:t>
      </w:r>
    </w:p>
    <w:p w14:paraId="465F73D9" w14:textId="77777777" w:rsidR="00000000" w:rsidRDefault="00097612">
      <w:pPr>
        <w:pStyle w:val="a3"/>
        <w:spacing w:before="0" w:beforeAutospacing="0" w:after="0" w:afterAutospacing="0"/>
        <w:ind w:firstLine="720"/>
        <w:divId w:val="2100758947"/>
        <w:rPr>
          <w:sz w:val="20"/>
          <w:szCs w:val="20"/>
        </w:rPr>
      </w:pPr>
      <w:r>
        <w:rPr>
          <w:sz w:val="20"/>
          <w:szCs w:val="20"/>
        </w:rPr>
        <w:t>Licensing revenue was $18.5 million for the nine months ended September 30, 2019 and represented an $18.5 million</w:t>
      </w:r>
      <w:r>
        <w:rPr>
          <w:sz w:val="20"/>
          <w:szCs w:val="20"/>
          <w:shd w:val="clear" w:color="auto" w:fill="FFFFFF"/>
        </w:rPr>
        <w:t> </w:t>
      </w:r>
      <w:r>
        <w:rPr>
          <w:sz w:val="20"/>
          <w:szCs w:val="20"/>
        </w:rPr>
        <w:t>upfront payment</w:t>
      </w:r>
      <w:r>
        <w:rPr>
          <w:sz w:val="20"/>
          <w:szCs w:val="20"/>
          <w:shd w:val="clear" w:color="auto" w:fill="FFFFFF"/>
        </w:rPr>
        <w:t xml:space="preserve"> (before a required tax withholding) </w:t>
      </w:r>
      <w:r>
        <w:rPr>
          <w:sz w:val="20"/>
          <w:szCs w:val="20"/>
        </w:rPr>
        <w:t xml:space="preserve">from Mylan associated with the amendment </w:t>
      </w:r>
      <w:r>
        <w:rPr>
          <w:sz w:val="20"/>
          <w:szCs w:val="20"/>
        </w:rPr>
        <w:t>signed in June 2019 for the commercialization and development r</w:t>
      </w:r>
      <w:r>
        <w:rPr>
          <w:sz w:val="20"/>
          <w:szCs w:val="20"/>
          <w:shd w:val="clear" w:color="auto" w:fill="FFFFFF"/>
        </w:rPr>
        <w:t>ights to nebulized revefenacin in China and adjacent territories.</w:t>
      </w:r>
    </w:p>
    <w:p w14:paraId="56EC20F3" w14:textId="77777777" w:rsidR="00000000" w:rsidRDefault="00097612">
      <w:pPr>
        <w:pStyle w:val="a3"/>
        <w:spacing w:before="0" w:beforeAutospacing="0" w:after="0" w:afterAutospacing="0"/>
        <w:ind w:firstLine="720"/>
        <w:divId w:val="2100758947"/>
        <w:rPr>
          <w:sz w:val="20"/>
          <w:szCs w:val="20"/>
        </w:rPr>
      </w:pPr>
      <w:r>
        <w:rPr>
          <w:sz w:val="20"/>
          <w:szCs w:val="20"/>
          <w:shd w:val="clear" w:color="auto" w:fill="FFFFFF"/>
        </w:rPr>
        <w:t>​</w:t>
      </w:r>
    </w:p>
    <w:p w14:paraId="3BB8F14E" w14:textId="77777777" w:rsidR="00000000" w:rsidRDefault="00097612">
      <w:pPr>
        <w:pStyle w:val="a3"/>
        <w:spacing w:before="0" w:beforeAutospacing="0" w:after="0" w:afterAutospacing="0"/>
        <w:ind w:firstLine="720"/>
        <w:divId w:val="2100758947"/>
        <w:rPr>
          <w:sz w:val="20"/>
          <w:szCs w:val="20"/>
        </w:rPr>
      </w:pPr>
      <w:r>
        <w:rPr>
          <w:sz w:val="20"/>
          <w:szCs w:val="20"/>
        </w:rPr>
        <w:t>We are entitled to a share of US profits and losses (65% to Mylan; 35% to Theravance Biopharma) received in connection with c</w:t>
      </w:r>
      <w:r>
        <w:rPr>
          <w:sz w:val="20"/>
          <w:szCs w:val="20"/>
        </w:rPr>
        <w:t>ommercialization of YUPELRI. Any reimbursement from Mylan attributed to the 65% cost sharing of our R&amp;D expenses is characterized as a reduction of R&amp;D expense.</w:t>
      </w:r>
      <w:r>
        <w:rPr>
          <w:color w:val="FF0000"/>
          <w:sz w:val="20"/>
          <w:szCs w:val="20"/>
        </w:rPr>
        <w:t xml:space="preserve"> </w:t>
      </w:r>
      <w:r>
        <w:rPr>
          <w:sz w:val="20"/>
          <w:szCs w:val="20"/>
        </w:rPr>
        <w:t>All other amounts receivable from, or payable to, Mylan in connection with the commercializatio</w:t>
      </w:r>
      <w:r>
        <w:rPr>
          <w:sz w:val="20"/>
          <w:szCs w:val="20"/>
        </w:rPr>
        <w:t>n of YUPELRI are recorded within the condensed consolidated statements of operations as revenue from “Mylan collaboration agreement” or as a collaboration loss within operating expenses, respectively. Revenue from the Mylan collaboration agreement was $3.6</w:t>
      </w:r>
      <w:r>
        <w:rPr>
          <w:sz w:val="20"/>
          <w:szCs w:val="20"/>
        </w:rPr>
        <w:t xml:space="preserve"> million and $3.7 million for the three and nine months ended September 30, 2019, respectively, and represented the receivables due from Mylan during the periods.</w:t>
      </w:r>
    </w:p>
    <w:p w14:paraId="410E0DCF" w14:textId="77777777" w:rsidR="00000000" w:rsidRDefault="00097612">
      <w:pPr>
        <w:pStyle w:val="a3"/>
        <w:spacing w:before="0" w:beforeAutospacing="0" w:after="0" w:afterAutospacing="0"/>
        <w:divId w:val="2100758947"/>
        <w:rPr>
          <w:sz w:val="20"/>
          <w:szCs w:val="20"/>
        </w:rPr>
      </w:pPr>
      <w:r>
        <w:rPr>
          <w:sz w:val="20"/>
          <w:szCs w:val="20"/>
        </w:rPr>
        <w:t>​</w:t>
      </w:r>
    </w:p>
    <w:p w14:paraId="53349B2F" w14:textId="77777777" w:rsidR="00000000" w:rsidRDefault="00097612">
      <w:pPr>
        <w:pStyle w:val="a3"/>
        <w:spacing w:before="0" w:beforeAutospacing="0" w:after="0" w:afterAutospacing="0"/>
        <w:divId w:val="2100758947"/>
        <w:rPr>
          <w:sz w:val="20"/>
          <w:szCs w:val="20"/>
        </w:rPr>
      </w:pPr>
      <w:r>
        <w:rPr>
          <w:b/>
          <w:bCs/>
          <w:i/>
          <w:iCs/>
          <w:sz w:val="20"/>
          <w:szCs w:val="20"/>
        </w:rPr>
        <w:t>Cost of Goods Sold</w:t>
      </w:r>
    </w:p>
    <w:p w14:paraId="243243E0" w14:textId="77777777" w:rsidR="00000000" w:rsidRDefault="00097612">
      <w:pPr>
        <w:pStyle w:val="a3"/>
        <w:spacing w:before="0" w:beforeAutospacing="0" w:after="0" w:afterAutospacing="0"/>
        <w:divId w:val="2100758947"/>
        <w:rPr>
          <w:sz w:val="20"/>
          <w:szCs w:val="20"/>
        </w:rPr>
      </w:pPr>
      <w:r>
        <w:rPr>
          <w:sz w:val="10"/>
          <w:szCs w:val="10"/>
        </w:rPr>
        <w:t>​</w:t>
      </w:r>
    </w:p>
    <w:p w14:paraId="3762AE22" w14:textId="77777777" w:rsidR="00000000" w:rsidRDefault="00097612">
      <w:pPr>
        <w:pStyle w:val="a3"/>
        <w:spacing w:before="0" w:beforeAutospacing="0" w:after="0" w:afterAutospacing="0"/>
        <w:ind w:firstLine="720"/>
        <w:divId w:val="2100758947"/>
        <w:rPr>
          <w:sz w:val="20"/>
          <w:szCs w:val="20"/>
        </w:rPr>
      </w:pPr>
      <w:r>
        <w:rPr>
          <w:sz w:val="20"/>
          <w:szCs w:val="20"/>
        </w:rPr>
        <w:t>Cost of goods sold, as compared to the comparable periods in the prior</w:t>
      </w:r>
      <w:r>
        <w:rPr>
          <w:sz w:val="20"/>
          <w:szCs w:val="20"/>
        </w:rPr>
        <w:t xml:space="preserve"> year, was as follows:</w:t>
      </w:r>
    </w:p>
    <w:p w14:paraId="5FBF2C4F" w14:textId="77777777" w:rsidR="00000000" w:rsidRDefault="00097612">
      <w:pPr>
        <w:pStyle w:val="a3"/>
        <w:spacing w:before="0" w:beforeAutospacing="0" w:after="0" w:afterAutospacing="0"/>
        <w:divId w:val="2100758947"/>
        <w:rPr>
          <w:sz w:val="20"/>
          <w:szCs w:val="20"/>
        </w:rPr>
      </w:pPr>
      <w:r>
        <w:rPr>
          <w:sz w:val="20"/>
          <w:szCs w:val="20"/>
        </w:rPr>
        <w:t>​</w:t>
      </w:r>
    </w:p>
    <w:tbl>
      <w:tblPr>
        <w:tblW w:w="4999" w:type="pct"/>
        <w:tblCellMar>
          <w:top w:w="15" w:type="dxa"/>
          <w:left w:w="0" w:type="dxa"/>
          <w:bottom w:w="15" w:type="dxa"/>
          <w:right w:w="0" w:type="dxa"/>
        </w:tblCellMar>
        <w:tblLook w:val="04A0" w:firstRow="1" w:lastRow="0" w:firstColumn="1" w:lastColumn="0" w:noHBand="0" w:noVBand="1"/>
      </w:tblPr>
      <w:tblGrid>
        <w:gridCol w:w="2239"/>
        <w:gridCol w:w="160"/>
        <w:gridCol w:w="131"/>
        <w:gridCol w:w="520"/>
        <w:gridCol w:w="161"/>
        <w:gridCol w:w="128"/>
        <w:gridCol w:w="522"/>
        <w:gridCol w:w="160"/>
        <w:gridCol w:w="100"/>
        <w:gridCol w:w="434"/>
        <w:gridCol w:w="160"/>
        <w:gridCol w:w="383"/>
        <w:gridCol w:w="267"/>
        <w:gridCol w:w="160"/>
        <w:gridCol w:w="122"/>
        <w:gridCol w:w="486"/>
        <w:gridCol w:w="161"/>
        <w:gridCol w:w="121"/>
        <w:gridCol w:w="485"/>
        <w:gridCol w:w="160"/>
        <w:gridCol w:w="100"/>
        <w:gridCol w:w="334"/>
        <w:gridCol w:w="160"/>
        <w:gridCol w:w="383"/>
        <w:gridCol w:w="267"/>
      </w:tblGrid>
      <w:tr w:rsidR="00000000" w14:paraId="6AFD8409" w14:textId="77777777">
        <w:trPr>
          <w:divId w:val="2100758947"/>
          <w:trHeight w:val="20"/>
        </w:trPr>
        <w:tc>
          <w:tcPr>
            <w:tcW w:w="1915" w:type="pct"/>
            <w:tcMar>
              <w:top w:w="0" w:type="dxa"/>
              <w:left w:w="0" w:type="dxa"/>
              <w:bottom w:w="0" w:type="dxa"/>
              <w:right w:w="0" w:type="dxa"/>
            </w:tcMar>
            <w:vAlign w:val="bottom"/>
            <w:hideMark/>
          </w:tcPr>
          <w:p w14:paraId="4413CA5C" w14:textId="77777777" w:rsidR="00000000" w:rsidRDefault="00097612">
            <w:pPr>
              <w:pStyle w:val="a3"/>
              <w:spacing w:before="0" w:beforeAutospacing="0" w:after="0" w:afterAutospacing="0"/>
              <w:divId w:val="696348024"/>
              <w:rPr>
                <w:sz w:val="20"/>
                <w:szCs w:val="20"/>
              </w:rPr>
            </w:pPr>
            <w:r>
              <w:rPr>
                <w:sz w:val="2"/>
                <w:szCs w:val="2"/>
              </w:rPr>
              <w:t>​</w:t>
            </w:r>
          </w:p>
        </w:tc>
        <w:tc>
          <w:tcPr>
            <w:tcW w:w="79" w:type="pct"/>
            <w:noWrap/>
            <w:tcMar>
              <w:top w:w="0" w:type="dxa"/>
              <w:left w:w="0" w:type="dxa"/>
              <w:bottom w:w="0" w:type="dxa"/>
              <w:right w:w="0" w:type="dxa"/>
            </w:tcMar>
            <w:vAlign w:val="bottom"/>
            <w:hideMark/>
          </w:tcPr>
          <w:p w14:paraId="46470855" w14:textId="77777777" w:rsidR="00000000" w:rsidRDefault="00097612">
            <w:pPr>
              <w:pStyle w:val="a3"/>
              <w:spacing w:before="0" w:beforeAutospacing="0" w:after="0" w:afterAutospacing="0"/>
              <w:divId w:val="45691968"/>
              <w:rPr>
                <w:sz w:val="20"/>
                <w:szCs w:val="20"/>
              </w:rPr>
            </w:pPr>
            <w:r>
              <w:rPr>
                <w:sz w:val="2"/>
                <w:szCs w:val="2"/>
              </w:rPr>
              <w:t>​</w:t>
            </w:r>
          </w:p>
        </w:tc>
        <w:tc>
          <w:tcPr>
            <w:tcW w:w="66" w:type="pct"/>
            <w:noWrap/>
            <w:tcMar>
              <w:top w:w="0" w:type="dxa"/>
              <w:left w:w="0" w:type="dxa"/>
              <w:bottom w:w="0" w:type="dxa"/>
              <w:right w:w="0" w:type="dxa"/>
            </w:tcMar>
            <w:vAlign w:val="bottom"/>
            <w:hideMark/>
          </w:tcPr>
          <w:p w14:paraId="2E1787B6" w14:textId="77777777" w:rsidR="00000000" w:rsidRDefault="00097612">
            <w:pPr>
              <w:pStyle w:val="a3"/>
              <w:spacing w:before="0" w:beforeAutospacing="0" w:after="0" w:afterAutospacing="0"/>
              <w:divId w:val="935209067"/>
              <w:rPr>
                <w:sz w:val="20"/>
                <w:szCs w:val="20"/>
              </w:rPr>
            </w:pPr>
            <w:r>
              <w:rPr>
                <w:sz w:val="2"/>
                <w:szCs w:val="2"/>
              </w:rPr>
              <w:t>​</w:t>
            </w:r>
          </w:p>
        </w:tc>
        <w:tc>
          <w:tcPr>
            <w:tcW w:w="262" w:type="pct"/>
            <w:noWrap/>
            <w:tcMar>
              <w:top w:w="0" w:type="dxa"/>
              <w:left w:w="0" w:type="dxa"/>
              <w:bottom w:w="0" w:type="dxa"/>
              <w:right w:w="0" w:type="dxa"/>
            </w:tcMar>
            <w:vAlign w:val="bottom"/>
            <w:hideMark/>
          </w:tcPr>
          <w:p w14:paraId="57BE1AFF" w14:textId="77777777" w:rsidR="00000000" w:rsidRDefault="00097612">
            <w:pPr>
              <w:pStyle w:val="a3"/>
              <w:spacing w:before="0" w:beforeAutospacing="0" w:after="0" w:afterAutospacing="0"/>
              <w:divId w:val="921792578"/>
              <w:rPr>
                <w:sz w:val="20"/>
                <w:szCs w:val="20"/>
              </w:rPr>
            </w:pPr>
            <w:r>
              <w:rPr>
                <w:sz w:val="2"/>
                <w:szCs w:val="2"/>
              </w:rPr>
              <w:t>​</w:t>
            </w:r>
          </w:p>
        </w:tc>
        <w:tc>
          <w:tcPr>
            <w:tcW w:w="79" w:type="pct"/>
            <w:noWrap/>
            <w:tcMar>
              <w:top w:w="0" w:type="dxa"/>
              <w:left w:w="0" w:type="dxa"/>
              <w:bottom w:w="0" w:type="dxa"/>
              <w:right w:w="0" w:type="dxa"/>
            </w:tcMar>
            <w:vAlign w:val="bottom"/>
            <w:hideMark/>
          </w:tcPr>
          <w:p w14:paraId="331E8639" w14:textId="77777777" w:rsidR="00000000" w:rsidRDefault="00097612">
            <w:pPr>
              <w:pStyle w:val="a3"/>
              <w:spacing w:before="0" w:beforeAutospacing="0" w:after="0" w:afterAutospacing="0"/>
              <w:divId w:val="737360037"/>
              <w:rPr>
                <w:sz w:val="20"/>
                <w:szCs w:val="20"/>
              </w:rPr>
            </w:pPr>
            <w:r>
              <w:rPr>
                <w:sz w:val="2"/>
                <w:szCs w:val="2"/>
              </w:rPr>
              <w:t>​</w:t>
            </w:r>
          </w:p>
        </w:tc>
        <w:tc>
          <w:tcPr>
            <w:tcW w:w="65" w:type="pct"/>
            <w:noWrap/>
            <w:tcMar>
              <w:top w:w="0" w:type="dxa"/>
              <w:left w:w="0" w:type="dxa"/>
              <w:bottom w:w="0" w:type="dxa"/>
              <w:right w:w="0" w:type="dxa"/>
            </w:tcMar>
            <w:vAlign w:val="bottom"/>
            <w:hideMark/>
          </w:tcPr>
          <w:p w14:paraId="35100D87" w14:textId="77777777" w:rsidR="00000000" w:rsidRDefault="00097612">
            <w:pPr>
              <w:pStyle w:val="a3"/>
              <w:spacing w:before="0" w:beforeAutospacing="0" w:after="0" w:afterAutospacing="0"/>
              <w:divId w:val="1590117048"/>
              <w:rPr>
                <w:sz w:val="20"/>
                <w:szCs w:val="20"/>
              </w:rPr>
            </w:pPr>
            <w:r>
              <w:rPr>
                <w:sz w:val="2"/>
                <w:szCs w:val="2"/>
              </w:rPr>
              <w:t>​</w:t>
            </w:r>
          </w:p>
        </w:tc>
        <w:tc>
          <w:tcPr>
            <w:tcW w:w="262" w:type="pct"/>
            <w:noWrap/>
            <w:tcMar>
              <w:top w:w="0" w:type="dxa"/>
              <w:left w:w="0" w:type="dxa"/>
              <w:bottom w:w="0" w:type="dxa"/>
              <w:right w:w="0" w:type="dxa"/>
            </w:tcMar>
            <w:vAlign w:val="bottom"/>
            <w:hideMark/>
          </w:tcPr>
          <w:p w14:paraId="43E3BF32" w14:textId="77777777" w:rsidR="00000000" w:rsidRDefault="00097612">
            <w:pPr>
              <w:pStyle w:val="a3"/>
              <w:spacing w:before="0" w:beforeAutospacing="0" w:after="0" w:afterAutospacing="0"/>
              <w:divId w:val="1255672859"/>
              <w:rPr>
                <w:sz w:val="20"/>
                <w:szCs w:val="20"/>
              </w:rPr>
            </w:pPr>
            <w:r>
              <w:rPr>
                <w:sz w:val="2"/>
                <w:szCs w:val="2"/>
              </w:rPr>
              <w:t>​</w:t>
            </w:r>
          </w:p>
        </w:tc>
        <w:tc>
          <w:tcPr>
            <w:tcW w:w="79" w:type="pct"/>
            <w:noWrap/>
            <w:tcMar>
              <w:top w:w="0" w:type="dxa"/>
              <w:left w:w="0" w:type="dxa"/>
              <w:bottom w:w="0" w:type="dxa"/>
              <w:right w:w="0" w:type="dxa"/>
            </w:tcMar>
            <w:vAlign w:val="bottom"/>
            <w:hideMark/>
          </w:tcPr>
          <w:p w14:paraId="132AC220" w14:textId="77777777" w:rsidR="00000000" w:rsidRDefault="00097612">
            <w:pPr>
              <w:pStyle w:val="a3"/>
              <w:spacing w:before="0" w:beforeAutospacing="0" w:after="0" w:afterAutospacing="0"/>
              <w:divId w:val="1674213598"/>
              <w:rPr>
                <w:sz w:val="20"/>
                <w:szCs w:val="20"/>
              </w:rPr>
            </w:pPr>
            <w:r>
              <w:rPr>
                <w:sz w:val="2"/>
                <w:szCs w:val="2"/>
              </w:rPr>
              <w:t>​</w:t>
            </w:r>
          </w:p>
        </w:tc>
        <w:tc>
          <w:tcPr>
            <w:tcW w:w="49" w:type="pct"/>
            <w:noWrap/>
            <w:tcMar>
              <w:top w:w="0" w:type="dxa"/>
              <w:left w:w="0" w:type="dxa"/>
              <w:bottom w:w="0" w:type="dxa"/>
              <w:right w:w="0" w:type="dxa"/>
            </w:tcMar>
            <w:vAlign w:val="bottom"/>
            <w:hideMark/>
          </w:tcPr>
          <w:p w14:paraId="6A65FABF" w14:textId="77777777" w:rsidR="00000000" w:rsidRDefault="00097612">
            <w:pPr>
              <w:pStyle w:val="a3"/>
              <w:spacing w:before="0" w:beforeAutospacing="0" w:after="0" w:afterAutospacing="0"/>
              <w:divId w:val="1632512886"/>
              <w:rPr>
                <w:sz w:val="20"/>
                <w:szCs w:val="20"/>
              </w:rPr>
            </w:pPr>
            <w:r>
              <w:rPr>
                <w:sz w:val="2"/>
                <w:szCs w:val="2"/>
              </w:rPr>
              <w:t>​</w:t>
            </w:r>
          </w:p>
        </w:tc>
        <w:tc>
          <w:tcPr>
            <w:tcW w:w="240" w:type="pct"/>
            <w:noWrap/>
            <w:tcMar>
              <w:top w:w="0" w:type="dxa"/>
              <w:left w:w="0" w:type="dxa"/>
              <w:bottom w:w="0" w:type="dxa"/>
              <w:right w:w="0" w:type="dxa"/>
            </w:tcMar>
            <w:vAlign w:val="bottom"/>
            <w:hideMark/>
          </w:tcPr>
          <w:p w14:paraId="65516945" w14:textId="77777777" w:rsidR="00000000" w:rsidRDefault="00097612">
            <w:pPr>
              <w:pStyle w:val="a3"/>
              <w:spacing w:before="0" w:beforeAutospacing="0" w:after="0" w:afterAutospacing="0"/>
              <w:divId w:val="1760984427"/>
              <w:rPr>
                <w:sz w:val="20"/>
                <w:szCs w:val="20"/>
              </w:rPr>
            </w:pPr>
            <w:r>
              <w:rPr>
                <w:sz w:val="2"/>
                <w:szCs w:val="2"/>
              </w:rPr>
              <w:t>​</w:t>
            </w:r>
          </w:p>
        </w:tc>
        <w:tc>
          <w:tcPr>
            <w:tcW w:w="79" w:type="pct"/>
            <w:noWrap/>
            <w:tcMar>
              <w:top w:w="0" w:type="dxa"/>
              <w:left w:w="0" w:type="dxa"/>
              <w:bottom w:w="0" w:type="dxa"/>
              <w:right w:w="0" w:type="dxa"/>
            </w:tcMar>
            <w:vAlign w:val="bottom"/>
            <w:hideMark/>
          </w:tcPr>
          <w:p w14:paraId="7F406DE1" w14:textId="77777777" w:rsidR="00000000" w:rsidRDefault="00097612">
            <w:pPr>
              <w:pStyle w:val="a3"/>
              <w:spacing w:before="0" w:beforeAutospacing="0" w:after="0" w:afterAutospacing="0"/>
              <w:divId w:val="385877867"/>
              <w:rPr>
                <w:sz w:val="20"/>
                <w:szCs w:val="20"/>
              </w:rPr>
            </w:pPr>
            <w:r>
              <w:rPr>
                <w:sz w:val="2"/>
                <w:szCs w:val="2"/>
              </w:rPr>
              <w:t>​</w:t>
            </w:r>
          </w:p>
        </w:tc>
        <w:tc>
          <w:tcPr>
            <w:tcW w:w="190" w:type="pct"/>
            <w:noWrap/>
            <w:tcMar>
              <w:top w:w="0" w:type="dxa"/>
              <w:left w:w="0" w:type="dxa"/>
              <w:bottom w:w="0" w:type="dxa"/>
              <w:right w:w="0" w:type="dxa"/>
            </w:tcMar>
            <w:vAlign w:val="bottom"/>
            <w:hideMark/>
          </w:tcPr>
          <w:p w14:paraId="65C44D91" w14:textId="77777777" w:rsidR="00000000" w:rsidRDefault="00097612">
            <w:pPr>
              <w:pStyle w:val="a3"/>
              <w:spacing w:before="0" w:beforeAutospacing="0" w:after="0" w:afterAutospacing="0"/>
              <w:divId w:val="538053120"/>
              <w:rPr>
                <w:sz w:val="20"/>
                <w:szCs w:val="20"/>
              </w:rPr>
            </w:pPr>
            <w:r>
              <w:rPr>
                <w:sz w:val="2"/>
                <w:szCs w:val="2"/>
              </w:rPr>
              <w:t>​</w:t>
            </w:r>
          </w:p>
        </w:tc>
        <w:tc>
          <w:tcPr>
            <w:tcW w:w="132" w:type="pct"/>
            <w:noWrap/>
            <w:tcMar>
              <w:top w:w="0" w:type="dxa"/>
              <w:left w:w="0" w:type="dxa"/>
              <w:bottom w:w="0" w:type="dxa"/>
              <w:right w:w="0" w:type="dxa"/>
            </w:tcMar>
            <w:vAlign w:val="bottom"/>
            <w:hideMark/>
          </w:tcPr>
          <w:p w14:paraId="36E0A531" w14:textId="77777777" w:rsidR="00000000" w:rsidRDefault="00097612">
            <w:pPr>
              <w:pStyle w:val="a3"/>
              <w:spacing w:before="0" w:beforeAutospacing="0" w:after="0" w:afterAutospacing="0"/>
              <w:divId w:val="1601336609"/>
              <w:rPr>
                <w:sz w:val="20"/>
                <w:szCs w:val="20"/>
              </w:rPr>
            </w:pPr>
            <w:r>
              <w:rPr>
                <w:sz w:val="2"/>
                <w:szCs w:val="2"/>
              </w:rPr>
              <w:t>​</w:t>
            </w:r>
          </w:p>
        </w:tc>
        <w:tc>
          <w:tcPr>
            <w:tcW w:w="79" w:type="pct"/>
            <w:noWrap/>
            <w:tcMar>
              <w:top w:w="0" w:type="dxa"/>
              <w:left w:w="0" w:type="dxa"/>
              <w:bottom w:w="0" w:type="dxa"/>
              <w:right w:w="0" w:type="dxa"/>
            </w:tcMar>
            <w:vAlign w:val="bottom"/>
            <w:hideMark/>
          </w:tcPr>
          <w:p w14:paraId="632E29C2" w14:textId="77777777" w:rsidR="00000000" w:rsidRDefault="00097612">
            <w:pPr>
              <w:pStyle w:val="a3"/>
              <w:spacing w:before="0" w:beforeAutospacing="0" w:after="0" w:afterAutospacing="0"/>
              <w:divId w:val="1224484673"/>
              <w:rPr>
                <w:sz w:val="20"/>
                <w:szCs w:val="20"/>
              </w:rPr>
            </w:pPr>
            <w:r>
              <w:rPr>
                <w:sz w:val="2"/>
                <w:szCs w:val="2"/>
              </w:rPr>
              <w:t>​</w:t>
            </w:r>
          </w:p>
        </w:tc>
        <w:tc>
          <w:tcPr>
            <w:tcW w:w="62" w:type="pct"/>
            <w:noWrap/>
            <w:tcMar>
              <w:top w:w="0" w:type="dxa"/>
              <w:left w:w="0" w:type="dxa"/>
              <w:bottom w:w="0" w:type="dxa"/>
              <w:right w:w="0" w:type="dxa"/>
            </w:tcMar>
            <w:vAlign w:val="bottom"/>
            <w:hideMark/>
          </w:tcPr>
          <w:p w14:paraId="7D04D2F6" w14:textId="77777777" w:rsidR="00000000" w:rsidRDefault="00097612">
            <w:pPr>
              <w:pStyle w:val="a3"/>
              <w:spacing w:before="0" w:beforeAutospacing="0" w:after="0" w:afterAutospacing="0"/>
              <w:divId w:val="626475465"/>
              <w:rPr>
                <w:sz w:val="20"/>
                <w:szCs w:val="20"/>
              </w:rPr>
            </w:pPr>
            <w:r>
              <w:rPr>
                <w:sz w:val="2"/>
                <w:szCs w:val="2"/>
              </w:rPr>
              <w:t>​</w:t>
            </w:r>
          </w:p>
        </w:tc>
        <w:tc>
          <w:tcPr>
            <w:tcW w:w="246" w:type="pct"/>
            <w:noWrap/>
            <w:tcMar>
              <w:top w:w="0" w:type="dxa"/>
              <w:left w:w="0" w:type="dxa"/>
              <w:bottom w:w="0" w:type="dxa"/>
              <w:right w:w="0" w:type="dxa"/>
            </w:tcMar>
            <w:vAlign w:val="bottom"/>
            <w:hideMark/>
          </w:tcPr>
          <w:p w14:paraId="3D1E1F41" w14:textId="77777777" w:rsidR="00000000" w:rsidRDefault="00097612">
            <w:pPr>
              <w:pStyle w:val="a3"/>
              <w:spacing w:before="0" w:beforeAutospacing="0" w:after="0" w:afterAutospacing="0"/>
              <w:divId w:val="1688218615"/>
              <w:rPr>
                <w:sz w:val="20"/>
                <w:szCs w:val="20"/>
              </w:rPr>
            </w:pPr>
            <w:r>
              <w:rPr>
                <w:sz w:val="2"/>
                <w:szCs w:val="2"/>
              </w:rPr>
              <w:t>​</w:t>
            </w:r>
          </w:p>
        </w:tc>
        <w:tc>
          <w:tcPr>
            <w:tcW w:w="79" w:type="pct"/>
            <w:noWrap/>
            <w:tcMar>
              <w:top w:w="0" w:type="dxa"/>
              <w:left w:w="0" w:type="dxa"/>
              <w:bottom w:w="0" w:type="dxa"/>
              <w:right w:w="0" w:type="dxa"/>
            </w:tcMar>
            <w:vAlign w:val="bottom"/>
            <w:hideMark/>
          </w:tcPr>
          <w:p w14:paraId="47A1CC11" w14:textId="77777777" w:rsidR="00000000" w:rsidRDefault="00097612">
            <w:pPr>
              <w:pStyle w:val="a3"/>
              <w:spacing w:before="0" w:beforeAutospacing="0" w:after="0" w:afterAutospacing="0"/>
              <w:divId w:val="309942943"/>
              <w:rPr>
                <w:sz w:val="20"/>
                <w:szCs w:val="20"/>
              </w:rPr>
            </w:pPr>
            <w:r>
              <w:rPr>
                <w:sz w:val="2"/>
                <w:szCs w:val="2"/>
              </w:rPr>
              <w:t>​</w:t>
            </w:r>
          </w:p>
        </w:tc>
        <w:tc>
          <w:tcPr>
            <w:tcW w:w="62" w:type="pct"/>
            <w:noWrap/>
            <w:tcMar>
              <w:top w:w="0" w:type="dxa"/>
              <w:left w:w="0" w:type="dxa"/>
              <w:bottom w:w="0" w:type="dxa"/>
              <w:right w:w="0" w:type="dxa"/>
            </w:tcMar>
            <w:vAlign w:val="bottom"/>
            <w:hideMark/>
          </w:tcPr>
          <w:p w14:paraId="251E7EA5" w14:textId="77777777" w:rsidR="00000000" w:rsidRDefault="00097612">
            <w:pPr>
              <w:pStyle w:val="a3"/>
              <w:spacing w:before="0" w:beforeAutospacing="0" w:after="0" w:afterAutospacing="0"/>
              <w:divId w:val="1281954993"/>
              <w:rPr>
                <w:sz w:val="20"/>
                <w:szCs w:val="20"/>
              </w:rPr>
            </w:pPr>
            <w:r>
              <w:rPr>
                <w:sz w:val="2"/>
                <w:szCs w:val="2"/>
              </w:rPr>
              <w:t>​</w:t>
            </w:r>
          </w:p>
        </w:tc>
        <w:tc>
          <w:tcPr>
            <w:tcW w:w="246" w:type="pct"/>
            <w:noWrap/>
            <w:tcMar>
              <w:top w:w="0" w:type="dxa"/>
              <w:left w:w="0" w:type="dxa"/>
              <w:bottom w:w="0" w:type="dxa"/>
              <w:right w:w="0" w:type="dxa"/>
            </w:tcMar>
            <w:vAlign w:val="bottom"/>
            <w:hideMark/>
          </w:tcPr>
          <w:p w14:paraId="1DED4AF2" w14:textId="77777777" w:rsidR="00000000" w:rsidRDefault="00097612">
            <w:pPr>
              <w:pStyle w:val="a3"/>
              <w:spacing w:before="0" w:beforeAutospacing="0" w:after="0" w:afterAutospacing="0"/>
              <w:divId w:val="2015262267"/>
              <w:rPr>
                <w:sz w:val="20"/>
                <w:szCs w:val="20"/>
              </w:rPr>
            </w:pPr>
            <w:r>
              <w:rPr>
                <w:sz w:val="2"/>
                <w:szCs w:val="2"/>
              </w:rPr>
              <w:t>​</w:t>
            </w:r>
          </w:p>
        </w:tc>
        <w:tc>
          <w:tcPr>
            <w:tcW w:w="79" w:type="pct"/>
            <w:noWrap/>
            <w:tcMar>
              <w:top w:w="0" w:type="dxa"/>
              <w:left w:w="0" w:type="dxa"/>
              <w:bottom w:w="0" w:type="dxa"/>
              <w:right w:w="0" w:type="dxa"/>
            </w:tcMar>
            <w:vAlign w:val="bottom"/>
            <w:hideMark/>
          </w:tcPr>
          <w:p w14:paraId="3360F8F0" w14:textId="77777777" w:rsidR="00000000" w:rsidRDefault="00097612">
            <w:pPr>
              <w:pStyle w:val="a3"/>
              <w:spacing w:before="0" w:beforeAutospacing="0" w:after="0" w:afterAutospacing="0"/>
              <w:divId w:val="1468664681"/>
              <w:rPr>
                <w:sz w:val="20"/>
                <w:szCs w:val="20"/>
              </w:rPr>
            </w:pPr>
            <w:r>
              <w:rPr>
                <w:sz w:val="2"/>
                <w:szCs w:val="2"/>
              </w:rPr>
              <w:t>​</w:t>
            </w:r>
          </w:p>
        </w:tc>
        <w:tc>
          <w:tcPr>
            <w:tcW w:w="49" w:type="pct"/>
            <w:noWrap/>
            <w:tcMar>
              <w:top w:w="0" w:type="dxa"/>
              <w:left w:w="0" w:type="dxa"/>
              <w:bottom w:w="0" w:type="dxa"/>
              <w:right w:w="0" w:type="dxa"/>
            </w:tcMar>
            <w:vAlign w:val="bottom"/>
            <w:hideMark/>
          </w:tcPr>
          <w:p w14:paraId="2A3ACC8E" w14:textId="77777777" w:rsidR="00000000" w:rsidRDefault="00097612">
            <w:pPr>
              <w:pStyle w:val="a3"/>
              <w:spacing w:before="0" w:beforeAutospacing="0" w:after="0" w:afterAutospacing="0"/>
              <w:divId w:val="1262495817"/>
              <w:rPr>
                <w:sz w:val="20"/>
                <w:szCs w:val="20"/>
              </w:rPr>
            </w:pPr>
            <w:r>
              <w:rPr>
                <w:sz w:val="2"/>
                <w:szCs w:val="2"/>
              </w:rPr>
              <w:t>​</w:t>
            </w:r>
          </w:p>
        </w:tc>
        <w:tc>
          <w:tcPr>
            <w:tcW w:w="190" w:type="pct"/>
            <w:noWrap/>
            <w:tcMar>
              <w:top w:w="0" w:type="dxa"/>
              <w:left w:w="0" w:type="dxa"/>
              <w:bottom w:w="0" w:type="dxa"/>
              <w:right w:w="0" w:type="dxa"/>
            </w:tcMar>
            <w:vAlign w:val="bottom"/>
            <w:hideMark/>
          </w:tcPr>
          <w:p w14:paraId="2CC6345C" w14:textId="77777777" w:rsidR="00000000" w:rsidRDefault="00097612">
            <w:pPr>
              <w:pStyle w:val="a3"/>
              <w:spacing w:before="0" w:beforeAutospacing="0" w:after="0" w:afterAutospacing="0"/>
              <w:divId w:val="1795174321"/>
              <w:rPr>
                <w:sz w:val="20"/>
                <w:szCs w:val="20"/>
              </w:rPr>
            </w:pPr>
            <w:r>
              <w:rPr>
                <w:sz w:val="2"/>
                <w:szCs w:val="2"/>
              </w:rPr>
              <w:t>​</w:t>
            </w:r>
          </w:p>
        </w:tc>
        <w:tc>
          <w:tcPr>
            <w:tcW w:w="79" w:type="pct"/>
            <w:noWrap/>
            <w:tcMar>
              <w:top w:w="0" w:type="dxa"/>
              <w:left w:w="0" w:type="dxa"/>
              <w:bottom w:w="0" w:type="dxa"/>
              <w:right w:w="0" w:type="dxa"/>
            </w:tcMar>
            <w:vAlign w:val="bottom"/>
            <w:hideMark/>
          </w:tcPr>
          <w:p w14:paraId="4AD37FEB" w14:textId="77777777" w:rsidR="00000000" w:rsidRDefault="00097612">
            <w:pPr>
              <w:pStyle w:val="a3"/>
              <w:spacing w:before="0" w:beforeAutospacing="0" w:after="0" w:afterAutospacing="0"/>
              <w:divId w:val="179860654"/>
              <w:rPr>
                <w:sz w:val="20"/>
                <w:szCs w:val="20"/>
              </w:rPr>
            </w:pPr>
            <w:r>
              <w:rPr>
                <w:sz w:val="2"/>
                <w:szCs w:val="2"/>
              </w:rPr>
              <w:t>​</w:t>
            </w:r>
          </w:p>
        </w:tc>
        <w:tc>
          <w:tcPr>
            <w:tcW w:w="190" w:type="pct"/>
            <w:noWrap/>
            <w:tcMar>
              <w:top w:w="0" w:type="dxa"/>
              <w:left w:w="0" w:type="dxa"/>
              <w:bottom w:w="0" w:type="dxa"/>
              <w:right w:w="0" w:type="dxa"/>
            </w:tcMar>
            <w:vAlign w:val="bottom"/>
            <w:hideMark/>
          </w:tcPr>
          <w:p w14:paraId="2EDF33B0" w14:textId="77777777" w:rsidR="00000000" w:rsidRDefault="00097612">
            <w:pPr>
              <w:pStyle w:val="a3"/>
              <w:spacing w:before="0" w:beforeAutospacing="0" w:after="0" w:afterAutospacing="0"/>
              <w:divId w:val="1889872867"/>
              <w:rPr>
                <w:sz w:val="20"/>
                <w:szCs w:val="20"/>
              </w:rPr>
            </w:pPr>
            <w:r>
              <w:rPr>
                <w:sz w:val="2"/>
                <w:szCs w:val="2"/>
              </w:rPr>
              <w:t>​</w:t>
            </w:r>
          </w:p>
        </w:tc>
        <w:tc>
          <w:tcPr>
            <w:tcW w:w="132" w:type="pct"/>
            <w:noWrap/>
            <w:tcMar>
              <w:top w:w="0" w:type="dxa"/>
              <w:left w:w="0" w:type="dxa"/>
              <w:bottom w:w="0" w:type="dxa"/>
              <w:right w:w="0" w:type="dxa"/>
            </w:tcMar>
            <w:vAlign w:val="bottom"/>
            <w:hideMark/>
          </w:tcPr>
          <w:p w14:paraId="43CEAE32" w14:textId="77777777" w:rsidR="00000000" w:rsidRDefault="00097612">
            <w:pPr>
              <w:pStyle w:val="a3"/>
              <w:spacing w:before="0" w:beforeAutospacing="0" w:after="0" w:afterAutospacing="0"/>
              <w:divId w:val="1199703522"/>
              <w:rPr>
                <w:sz w:val="20"/>
                <w:szCs w:val="20"/>
              </w:rPr>
            </w:pPr>
            <w:r>
              <w:rPr>
                <w:sz w:val="2"/>
                <w:szCs w:val="2"/>
              </w:rPr>
              <w:t>​</w:t>
            </w:r>
          </w:p>
        </w:tc>
      </w:tr>
      <w:tr w:rsidR="00000000" w14:paraId="48D524B4" w14:textId="77777777">
        <w:trPr>
          <w:divId w:val="2100758947"/>
        </w:trPr>
        <w:tc>
          <w:tcPr>
            <w:tcW w:w="1915" w:type="pct"/>
            <w:shd w:val="clear" w:color="auto" w:fill="auto"/>
            <w:tcMar>
              <w:top w:w="0" w:type="dxa"/>
              <w:left w:w="0" w:type="dxa"/>
              <w:bottom w:w="0" w:type="dxa"/>
              <w:right w:w="0" w:type="dxa"/>
            </w:tcMar>
            <w:vAlign w:val="bottom"/>
            <w:hideMark/>
          </w:tcPr>
          <w:p w14:paraId="1ABF3F3D"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35E9C547" w14:textId="77777777" w:rsidR="00000000" w:rsidRDefault="00097612">
            <w:pPr>
              <w:pStyle w:val="a3"/>
              <w:spacing w:before="0" w:beforeAutospacing="0" w:after="0" w:afterAutospacing="0"/>
              <w:rPr>
                <w:sz w:val="20"/>
                <w:szCs w:val="20"/>
              </w:rPr>
            </w:pPr>
            <w:r>
              <w:rPr>
                <w:b/>
                <w:bCs/>
                <w:sz w:val="16"/>
                <w:szCs w:val="16"/>
              </w:rPr>
              <w:t>​</w:t>
            </w:r>
          </w:p>
        </w:tc>
        <w:tc>
          <w:tcPr>
            <w:tcW w:w="736" w:type="pct"/>
            <w:gridSpan w:val="5"/>
            <w:shd w:val="clear" w:color="auto" w:fill="auto"/>
            <w:noWrap/>
            <w:tcMar>
              <w:top w:w="0" w:type="dxa"/>
              <w:left w:w="0" w:type="dxa"/>
              <w:bottom w:w="0" w:type="dxa"/>
              <w:right w:w="0" w:type="dxa"/>
            </w:tcMar>
            <w:vAlign w:val="bottom"/>
            <w:hideMark/>
          </w:tcPr>
          <w:p w14:paraId="6441FE85"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79" w:type="pct"/>
            <w:shd w:val="clear" w:color="auto" w:fill="auto"/>
            <w:noWrap/>
            <w:tcMar>
              <w:top w:w="0" w:type="dxa"/>
              <w:left w:w="0" w:type="dxa"/>
              <w:bottom w:w="0" w:type="dxa"/>
              <w:right w:w="0" w:type="dxa"/>
            </w:tcMar>
            <w:vAlign w:val="bottom"/>
            <w:hideMark/>
          </w:tcPr>
          <w:p w14:paraId="52CE2A54" w14:textId="77777777" w:rsidR="00000000" w:rsidRDefault="00097612">
            <w:pPr>
              <w:pStyle w:val="a3"/>
              <w:spacing w:before="0" w:beforeAutospacing="0" w:after="0" w:afterAutospacing="0"/>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4A3AB594" w14:textId="77777777" w:rsidR="00000000" w:rsidRDefault="00097612">
            <w:pPr>
              <w:pStyle w:val="a3"/>
              <w:spacing w:before="0" w:beforeAutospacing="0" w:after="0" w:afterAutospacing="0"/>
              <w:jc w:val="center"/>
              <w:rPr>
                <w:sz w:val="20"/>
                <w:szCs w:val="20"/>
              </w:rPr>
            </w:pPr>
            <w:r>
              <w:rPr>
                <w:sz w:val="16"/>
                <w:szCs w:val="16"/>
              </w:rPr>
              <w:t>​</w:t>
            </w:r>
          </w:p>
        </w:tc>
        <w:tc>
          <w:tcPr>
            <w:tcW w:w="240" w:type="pct"/>
            <w:shd w:val="clear" w:color="auto" w:fill="auto"/>
            <w:noWrap/>
            <w:tcMar>
              <w:top w:w="0" w:type="dxa"/>
              <w:left w:w="0" w:type="dxa"/>
              <w:bottom w:w="0" w:type="dxa"/>
              <w:right w:w="0" w:type="dxa"/>
            </w:tcMar>
            <w:vAlign w:val="bottom"/>
            <w:hideMark/>
          </w:tcPr>
          <w:p w14:paraId="4954B92B"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52508E9F" w14:textId="77777777" w:rsidR="00000000" w:rsidRDefault="00097612">
            <w:pPr>
              <w:pStyle w:val="a3"/>
              <w:spacing w:before="0" w:beforeAutospacing="0" w:after="0" w:afterAutospacing="0"/>
              <w:jc w:val="center"/>
              <w:rPr>
                <w:sz w:val="20"/>
                <w:szCs w:val="20"/>
              </w:rPr>
            </w:pPr>
            <w:r>
              <w:rPr>
                <w:sz w:val="16"/>
                <w:szCs w:val="16"/>
              </w:rPr>
              <w:t>​</w:t>
            </w:r>
          </w:p>
        </w:tc>
        <w:tc>
          <w:tcPr>
            <w:tcW w:w="190" w:type="pct"/>
            <w:shd w:val="clear" w:color="auto" w:fill="auto"/>
            <w:noWrap/>
            <w:tcMar>
              <w:top w:w="0" w:type="dxa"/>
              <w:left w:w="0" w:type="dxa"/>
              <w:bottom w:w="0" w:type="dxa"/>
              <w:right w:w="0" w:type="dxa"/>
            </w:tcMar>
            <w:vAlign w:val="bottom"/>
            <w:hideMark/>
          </w:tcPr>
          <w:p w14:paraId="777C4818" w14:textId="77777777" w:rsidR="00000000" w:rsidRDefault="00097612">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14:paraId="75E6B4DB"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2EB52461" w14:textId="77777777" w:rsidR="00000000" w:rsidRDefault="00097612">
            <w:pPr>
              <w:pStyle w:val="a3"/>
              <w:spacing w:before="0" w:beforeAutospacing="0" w:after="0" w:afterAutospacing="0"/>
              <w:rPr>
                <w:sz w:val="20"/>
                <w:szCs w:val="20"/>
              </w:rPr>
            </w:pPr>
            <w:r>
              <w:rPr>
                <w:b/>
                <w:bCs/>
                <w:sz w:val="16"/>
                <w:szCs w:val="16"/>
              </w:rPr>
              <w:t>​</w:t>
            </w:r>
          </w:p>
        </w:tc>
        <w:tc>
          <w:tcPr>
            <w:tcW w:w="697" w:type="pct"/>
            <w:gridSpan w:val="5"/>
            <w:shd w:val="clear" w:color="auto" w:fill="auto"/>
            <w:noWrap/>
            <w:tcMar>
              <w:top w:w="0" w:type="dxa"/>
              <w:left w:w="0" w:type="dxa"/>
              <w:bottom w:w="0" w:type="dxa"/>
              <w:right w:w="0" w:type="dxa"/>
            </w:tcMar>
            <w:vAlign w:val="bottom"/>
            <w:hideMark/>
          </w:tcPr>
          <w:p w14:paraId="76416996"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79" w:type="pct"/>
            <w:shd w:val="clear" w:color="auto" w:fill="auto"/>
            <w:noWrap/>
            <w:tcMar>
              <w:top w:w="0" w:type="dxa"/>
              <w:left w:w="0" w:type="dxa"/>
              <w:bottom w:w="0" w:type="dxa"/>
              <w:right w:w="0" w:type="dxa"/>
            </w:tcMar>
            <w:vAlign w:val="bottom"/>
            <w:hideMark/>
          </w:tcPr>
          <w:p w14:paraId="467CA337" w14:textId="77777777" w:rsidR="00000000" w:rsidRDefault="00097612">
            <w:pPr>
              <w:pStyle w:val="a3"/>
              <w:spacing w:before="0" w:beforeAutospacing="0" w:after="0" w:afterAutospacing="0"/>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368E5B69" w14:textId="77777777" w:rsidR="00000000" w:rsidRDefault="00097612">
            <w:pPr>
              <w:pStyle w:val="a3"/>
              <w:spacing w:before="0" w:beforeAutospacing="0" w:after="0" w:afterAutospacing="0"/>
              <w:jc w:val="center"/>
              <w:rPr>
                <w:sz w:val="20"/>
                <w:szCs w:val="20"/>
              </w:rPr>
            </w:pPr>
            <w:r>
              <w:rPr>
                <w:sz w:val="16"/>
                <w:szCs w:val="16"/>
              </w:rPr>
              <w:t>​</w:t>
            </w:r>
          </w:p>
        </w:tc>
        <w:tc>
          <w:tcPr>
            <w:tcW w:w="190" w:type="pct"/>
            <w:shd w:val="clear" w:color="auto" w:fill="auto"/>
            <w:noWrap/>
            <w:tcMar>
              <w:top w:w="0" w:type="dxa"/>
              <w:left w:w="0" w:type="dxa"/>
              <w:bottom w:w="0" w:type="dxa"/>
              <w:right w:w="0" w:type="dxa"/>
            </w:tcMar>
            <w:vAlign w:val="bottom"/>
            <w:hideMark/>
          </w:tcPr>
          <w:p w14:paraId="0E558A3D"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02A4F764" w14:textId="77777777" w:rsidR="00000000" w:rsidRDefault="00097612">
            <w:pPr>
              <w:pStyle w:val="a3"/>
              <w:spacing w:before="0" w:beforeAutospacing="0" w:after="0" w:afterAutospacing="0"/>
              <w:jc w:val="center"/>
              <w:rPr>
                <w:sz w:val="20"/>
                <w:szCs w:val="20"/>
              </w:rPr>
            </w:pPr>
            <w:r>
              <w:rPr>
                <w:sz w:val="16"/>
                <w:szCs w:val="16"/>
              </w:rPr>
              <w:t>​</w:t>
            </w:r>
          </w:p>
        </w:tc>
        <w:tc>
          <w:tcPr>
            <w:tcW w:w="190" w:type="pct"/>
            <w:shd w:val="clear" w:color="auto" w:fill="auto"/>
            <w:noWrap/>
            <w:tcMar>
              <w:top w:w="0" w:type="dxa"/>
              <w:left w:w="0" w:type="dxa"/>
              <w:bottom w:w="0" w:type="dxa"/>
              <w:right w:w="0" w:type="dxa"/>
            </w:tcMar>
            <w:vAlign w:val="bottom"/>
            <w:hideMark/>
          </w:tcPr>
          <w:p w14:paraId="0DB377C5" w14:textId="77777777" w:rsidR="00000000" w:rsidRDefault="00097612">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14:paraId="39067C23" w14:textId="77777777" w:rsidR="00000000" w:rsidRDefault="00097612">
            <w:pPr>
              <w:pStyle w:val="a3"/>
              <w:spacing w:before="0" w:beforeAutospacing="0" w:after="0" w:afterAutospacing="0"/>
              <w:jc w:val="center"/>
              <w:rPr>
                <w:sz w:val="20"/>
                <w:szCs w:val="20"/>
              </w:rPr>
            </w:pPr>
            <w:r>
              <w:rPr>
                <w:b/>
                <w:bCs/>
                <w:sz w:val="16"/>
                <w:szCs w:val="16"/>
              </w:rPr>
              <w:t>​</w:t>
            </w:r>
          </w:p>
        </w:tc>
      </w:tr>
      <w:tr w:rsidR="00000000" w14:paraId="023DA550" w14:textId="77777777">
        <w:trPr>
          <w:divId w:val="2100758947"/>
        </w:trPr>
        <w:tc>
          <w:tcPr>
            <w:tcW w:w="1915" w:type="pct"/>
            <w:shd w:val="clear" w:color="auto" w:fill="auto"/>
            <w:tcMar>
              <w:top w:w="0" w:type="dxa"/>
              <w:left w:w="0" w:type="dxa"/>
              <w:bottom w:w="0" w:type="dxa"/>
              <w:right w:w="0" w:type="dxa"/>
            </w:tcMar>
            <w:vAlign w:val="bottom"/>
            <w:hideMark/>
          </w:tcPr>
          <w:p w14:paraId="33EDED00"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49A9EA26" w14:textId="77777777" w:rsidR="00000000" w:rsidRDefault="00097612">
            <w:pPr>
              <w:pStyle w:val="a3"/>
              <w:spacing w:before="0" w:beforeAutospacing="0" w:after="0" w:afterAutospacing="0"/>
              <w:rPr>
                <w:sz w:val="20"/>
                <w:szCs w:val="20"/>
              </w:rPr>
            </w:pPr>
            <w:r>
              <w:rPr>
                <w:b/>
                <w:bCs/>
                <w:sz w:val="16"/>
                <w:szCs w:val="16"/>
              </w:rPr>
              <w:t>​</w:t>
            </w:r>
          </w:p>
        </w:tc>
        <w:tc>
          <w:tcPr>
            <w:tcW w:w="736" w:type="pct"/>
            <w:gridSpan w:val="5"/>
            <w:tcBorders>
              <w:bottom w:val="single" w:sz="6" w:space="0" w:color="000000"/>
            </w:tcBorders>
            <w:shd w:val="clear" w:color="auto" w:fill="auto"/>
            <w:noWrap/>
            <w:tcMar>
              <w:top w:w="0" w:type="dxa"/>
              <w:left w:w="0" w:type="dxa"/>
              <w:bottom w:w="0" w:type="dxa"/>
              <w:right w:w="0" w:type="dxa"/>
            </w:tcMar>
            <w:vAlign w:val="bottom"/>
            <w:hideMark/>
          </w:tcPr>
          <w:p w14:paraId="168882C8"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0E0DF75E" w14:textId="77777777" w:rsidR="00000000" w:rsidRDefault="00097612">
            <w:pPr>
              <w:pStyle w:val="a3"/>
              <w:spacing w:before="0" w:beforeAutospacing="0" w:after="0" w:afterAutospacing="0"/>
              <w:rPr>
                <w:sz w:val="20"/>
                <w:szCs w:val="20"/>
              </w:rPr>
            </w:pPr>
            <w:r>
              <w:rPr>
                <w:b/>
                <w:bCs/>
                <w:sz w:val="16"/>
                <w:szCs w:val="16"/>
              </w:rPr>
              <w:t>​</w:t>
            </w:r>
          </w:p>
        </w:tc>
        <w:tc>
          <w:tcPr>
            <w:tcW w:w="559" w:type="pct"/>
            <w:gridSpan w:val="4"/>
            <w:tcBorders>
              <w:bottom w:val="single" w:sz="6" w:space="0" w:color="000000"/>
            </w:tcBorders>
            <w:shd w:val="clear" w:color="auto" w:fill="auto"/>
            <w:noWrap/>
            <w:tcMar>
              <w:top w:w="0" w:type="dxa"/>
              <w:left w:w="0" w:type="dxa"/>
              <w:bottom w:w="0" w:type="dxa"/>
              <w:right w:w="0" w:type="dxa"/>
            </w:tcMar>
            <w:vAlign w:val="bottom"/>
            <w:hideMark/>
          </w:tcPr>
          <w:p w14:paraId="48D79A47" w14:textId="77777777" w:rsidR="00000000" w:rsidRDefault="00097612">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14:paraId="12467A6D"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34D358E7" w14:textId="77777777" w:rsidR="00000000" w:rsidRDefault="00097612">
            <w:pPr>
              <w:pStyle w:val="a3"/>
              <w:spacing w:before="0" w:beforeAutospacing="0" w:after="0" w:afterAutospacing="0"/>
              <w:rPr>
                <w:sz w:val="20"/>
                <w:szCs w:val="20"/>
              </w:rPr>
            </w:pPr>
            <w:r>
              <w:rPr>
                <w:b/>
                <w:bCs/>
                <w:sz w:val="16"/>
                <w:szCs w:val="16"/>
              </w:rPr>
              <w:t>​</w:t>
            </w:r>
          </w:p>
        </w:tc>
        <w:tc>
          <w:tcPr>
            <w:tcW w:w="697" w:type="pct"/>
            <w:gridSpan w:val="5"/>
            <w:tcBorders>
              <w:bottom w:val="single" w:sz="6" w:space="0" w:color="000000"/>
            </w:tcBorders>
            <w:shd w:val="clear" w:color="auto" w:fill="auto"/>
            <w:noWrap/>
            <w:tcMar>
              <w:top w:w="0" w:type="dxa"/>
              <w:left w:w="0" w:type="dxa"/>
              <w:bottom w:w="0" w:type="dxa"/>
              <w:right w:w="0" w:type="dxa"/>
            </w:tcMar>
            <w:vAlign w:val="bottom"/>
            <w:hideMark/>
          </w:tcPr>
          <w:p w14:paraId="2B065D54"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2E3716F7" w14:textId="77777777" w:rsidR="00000000" w:rsidRDefault="00097612">
            <w:pPr>
              <w:pStyle w:val="a3"/>
              <w:spacing w:before="0" w:beforeAutospacing="0" w:after="0" w:afterAutospacing="0"/>
              <w:rPr>
                <w:sz w:val="20"/>
                <w:szCs w:val="20"/>
              </w:rPr>
            </w:pPr>
            <w:r>
              <w:rPr>
                <w:b/>
                <w:bCs/>
                <w:sz w:val="16"/>
                <w:szCs w:val="16"/>
              </w:rPr>
              <w:t>​</w:t>
            </w:r>
          </w:p>
        </w:tc>
        <w:tc>
          <w:tcPr>
            <w:tcW w:w="509" w:type="pct"/>
            <w:gridSpan w:val="4"/>
            <w:tcBorders>
              <w:bottom w:val="single" w:sz="6" w:space="0" w:color="000000"/>
            </w:tcBorders>
            <w:shd w:val="clear" w:color="auto" w:fill="auto"/>
            <w:noWrap/>
            <w:tcMar>
              <w:top w:w="0" w:type="dxa"/>
              <w:left w:w="0" w:type="dxa"/>
              <w:bottom w:w="0" w:type="dxa"/>
              <w:right w:w="0" w:type="dxa"/>
            </w:tcMar>
            <w:vAlign w:val="bottom"/>
            <w:hideMark/>
          </w:tcPr>
          <w:p w14:paraId="1278C518" w14:textId="77777777" w:rsidR="00000000" w:rsidRDefault="00097612">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14:paraId="3E2DE882" w14:textId="77777777" w:rsidR="00000000" w:rsidRDefault="00097612">
            <w:pPr>
              <w:pStyle w:val="a3"/>
              <w:spacing w:before="0" w:beforeAutospacing="0" w:after="0" w:afterAutospacing="0"/>
              <w:jc w:val="center"/>
              <w:rPr>
                <w:sz w:val="20"/>
                <w:szCs w:val="20"/>
              </w:rPr>
            </w:pPr>
            <w:r>
              <w:rPr>
                <w:b/>
                <w:bCs/>
                <w:sz w:val="16"/>
                <w:szCs w:val="16"/>
              </w:rPr>
              <w:t>​</w:t>
            </w:r>
          </w:p>
        </w:tc>
      </w:tr>
      <w:tr w:rsidR="00000000" w14:paraId="05AE9AE5" w14:textId="77777777">
        <w:trPr>
          <w:divId w:val="2100758947"/>
        </w:trPr>
        <w:tc>
          <w:tcPr>
            <w:tcW w:w="1915" w:type="pct"/>
            <w:tcBorders>
              <w:bottom w:val="single" w:sz="6" w:space="0" w:color="000000"/>
            </w:tcBorders>
            <w:shd w:val="clear" w:color="auto" w:fill="auto"/>
            <w:tcMar>
              <w:top w:w="0" w:type="dxa"/>
              <w:left w:w="0" w:type="dxa"/>
              <w:bottom w:w="0" w:type="dxa"/>
              <w:right w:w="0" w:type="dxa"/>
            </w:tcMar>
            <w:vAlign w:val="bottom"/>
            <w:hideMark/>
          </w:tcPr>
          <w:p w14:paraId="11FB98A0" w14:textId="77777777" w:rsidR="00000000" w:rsidRDefault="00097612">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14:paraId="7C1AEC32" w14:textId="77777777" w:rsidR="00000000" w:rsidRDefault="00097612">
            <w:pPr>
              <w:pStyle w:val="a3"/>
              <w:spacing w:before="0" w:beforeAutospacing="0" w:after="0" w:afterAutospacing="0"/>
              <w:rPr>
                <w:sz w:val="16"/>
                <w:szCs w:val="16"/>
              </w:rPr>
            </w:pPr>
            <w:r>
              <w:rPr>
                <w:b/>
                <w:bCs/>
                <w:sz w:val="16"/>
                <w:szCs w:val="16"/>
              </w:rPr>
              <w:t>    </w:t>
            </w:r>
          </w:p>
        </w:tc>
        <w:tc>
          <w:tcPr>
            <w:tcW w:w="328" w:type="pct"/>
            <w:gridSpan w:val="2"/>
            <w:tcBorders>
              <w:bottom w:val="single" w:sz="6" w:space="0" w:color="000000"/>
            </w:tcBorders>
            <w:shd w:val="clear" w:color="auto" w:fill="auto"/>
            <w:noWrap/>
            <w:tcMar>
              <w:top w:w="0" w:type="dxa"/>
              <w:left w:w="0" w:type="dxa"/>
              <w:bottom w:w="0" w:type="dxa"/>
              <w:right w:w="0" w:type="dxa"/>
            </w:tcMar>
            <w:vAlign w:val="bottom"/>
            <w:hideMark/>
          </w:tcPr>
          <w:p w14:paraId="2FE4223E" w14:textId="77777777" w:rsidR="00000000" w:rsidRDefault="00097612">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14:paraId="5E026389" w14:textId="77777777" w:rsidR="00000000" w:rsidRDefault="00097612">
            <w:pPr>
              <w:pStyle w:val="a3"/>
              <w:spacing w:before="0" w:beforeAutospacing="0" w:after="0" w:afterAutospacing="0"/>
              <w:rPr>
                <w:sz w:val="16"/>
                <w:szCs w:val="16"/>
              </w:rPr>
            </w:pPr>
            <w:r>
              <w:rPr>
                <w:b/>
                <w:bCs/>
                <w:sz w:val="16"/>
                <w:szCs w:val="16"/>
              </w:rPr>
              <w:t>  </w:t>
            </w:r>
            <w:r>
              <w:rPr>
                <w:b/>
                <w:bCs/>
                <w:sz w:val="16"/>
                <w:szCs w:val="16"/>
              </w:rPr>
              <w:t>  </w:t>
            </w:r>
          </w:p>
        </w:tc>
        <w:tc>
          <w:tcPr>
            <w:tcW w:w="328" w:type="pct"/>
            <w:gridSpan w:val="2"/>
            <w:tcBorders>
              <w:bottom w:val="single" w:sz="6" w:space="0" w:color="000000"/>
            </w:tcBorders>
            <w:shd w:val="clear" w:color="auto" w:fill="auto"/>
            <w:noWrap/>
            <w:tcMar>
              <w:top w:w="0" w:type="dxa"/>
              <w:left w:w="0" w:type="dxa"/>
              <w:bottom w:w="0" w:type="dxa"/>
              <w:right w:w="0" w:type="dxa"/>
            </w:tcMar>
            <w:vAlign w:val="bottom"/>
            <w:hideMark/>
          </w:tcPr>
          <w:p w14:paraId="1CB175C2"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5EFF5809" w14:textId="77777777" w:rsidR="00000000" w:rsidRDefault="00097612">
            <w:pPr>
              <w:pStyle w:val="a3"/>
              <w:spacing w:before="0" w:beforeAutospacing="0" w:after="0" w:afterAutospacing="0"/>
              <w:rPr>
                <w:sz w:val="16"/>
                <w:szCs w:val="16"/>
              </w:rPr>
            </w:pPr>
            <w:r>
              <w:rPr>
                <w:b/>
                <w:bCs/>
                <w:sz w:val="16"/>
                <w:szCs w:val="16"/>
              </w:rPr>
              <w:t>    </w:t>
            </w:r>
          </w:p>
        </w:tc>
        <w:tc>
          <w:tcPr>
            <w:tcW w:w="289" w:type="pct"/>
            <w:gridSpan w:val="2"/>
            <w:tcBorders>
              <w:bottom w:val="single" w:sz="6" w:space="0" w:color="000000"/>
            </w:tcBorders>
            <w:shd w:val="clear" w:color="auto" w:fill="auto"/>
            <w:noWrap/>
            <w:tcMar>
              <w:top w:w="0" w:type="dxa"/>
              <w:left w:w="0" w:type="dxa"/>
              <w:bottom w:w="0" w:type="dxa"/>
              <w:right w:w="0" w:type="dxa"/>
            </w:tcMar>
            <w:vAlign w:val="bottom"/>
            <w:hideMark/>
          </w:tcPr>
          <w:p w14:paraId="04E132D5" w14:textId="77777777" w:rsidR="00000000" w:rsidRDefault="00097612">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4E67B586" w14:textId="77777777" w:rsidR="00000000" w:rsidRDefault="00097612">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shd w:val="clear" w:color="auto" w:fill="auto"/>
            <w:noWrap/>
            <w:tcMar>
              <w:top w:w="0" w:type="dxa"/>
              <w:left w:w="0" w:type="dxa"/>
              <w:bottom w:w="0" w:type="dxa"/>
              <w:right w:w="0" w:type="dxa"/>
            </w:tcMar>
            <w:vAlign w:val="bottom"/>
            <w:hideMark/>
          </w:tcPr>
          <w:p w14:paraId="7BABAC98" w14:textId="77777777" w:rsidR="00000000" w:rsidRDefault="00097612">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14:paraId="04093809"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70B76BA3" w14:textId="77777777" w:rsidR="00000000" w:rsidRDefault="00097612">
            <w:pPr>
              <w:pStyle w:val="a3"/>
              <w:spacing w:before="0" w:beforeAutospacing="0" w:after="0" w:afterAutospacing="0"/>
              <w:rPr>
                <w:sz w:val="16"/>
                <w:szCs w:val="16"/>
              </w:rPr>
            </w:pPr>
            <w:r>
              <w:rPr>
                <w:b/>
                <w:bCs/>
                <w:sz w:val="16"/>
                <w:szCs w:val="16"/>
              </w:rPr>
              <w:t>    </w:t>
            </w:r>
          </w:p>
        </w:tc>
        <w:tc>
          <w:tcPr>
            <w:tcW w:w="309" w:type="pct"/>
            <w:gridSpan w:val="2"/>
            <w:tcBorders>
              <w:bottom w:val="single" w:sz="6" w:space="0" w:color="000000"/>
            </w:tcBorders>
            <w:shd w:val="clear" w:color="auto" w:fill="auto"/>
            <w:noWrap/>
            <w:tcMar>
              <w:top w:w="0" w:type="dxa"/>
              <w:left w:w="0" w:type="dxa"/>
              <w:bottom w:w="0" w:type="dxa"/>
              <w:right w:w="0" w:type="dxa"/>
            </w:tcMar>
            <w:vAlign w:val="bottom"/>
            <w:hideMark/>
          </w:tcPr>
          <w:p w14:paraId="47A93929" w14:textId="77777777" w:rsidR="00000000" w:rsidRDefault="00097612">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14:paraId="4202B7EE" w14:textId="77777777" w:rsidR="00000000" w:rsidRDefault="00097612">
            <w:pPr>
              <w:pStyle w:val="a3"/>
              <w:spacing w:before="0" w:beforeAutospacing="0" w:after="0" w:afterAutospacing="0"/>
              <w:rPr>
                <w:sz w:val="16"/>
                <w:szCs w:val="16"/>
              </w:rPr>
            </w:pPr>
            <w:r>
              <w:rPr>
                <w:b/>
                <w:bCs/>
                <w:sz w:val="16"/>
                <w:szCs w:val="16"/>
              </w:rPr>
              <w:t>    </w:t>
            </w:r>
          </w:p>
        </w:tc>
        <w:tc>
          <w:tcPr>
            <w:tcW w:w="308" w:type="pct"/>
            <w:gridSpan w:val="2"/>
            <w:tcBorders>
              <w:bottom w:val="single" w:sz="6" w:space="0" w:color="000000"/>
            </w:tcBorders>
            <w:shd w:val="clear" w:color="auto" w:fill="auto"/>
            <w:noWrap/>
            <w:tcMar>
              <w:top w:w="0" w:type="dxa"/>
              <w:left w:w="0" w:type="dxa"/>
              <w:bottom w:w="0" w:type="dxa"/>
              <w:right w:w="0" w:type="dxa"/>
            </w:tcMar>
            <w:vAlign w:val="bottom"/>
            <w:hideMark/>
          </w:tcPr>
          <w:p w14:paraId="7D56FDB9"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0D50A15D" w14:textId="77777777" w:rsidR="00000000" w:rsidRDefault="00097612">
            <w:pPr>
              <w:pStyle w:val="a3"/>
              <w:spacing w:before="0" w:beforeAutospacing="0" w:after="0" w:afterAutospacing="0"/>
              <w:rPr>
                <w:sz w:val="16"/>
                <w:szCs w:val="16"/>
              </w:rPr>
            </w:pPr>
            <w:r>
              <w:rPr>
                <w:b/>
                <w:bCs/>
                <w:sz w:val="16"/>
                <w:szCs w:val="16"/>
              </w:rPr>
              <w:t>    </w:t>
            </w:r>
          </w:p>
        </w:tc>
        <w:tc>
          <w:tcPr>
            <w:tcW w:w="240" w:type="pct"/>
            <w:gridSpan w:val="2"/>
            <w:tcBorders>
              <w:bottom w:val="single" w:sz="6" w:space="0" w:color="000000"/>
            </w:tcBorders>
            <w:shd w:val="clear" w:color="auto" w:fill="auto"/>
            <w:noWrap/>
            <w:tcMar>
              <w:top w:w="0" w:type="dxa"/>
              <w:left w:w="0" w:type="dxa"/>
              <w:bottom w:w="0" w:type="dxa"/>
              <w:right w:w="0" w:type="dxa"/>
            </w:tcMar>
            <w:vAlign w:val="bottom"/>
            <w:hideMark/>
          </w:tcPr>
          <w:p w14:paraId="694B29B3" w14:textId="77777777" w:rsidR="00000000" w:rsidRDefault="00097612">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038BABB8" w14:textId="77777777" w:rsidR="00000000" w:rsidRDefault="00097612">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shd w:val="clear" w:color="auto" w:fill="auto"/>
            <w:noWrap/>
            <w:tcMar>
              <w:top w:w="0" w:type="dxa"/>
              <w:left w:w="0" w:type="dxa"/>
              <w:bottom w:w="0" w:type="dxa"/>
              <w:right w:w="0" w:type="dxa"/>
            </w:tcMar>
            <w:vAlign w:val="bottom"/>
            <w:hideMark/>
          </w:tcPr>
          <w:p w14:paraId="204776B5" w14:textId="77777777" w:rsidR="00000000" w:rsidRDefault="00097612">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14:paraId="70A1AE74" w14:textId="77777777" w:rsidR="00000000" w:rsidRDefault="00097612">
            <w:pPr>
              <w:pStyle w:val="a3"/>
              <w:spacing w:before="0" w:beforeAutospacing="0" w:after="0" w:afterAutospacing="0"/>
              <w:jc w:val="center"/>
              <w:rPr>
                <w:sz w:val="20"/>
                <w:szCs w:val="20"/>
              </w:rPr>
            </w:pPr>
            <w:r>
              <w:rPr>
                <w:sz w:val="16"/>
                <w:szCs w:val="16"/>
              </w:rPr>
              <w:t>​</w:t>
            </w:r>
          </w:p>
        </w:tc>
      </w:tr>
      <w:tr w:rsidR="00000000" w14:paraId="6A0DA5BA" w14:textId="77777777">
        <w:trPr>
          <w:divId w:val="2100758947"/>
        </w:trPr>
        <w:tc>
          <w:tcPr>
            <w:tcW w:w="1915" w:type="pct"/>
            <w:shd w:val="clear" w:color="auto" w:fill="CCEEFF"/>
            <w:tcMar>
              <w:top w:w="0" w:type="dxa"/>
              <w:left w:w="0" w:type="dxa"/>
              <w:bottom w:w="0" w:type="dxa"/>
              <w:right w:w="0" w:type="dxa"/>
            </w:tcMar>
            <w:vAlign w:val="bottom"/>
            <w:hideMark/>
          </w:tcPr>
          <w:p w14:paraId="1678F552" w14:textId="77777777" w:rsidR="00000000" w:rsidRDefault="00097612">
            <w:pPr>
              <w:pStyle w:val="a3"/>
              <w:spacing w:before="0" w:beforeAutospacing="0" w:after="0" w:afterAutospacing="0"/>
              <w:rPr>
                <w:sz w:val="20"/>
                <w:szCs w:val="20"/>
              </w:rPr>
            </w:pPr>
            <w:r>
              <w:rPr>
                <w:sz w:val="20"/>
                <w:szCs w:val="20"/>
              </w:rPr>
              <w:t>Cost of goods sold</w:t>
            </w:r>
          </w:p>
        </w:tc>
        <w:tc>
          <w:tcPr>
            <w:tcW w:w="79" w:type="pct"/>
            <w:shd w:val="clear" w:color="auto" w:fill="CCEEFF"/>
            <w:noWrap/>
            <w:tcMar>
              <w:top w:w="0" w:type="dxa"/>
              <w:left w:w="0" w:type="dxa"/>
              <w:bottom w:w="0" w:type="dxa"/>
              <w:right w:w="0" w:type="dxa"/>
            </w:tcMar>
            <w:vAlign w:val="bottom"/>
            <w:hideMark/>
          </w:tcPr>
          <w:p w14:paraId="3968121F" w14:textId="77777777" w:rsidR="00000000" w:rsidRDefault="00097612">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14:paraId="688C061A" w14:textId="77777777" w:rsidR="00000000" w:rsidRDefault="00097612">
            <w:pPr>
              <w:pStyle w:val="a3"/>
              <w:spacing w:before="0" w:beforeAutospacing="0" w:after="0" w:afterAutospacing="0"/>
              <w:jc w:val="center"/>
              <w:rPr>
                <w:sz w:val="20"/>
                <w:szCs w:val="20"/>
              </w:rPr>
            </w:pPr>
            <w:r>
              <w:rPr>
                <w:sz w:val="20"/>
                <w:szCs w:val="20"/>
              </w:rPr>
              <w:t>$</w:t>
            </w:r>
          </w:p>
        </w:tc>
        <w:tc>
          <w:tcPr>
            <w:tcW w:w="262" w:type="pct"/>
            <w:shd w:val="clear" w:color="auto" w:fill="CCEEFF"/>
            <w:noWrap/>
            <w:tcMar>
              <w:top w:w="0" w:type="dxa"/>
              <w:left w:w="0" w:type="dxa"/>
              <w:bottom w:w="0" w:type="dxa"/>
              <w:right w:w="0" w:type="dxa"/>
            </w:tcMar>
            <w:vAlign w:val="bottom"/>
            <w:hideMark/>
          </w:tcPr>
          <w:p w14:paraId="5ED3014A" w14:textId="77777777" w:rsidR="00000000" w:rsidRDefault="00097612">
            <w:pPr>
              <w:pStyle w:val="a3"/>
              <w:spacing w:before="0" w:beforeAutospacing="0" w:after="0" w:afterAutospacing="0"/>
              <w:ind w:right="60"/>
              <w:jc w:val="right"/>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5FE558A9" w14:textId="77777777" w:rsidR="00000000" w:rsidRDefault="00097612">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7C8730FE" w14:textId="77777777" w:rsidR="00000000" w:rsidRDefault="00097612">
            <w:pPr>
              <w:pStyle w:val="a3"/>
              <w:spacing w:before="0" w:beforeAutospacing="0" w:after="0" w:afterAutospacing="0"/>
              <w:jc w:val="center"/>
              <w:rPr>
                <w:sz w:val="20"/>
                <w:szCs w:val="20"/>
              </w:rPr>
            </w:pPr>
            <w:r>
              <w:rPr>
                <w:sz w:val="20"/>
                <w:szCs w:val="20"/>
              </w:rPr>
              <w:t>$</w:t>
            </w:r>
          </w:p>
        </w:tc>
        <w:tc>
          <w:tcPr>
            <w:tcW w:w="262" w:type="pct"/>
            <w:shd w:val="clear" w:color="auto" w:fill="CCEEFF"/>
            <w:noWrap/>
            <w:tcMar>
              <w:top w:w="0" w:type="dxa"/>
              <w:left w:w="0" w:type="dxa"/>
              <w:bottom w:w="0" w:type="dxa"/>
              <w:right w:w="0" w:type="dxa"/>
            </w:tcMar>
            <w:vAlign w:val="bottom"/>
            <w:hideMark/>
          </w:tcPr>
          <w:p w14:paraId="696F8C2A" w14:textId="77777777" w:rsidR="00000000" w:rsidRDefault="00097612">
            <w:pPr>
              <w:pStyle w:val="a3"/>
              <w:spacing w:before="0" w:beforeAutospacing="0" w:after="0" w:afterAutospacing="0"/>
              <w:ind w:right="60"/>
              <w:jc w:val="right"/>
              <w:rPr>
                <w:sz w:val="20"/>
                <w:szCs w:val="20"/>
              </w:rPr>
            </w:pPr>
            <w:r>
              <w:rPr>
                <w:sz w:val="20"/>
                <w:szCs w:val="20"/>
              </w:rPr>
              <w:t>70</w:t>
            </w:r>
            <w:r>
              <w:rPr>
                <w:sz w:val="20"/>
                <w:szCs w:val="20"/>
              </w:rPr>
              <w:t>5</w:t>
            </w:r>
          </w:p>
        </w:tc>
        <w:tc>
          <w:tcPr>
            <w:tcW w:w="79" w:type="pct"/>
            <w:shd w:val="clear" w:color="auto" w:fill="CCEEFF"/>
            <w:noWrap/>
            <w:tcMar>
              <w:top w:w="0" w:type="dxa"/>
              <w:left w:w="0" w:type="dxa"/>
              <w:bottom w:w="0" w:type="dxa"/>
              <w:right w:w="0" w:type="dxa"/>
            </w:tcMar>
            <w:vAlign w:val="bottom"/>
            <w:hideMark/>
          </w:tcPr>
          <w:p w14:paraId="776105E4"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02BE57A" w14:textId="77777777" w:rsidR="00000000" w:rsidRDefault="00097612">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14:paraId="0F0F57A9" w14:textId="77777777" w:rsidR="00000000" w:rsidRDefault="00097612">
            <w:pPr>
              <w:pStyle w:val="a3"/>
              <w:spacing w:before="0" w:beforeAutospacing="0" w:after="0" w:afterAutospacing="0"/>
              <w:jc w:val="right"/>
              <w:rPr>
                <w:sz w:val="20"/>
                <w:szCs w:val="20"/>
              </w:rPr>
            </w:pPr>
            <w:r>
              <w:rPr>
                <w:sz w:val="20"/>
                <w:szCs w:val="20"/>
              </w:rPr>
              <w:t>(705</w:t>
            </w:r>
            <w:r>
              <w:rPr>
                <w:sz w:val="20"/>
                <w:szCs w:val="20"/>
              </w:rPr>
              <w:t>)</w:t>
            </w:r>
          </w:p>
        </w:tc>
        <w:tc>
          <w:tcPr>
            <w:tcW w:w="79" w:type="pct"/>
            <w:shd w:val="clear" w:color="auto" w:fill="CCEEFF"/>
            <w:noWrap/>
            <w:tcMar>
              <w:top w:w="0" w:type="dxa"/>
              <w:left w:w="0" w:type="dxa"/>
              <w:bottom w:w="0" w:type="dxa"/>
              <w:right w:w="0" w:type="dxa"/>
            </w:tcMar>
            <w:vAlign w:val="bottom"/>
            <w:hideMark/>
          </w:tcPr>
          <w:p w14:paraId="5AA295CE" w14:textId="77777777" w:rsidR="00000000" w:rsidRDefault="00097612">
            <w:pPr>
              <w:pStyle w:val="a3"/>
              <w:spacing w:before="0" w:beforeAutospacing="0" w:after="0" w:afterAutospacing="0"/>
              <w:rPr>
                <w:sz w:val="20"/>
                <w:szCs w:val="20"/>
              </w:rPr>
            </w:pPr>
            <w:r>
              <w:rPr>
                <w:sz w:val="20"/>
                <w:szCs w:val="20"/>
              </w:rPr>
              <w:t> </w:t>
            </w:r>
          </w:p>
        </w:tc>
        <w:tc>
          <w:tcPr>
            <w:tcW w:w="190" w:type="pct"/>
            <w:shd w:val="clear" w:color="auto" w:fill="CCEEFF"/>
            <w:noWrap/>
            <w:tcMar>
              <w:top w:w="0" w:type="dxa"/>
              <w:left w:w="0" w:type="dxa"/>
              <w:bottom w:w="0" w:type="dxa"/>
              <w:right w:w="0" w:type="dxa"/>
            </w:tcMar>
            <w:vAlign w:val="bottom"/>
            <w:hideMark/>
          </w:tcPr>
          <w:p w14:paraId="2A59EE82" w14:textId="77777777" w:rsidR="00000000" w:rsidRDefault="00097612">
            <w:pPr>
              <w:pStyle w:val="a3"/>
              <w:spacing w:before="0" w:beforeAutospacing="0" w:after="0" w:afterAutospacing="0"/>
              <w:ind w:right="60"/>
              <w:jc w:val="right"/>
              <w:rPr>
                <w:sz w:val="20"/>
                <w:szCs w:val="20"/>
              </w:rPr>
            </w:pPr>
            <w:r>
              <w:rPr>
                <w:sz w:val="20"/>
                <w:szCs w:val="20"/>
              </w:rPr>
              <w:t>NM</w:t>
            </w:r>
          </w:p>
        </w:tc>
        <w:tc>
          <w:tcPr>
            <w:tcW w:w="132" w:type="pct"/>
            <w:shd w:val="clear" w:color="auto" w:fill="CCEEFF"/>
            <w:noWrap/>
            <w:tcMar>
              <w:top w:w="0" w:type="dxa"/>
              <w:left w:w="0" w:type="dxa"/>
              <w:bottom w:w="0" w:type="dxa"/>
              <w:right w:w="0" w:type="dxa"/>
            </w:tcMar>
            <w:vAlign w:val="bottom"/>
            <w:hideMark/>
          </w:tcPr>
          <w:p w14:paraId="571FAF91" w14:textId="77777777" w:rsidR="00000000" w:rsidRDefault="00097612">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14:paraId="759F2C4F" w14:textId="77777777" w:rsidR="00000000" w:rsidRDefault="00097612">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7673BC58" w14:textId="77777777" w:rsidR="00000000" w:rsidRDefault="00097612">
            <w:pPr>
              <w:pStyle w:val="a3"/>
              <w:spacing w:before="0" w:beforeAutospacing="0" w:after="0" w:afterAutospacing="0"/>
              <w:jc w:val="center"/>
              <w:rPr>
                <w:sz w:val="20"/>
                <w:szCs w:val="20"/>
              </w:rPr>
            </w:pPr>
            <w:r>
              <w:rPr>
                <w:sz w:val="20"/>
                <w:szCs w:val="20"/>
              </w:rPr>
              <w:t>$</w:t>
            </w:r>
          </w:p>
        </w:tc>
        <w:tc>
          <w:tcPr>
            <w:tcW w:w="246" w:type="pct"/>
            <w:shd w:val="clear" w:color="auto" w:fill="CCEEFF"/>
            <w:noWrap/>
            <w:tcMar>
              <w:top w:w="0" w:type="dxa"/>
              <w:left w:w="0" w:type="dxa"/>
              <w:bottom w:w="0" w:type="dxa"/>
              <w:right w:w="0" w:type="dxa"/>
            </w:tcMar>
            <w:vAlign w:val="bottom"/>
            <w:hideMark/>
          </w:tcPr>
          <w:p w14:paraId="510D80AB" w14:textId="77777777" w:rsidR="00000000" w:rsidRDefault="00097612">
            <w:pPr>
              <w:pStyle w:val="a3"/>
              <w:spacing w:before="0" w:beforeAutospacing="0" w:after="0" w:afterAutospacing="0"/>
              <w:ind w:right="60"/>
              <w:jc w:val="right"/>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0E0DEDFA" w14:textId="77777777" w:rsidR="00000000" w:rsidRDefault="00097612">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476F38BB" w14:textId="77777777" w:rsidR="00000000" w:rsidRDefault="00097612">
            <w:pPr>
              <w:pStyle w:val="a3"/>
              <w:spacing w:before="0" w:beforeAutospacing="0" w:after="0" w:afterAutospacing="0"/>
              <w:jc w:val="center"/>
              <w:rPr>
                <w:sz w:val="20"/>
                <w:szCs w:val="20"/>
              </w:rPr>
            </w:pPr>
            <w:r>
              <w:rPr>
                <w:sz w:val="20"/>
                <w:szCs w:val="20"/>
              </w:rPr>
              <w:t>$</w:t>
            </w:r>
          </w:p>
        </w:tc>
        <w:tc>
          <w:tcPr>
            <w:tcW w:w="246" w:type="pct"/>
            <w:shd w:val="clear" w:color="auto" w:fill="CCEEFF"/>
            <w:noWrap/>
            <w:tcMar>
              <w:top w:w="0" w:type="dxa"/>
              <w:left w:w="0" w:type="dxa"/>
              <w:bottom w:w="0" w:type="dxa"/>
              <w:right w:w="0" w:type="dxa"/>
            </w:tcMar>
            <w:vAlign w:val="bottom"/>
            <w:hideMark/>
          </w:tcPr>
          <w:p w14:paraId="10E03E85" w14:textId="77777777" w:rsidR="00000000" w:rsidRDefault="00097612">
            <w:pPr>
              <w:pStyle w:val="a3"/>
              <w:spacing w:before="0" w:beforeAutospacing="0" w:after="0" w:afterAutospacing="0"/>
              <w:ind w:right="60"/>
              <w:jc w:val="right"/>
              <w:rPr>
                <w:sz w:val="20"/>
                <w:szCs w:val="20"/>
              </w:rPr>
            </w:pPr>
            <w:r>
              <w:rPr>
                <w:sz w:val="20"/>
                <w:szCs w:val="20"/>
              </w:rPr>
              <w:t>8</w:t>
            </w:r>
            <w:r>
              <w:rPr>
                <w:sz w:val="20"/>
                <w:szCs w:val="20"/>
              </w:rPr>
              <w:t>3</w:t>
            </w:r>
          </w:p>
        </w:tc>
        <w:tc>
          <w:tcPr>
            <w:tcW w:w="79" w:type="pct"/>
            <w:shd w:val="clear" w:color="auto" w:fill="CCEEFF"/>
            <w:noWrap/>
            <w:tcMar>
              <w:top w:w="0" w:type="dxa"/>
              <w:left w:w="0" w:type="dxa"/>
              <w:bottom w:w="0" w:type="dxa"/>
              <w:right w:w="0" w:type="dxa"/>
            </w:tcMar>
            <w:vAlign w:val="bottom"/>
            <w:hideMark/>
          </w:tcPr>
          <w:p w14:paraId="05CB2CF7"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E88BF7E" w14:textId="77777777" w:rsidR="00000000" w:rsidRDefault="00097612">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14:paraId="3F2734B7" w14:textId="77777777" w:rsidR="00000000" w:rsidRDefault="00097612">
            <w:pPr>
              <w:pStyle w:val="a3"/>
              <w:spacing w:before="0" w:beforeAutospacing="0" w:after="0" w:afterAutospacing="0"/>
              <w:jc w:val="right"/>
              <w:rPr>
                <w:sz w:val="20"/>
                <w:szCs w:val="20"/>
              </w:rPr>
            </w:pPr>
            <w:r>
              <w:rPr>
                <w:sz w:val="20"/>
                <w:szCs w:val="20"/>
              </w:rPr>
              <w:t>(83</w:t>
            </w:r>
            <w:r>
              <w:rPr>
                <w:sz w:val="20"/>
                <w:szCs w:val="20"/>
              </w:rPr>
              <w:t>)</w:t>
            </w:r>
          </w:p>
        </w:tc>
        <w:tc>
          <w:tcPr>
            <w:tcW w:w="79" w:type="pct"/>
            <w:shd w:val="clear" w:color="auto" w:fill="CCEEFF"/>
            <w:noWrap/>
            <w:tcMar>
              <w:top w:w="0" w:type="dxa"/>
              <w:left w:w="0" w:type="dxa"/>
              <w:bottom w:w="0" w:type="dxa"/>
              <w:right w:w="0" w:type="dxa"/>
            </w:tcMar>
            <w:vAlign w:val="bottom"/>
            <w:hideMark/>
          </w:tcPr>
          <w:p w14:paraId="5E1E388E" w14:textId="77777777" w:rsidR="00000000" w:rsidRDefault="00097612">
            <w:pPr>
              <w:pStyle w:val="a3"/>
              <w:spacing w:before="0" w:beforeAutospacing="0" w:after="0" w:afterAutospacing="0"/>
              <w:rPr>
                <w:sz w:val="20"/>
                <w:szCs w:val="20"/>
              </w:rPr>
            </w:pPr>
            <w:r>
              <w:rPr>
                <w:sz w:val="20"/>
                <w:szCs w:val="20"/>
              </w:rPr>
              <w:t> </w:t>
            </w:r>
          </w:p>
        </w:tc>
        <w:tc>
          <w:tcPr>
            <w:tcW w:w="190" w:type="pct"/>
            <w:shd w:val="clear" w:color="auto" w:fill="CCEEFF"/>
            <w:noWrap/>
            <w:tcMar>
              <w:top w:w="0" w:type="dxa"/>
              <w:left w:w="0" w:type="dxa"/>
              <w:bottom w:w="0" w:type="dxa"/>
              <w:right w:w="0" w:type="dxa"/>
            </w:tcMar>
            <w:vAlign w:val="bottom"/>
            <w:hideMark/>
          </w:tcPr>
          <w:p w14:paraId="486C84E4" w14:textId="77777777" w:rsidR="00000000" w:rsidRDefault="00097612">
            <w:pPr>
              <w:pStyle w:val="a3"/>
              <w:spacing w:before="0" w:beforeAutospacing="0" w:after="0" w:afterAutospacing="0"/>
              <w:ind w:right="60"/>
              <w:jc w:val="right"/>
              <w:rPr>
                <w:sz w:val="20"/>
                <w:szCs w:val="20"/>
              </w:rPr>
            </w:pPr>
            <w:r>
              <w:rPr>
                <w:sz w:val="20"/>
                <w:szCs w:val="20"/>
              </w:rPr>
              <w:t>NM</w:t>
            </w:r>
          </w:p>
        </w:tc>
        <w:tc>
          <w:tcPr>
            <w:tcW w:w="132" w:type="pct"/>
            <w:shd w:val="clear" w:color="auto" w:fill="CCEEFF"/>
            <w:noWrap/>
            <w:tcMar>
              <w:top w:w="0" w:type="dxa"/>
              <w:left w:w="0" w:type="dxa"/>
              <w:bottom w:w="0" w:type="dxa"/>
              <w:right w:w="0" w:type="dxa"/>
            </w:tcMar>
            <w:vAlign w:val="bottom"/>
            <w:hideMark/>
          </w:tcPr>
          <w:p w14:paraId="0632E87D" w14:textId="77777777" w:rsidR="00000000" w:rsidRDefault="00097612">
            <w:pPr>
              <w:pStyle w:val="a3"/>
              <w:spacing w:before="0" w:beforeAutospacing="0" w:after="0" w:afterAutospacing="0"/>
              <w:jc w:val="center"/>
              <w:rPr>
                <w:sz w:val="20"/>
                <w:szCs w:val="20"/>
              </w:rPr>
            </w:pPr>
            <w:r>
              <w:rPr>
                <w:sz w:val="20"/>
                <w:szCs w:val="20"/>
              </w:rPr>
              <w:t>%  </w:t>
            </w:r>
          </w:p>
        </w:tc>
      </w:tr>
    </w:tbl>
    <w:p w14:paraId="289BB1C1" w14:textId="77777777" w:rsidR="00000000" w:rsidRDefault="00097612">
      <w:pPr>
        <w:pStyle w:val="a3"/>
        <w:spacing w:before="0" w:beforeAutospacing="0" w:after="0" w:afterAutospacing="0"/>
        <w:divId w:val="2100758947"/>
        <w:rPr>
          <w:sz w:val="20"/>
          <w:szCs w:val="20"/>
        </w:rPr>
      </w:pPr>
      <w:r>
        <w:rPr>
          <w:sz w:val="20"/>
          <w:szCs w:val="20"/>
        </w:rPr>
        <w:t>NM: Not Meaningful</w:t>
      </w:r>
    </w:p>
    <w:p w14:paraId="77FF0324" w14:textId="77777777" w:rsidR="00000000" w:rsidRDefault="00097612">
      <w:pPr>
        <w:pStyle w:val="a3"/>
        <w:spacing w:before="0" w:beforeAutospacing="0" w:after="0" w:afterAutospacing="0"/>
        <w:divId w:val="2100758947"/>
        <w:rPr>
          <w:sz w:val="20"/>
          <w:szCs w:val="20"/>
        </w:rPr>
      </w:pPr>
      <w:r>
        <w:rPr>
          <w:sz w:val="20"/>
          <w:szCs w:val="20"/>
        </w:rPr>
        <w:t>​</w:t>
      </w:r>
    </w:p>
    <w:p w14:paraId="0D28679B" w14:textId="77777777" w:rsidR="00000000" w:rsidRDefault="00097612">
      <w:pPr>
        <w:pStyle w:val="a3"/>
        <w:spacing w:before="0" w:beforeAutospacing="0" w:after="0" w:afterAutospacing="0"/>
        <w:ind w:firstLine="720"/>
        <w:divId w:val="2100758947"/>
        <w:rPr>
          <w:sz w:val="20"/>
          <w:szCs w:val="20"/>
        </w:rPr>
      </w:pPr>
      <w:r>
        <w:rPr>
          <w:sz w:val="20"/>
          <w:szCs w:val="20"/>
        </w:rPr>
        <w:t xml:space="preserve">As a result of the sale of our </w:t>
      </w:r>
      <w:r>
        <w:rPr>
          <w:sz w:val="20"/>
          <w:szCs w:val="20"/>
        </w:rPr>
        <w:t xml:space="preserve">VIBATIV business to Cumberland in November 2018, no cost of goods sold was recognized for the three and nine months ended September 30, 2019. </w:t>
      </w:r>
    </w:p>
    <w:p w14:paraId="621B4B98" w14:textId="77777777" w:rsidR="00000000" w:rsidRDefault="00097612">
      <w:pPr>
        <w:pStyle w:val="a3"/>
        <w:spacing w:before="0" w:beforeAutospacing="0" w:after="0" w:afterAutospacing="0"/>
        <w:ind w:firstLine="720"/>
        <w:divId w:val="2100758947"/>
        <w:rPr>
          <w:sz w:val="20"/>
          <w:szCs w:val="20"/>
        </w:rPr>
      </w:pPr>
      <w:r>
        <w:rPr>
          <w:sz w:val="20"/>
          <w:szCs w:val="20"/>
        </w:rPr>
        <w:t>​</w:t>
      </w:r>
    </w:p>
    <w:p w14:paraId="4C2FFF74" w14:textId="77777777" w:rsidR="00000000" w:rsidRDefault="00097612">
      <w:pPr>
        <w:pStyle w:val="a3"/>
        <w:spacing w:before="0" w:beforeAutospacing="0" w:after="0" w:afterAutospacing="0"/>
        <w:divId w:val="2100758947"/>
        <w:rPr>
          <w:sz w:val="20"/>
          <w:szCs w:val="20"/>
        </w:rPr>
      </w:pPr>
      <w:r>
        <w:rPr>
          <w:b/>
          <w:bCs/>
          <w:i/>
          <w:iCs/>
          <w:sz w:val="20"/>
          <w:szCs w:val="20"/>
        </w:rPr>
        <w:t>Reduction in Workforce</w:t>
      </w:r>
    </w:p>
    <w:p w14:paraId="6867DAEE" w14:textId="77777777" w:rsidR="00000000" w:rsidRDefault="00097612">
      <w:pPr>
        <w:pStyle w:val="a3"/>
        <w:spacing w:before="0" w:beforeAutospacing="0" w:after="0" w:afterAutospacing="0"/>
        <w:divId w:val="2100758947"/>
        <w:rPr>
          <w:sz w:val="20"/>
          <w:szCs w:val="20"/>
        </w:rPr>
      </w:pPr>
      <w:r>
        <w:rPr>
          <w:b/>
          <w:bCs/>
          <w:sz w:val="10"/>
          <w:szCs w:val="10"/>
        </w:rPr>
        <w:t>​</w:t>
      </w:r>
    </w:p>
    <w:p w14:paraId="7346DBD6" w14:textId="77777777" w:rsidR="00000000" w:rsidRDefault="00097612">
      <w:pPr>
        <w:pStyle w:val="a3"/>
        <w:spacing w:before="0" w:beforeAutospacing="0" w:after="0" w:afterAutospacing="0"/>
        <w:ind w:firstLine="720"/>
        <w:divId w:val="2100758947"/>
        <w:rPr>
          <w:sz w:val="20"/>
          <w:szCs w:val="20"/>
        </w:rPr>
      </w:pPr>
      <w:r>
        <w:rPr>
          <w:sz w:val="20"/>
          <w:szCs w:val="20"/>
        </w:rPr>
        <w:t>In January 2019, we announced a reduction in workforce to align with our focus on cont</w:t>
      </w:r>
      <w:r>
        <w:rPr>
          <w:sz w:val="20"/>
          <w:szCs w:val="20"/>
        </w:rPr>
        <w:t xml:space="preserve">inued execution of key strategic programs and advancement of selected late-stage research programs toward clinical development. We reduced our </w:t>
      </w:r>
    </w:p>
    <w:p w14:paraId="006C98DB" w14:textId="77777777" w:rsidR="00000000" w:rsidRDefault="00097612">
      <w:pPr>
        <w:pStyle w:val="a3"/>
        <w:spacing w:before="360" w:beforeAutospacing="0" w:after="0" w:afterAutospacing="0"/>
        <w:jc w:val="center"/>
        <w:divId w:val="1285236719"/>
        <w:rPr>
          <w:sz w:val="20"/>
          <w:szCs w:val="20"/>
        </w:rPr>
      </w:pPr>
      <w:r>
        <w:rPr>
          <w:sz w:val="20"/>
          <w:szCs w:val="20"/>
        </w:rPr>
        <w:t>28</w:t>
      </w:r>
    </w:p>
    <w:p w14:paraId="6130C3A0" w14:textId="77777777" w:rsidR="00000000" w:rsidRDefault="00097612">
      <w:pPr>
        <w:pStyle w:val="a3"/>
        <w:spacing w:before="0" w:beforeAutospacing="0" w:after="600" w:afterAutospacing="0"/>
        <w:divId w:val="1298147249"/>
        <w:rPr>
          <w:sz w:val="20"/>
          <w:szCs w:val="20"/>
        </w:rPr>
      </w:pPr>
      <w:hyperlink w:anchor="TOC" w:history="1">
        <w:r>
          <w:rPr>
            <w:rStyle w:val="a4"/>
            <w:sz w:val="20"/>
            <w:szCs w:val="20"/>
          </w:rPr>
          <w:t>Table of Contents</w:t>
        </w:r>
      </w:hyperlink>
    </w:p>
    <w:p w14:paraId="26CDC890" w14:textId="77777777" w:rsidR="00000000" w:rsidRDefault="00097612">
      <w:pPr>
        <w:pStyle w:val="a3"/>
        <w:spacing w:before="0" w:beforeAutospacing="0" w:after="0" w:afterAutospacing="0"/>
        <w:divId w:val="569077818"/>
        <w:rPr>
          <w:sz w:val="20"/>
          <w:szCs w:val="20"/>
        </w:rPr>
      </w:pPr>
      <w:r>
        <w:rPr>
          <w:sz w:val="20"/>
          <w:szCs w:val="20"/>
        </w:rPr>
        <w:t xml:space="preserve">overall headcount by 51 individuals, with the affected employees </w:t>
      </w:r>
      <w:r>
        <w:rPr>
          <w:sz w:val="20"/>
          <w:szCs w:val="20"/>
        </w:rPr>
        <w:t xml:space="preserve">primarily focused on early research or the infrastructure in support of VIBATIV which was sold by us to Cumberland in November 2018. </w:t>
      </w:r>
    </w:p>
    <w:p w14:paraId="3F940FC8" w14:textId="77777777" w:rsidR="00000000" w:rsidRDefault="00097612">
      <w:pPr>
        <w:pStyle w:val="a3"/>
        <w:spacing w:before="0" w:beforeAutospacing="0" w:after="0" w:afterAutospacing="0"/>
        <w:ind w:firstLine="720"/>
        <w:divId w:val="569077818"/>
        <w:rPr>
          <w:sz w:val="20"/>
          <w:szCs w:val="20"/>
        </w:rPr>
      </w:pPr>
      <w:r>
        <w:rPr>
          <w:sz w:val="20"/>
          <w:szCs w:val="20"/>
        </w:rPr>
        <w:t>​</w:t>
      </w:r>
    </w:p>
    <w:p w14:paraId="2E2E52D5" w14:textId="77777777" w:rsidR="00000000" w:rsidRDefault="00097612">
      <w:pPr>
        <w:pStyle w:val="a3"/>
        <w:spacing w:before="0" w:beforeAutospacing="0" w:after="0" w:afterAutospacing="0"/>
        <w:ind w:firstLine="720"/>
        <w:divId w:val="569077818"/>
        <w:rPr>
          <w:sz w:val="20"/>
          <w:szCs w:val="20"/>
        </w:rPr>
      </w:pPr>
      <w:r>
        <w:rPr>
          <w:sz w:val="20"/>
          <w:szCs w:val="20"/>
        </w:rPr>
        <w:t>The workforce reduction was substantially completed in the first quarter of 2019. We recorded and paid severance related</w:t>
      </w:r>
      <w:r>
        <w:rPr>
          <w:sz w:val="20"/>
          <w:szCs w:val="20"/>
        </w:rPr>
        <w:t xml:space="preserve"> charges totaling approximately $3.5 million including compensation expense made to affected employees through any minimum statutory notice periods. The severance related charges are presented on the condensed consolidated statements of operations within r</w:t>
      </w:r>
      <w:r>
        <w:rPr>
          <w:sz w:val="20"/>
          <w:szCs w:val="20"/>
        </w:rPr>
        <w:t>esearch and development expenses and selling, general and administrative expenses.</w:t>
      </w:r>
    </w:p>
    <w:p w14:paraId="422C93CA" w14:textId="77777777" w:rsidR="00000000" w:rsidRDefault="00097612">
      <w:pPr>
        <w:pStyle w:val="a3"/>
        <w:spacing w:before="0" w:beforeAutospacing="0" w:after="0" w:afterAutospacing="0"/>
        <w:divId w:val="569077818"/>
        <w:rPr>
          <w:sz w:val="20"/>
          <w:szCs w:val="20"/>
        </w:rPr>
      </w:pPr>
      <w:r>
        <w:rPr>
          <w:sz w:val="20"/>
          <w:szCs w:val="20"/>
        </w:rPr>
        <w:t>​</w:t>
      </w:r>
    </w:p>
    <w:p w14:paraId="432E8120" w14:textId="77777777" w:rsidR="00000000" w:rsidRDefault="00097612">
      <w:pPr>
        <w:pStyle w:val="a3"/>
        <w:spacing w:before="0" w:beforeAutospacing="0" w:after="0" w:afterAutospacing="0"/>
        <w:divId w:val="569077818"/>
        <w:rPr>
          <w:sz w:val="20"/>
          <w:szCs w:val="20"/>
        </w:rPr>
      </w:pPr>
      <w:r>
        <w:rPr>
          <w:b/>
          <w:bCs/>
          <w:i/>
          <w:iCs/>
          <w:sz w:val="20"/>
          <w:szCs w:val="20"/>
        </w:rPr>
        <w:t>Research and Development</w:t>
      </w:r>
    </w:p>
    <w:p w14:paraId="6A1C932C" w14:textId="77777777" w:rsidR="00000000" w:rsidRDefault="00097612">
      <w:pPr>
        <w:pStyle w:val="a3"/>
        <w:spacing w:before="0" w:beforeAutospacing="0" w:after="0" w:afterAutospacing="0"/>
        <w:divId w:val="569077818"/>
        <w:rPr>
          <w:sz w:val="20"/>
          <w:szCs w:val="20"/>
        </w:rPr>
      </w:pPr>
      <w:r>
        <w:rPr>
          <w:sz w:val="10"/>
          <w:szCs w:val="10"/>
        </w:rPr>
        <w:t>​</w:t>
      </w:r>
    </w:p>
    <w:p w14:paraId="6546E410" w14:textId="77777777" w:rsidR="00000000" w:rsidRDefault="00097612">
      <w:pPr>
        <w:pStyle w:val="a3"/>
        <w:spacing w:before="0" w:beforeAutospacing="0" w:after="0" w:afterAutospacing="0"/>
        <w:ind w:firstLine="720"/>
        <w:divId w:val="569077818"/>
        <w:rPr>
          <w:sz w:val="20"/>
          <w:szCs w:val="20"/>
        </w:rPr>
      </w:pPr>
      <w:r>
        <w:rPr>
          <w:sz w:val="20"/>
          <w:szCs w:val="20"/>
        </w:rPr>
        <w:t>Our research and development (“R&amp;D”) expenses consist primarily of employee-related costs, external costs, and various allocable expenses. We bu</w:t>
      </w:r>
      <w:r>
        <w:rPr>
          <w:sz w:val="20"/>
          <w:szCs w:val="20"/>
        </w:rPr>
        <w:t>dget total R&amp;D expenses on an internal department level basis, and we manage and report our R&amp;D activities across the following four cost categories:</w:t>
      </w:r>
    </w:p>
    <w:p w14:paraId="6BA814EC" w14:textId="77777777" w:rsidR="00000000" w:rsidRDefault="00097612">
      <w:pPr>
        <w:pStyle w:val="a3"/>
        <w:spacing w:before="0" w:beforeAutospacing="0" w:after="0" w:afterAutospacing="0"/>
        <w:divId w:val="56907781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3C94233" w14:textId="77777777">
        <w:trPr>
          <w:divId w:val="569077818"/>
        </w:trPr>
        <w:tc>
          <w:tcPr>
            <w:tcW w:w="720" w:type="dxa"/>
            <w:vAlign w:val="center"/>
            <w:hideMark/>
          </w:tcPr>
          <w:p w14:paraId="2A379D25" w14:textId="77777777" w:rsidR="00000000" w:rsidRDefault="00097612">
            <w:pPr>
              <w:rPr>
                <w:sz w:val="20"/>
                <w:szCs w:val="20"/>
              </w:rPr>
            </w:pPr>
          </w:p>
        </w:tc>
        <w:tc>
          <w:tcPr>
            <w:tcW w:w="360" w:type="dxa"/>
            <w:noWrap/>
            <w:tcMar>
              <w:top w:w="0" w:type="dxa"/>
              <w:left w:w="0" w:type="dxa"/>
              <w:bottom w:w="0" w:type="dxa"/>
              <w:right w:w="0" w:type="dxa"/>
            </w:tcMar>
            <w:hideMark/>
          </w:tcPr>
          <w:p w14:paraId="32944E36" w14:textId="77777777" w:rsidR="00000000" w:rsidRDefault="00097612">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14:paraId="7E89492D" w14:textId="77777777" w:rsidR="00000000" w:rsidRDefault="00097612">
            <w:pPr>
              <w:rPr>
                <w:rFonts w:eastAsia="Times New Roman"/>
                <w:sz w:val="20"/>
                <w:szCs w:val="20"/>
              </w:rPr>
            </w:pPr>
            <w:r>
              <w:rPr>
                <w:rFonts w:eastAsia="Times New Roman"/>
                <w:color w:val="000000"/>
                <w:sz w:val="20"/>
                <w:szCs w:val="20"/>
              </w:rPr>
              <w:t>Employee-related costs, which include salaries, wages and benefits;</w:t>
            </w:r>
          </w:p>
        </w:tc>
      </w:tr>
    </w:tbl>
    <w:p w14:paraId="0AFD8C4D" w14:textId="77777777" w:rsidR="00000000" w:rsidRDefault="00097612">
      <w:pPr>
        <w:pStyle w:val="a3"/>
        <w:spacing w:before="0" w:beforeAutospacing="0" w:after="0" w:afterAutospacing="0"/>
        <w:ind w:left="720" w:hanging="360"/>
        <w:divId w:val="56907781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5DD7DCD" w14:textId="77777777">
        <w:trPr>
          <w:divId w:val="569077818"/>
        </w:trPr>
        <w:tc>
          <w:tcPr>
            <w:tcW w:w="720" w:type="dxa"/>
            <w:vAlign w:val="center"/>
            <w:hideMark/>
          </w:tcPr>
          <w:p w14:paraId="3BFC1D7F" w14:textId="77777777" w:rsidR="00000000" w:rsidRDefault="00097612">
            <w:pPr>
              <w:rPr>
                <w:sz w:val="20"/>
                <w:szCs w:val="20"/>
              </w:rPr>
            </w:pPr>
          </w:p>
        </w:tc>
        <w:tc>
          <w:tcPr>
            <w:tcW w:w="360" w:type="dxa"/>
            <w:noWrap/>
            <w:tcMar>
              <w:top w:w="0" w:type="dxa"/>
              <w:left w:w="0" w:type="dxa"/>
              <w:bottom w:w="0" w:type="dxa"/>
              <w:right w:w="0" w:type="dxa"/>
            </w:tcMar>
            <w:hideMark/>
          </w:tcPr>
          <w:p w14:paraId="52045B77" w14:textId="77777777" w:rsidR="00000000" w:rsidRDefault="00097612">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14:paraId="0C35C544" w14:textId="77777777" w:rsidR="00000000" w:rsidRDefault="00097612">
            <w:pPr>
              <w:rPr>
                <w:rFonts w:eastAsia="Times New Roman"/>
                <w:sz w:val="20"/>
                <w:szCs w:val="20"/>
              </w:rPr>
            </w:pPr>
            <w:r>
              <w:rPr>
                <w:rFonts w:eastAsia="Times New Roman"/>
                <w:color w:val="000000"/>
                <w:sz w:val="20"/>
                <w:szCs w:val="20"/>
              </w:rPr>
              <w:t>Share-based compensation, which includes expenses associated with our equity plans;</w:t>
            </w:r>
          </w:p>
        </w:tc>
      </w:tr>
    </w:tbl>
    <w:p w14:paraId="1D2FC883" w14:textId="77777777" w:rsidR="00000000" w:rsidRDefault="00097612">
      <w:pPr>
        <w:pStyle w:val="a3"/>
        <w:spacing w:before="0" w:beforeAutospacing="0" w:after="0" w:afterAutospacing="0"/>
        <w:ind w:left="720" w:hanging="360"/>
        <w:divId w:val="56907781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6A346D5" w14:textId="77777777">
        <w:trPr>
          <w:divId w:val="569077818"/>
        </w:trPr>
        <w:tc>
          <w:tcPr>
            <w:tcW w:w="720" w:type="dxa"/>
            <w:vAlign w:val="center"/>
            <w:hideMark/>
          </w:tcPr>
          <w:p w14:paraId="4D2C156B" w14:textId="77777777" w:rsidR="00000000" w:rsidRDefault="00097612">
            <w:pPr>
              <w:rPr>
                <w:sz w:val="20"/>
                <w:szCs w:val="20"/>
              </w:rPr>
            </w:pPr>
          </w:p>
        </w:tc>
        <w:tc>
          <w:tcPr>
            <w:tcW w:w="360" w:type="dxa"/>
            <w:noWrap/>
            <w:tcMar>
              <w:top w:w="0" w:type="dxa"/>
              <w:left w:w="0" w:type="dxa"/>
              <w:bottom w:w="0" w:type="dxa"/>
              <w:right w:w="0" w:type="dxa"/>
            </w:tcMar>
            <w:hideMark/>
          </w:tcPr>
          <w:p w14:paraId="2F3E7CD1" w14:textId="77777777" w:rsidR="00000000" w:rsidRDefault="00097612">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14:paraId="0B473AB1" w14:textId="77777777" w:rsidR="00000000" w:rsidRDefault="00097612">
            <w:pPr>
              <w:rPr>
                <w:rFonts w:eastAsia="Times New Roman"/>
                <w:sz w:val="20"/>
                <w:szCs w:val="20"/>
              </w:rPr>
            </w:pPr>
            <w:r>
              <w:rPr>
                <w:rFonts w:eastAsia="Times New Roman"/>
                <w:color w:val="000000"/>
                <w:sz w:val="20"/>
                <w:szCs w:val="20"/>
              </w:rPr>
              <w:t>External-related costs, which include clinical trial related expenses, other contract research fees, consulting fees, and contract manufacturing fees; and</w:t>
            </w:r>
          </w:p>
        </w:tc>
      </w:tr>
    </w:tbl>
    <w:p w14:paraId="00E12B81" w14:textId="77777777" w:rsidR="00000000" w:rsidRDefault="00097612">
      <w:pPr>
        <w:pStyle w:val="a3"/>
        <w:spacing w:before="0" w:beforeAutospacing="0" w:after="0" w:afterAutospacing="0"/>
        <w:ind w:left="720" w:hanging="360"/>
        <w:divId w:val="56907781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DCBCCA0" w14:textId="77777777">
        <w:trPr>
          <w:divId w:val="569077818"/>
        </w:trPr>
        <w:tc>
          <w:tcPr>
            <w:tcW w:w="720" w:type="dxa"/>
            <w:vAlign w:val="center"/>
            <w:hideMark/>
          </w:tcPr>
          <w:p w14:paraId="594EAA56" w14:textId="77777777" w:rsidR="00000000" w:rsidRDefault="00097612">
            <w:pPr>
              <w:rPr>
                <w:sz w:val="20"/>
                <w:szCs w:val="20"/>
              </w:rPr>
            </w:pPr>
          </w:p>
        </w:tc>
        <w:tc>
          <w:tcPr>
            <w:tcW w:w="360" w:type="dxa"/>
            <w:noWrap/>
            <w:tcMar>
              <w:top w:w="0" w:type="dxa"/>
              <w:left w:w="0" w:type="dxa"/>
              <w:bottom w:w="0" w:type="dxa"/>
              <w:right w:w="0" w:type="dxa"/>
            </w:tcMar>
            <w:hideMark/>
          </w:tcPr>
          <w:p w14:paraId="39E9811B" w14:textId="77777777" w:rsidR="00000000" w:rsidRDefault="00097612">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14:paraId="4E0AC246" w14:textId="77777777" w:rsidR="00000000" w:rsidRDefault="00097612">
            <w:pPr>
              <w:rPr>
                <w:rFonts w:eastAsia="Times New Roman"/>
                <w:sz w:val="20"/>
                <w:szCs w:val="20"/>
              </w:rPr>
            </w:pPr>
            <w:r>
              <w:rPr>
                <w:rFonts w:eastAsia="Times New Roman"/>
                <w:color w:val="000000"/>
                <w:sz w:val="20"/>
                <w:szCs w:val="20"/>
              </w:rPr>
              <w:t>Fac</w:t>
            </w:r>
            <w:r>
              <w:rPr>
                <w:rFonts w:eastAsia="Times New Roman"/>
                <w:color w:val="000000"/>
                <w:sz w:val="20"/>
                <w:szCs w:val="20"/>
              </w:rPr>
              <w:t>ilities and other, which include laboratory and office supplies, depreciation and other allocated expenses, which include general and administrative support functions, insurance and general supplies.</w:t>
            </w:r>
          </w:p>
        </w:tc>
      </w:tr>
    </w:tbl>
    <w:p w14:paraId="5E75DDC1" w14:textId="77777777" w:rsidR="00000000" w:rsidRDefault="00097612">
      <w:pPr>
        <w:pStyle w:val="a3"/>
        <w:spacing w:before="0" w:beforeAutospacing="0" w:after="0" w:afterAutospacing="0"/>
        <w:divId w:val="569077818"/>
        <w:rPr>
          <w:sz w:val="20"/>
          <w:szCs w:val="20"/>
        </w:rPr>
      </w:pPr>
      <w:r>
        <w:rPr>
          <w:sz w:val="20"/>
          <w:szCs w:val="20"/>
        </w:rPr>
        <w:t>​</w:t>
      </w:r>
    </w:p>
    <w:p w14:paraId="6AC927D4" w14:textId="77777777" w:rsidR="00000000" w:rsidRDefault="00097612">
      <w:pPr>
        <w:pStyle w:val="a3"/>
        <w:spacing w:before="0" w:beforeAutospacing="0" w:after="0" w:afterAutospacing="0"/>
        <w:ind w:firstLine="720"/>
        <w:divId w:val="569077818"/>
        <w:rPr>
          <w:sz w:val="20"/>
          <w:szCs w:val="20"/>
        </w:rPr>
      </w:pPr>
      <w:r>
        <w:rPr>
          <w:sz w:val="20"/>
          <w:szCs w:val="20"/>
        </w:rPr>
        <w:t>The following table summarizes our R&amp;D expenses incurred, net of any reimbursements from collaboration partners, as compared to the comparable periods in the prior year:</w:t>
      </w:r>
    </w:p>
    <w:p w14:paraId="4209CD60" w14:textId="77777777" w:rsidR="00000000" w:rsidRDefault="00097612">
      <w:pPr>
        <w:pStyle w:val="a3"/>
        <w:spacing w:before="0" w:beforeAutospacing="0" w:after="0" w:afterAutospacing="0"/>
        <w:divId w:val="56907781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64"/>
        <w:gridCol w:w="160"/>
        <w:gridCol w:w="100"/>
        <w:gridCol w:w="610"/>
        <w:gridCol w:w="160"/>
        <w:gridCol w:w="100"/>
        <w:gridCol w:w="610"/>
        <w:gridCol w:w="160"/>
        <w:gridCol w:w="100"/>
        <w:gridCol w:w="584"/>
        <w:gridCol w:w="160"/>
        <w:gridCol w:w="334"/>
        <w:gridCol w:w="267"/>
        <w:gridCol w:w="160"/>
        <w:gridCol w:w="100"/>
        <w:gridCol w:w="710"/>
        <w:gridCol w:w="160"/>
        <w:gridCol w:w="100"/>
        <w:gridCol w:w="710"/>
        <w:gridCol w:w="160"/>
        <w:gridCol w:w="100"/>
        <w:gridCol w:w="610"/>
        <w:gridCol w:w="160"/>
        <w:gridCol w:w="260"/>
        <w:gridCol w:w="267"/>
      </w:tblGrid>
      <w:tr w:rsidR="00000000" w14:paraId="5E0BB4B5" w14:textId="77777777">
        <w:trPr>
          <w:divId w:val="569077818"/>
          <w:trHeight w:val="20"/>
        </w:trPr>
        <w:tc>
          <w:tcPr>
            <w:tcW w:w="1407" w:type="pct"/>
            <w:tcMar>
              <w:top w:w="0" w:type="dxa"/>
              <w:left w:w="0" w:type="dxa"/>
              <w:bottom w:w="0" w:type="dxa"/>
              <w:right w:w="0" w:type="dxa"/>
            </w:tcMar>
            <w:vAlign w:val="bottom"/>
            <w:hideMark/>
          </w:tcPr>
          <w:p w14:paraId="0D18C24E" w14:textId="77777777" w:rsidR="00000000" w:rsidRDefault="00097612">
            <w:pPr>
              <w:pStyle w:val="a3"/>
              <w:spacing w:before="0" w:beforeAutospacing="0" w:after="0" w:afterAutospacing="0"/>
              <w:divId w:val="817306942"/>
              <w:rPr>
                <w:sz w:val="20"/>
                <w:szCs w:val="20"/>
              </w:rPr>
            </w:pPr>
            <w:r>
              <w:rPr>
                <w:sz w:val="2"/>
                <w:szCs w:val="2"/>
              </w:rPr>
              <w:t>​</w:t>
            </w:r>
          </w:p>
        </w:tc>
        <w:tc>
          <w:tcPr>
            <w:tcW w:w="79" w:type="pct"/>
            <w:noWrap/>
            <w:tcMar>
              <w:top w:w="0" w:type="dxa"/>
              <w:left w:w="0" w:type="dxa"/>
              <w:bottom w:w="0" w:type="dxa"/>
              <w:right w:w="0" w:type="dxa"/>
            </w:tcMar>
            <w:vAlign w:val="bottom"/>
            <w:hideMark/>
          </w:tcPr>
          <w:p w14:paraId="09E2E96E" w14:textId="77777777" w:rsidR="00000000" w:rsidRDefault="00097612">
            <w:pPr>
              <w:pStyle w:val="a3"/>
              <w:spacing w:before="0" w:beforeAutospacing="0" w:after="0" w:afterAutospacing="0"/>
              <w:divId w:val="890044635"/>
              <w:rPr>
                <w:sz w:val="20"/>
                <w:szCs w:val="20"/>
              </w:rPr>
            </w:pPr>
            <w:r>
              <w:rPr>
                <w:sz w:val="2"/>
                <w:szCs w:val="2"/>
              </w:rPr>
              <w:t>​</w:t>
            </w:r>
          </w:p>
        </w:tc>
        <w:tc>
          <w:tcPr>
            <w:tcW w:w="49" w:type="pct"/>
            <w:noWrap/>
            <w:tcMar>
              <w:top w:w="0" w:type="dxa"/>
              <w:left w:w="0" w:type="dxa"/>
              <w:bottom w:w="0" w:type="dxa"/>
              <w:right w:w="0" w:type="dxa"/>
            </w:tcMar>
            <w:vAlign w:val="bottom"/>
            <w:hideMark/>
          </w:tcPr>
          <w:p w14:paraId="6121D230" w14:textId="77777777" w:rsidR="00000000" w:rsidRDefault="00097612">
            <w:pPr>
              <w:pStyle w:val="a3"/>
              <w:spacing w:before="0" w:beforeAutospacing="0" w:after="0" w:afterAutospacing="0"/>
              <w:divId w:val="573929859"/>
              <w:rPr>
                <w:sz w:val="20"/>
                <w:szCs w:val="20"/>
              </w:rPr>
            </w:pPr>
            <w:r>
              <w:rPr>
                <w:sz w:val="2"/>
                <w:szCs w:val="2"/>
              </w:rPr>
              <w:t>​</w:t>
            </w:r>
          </w:p>
        </w:tc>
        <w:tc>
          <w:tcPr>
            <w:tcW w:w="327" w:type="pct"/>
            <w:noWrap/>
            <w:tcMar>
              <w:top w:w="0" w:type="dxa"/>
              <w:left w:w="0" w:type="dxa"/>
              <w:bottom w:w="0" w:type="dxa"/>
              <w:right w:w="0" w:type="dxa"/>
            </w:tcMar>
            <w:vAlign w:val="bottom"/>
            <w:hideMark/>
          </w:tcPr>
          <w:p w14:paraId="6989623D" w14:textId="77777777" w:rsidR="00000000" w:rsidRDefault="00097612">
            <w:pPr>
              <w:pStyle w:val="a3"/>
              <w:spacing w:before="0" w:beforeAutospacing="0" w:after="0" w:afterAutospacing="0"/>
              <w:divId w:val="741954305"/>
              <w:rPr>
                <w:sz w:val="20"/>
                <w:szCs w:val="20"/>
              </w:rPr>
            </w:pPr>
            <w:r>
              <w:rPr>
                <w:sz w:val="2"/>
                <w:szCs w:val="2"/>
              </w:rPr>
              <w:t>​</w:t>
            </w:r>
          </w:p>
        </w:tc>
        <w:tc>
          <w:tcPr>
            <w:tcW w:w="79" w:type="pct"/>
            <w:noWrap/>
            <w:tcMar>
              <w:top w:w="0" w:type="dxa"/>
              <w:left w:w="0" w:type="dxa"/>
              <w:bottom w:w="0" w:type="dxa"/>
              <w:right w:w="0" w:type="dxa"/>
            </w:tcMar>
            <w:vAlign w:val="bottom"/>
            <w:hideMark/>
          </w:tcPr>
          <w:p w14:paraId="568AA017" w14:textId="77777777" w:rsidR="00000000" w:rsidRDefault="00097612">
            <w:pPr>
              <w:pStyle w:val="a3"/>
              <w:spacing w:before="0" w:beforeAutospacing="0" w:after="0" w:afterAutospacing="0"/>
              <w:divId w:val="409811895"/>
              <w:rPr>
                <w:sz w:val="20"/>
                <w:szCs w:val="20"/>
              </w:rPr>
            </w:pPr>
            <w:r>
              <w:rPr>
                <w:sz w:val="2"/>
                <w:szCs w:val="2"/>
              </w:rPr>
              <w:t>​</w:t>
            </w:r>
          </w:p>
        </w:tc>
        <w:tc>
          <w:tcPr>
            <w:tcW w:w="49" w:type="pct"/>
            <w:noWrap/>
            <w:tcMar>
              <w:top w:w="0" w:type="dxa"/>
              <w:left w:w="0" w:type="dxa"/>
              <w:bottom w:w="0" w:type="dxa"/>
              <w:right w:w="0" w:type="dxa"/>
            </w:tcMar>
            <w:vAlign w:val="bottom"/>
            <w:hideMark/>
          </w:tcPr>
          <w:p w14:paraId="1F2C7BB5" w14:textId="77777777" w:rsidR="00000000" w:rsidRDefault="00097612">
            <w:pPr>
              <w:pStyle w:val="a3"/>
              <w:spacing w:before="0" w:beforeAutospacing="0" w:after="0" w:afterAutospacing="0"/>
              <w:divId w:val="1137064901"/>
              <w:rPr>
                <w:sz w:val="20"/>
                <w:szCs w:val="20"/>
              </w:rPr>
            </w:pPr>
            <w:r>
              <w:rPr>
                <w:sz w:val="2"/>
                <w:szCs w:val="2"/>
              </w:rPr>
              <w:t>​</w:t>
            </w:r>
          </w:p>
        </w:tc>
        <w:tc>
          <w:tcPr>
            <w:tcW w:w="327" w:type="pct"/>
            <w:noWrap/>
            <w:tcMar>
              <w:top w:w="0" w:type="dxa"/>
              <w:left w:w="0" w:type="dxa"/>
              <w:bottom w:w="0" w:type="dxa"/>
              <w:right w:w="0" w:type="dxa"/>
            </w:tcMar>
            <w:vAlign w:val="bottom"/>
            <w:hideMark/>
          </w:tcPr>
          <w:p w14:paraId="08929112" w14:textId="77777777" w:rsidR="00000000" w:rsidRDefault="00097612">
            <w:pPr>
              <w:pStyle w:val="a3"/>
              <w:spacing w:before="0" w:beforeAutospacing="0" w:after="0" w:afterAutospacing="0"/>
              <w:divId w:val="2070227722"/>
              <w:rPr>
                <w:sz w:val="20"/>
                <w:szCs w:val="20"/>
              </w:rPr>
            </w:pPr>
            <w:r>
              <w:rPr>
                <w:sz w:val="2"/>
                <w:szCs w:val="2"/>
              </w:rPr>
              <w:t>​</w:t>
            </w:r>
          </w:p>
        </w:tc>
        <w:tc>
          <w:tcPr>
            <w:tcW w:w="79" w:type="pct"/>
            <w:noWrap/>
            <w:tcMar>
              <w:top w:w="0" w:type="dxa"/>
              <w:left w:w="0" w:type="dxa"/>
              <w:bottom w:w="0" w:type="dxa"/>
              <w:right w:w="0" w:type="dxa"/>
            </w:tcMar>
            <w:vAlign w:val="bottom"/>
            <w:hideMark/>
          </w:tcPr>
          <w:p w14:paraId="79D4097F" w14:textId="77777777" w:rsidR="00000000" w:rsidRDefault="00097612">
            <w:pPr>
              <w:pStyle w:val="a3"/>
              <w:spacing w:before="0" w:beforeAutospacing="0" w:after="0" w:afterAutospacing="0"/>
              <w:divId w:val="2051107453"/>
              <w:rPr>
                <w:sz w:val="20"/>
                <w:szCs w:val="20"/>
              </w:rPr>
            </w:pPr>
            <w:r>
              <w:rPr>
                <w:sz w:val="2"/>
                <w:szCs w:val="2"/>
              </w:rPr>
              <w:t>​</w:t>
            </w:r>
          </w:p>
        </w:tc>
        <w:tc>
          <w:tcPr>
            <w:tcW w:w="49" w:type="pct"/>
            <w:noWrap/>
            <w:tcMar>
              <w:top w:w="0" w:type="dxa"/>
              <w:left w:w="0" w:type="dxa"/>
              <w:bottom w:w="0" w:type="dxa"/>
              <w:right w:w="0" w:type="dxa"/>
            </w:tcMar>
            <w:vAlign w:val="bottom"/>
            <w:hideMark/>
          </w:tcPr>
          <w:p w14:paraId="567D428C" w14:textId="77777777" w:rsidR="00000000" w:rsidRDefault="00097612">
            <w:pPr>
              <w:pStyle w:val="a3"/>
              <w:spacing w:before="0" w:beforeAutospacing="0" w:after="0" w:afterAutospacing="0"/>
              <w:divId w:val="1159806282"/>
              <w:rPr>
                <w:sz w:val="20"/>
                <w:szCs w:val="20"/>
              </w:rPr>
            </w:pPr>
            <w:r>
              <w:rPr>
                <w:sz w:val="2"/>
                <w:szCs w:val="2"/>
              </w:rPr>
              <w:t>​</w:t>
            </w:r>
          </w:p>
        </w:tc>
        <w:tc>
          <w:tcPr>
            <w:tcW w:w="314" w:type="pct"/>
            <w:noWrap/>
            <w:tcMar>
              <w:top w:w="0" w:type="dxa"/>
              <w:left w:w="0" w:type="dxa"/>
              <w:bottom w:w="0" w:type="dxa"/>
              <w:right w:w="0" w:type="dxa"/>
            </w:tcMar>
            <w:vAlign w:val="bottom"/>
            <w:hideMark/>
          </w:tcPr>
          <w:p w14:paraId="1E6EE6FA" w14:textId="77777777" w:rsidR="00000000" w:rsidRDefault="00097612">
            <w:pPr>
              <w:pStyle w:val="a3"/>
              <w:spacing w:before="0" w:beforeAutospacing="0" w:after="0" w:afterAutospacing="0"/>
              <w:divId w:val="259794940"/>
              <w:rPr>
                <w:sz w:val="20"/>
                <w:szCs w:val="20"/>
              </w:rPr>
            </w:pPr>
            <w:r>
              <w:rPr>
                <w:sz w:val="2"/>
                <w:szCs w:val="2"/>
              </w:rPr>
              <w:t>​</w:t>
            </w:r>
          </w:p>
        </w:tc>
        <w:tc>
          <w:tcPr>
            <w:tcW w:w="79" w:type="pct"/>
            <w:noWrap/>
            <w:tcMar>
              <w:top w:w="0" w:type="dxa"/>
              <w:left w:w="0" w:type="dxa"/>
              <w:bottom w:w="0" w:type="dxa"/>
              <w:right w:w="0" w:type="dxa"/>
            </w:tcMar>
            <w:vAlign w:val="bottom"/>
            <w:hideMark/>
          </w:tcPr>
          <w:p w14:paraId="1F9FD0CD" w14:textId="77777777" w:rsidR="00000000" w:rsidRDefault="00097612">
            <w:pPr>
              <w:pStyle w:val="a3"/>
              <w:spacing w:before="0" w:beforeAutospacing="0" w:after="0" w:afterAutospacing="0"/>
              <w:divId w:val="379867959"/>
              <w:rPr>
                <w:sz w:val="20"/>
                <w:szCs w:val="20"/>
              </w:rPr>
            </w:pPr>
            <w:r>
              <w:rPr>
                <w:sz w:val="2"/>
                <w:szCs w:val="2"/>
              </w:rPr>
              <w:t>​</w:t>
            </w:r>
          </w:p>
        </w:tc>
        <w:tc>
          <w:tcPr>
            <w:tcW w:w="190" w:type="pct"/>
            <w:noWrap/>
            <w:tcMar>
              <w:top w:w="0" w:type="dxa"/>
              <w:left w:w="0" w:type="dxa"/>
              <w:bottom w:w="0" w:type="dxa"/>
              <w:right w:w="0" w:type="dxa"/>
            </w:tcMar>
            <w:vAlign w:val="bottom"/>
            <w:hideMark/>
          </w:tcPr>
          <w:p w14:paraId="511A02FE" w14:textId="77777777" w:rsidR="00000000" w:rsidRDefault="00097612">
            <w:pPr>
              <w:pStyle w:val="a3"/>
              <w:spacing w:before="0" w:beforeAutospacing="0" w:after="0" w:afterAutospacing="0"/>
              <w:divId w:val="2075932970"/>
              <w:rPr>
                <w:sz w:val="20"/>
                <w:szCs w:val="20"/>
              </w:rPr>
            </w:pPr>
            <w:r>
              <w:rPr>
                <w:sz w:val="2"/>
                <w:szCs w:val="2"/>
              </w:rPr>
              <w:t>​</w:t>
            </w:r>
          </w:p>
        </w:tc>
        <w:tc>
          <w:tcPr>
            <w:tcW w:w="132" w:type="pct"/>
            <w:noWrap/>
            <w:tcMar>
              <w:top w:w="0" w:type="dxa"/>
              <w:left w:w="0" w:type="dxa"/>
              <w:bottom w:w="0" w:type="dxa"/>
              <w:right w:w="0" w:type="dxa"/>
            </w:tcMar>
            <w:vAlign w:val="bottom"/>
            <w:hideMark/>
          </w:tcPr>
          <w:p w14:paraId="6DF19ECA" w14:textId="77777777" w:rsidR="00000000" w:rsidRDefault="00097612">
            <w:pPr>
              <w:pStyle w:val="a3"/>
              <w:spacing w:before="0" w:beforeAutospacing="0" w:after="0" w:afterAutospacing="0"/>
              <w:divId w:val="2113745361"/>
              <w:rPr>
                <w:sz w:val="20"/>
                <w:szCs w:val="20"/>
              </w:rPr>
            </w:pPr>
            <w:r>
              <w:rPr>
                <w:sz w:val="2"/>
                <w:szCs w:val="2"/>
              </w:rPr>
              <w:t>​</w:t>
            </w:r>
          </w:p>
        </w:tc>
        <w:tc>
          <w:tcPr>
            <w:tcW w:w="79" w:type="pct"/>
            <w:noWrap/>
            <w:tcMar>
              <w:top w:w="0" w:type="dxa"/>
              <w:left w:w="0" w:type="dxa"/>
              <w:bottom w:w="0" w:type="dxa"/>
              <w:right w:w="0" w:type="dxa"/>
            </w:tcMar>
            <w:vAlign w:val="bottom"/>
            <w:hideMark/>
          </w:tcPr>
          <w:p w14:paraId="6965A763" w14:textId="77777777" w:rsidR="00000000" w:rsidRDefault="00097612">
            <w:pPr>
              <w:pStyle w:val="a3"/>
              <w:spacing w:before="0" w:beforeAutospacing="0" w:after="0" w:afterAutospacing="0"/>
              <w:divId w:val="1081678085"/>
              <w:rPr>
                <w:sz w:val="20"/>
                <w:szCs w:val="20"/>
              </w:rPr>
            </w:pPr>
            <w:r>
              <w:rPr>
                <w:sz w:val="2"/>
                <w:szCs w:val="2"/>
              </w:rPr>
              <w:t>​</w:t>
            </w:r>
          </w:p>
        </w:tc>
        <w:tc>
          <w:tcPr>
            <w:tcW w:w="49" w:type="pct"/>
            <w:noWrap/>
            <w:tcMar>
              <w:top w:w="0" w:type="dxa"/>
              <w:left w:w="0" w:type="dxa"/>
              <w:bottom w:w="0" w:type="dxa"/>
              <w:right w:w="0" w:type="dxa"/>
            </w:tcMar>
            <w:vAlign w:val="bottom"/>
            <w:hideMark/>
          </w:tcPr>
          <w:p w14:paraId="7BD3727A" w14:textId="77777777" w:rsidR="00000000" w:rsidRDefault="00097612">
            <w:pPr>
              <w:pStyle w:val="a3"/>
              <w:spacing w:before="0" w:beforeAutospacing="0" w:after="0" w:afterAutospacing="0"/>
              <w:divId w:val="934020298"/>
              <w:rPr>
                <w:sz w:val="20"/>
                <w:szCs w:val="20"/>
              </w:rPr>
            </w:pPr>
            <w:r>
              <w:rPr>
                <w:sz w:val="2"/>
                <w:szCs w:val="2"/>
              </w:rPr>
              <w:t>​</w:t>
            </w:r>
          </w:p>
        </w:tc>
        <w:tc>
          <w:tcPr>
            <w:tcW w:w="376" w:type="pct"/>
            <w:noWrap/>
            <w:tcMar>
              <w:top w:w="0" w:type="dxa"/>
              <w:left w:w="0" w:type="dxa"/>
              <w:bottom w:w="0" w:type="dxa"/>
              <w:right w:w="0" w:type="dxa"/>
            </w:tcMar>
            <w:vAlign w:val="bottom"/>
            <w:hideMark/>
          </w:tcPr>
          <w:p w14:paraId="79DBB9A3" w14:textId="77777777" w:rsidR="00000000" w:rsidRDefault="00097612">
            <w:pPr>
              <w:pStyle w:val="a3"/>
              <w:spacing w:before="0" w:beforeAutospacing="0" w:after="0" w:afterAutospacing="0"/>
              <w:divId w:val="662660097"/>
              <w:rPr>
                <w:sz w:val="20"/>
                <w:szCs w:val="20"/>
              </w:rPr>
            </w:pPr>
            <w:r>
              <w:rPr>
                <w:sz w:val="2"/>
                <w:szCs w:val="2"/>
              </w:rPr>
              <w:t>​</w:t>
            </w:r>
          </w:p>
        </w:tc>
        <w:tc>
          <w:tcPr>
            <w:tcW w:w="79" w:type="pct"/>
            <w:noWrap/>
            <w:tcMar>
              <w:top w:w="0" w:type="dxa"/>
              <w:left w:w="0" w:type="dxa"/>
              <w:bottom w:w="0" w:type="dxa"/>
              <w:right w:w="0" w:type="dxa"/>
            </w:tcMar>
            <w:vAlign w:val="bottom"/>
            <w:hideMark/>
          </w:tcPr>
          <w:p w14:paraId="7D6DA436" w14:textId="77777777" w:rsidR="00000000" w:rsidRDefault="00097612">
            <w:pPr>
              <w:pStyle w:val="a3"/>
              <w:spacing w:before="0" w:beforeAutospacing="0" w:after="0" w:afterAutospacing="0"/>
              <w:divId w:val="150560506"/>
              <w:rPr>
                <w:sz w:val="20"/>
                <w:szCs w:val="20"/>
              </w:rPr>
            </w:pPr>
            <w:r>
              <w:rPr>
                <w:sz w:val="2"/>
                <w:szCs w:val="2"/>
              </w:rPr>
              <w:t>​</w:t>
            </w:r>
          </w:p>
        </w:tc>
        <w:tc>
          <w:tcPr>
            <w:tcW w:w="49" w:type="pct"/>
            <w:noWrap/>
            <w:tcMar>
              <w:top w:w="0" w:type="dxa"/>
              <w:left w:w="0" w:type="dxa"/>
              <w:bottom w:w="0" w:type="dxa"/>
              <w:right w:w="0" w:type="dxa"/>
            </w:tcMar>
            <w:vAlign w:val="bottom"/>
            <w:hideMark/>
          </w:tcPr>
          <w:p w14:paraId="7241B183" w14:textId="77777777" w:rsidR="00000000" w:rsidRDefault="00097612">
            <w:pPr>
              <w:pStyle w:val="a3"/>
              <w:spacing w:before="0" w:beforeAutospacing="0" w:after="0" w:afterAutospacing="0"/>
              <w:divId w:val="1564680787"/>
              <w:rPr>
                <w:sz w:val="20"/>
                <w:szCs w:val="20"/>
              </w:rPr>
            </w:pPr>
            <w:r>
              <w:rPr>
                <w:sz w:val="2"/>
                <w:szCs w:val="2"/>
              </w:rPr>
              <w:t>​</w:t>
            </w:r>
          </w:p>
        </w:tc>
        <w:tc>
          <w:tcPr>
            <w:tcW w:w="376" w:type="pct"/>
            <w:noWrap/>
            <w:tcMar>
              <w:top w:w="0" w:type="dxa"/>
              <w:left w:w="0" w:type="dxa"/>
              <w:bottom w:w="0" w:type="dxa"/>
              <w:right w:w="0" w:type="dxa"/>
            </w:tcMar>
            <w:vAlign w:val="bottom"/>
            <w:hideMark/>
          </w:tcPr>
          <w:p w14:paraId="5D43DF35" w14:textId="77777777" w:rsidR="00000000" w:rsidRDefault="00097612">
            <w:pPr>
              <w:pStyle w:val="a3"/>
              <w:spacing w:before="0" w:beforeAutospacing="0" w:after="0" w:afterAutospacing="0"/>
              <w:divId w:val="396588723"/>
              <w:rPr>
                <w:sz w:val="20"/>
                <w:szCs w:val="20"/>
              </w:rPr>
            </w:pPr>
            <w:r>
              <w:rPr>
                <w:sz w:val="2"/>
                <w:szCs w:val="2"/>
              </w:rPr>
              <w:t>​</w:t>
            </w:r>
          </w:p>
        </w:tc>
        <w:tc>
          <w:tcPr>
            <w:tcW w:w="79" w:type="pct"/>
            <w:noWrap/>
            <w:tcMar>
              <w:top w:w="0" w:type="dxa"/>
              <w:left w:w="0" w:type="dxa"/>
              <w:bottom w:w="0" w:type="dxa"/>
              <w:right w:w="0" w:type="dxa"/>
            </w:tcMar>
            <w:vAlign w:val="bottom"/>
            <w:hideMark/>
          </w:tcPr>
          <w:p w14:paraId="0FD6CE65" w14:textId="77777777" w:rsidR="00000000" w:rsidRDefault="00097612">
            <w:pPr>
              <w:pStyle w:val="a3"/>
              <w:spacing w:before="0" w:beforeAutospacing="0" w:after="0" w:afterAutospacing="0"/>
              <w:divId w:val="714156335"/>
              <w:rPr>
                <w:sz w:val="20"/>
                <w:szCs w:val="20"/>
              </w:rPr>
            </w:pPr>
            <w:r>
              <w:rPr>
                <w:sz w:val="2"/>
                <w:szCs w:val="2"/>
              </w:rPr>
              <w:t>​</w:t>
            </w:r>
          </w:p>
        </w:tc>
        <w:tc>
          <w:tcPr>
            <w:tcW w:w="49" w:type="pct"/>
            <w:noWrap/>
            <w:tcMar>
              <w:top w:w="0" w:type="dxa"/>
              <w:left w:w="0" w:type="dxa"/>
              <w:bottom w:w="0" w:type="dxa"/>
              <w:right w:w="0" w:type="dxa"/>
            </w:tcMar>
            <w:vAlign w:val="bottom"/>
            <w:hideMark/>
          </w:tcPr>
          <w:p w14:paraId="3EB8BFE0" w14:textId="77777777" w:rsidR="00000000" w:rsidRDefault="00097612">
            <w:pPr>
              <w:pStyle w:val="a3"/>
              <w:spacing w:before="0" w:beforeAutospacing="0" w:after="0" w:afterAutospacing="0"/>
              <w:divId w:val="197747232"/>
              <w:rPr>
                <w:sz w:val="20"/>
                <w:szCs w:val="20"/>
              </w:rPr>
            </w:pPr>
            <w:r>
              <w:rPr>
                <w:sz w:val="2"/>
                <w:szCs w:val="2"/>
              </w:rPr>
              <w:t>​</w:t>
            </w:r>
          </w:p>
        </w:tc>
        <w:tc>
          <w:tcPr>
            <w:tcW w:w="327" w:type="pct"/>
            <w:noWrap/>
            <w:tcMar>
              <w:top w:w="0" w:type="dxa"/>
              <w:left w:w="0" w:type="dxa"/>
              <w:bottom w:w="0" w:type="dxa"/>
              <w:right w:w="0" w:type="dxa"/>
            </w:tcMar>
            <w:vAlign w:val="bottom"/>
            <w:hideMark/>
          </w:tcPr>
          <w:p w14:paraId="50A5BD48" w14:textId="77777777" w:rsidR="00000000" w:rsidRDefault="00097612">
            <w:pPr>
              <w:pStyle w:val="a3"/>
              <w:spacing w:before="0" w:beforeAutospacing="0" w:after="0" w:afterAutospacing="0"/>
              <w:divId w:val="1801344549"/>
              <w:rPr>
                <w:sz w:val="20"/>
                <w:szCs w:val="20"/>
              </w:rPr>
            </w:pPr>
            <w:r>
              <w:rPr>
                <w:sz w:val="2"/>
                <w:szCs w:val="2"/>
              </w:rPr>
              <w:t>​</w:t>
            </w:r>
          </w:p>
        </w:tc>
        <w:tc>
          <w:tcPr>
            <w:tcW w:w="79" w:type="pct"/>
            <w:noWrap/>
            <w:tcMar>
              <w:top w:w="0" w:type="dxa"/>
              <w:left w:w="0" w:type="dxa"/>
              <w:bottom w:w="0" w:type="dxa"/>
              <w:right w:w="0" w:type="dxa"/>
            </w:tcMar>
            <w:vAlign w:val="bottom"/>
            <w:hideMark/>
          </w:tcPr>
          <w:p w14:paraId="015B42E2" w14:textId="77777777" w:rsidR="00000000" w:rsidRDefault="00097612">
            <w:pPr>
              <w:pStyle w:val="a3"/>
              <w:spacing w:before="0" w:beforeAutospacing="0" w:after="0" w:afterAutospacing="0"/>
              <w:divId w:val="1236821617"/>
              <w:rPr>
                <w:sz w:val="20"/>
                <w:szCs w:val="20"/>
              </w:rPr>
            </w:pPr>
            <w:r>
              <w:rPr>
                <w:sz w:val="2"/>
                <w:szCs w:val="2"/>
              </w:rPr>
              <w:t>​</w:t>
            </w:r>
          </w:p>
        </w:tc>
        <w:tc>
          <w:tcPr>
            <w:tcW w:w="153" w:type="pct"/>
            <w:noWrap/>
            <w:tcMar>
              <w:top w:w="0" w:type="dxa"/>
              <w:left w:w="0" w:type="dxa"/>
              <w:bottom w:w="0" w:type="dxa"/>
              <w:right w:w="0" w:type="dxa"/>
            </w:tcMar>
            <w:vAlign w:val="bottom"/>
            <w:hideMark/>
          </w:tcPr>
          <w:p w14:paraId="252195C5" w14:textId="77777777" w:rsidR="00000000" w:rsidRDefault="00097612">
            <w:pPr>
              <w:pStyle w:val="a3"/>
              <w:spacing w:before="0" w:beforeAutospacing="0" w:after="0" w:afterAutospacing="0"/>
              <w:divId w:val="1152065074"/>
              <w:rPr>
                <w:sz w:val="20"/>
                <w:szCs w:val="20"/>
              </w:rPr>
            </w:pPr>
            <w:r>
              <w:rPr>
                <w:sz w:val="2"/>
                <w:szCs w:val="2"/>
              </w:rPr>
              <w:t>​</w:t>
            </w:r>
          </w:p>
        </w:tc>
        <w:tc>
          <w:tcPr>
            <w:tcW w:w="132" w:type="pct"/>
            <w:noWrap/>
            <w:tcMar>
              <w:top w:w="0" w:type="dxa"/>
              <w:left w:w="0" w:type="dxa"/>
              <w:bottom w:w="0" w:type="dxa"/>
              <w:right w:w="0" w:type="dxa"/>
            </w:tcMar>
            <w:vAlign w:val="bottom"/>
            <w:hideMark/>
          </w:tcPr>
          <w:p w14:paraId="147B6CDA" w14:textId="77777777" w:rsidR="00000000" w:rsidRDefault="00097612">
            <w:pPr>
              <w:pStyle w:val="a3"/>
              <w:spacing w:before="0" w:beforeAutospacing="0" w:after="0" w:afterAutospacing="0"/>
              <w:divId w:val="654067546"/>
              <w:rPr>
                <w:sz w:val="20"/>
                <w:szCs w:val="20"/>
              </w:rPr>
            </w:pPr>
            <w:r>
              <w:rPr>
                <w:sz w:val="2"/>
                <w:szCs w:val="2"/>
              </w:rPr>
              <w:t>​</w:t>
            </w:r>
          </w:p>
        </w:tc>
      </w:tr>
      <w:tr w:rsidR="00000000" w14:paraId="5B0C1ACB" w14:textId="77777777">
        <w:trPr>
          <w:divId w:val="569077818"/>
        </w:trPr>
        <w:tc>
          <w:tcPr>
            <w:tcW w:w="1407" w:type="pct"/>
            <w:shd w:val="clear" w:color="auto" w:fill="auto"/>
            <w:tcMar>
              <w:top w:w="0" w:type="dxa"/>
              <w:left w:w="0" w:type="dxa"/>
              <w:bottom w:w="0" w:type="dxa"/>
              <w:right w:w="0" w:type="dxa"/>
            </w:tcMar>
            <w:vAlign w:val="bottom"/>
            <w:hideMark/>
          </w:tcPr>
          <w:p w14:paraId="02206D38"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310AB6E4" w14:textId="77777777" w:rsidR="00000000" w:rsidRDefault="00097612">
            <w:pPr>
              <w:pStyle w:val="a3"/>
              <w:spacing w:before="0" w:beforeAutospacing="0" w:after="0" w:afterAutospacing="0"/>
              <w:jc w:val="center"/>
              <w:rPr>
                <w:sz w:val="20"/>
                <w:szCs w:val="20"/>
              </w:rPr>
            </w:pPr>
            <w:r>
              <w:rPr>
                <w:b/>
                <w:bCs/>
                <w:sz w:val="16"/>
                <w:szCs w:val="16"/>
              </w:rPr>
              <w:t>​</w:t>
            </w:r>
          </w:p>
        </w:tc>
        <w:tc>
          <w:tcPr>
            <w:tcW w:w="833" w:type="pct"/>
            <w:gridSpan w:val="5"/>
            <w:shd w:val="clear" w:color="auto" w:fill="auto"/>
            <w:noWrap/>
            <w:tcMar>
              <w:top w:w="0" w:type="dxa"/>
              <w:left w:w="0" w:type="dxa"/>
              <w:bottom w:w="0" w:type="dxa"/>
              <w:right w:w="0" w:type="dxa"/>
            </w:tcMar>
            <w:vAlign w:val="bottom"/>
            <w:hideMark/>
          </w:tcPr>
          <w:p w14:paraId="03170F7E"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79" w:type="pct"/>
            <w:shd w:val="clear" w:color="auto" w:fill="auto"/>
            <w:noWrap/>
            <w:tcMar>
              <w:top w:w="0" w:type="dxa"/>
              <w:left w:w="0" w:type="dxa"/>
              <w:bottom w:w="0" w:type="dxa"/>
              <w:right w:w="0" w:type="dxa"/>
            </w:tcMar>
            <w:vAlign w:val="bottom"/>
            <w:hideMark/>
          </w:tcPr>
          <w:p w14:paraId="26BA03E8" w14:textId="77777777" w:rsidR="00000000" w:rsidRDefault="00097612">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4934986D" w14:textId="77777777" w:rsidR="00000000" w:rsidRDefault="00097612">
            <w:pPr>
              <w:pStyle w:val="a3"/>
              <w:spacing w:before="0" w:beforeAutospacing="0" w:after="0" w:afterAutospacing="0"/>
              <w:jc w:val="center"/>
              <w:rPr>
                <w:sz w:val="20"/>
                <w:szCs w:val="20"/>
              </w:rPr>
            </w:pPr>
            <w:r>
              <w:rPr>
                <w:sz w:val="16"/>
                <w:szCs w:val="16"/>
              </w:rPr>
              <w:t>​</w:t>
            </w:r>
          </w:p>
        </w:tc>
        <w:tc>
          <w:tcPr>
            <w:tcW w:w="314" w:type="pct"/>
            <w:shd w:val="clear" w:color="auto" w:fill="auto"/>
            <w:noWrap/>
            <w:tcMar>
              <w:top w:w="0" w:type="dxa"/>
              <w:left w:w="0" w:type="dxa"/>
              <w:bottom w:w="0" w:type="dxa"/>
              <w:right w:w="0" w:type="dxa"/>
            </w:tcMar>
            <w:vAlign w:val="bottom"/>
            <w:hideMark/>
          </w:tcPr>
          <w:p w14:paraId="01C86079"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7F29B162" w14:textId="77777777" w:rsidR="00000000" w:rsidRDefault="00097612">
            <w:pPr>
              <w:pStyle w:val="a3"/>
              <w:spacing w:before="0" w:beforeAutospacing="0" w:after="0" w:afterAutospacing="0"/>
              <w:jc w:val="center"/>
              <w:rPr>
                <w:sz w:val="20"/>
                <w:szCs w:val="20"/>
              </w:rPr>
            </w:pPr>
            <w:r>
              <w:rPr>
                <w:sz w:val="16"/>
                <w:szCs w:val="16"/>
              </w:rPr>
              <w:t>​</w:t>
            </w:r>
          </w:p>
        </w:tc>
        <w:tc>
          <w:tcPr>
            <w:tcW w:w="190" w:type="pct"/>
            <w:shd w:val="clear" w:color="auto" w:fill="auto"/>
            <w:noWrap/>
            <w:tcMar>
              <w:top w:w="0" w:type="dxa"/>
              <w:left w:w="0" w:type="dxa"/>
              <w:bottom w:w="0" w:type="dxa"/>
              <w:right w:w="0" w:type="dxa"/>
            </w:tcMar>
            <w:vAlign w:val="bottom"/>
            <w:hideMark/>
          </w:tcPr>
          <w:p w14:paraId="7D86FBFB" w14:textId="77777777" w:rsidR="00000000" w:rsidRDefault="00097612">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14:paraId="3E7DB502"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7795EC0F" w14:textId="77777777" w:rsidR="00000000" w:rsidRDefault="00097612">
            <w:pPr>
              <w:pStyle w:val="a3"/>
              <w:spacing w:before="0" w:beforeAutospacing="0" w:after="0" w:afterAutospacing="0"/>
              <w:jc w:val="center"/>
              <w:rPr>
                <w:sz w:val="20"/>
                <w:szCs w:val="20"/>
              </w:rPr>
            </w:pPr>
            <w:r>
              <w:rPr>
                <w:b/>
                <w:bCs/>
                <w:sz w:val="16"/>
                <w:szCs w:val="16"/>
              </w:rPr>
              <w:t>​</w:t>
            </w:r>
          </w:p>
        </w:tc>
        <w:tc>
          <w:tcPr>
            <w:tcW w:w="932" w:type="pct"/>
            <w:gridSpan w:val="5"/>
            <w:shd w:val="clear" w:color="auto" w:fill="auto"/>
            <w:noWrap/>
            <w:tcMar>
              <w:top w:w="0" w:type="dxa"/>
              <w:left w:w="0" w:type="dxa"/>
              <w:bottom w:w="0" w:type="dxa"/>
              <w:right w:w="0" w:type="dxa"/>
            </w:tcMar>
            <w:vAlign w:val="bottom"/>
            <w:hideMark/>
          </w:tcPr>
          <w:p w14:paraId="4D8DEF96"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79" w:type="pct"/>
            <w:shd w:val="clear" w:color="auto" w:fill="auto"/>
            <w:noWrap/>
            <w:tcMar>
              <w:top w:w="0" w:type="dxa"/>
              <w:left w:w="0" w:type="dxa"/>
              <w:bottom w:w="0" w:type="dxa"/>
              <w:right w:w="0" w:type="dxa"/>
            </w:tcMar>
            <w:vAlign w:val="bottom"/>
            <w:hideMark/>
          </w:tcPr>
          <w:p w14:paraId="592D3C4F" w14:textId="77777777" w:rsidR="00000000" w:rsidRDefault="00097612">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376F9557" w14:textId="77777777" w:rsidR="00000000" w:rsidRDefault="00097612">
            <w:pPr>
              <w:pStyle w:val="a3"/>
              <w:spacing w:before="0" w:beforeAutospacing="0" w:after="0" w:afterAutospacing="0"/>
              <w:jc w:val="center"/>
              <w:rPr>
                <w:sz w:val="20"/>
                <w:szCs w:val="20"/>
              </w:rPr>
            </w:pPr>
            <w:r>
              <w:rPr>
                <w:sz w:val="16"/>
                <w:szCs w:val="16"/>
              </w:rPr>
              <w:t>​</w:t>
            </w:r>
          </w:p>
        </w:tc>
        <w:tc>
          <w:tcPr>
            <w:tcW w:w="327" w:type="pct"/>
            <w:shd w:val="clear" w:color="auto" w:fill="auto"/>
            <w:noWrap/>
            <w:tcMar>
              <w:top w:w="0" w:type="dxa"/>
              <w:left w:w="0" w:type="dxa"/>
              <w:bottom w:w="0" w:type="dxa"/>
              <w:right w:w="0" w:type="dxa"/>
            </w:tcMar>
            <w:vAlign w:val="bottom"/>
            <w:hideMark/>
          </w:tcPr>
          <w:p w14:paraId="4EC100FF"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5D502109" w14:textId="77777777" w:rsidR="00000000" w:rsidRDefault="00097612">
            <w:pPr>
              <w:pStyle w:val="a3"/>
              <w:spacing w:before="0" w:beforeAutospacing="0" w:after="0" w:afterAutospacing="0"/>
              <w:jc w:val="center"/>
              <w:rPr>
                <w:sz w:val="20"/>
                <w:szCs w:val="20"/>
              </w:rPr>
            </w:pPr>
            <w:r>
              <w:rPr>
                <w:sz w:val="16"/>
                <w:szCs w:val="16"/>
              </w:rPr>
              <w:t>​</w:t>
            </w:r>
          </w:p>
        </w:tc>
        <w:tc>
          <w:tcPr>
            <w:tcW w:w="153" w:type="pct"/>
            <w:shd w:val="clear" w:color="auto" w:fill="auto"/>
            <w:noWrap/>
            <w:tcMar>
              <w:top w:w="0" w:type="dxa"/>
              <w:left w:w="0" w:type="dxa"/>
              <w:bottom w:w="0" w:type="dxa"/>
              <w:right w:w="0" w:type="dxa"/>
            </w:tcMar>
            <w:vAlign w:val="bottom"/>
            <w:hideMark/>
          </w:tcPr>
          <w:p w14:paraId="66102D69" w14:textId="77777777" w:rsidR="00000000" w:rsidRDefault="00097612">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14:paraId="15AAF881" w14:textId="77777777" w:rsidR="00000000" w:rsidRDefault="00097612">
            <w:pPr>
              <w:pStyle w:val="a3"/>
              <w:spacing w:before="0" w:beforeAutospacing="0" w:after="0" w:afterAutospacing="0"/>
              <w:jc w:val="center"/>
              <w:rPr>
                <w:sz w:val="20"/>
                <w:szCs w:val="20"/>
              </w:rPr>
            </w:pPr>
            <w:r>
              <w:rPr>
                <w:sz w:val="16"/>
                <w:szCs w:val="16"/>
              </w:rPr>
              <w:t>​</w:t>
            </w:r>
          </w:p>
        </w:tc>
      </w:tr>
      <w:tr w:rsidR="00000000" w14:paraId="32E7D4FF" w14:textId="77777777">
        <w:trPr>
          <w:divId w:val="569077818"/>
        </w:trPr>
        <w:tc>
          <w:tcPr>
            <w:tcW w:w="1407" w:type="pct"/>
            <w:shd w:val="clear" w:color="auto" w:fill="auto"/>
            <w:tcMar>
              <w:top w:w="0" w:type="dxa"/>
              <w:left w:w="0" w:type="dxa"/>
              <w:bottom w:w="0" w:type="dxa"/>
              <w:right w:w="0" w:type="dxa"/>
            </w:tcMar>
            <w:vAlign w:val="bottom"/>
            <w:hideMark/>
          </w:tcPr>
          <w:p w14:paraId="7A6CC4D8"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39C89046" w14:textId="77777777" w:rsidR="00000000" w:rsidRDefault="00097612">
            <w:pPr>
              <w:pStyle w:val="a3"/>
              <w:spacing w:before="0" w:beforeAutospacing="0" w:after="0" w:afterAutospacing="0"/>
              <w:jc w:val="center"/>
              <w:rPr>
                <w:sz w:val="20"/>
                <w:szCs w:val="20"/>
              </w:rPr>
            </w:pPr>
            <w:r>
              <w:rPr>
                <w:b/>
                <w:bCs/>
                <w:sz w:val="16"/>
                <w:szCs w:val="16"/>
              </w:rPr>
              <w:t>​</w:t>
            </w:r>
          </w:p>
        </w:tc>
        <w:tc>
          <w:tcPr>
            <w:tcW w:w="833" w:type="pct"/>
            <w:gridSpan w:val="5"/>
            <w:tcBorders>
              <w:bottom w:val="single" w:sz="6" w:space="0" w:color="000000"/>
            </w:tcBorders>
            <w:shd w:val="clear" w:color="auto" w:fill="auto"/>
            <w:noWrap/>
            <w:tcMar>
              <w:top w:w="0" w:type="dxa"/>
              <w:left w:w="0" w:type="dxa"/>
              <w:bottom w:w="0" w:type="dxa"/>
              <w:right w:w="0" w:type="dxa"/>
            </w:tcMar>
            <w:vAlign w:val="bottom"/>
            <w:hideMark/>
          </w:tcPr>
          <w:p w14:paraId="5E53A65E"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4A22554A" w14:textId="77777777" w:rsidR="00000000" w:rsidRDefault="00097612">
            <w:pPr>
              <w:pStyle w:val="a3"/>
              <w:spacing w:before="0" w:beforeAutospacing="0" w:after="0" w:afterAutospacing="0"/>
              <w:rPr>
                <w:sz w:val="20"/>
                <w:szCs w:val="20"/>
              </w:rPr>
            </w:pPr>
            <w:r>
              <w:rPr>
                <w:b/>
                <w:bCs/>
                <w:sz w:val="16"/>
                <w:szCs w:val="16"/>
              </w:rPr>
              <w:t>​</w:t>
            </w:r>
          </w:p>
        </w:tc>
        <w:tc>
          <w:tcPr>
            <w:tcW w:w="633" w:type="pct"/>
            <w:gridSpan w:val="4"/>
            <w:tcBorders>
              <w:bottom w:val="single" w:sz="6" w:space="0" w:color="000000"/>
            </w:tcBorders>
            <w:shd w:val="clear" w:color="auto" w:fill="auto"/>
            <w:noWrap/>
            <w:tcMar>
              <w:top w:w="0" w:type="dxa"/>
              <w:left w:w="0" w:type="dxa"/>
              <w:bottom w:w="0" w:type="dxa"/>
              <w:right w:w="0" w:type="dxa"/>
            </w:tcMar>
            <w:vAlign w:val="bottom"/>
            <w:hideMark/>
          </w:tcPr>
          <w:p w14:paraId="222EDC5D" w14:textId="77777777" w:rsidR="00000000" w:rsidRDefault="00097612">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14:paraId="7AC8A583"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7E828899" w14:textId="77777777" w:rsidR="00000000" w:rsidRDefault="00097612">
            <w:pPr>
              <w:pStyle w:val="a3"/>
              <w:spacing w:before="0" w:beforeAutospacing="0" w:after="0" w:afterAutospacing="0"/>
              <w:jc w:val="center"/>
              <w:rPr>
                <w:sz w:val="20"/>
                <w:szCs w:val="20"/>
              </w:rPr>
            </w:pPr>
            <w:r>
              <w:rPr>
                <w:b/>
                <w:bCs/>
                <w:sz w:val="16"/>
                <w:szCs w:val="16"/>
              </w:rPr>
              <w:t>​</w:t>
            </w:r>
          </w:p>
        </w:tc>
        <w:tc>
          <w:tcPr>
            <w:tcW w:w="932" w:type="pct"/>
            <w:gridSpan w:val="5"/>
            <w:tcBorders>
              <w:bottom w:val="single" w:sz="6" w:space="0" w:color="000000"/>
            </w:tcBorders>
            <w:shd w:val="clear" w:color="auto" w:fill="auto"/>
            <w:noWrap/>
            <w:tcMar>
              <w:top w:w="0" w:type="dxa"/>
              <w:left w:w="0" w:type="dxa"/>
              <w:bottom w:w="0" w:type="dxa"/>
              <w:right w:w="0" w:type="dxa"/>
            </w:tcMar>
            <w:vAlign w:val="bottom"/>
            <w:hideMark/>
          </w:tcPr>
          <w:p w14:paraId="70BF5914"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77C94C13" w14:textId="77777777" w:rsidR="00000000" w:rsidRDefault="00097612">
            <w:pPr>
              <w:pStyle w:val="a3"/>
              <w:spacing w:before="0" w:beforeAutospacing="0" w:after="0" w:afterAutospacing="0"/>
              <w:jc w:val="center"/>
              <w:rPr>
                <w:sz w:val="20"/>
                <w:szCs w:val="20"/>
              </w:rPr>
            </w:pPr>
            <w:r>
              <w:rPr>
                <w:b/>
                <w:bCs/>
                <w:sz w:val="16"/>
                <w:szCs w:val="16"/>
              </w:rPr>
              <w:t>​</w:t>
            </w:r>
          </w:p>
        </w:tc>
        <w:tc>
          <w:tcPr>
            <w:tcW w:w="610" w:type="pct"/>
            <w:gridSpan w:val="4"/>
            <w:tcBorders>
              <w:bottom w:val="single" w:sz="6" w:space="0" w:color="000000"/>
            </w:tcBorders>
            <w:shd w:val="clear" w:color="auto" w:fill="auto"/>
            <w:noWrap/>
            <w:tcMar>
              <w:top w:w="0" w:type="dxa"/>
              <w:left w:w="0" w:type="dxa"/>
              <w:bottom w:w="0" w:type="dxa"/>
              <w:right w:w="0" w:type="dxa"/>
            </w:tcMar>
            <w:vAlign w:val="bottom"/>
            <w:hideMark/>
          </w:tcPr>
          <w:p w14:paraId="00785FD4" w14:textId="77777777" w:rsidR="00000000" w:rsidRDefault="00097612">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14:paraId="25010349" w14:textId="77777777" w:rsidR="00000000" w:rsidRDefault="00097612">
            <w:pPr>
              <w:pStyle w:val="a3"/>
              <w:spacing w:before="0" w:beforeAutospacing="0" w:after="0" w:afterAutospacing="0"/>
              <w:jc w:val="center"/>
              <w:rPr>
                <w:sz w:val="20"/>
                <w:szCs w:val="20"/>
              </w:rPr>
            </w:pPr>
            <w:r>
              <w:rPr>
                <w:b/>
                <w:bCs/>
                <w:sz w:val="16"/>
                <w:szCs w:val="16"/>
              </w:rPr>
              <w:t>​</w:t>
            </w:r>
          </w:p>
        </w:tc>
      </w:tr>
      <w:tr w:rsidR="00000000" w14:paraId="0B21097E" w14:textId="77777777">
        <w:trPr>
          <w:divId w:val="569077818"/>
        </w:trPr>
        <w:tc>
          <w:tcPr>
            <w:tcW w:w="1407" w:type="pct"/>
            <w:tcBorders>
              <w:bottom w:val="single" w:sz="6" w:space="0" w:color="000000"/>
            </w:tcBorders>
            <w:shd w:val="clear" w:color="auto" w:fill="auto"/>
            <w:tcMar>
              <w:top w:w="0" w:type="dxa"/>
              <w:left w:w="0" w:type="dxa"/>
              <w:bottom w:w="0" w:type="dxa"/>
              <w:right w:w="0" w:type="dxa"/>
            </w:tcMar>
            <w:vAlign w:val="bottom"/>
            <w:hideMark/>
          </w:tcPr>
          <w:p w14:paraId="02E318F0" w14:textId="77777777" w:rsidR="00000000" w:rsidRDefault="00097612">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14:paraId="5D40664C" w14:textId="77777777" w:rsidR="00000000" w:rsidRDefault="00097612">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14:paraId="0AA14F2A" w14:textId="77777777" w:rsidR="00000000" w:rsidRDefault="00097612">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14:paraId="6966AD03" w14:textId="77777777" w:rsidR="00000000" w:rsidRDefault="00097612">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14:paraId="2308331E"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0C9DD660" w14:textId="77777777" w:rsidR="00000000" w:rsidRDefault="00097612">
            <w:pPr>
              <w:pStyle w:val="a3"/>
              <w:spacing w:before="0" w:beforeAutospacing="0" w:after="0" w:afterAutospacing="0"/>
              <w:jc w:val="center"/>
              <w:rPr>
                <w:sz w:val="16"/>
                <w:szCs w:val="16"/>
              </w:rPr>
            </w:pPr>
            <w:r>
              <w:rPr>
                <w:b/>
                <w:bCs/>
                <w:sz w:val="16"/>
                <w:szCs w:val="16"/>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14:paraId="1E35D780" w14:textId="77777777" w:rsidR="00000000" w:rsidRDefault="00097612">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12990CF0" w14:textId="77777777" w:rsidR="00000000" w:rsidRDefault="00097612">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shd w:val="clear" w:color="auto" w:fill="auto"/>
            <w:noWrap/>
            <w:tcMar>
              <w:top w:w="0" w:type="dxa"/>
              <w:left w:w="0" w:type="dxa"/>
              <w:bottom w:w="0" w:type="dxa"/>
              <w:right w:w="0" w:type="dxa"/>
            </w:tcMar>
            <w:vAlign w:val="bottom"/>
            <w:hideMark/>
          </w:tcPr>
          <w:p w14:paraId="149218F3" w14:textId="77777777" w:rsidR="00000000" w:rsidRDefault="00097612">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14:paraId="43D3D9E0" w14:textId="77777777" w:rsidR="00000000" w:rsidRDefault="00097612">
            <w:pPr>
              <w:pStyle w:val="a3"/>
              <w:spacing w:before="0" w:beforeAutospacing="0" w:after="0" w:afterAutospacing="0"/>
              <w:jc w:val="center"/>
              <w:rPr>
                <w:sz w:val="16"/>
                <w:szCs w:val="16"/>
              </w:rPr>
            </w:pPr>
            <w:r>
              <w:rPr>
                <w:b/>
                <w:bCs/>
                <w:sz w:val="16"/>
                <w:szCs w:val="16"/>
              </w:rPr>
              <w:t>    </w:t>
            </w:r>
          </w:p>
        </w:tc>
        <w:tc>
          <w:tcPr>
            <w:tcW w:w="79" w:type="pct"/>
            <w:shd w:val="clear" w:color="auto" w:fill="auto"/>
            <w:noWrap/>
            <w:tcMar>
              <w:top w:w="0" w:type="dxa"/>
              <w:left w:w="0" w:type="dxa"/>
              <w:bottom w:w="0" w:type="dxa"/>
              <w:right w:w="0" w:type="dxa"/>
            </w:tcMar>
            <w:vAlign w:val="bottom"/>
            <w:hideMark/>
          </w:tcPr>
          <w:p w14:paraId="315A37AC" w14:textId="77777777" w:rsidR="00000000" w:rsidRDefault="00097612">
            <w:pPr>
              <w:pStyle w:val="a3"/>
              <w:spacing w:before="0" w:beforeAutospacing="0" w:after="0" w:afterAutospacing="0"/>
              <w:jc w:val="center"/>
              <w:rPr>
                <w:sz w:val="16"/>
                <w:szCs w:val="16"/>
              </w:rPr>
            </w:pPr>
            <w:r>
              <w:rPr>
                <w:b/>
                <w:bCs/>
                <w:sz w:val="16"/>
                <w:szCs w:val="16"/>
              </w:rPr>
              <w:t>    </w:t>
            </w:r>
          </w:p>
        </w:tc>
        <w:tc>
          <w:tcPr>
            <w:tcW w:w="426" w:type="pct"/>
            <w:gridSpan w:val="2"/>
            <w:tcBorders>
              <w:bottom w:val="single" w:sz="6" w:space="0" w:color="000000"/>
            </w:tcBorders>
            <w:shd w:val="clear" w:color="auto" w:fill="auto"/>
            <w:noWrap/>
            <w:tcMar>
              <w:top w:w="0" w:type="dxa"/>
              <w:left w:w="0" w:type="dxa"/>
              <w:bottom w:w="0" w:type="dxa"/>
              <w:right w:w="0" w:type="dxa"/>
            </w:tcMar>
            <w:vAlign w:val="bottom"/>
            <w:hideMark/>
          </w:tcPr>
          <w:p w14:paraId="6D169E65" w14:textId="77777777" w:rsidR="00000000" w:rsidRDefault="00097612">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14:paraId="17C76B86" w14:textId="77777777" w:rsidR="00000000" w:rsidRDefault="00097612">
            <w:pPr>
              <w:pStyle w:val="a3"/>
              <w:spacing w:before="0" w:beforeAutospacing="0" w:after="0" w:afterAutospacing="0"/>
              <w:jc w:val="center"/>
              <w:rPr>
                <w:sz w:val="16"/>
                <w:szCs w:val="16"/>
              </w:rPr>
            </w:pPr>
            <w:r>
              <w:rPr>
                <w:b/>
                <w:bCs/>
                <w:sz w:val="16"/>
                <w:szCs w:val="16"/>
              </w:rPr>
              <w:t>    </w:t>
            </w:r>
          </w:p>
        </w:tc>
        <w:tc>
          <w:tcPr>
            <w:tcW w:w="426" w:type="pct"/>
            <w:gridSpan w:val="2"/>
            <w:tcBorders>
              <w:bottom w:val="single" w:sz="6" w:space="0" w:color="000000"/>
            </w:tcBorders>
            <w:shd w:val="clear" w:color="auto" w:fill="auto"/>
            <w:noWrap/>
            <w:tcMar>
              <w:top w:w="0" w:type="dxa"/>
              <w:left w:w="0" w:type="dxa"/>
              <w:bottom w:w="0" w:type="dxa"/>
              <w:right w:w="0" w:type="dxa"/>
            </w:tcMar>
            <w:vAlign w:val="bottom"/>
            <w:hideMark/>
          </w:tcPr>
          <w:p w14:paraId="5874BDA2"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119BD469" w14:textId="77777777" w:rsidR="00000000" w:rsidRDefault="00097612">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14:paraId="22306A7B" w14:textId="77777777" w:rsidR="00000000" w:rsidRDefault="00097612">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3671BC36" w14:textId="77777777" w:rsidR="00000000" w:rsidRDefault="00097612">
            <w:pPr>
              <w:pStyle w:val="a3"/>
              <w:spacing w:before="0" w:beforeAutospacing="0" w:after="0" w:afterAutospacing="0"/>
              <w:jc w:val="center"/>
              <w:rPr>
                <w:sz w:val="16"/>
                <w:szCs w:val="16"/>
              </w:rPr>
            </w:pPr>
            <w:r>
              <w:rPr>
                <w:b/>
                <w:bCs/>
                <w:sz w:val="16"/>
                <w:szCs w:val="16"/>
              </w:rPr>
              <w:t>    </w:t>
            </w:r>
          </w:p>
        </w:tc>
        <w:tc>
          <w:tcPr>
            <w:tcW w:w="153" w:type="pct"/>
            <w:tcBorders>
              <w:bottom w:val="single" w:sz="6" w:space="0" w:color="000000"/>
            </w:tcBorders>
            <w:shd w:val="clear" w:color="auto" w:fill="auto"/>
            <w:noWrap/>
            <w:tcMar>
              <w:top w:w="0" w:type="dxa"/>
              <w:left w:w="0" w:type="dxa"/>
              <w:bottom w:w="0" w:type="dxa"/>
              <w:right w:w="0" w:type="dxa"/>
            </w:tcMar>
            <w:vAlign w:val="bottom"/>
            <w:hideMark/>
          </w:tcPr>
          <w:p w14:paraId="444E410E" w14:textId="77777777" w:rsidR="00000000" w:rsidRDefault="00097612">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14:paraId="09227CF9" w14:textId="77777777" w:rsidR="00000000" w:rsidRDefault="00097612">
            <w:pPr>
              <w:pStyle w:val="a3"/>
              <w:spacing w:before="0" w:beforeAutospacing="0" w:after="0" w:afterAutospacing="0"/>
              <w:jc w:val="center"/>
              <w:rPr>
                <w:sz w:val="16"/>
                <w:szCs w:val="16"/>
              </w:rPr>
            </w:pPr>
            <w:r>
              <w:rPr>
                <w:b/>
                <w:bCs/>
                <w:sz w:val="16"/>
                <w:szCs w:val="16"/>
              </w:rPr>
              <w:t>    </w:t>
            </w:r>
          </w:p>
        </w:tc>
      </w:tr>
      <w:tr w:rsidR="00000000" w14:paraId="18948B8A" w14:textId="77777777">
        <w:trPr>
          <w:divId w:val="569077818"/>
        </w:trPr>
        <w:tc>
          <w:tcPr>
            <w:tcW w:w="1407" w:type="pct"/>
            <w:shd w:val="clear" w:color="auto" w:fill="CCEEFF"/>
            <w:tcMar>
              <w:top w:w="0" w:type="dxa"/>
              <w:left w:w="0" w:type="dxa"/>
              <w:bottom w:w="0" w:type="dxa"/>
              <w:right w:w="0" w:type="dxa"/>
            </w:tcMar>
            <w:vAlign w:val="bottom"/>
            <w:hideMark/>
          </w:tcPr>
          <w:p w14:paraId="0D75E09F" w14:textId="77777777" w:rsidR="00000000" w:rsidRDefault="00097612">
            <w:pPr>
              <w:pStyle w:val="a3"/>
              <w:spacing w:before="0" w:beforeAutospacing="0" w:after="0" w:afterAutospacing="0"/>
              <w:rPr>
                <w:sz w:val="20"/>
                <w:szCs w:val="20"/>
              </w:rPr>
            </w:pPr>
            <w:r>
              <w:rPr>
                <w:sz w:val="20"/>
                <w:szCs w:val="20"/>
              </w:rPr>
              <w:t>Employee-related</w:t>
            </w:r>
          </w:p>
        </w:tc>
        <w:tc>
          <w:tcPr>
            <w:tcW w:w="79" w:type="pct"/>
            <w:shd w:val="clear" w:color="auto" w:fill="CCEEFF"/>
            <w:noWrap/>
            <w:tcMar>
              <w:top w:w="0" w:type="dxa"/>
              <w:left w:w="0" w:type="dxa"/>
              <w:bottom w:w="0" w:type="dxa"/>
              <w:right w:w="0" w:type="dxa"/>
            </w:tcMar>
            <w:vAlign w:val="bottom"/>
            <w:hideMark/>
          </w:tcPr>
          <w:p w14:paraId="7E36EFED"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1C9F51D5" w14:textId="77777777" w:rsidR="00000000" w:rsidRDefault="00097612">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2713203D" w14:textId="77777777" w:rsidR="00000000" w:rsidRDefault="00097612">
            <w:pPr>
              <w:pStyle w:val="a3"/>
              <w:spacing w:before="0" w:beforeAutospacing="0" w:after="0" w:afterAutospacing="0"/>
              <w:ind w:right="60"/>
              <w:jc w:val="right"/>
              <w:rPr>
                <w:sz w:val="20"/>
                <w:szCs w:val="20"/>
              </w:rPr>
            </w:pPr>
            <w:r>
              <w:rPr>
                <w:sz w:val="20"/>
                <w:szCs w:val="20"/>
              </w:rPr>
              <w:t>12,46</w:t>
            </w:r>
            <w:r>
              <w:rPr>
                <w:sz w:val="20"/>
                <w:szCs w:val="20"/>
              </w:rPr>
              <w:t>9</w:t>
            </w:r>
          </w:p>
        </w:tc>
        <w:tc>
          <w:tcPr>
            <w:tcW w:w="79" w:type="pct"/>
            <w:shd w:val="clear" w:color="auto" w:fill="CCEEFF"/>
            <w:noWrap/>
            <w:tcMar>
              <w:top w:w="0" w:type="dxa"/>
              <w:left w:w="0" w:type="dxa"/>
              <w:bottom w:w="0" w:type="dxa"/>
              <w:right w:w="0" w:type="dxa"/>
            </w:tcMar>
            <w:vAlign w:val="bottom"/>
            <w:hideMark/>
          </w:tcPr>
          <w:p w14:paraId="23C87F0E"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DBF0D15" w14:textId="77777777" w:rsidR="00000000" w:rsidRDefault="00097612">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0565C609" w14:textId="77777777" w:rsidR="00000000" w:rsidRDefault="00097612">
            <w:pPr>
              <w:pStyle w:val="a3"/>
              <w:spacing w:before="0" w:beforeAutospacing="0" w:after="0" w:afterAutospacing="0"/>
              <w:ind w:right="60"/>
              <w:jc w:val="right"/>
              <w:rPr>
                <w:sz w:val="20"/>
                <w:szCs w:val="20"/>
              </w:rPr>
            </w:pPr>
            <w:r>
              <w:rPr>
                <w:sz w:val="20"/>
                <w:szCs w:val="20"/>
              </w:rPr>
              <w:t>14,59</w:t>
            </w:r>
            <w:r>
              <w:rPr>
                <w:sz w:val="20"/>
                <w:szCs w:val="20"/>
              </w:rPr>
              <w:t>1</w:t>
            </w:r>
          </w:p>
        </w:tc>
        <w:tc>
          <w:tcPr>
            <w:tcW w:w="79" w:type="pct"/>
            <w:shd w:val="clear" w:color="auto" w:fill="CCEEFF"/>
            <w:noWrap/>
            <w:tcMar>
              <w:top w:w="0" w:type="dxa"/>
              <w:left w:w="0" w:type="dxa"/>
              <w:bottom w:w="0" w:type="dxa"/>
              <w:right w:w="0" w:type="dxa"/>
            </w:tcMar>
            <w:vAlign w:val="bottom"/>
            <w:hideMark/>
          </w:tcPr>
          <w:p w14:paraId="2C6AEDDC"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1D33D94E" w14:textId="77777777" w:rsidR="00000000" w:rsidRDefault="00097612">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69244AA4" w14:textId="77777777" w:rsidR="00000000" w:rsidRDefault="00097612">
            <w:pPr>
              <w:pStyle w:val="a3"/>
              <w:spacing w:before="0" w:beforeAutospacing="0" w:after="0" w:afterAutospacing="0"/>
              <w:jc w:val="right"/>
              <w:rPr>
                <w:sz w:val="20"/>
                <w:szCs w:val="20"/>
              </w:rPr>
            </w:pPr>
            <w:r>
              <w:rPr>
                <w:sz w:val="20"/>
                <w:szCs w:val="20"/>
              </w:rPr>
              <w:t>(2,122</w:t>
            </w:r>
            <w:r>
              <w:rPr>
                <w:sz w:val="20"/>
                <w:szCs w:val="20"/>
              </w:rPr>
              <w:t>)</w:t>
            </w:r>
          </w:p>
        </w:tc>
        <w:tc>
          <w:tcPr>
            <w:tcW w:w="79" w:type="pct"/>
            <w:shd w:val="clear" w:color="auto" w:fill="CCEEFF"/>
            <w:noWrap/>
            <w:tcMar>
              <w:top w:w="0" w:type="dxa"/>
              <w:left w:w="0" w:type="dxa"/>
              <w:bottom w:w="0" w:type="dxa"/>
              <w:right w:w="0" w:type="dxa"/>
            </w:tcMar>
            <w:vAlign w:val="bottom"/>
            <w:hideMark/>
          </w:tcPr>
          <w:p w14:paraId="30507675" w14:textId="77777777" w:rsidR="00000000" w:rsidRDefault="00097612">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14:paraId="19DD2A2B" w14:textId="77777777" w:rsidR="00000000" w:rsidRDefault="00097612">
            <w:pPr>
              <w:pStyle w:val="a3"/>
              <w:spacing w:before="0" w:beforeAutospacing="0" w:after="0" w:afterAutospacing="0"/>
              <w:jc w:val="right"/>
              <w:rPr>
                <w:sz w:val="20"/>
                <w:szCs w:val="20"/>
              </w:rPr>
            </w:pPr>
            <w:r>
              <w:rPr>
                <w:sz w:val="20"/>
                <w:szCs w:val="20"/>
              </w:rPr>
              <w:t>(15</w:t>
            </w:r>
            <w:r>
              <w:rPr>
                <w:sz w:val="20"/>
                <w:szCs w:val="20"/>
              </w:rPr>
              <w:t>)</w:t>
            </w:r>
          </w:p>
        </w:tc>
        <w:tc>
          <w:tcPr>
            <w:tcW w:w="132" w:type="pct"/>
            <w:shd w:val="clear" w:color="auto" w:fill="CCEEFF"/>
            <w:noWrap/>
            <w:tcMar>
              <w:top w:w="0" w:type="dxa"/>
              <w:left w:w="0" w:type="dxa"/>
              <w:bottom w:w="0" w:type="dxa"/>
              <w:right w:w="0" w:type="dxa"/>
            </w:tcMar>
            <w:vAlign w:val="bottom"/>
            <w:hideMark/>
          </w:tcPr>
          <w:p w14:paraId="54A767EC" w14:textId="77777777" w:rsidR="00000000" w:rsidRDefault="00097612">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14:paraId="354A9A55"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0A0F814E" w14:textId="77777777" w:rsidR="00000000" w:rsidRDefault="00097612">
            <w:pPr>
              <w:pStyle w:val="a3"/>
              <w:spacing w:before="0" w:beforeAutospacing="0" w:after="0" w:afterAutospacing="0"/>
              <w:jc w:val="center"/>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14:paraId="0FE03952" w14:textId="77777777" w:rsidR="00000000" w:rsidRDefault="00097612">
            <w:pPr>
              <w:pStyle w:val="a3"/>
              <w:spacing w:before="0" w:beforeAutospacing="0" w:after="0" w:afterAutospacing="0"/>
              <w:ind w:right="60"/>
              <w:jc w:val="right"/>
              <w:rPr>
                <w:sz w:val="20"/>
                <w:szCs w:val="20"/>
              </w:rPr>
            </w:pPr>
            <w:r>
              <w:rPr>
                <w:sz w:val="20"/>
                <w:szCs w:val="20"/>
              </w:rPr>
              <w:t>43,27</w:t>
            </w:r>
            <w:r>
              <w:rPr>
                <w:sz w:val="20"/>
                <w:szCs w:val="20"/>
              </w:rPr>
              <w:t>3</w:t>
            </w:r>
          </w:p>
        </w:tc>
        <w:tc>
          <w:tcPr>
            <w:tcW w:w="79" w:type="pct"/>
            <w:shd w:val="clear" w:color="auto" w:fill="CCEEFF"/>
            <w:noWrap/>
            <w:tcMar>
              <w:top w:w="0" w:type="dxa"/>
              <w:left w:w="0" w:type="dxa"/>
              <w:bottom w:w="0" w:type="dxa"/>
              <w:right w:w="0" w:type="dxa"/>
            </w:tcMar>
            <w:vAlign w:val="bottom"/>
            <w:hideMark/>
          </w:tcPr>
          <w:p w14:paraId="2803CA2B"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46FA31F" w14:textId="77777777" w:rsidR="00000000" w:rsidRDefault="00097612">
            <w:pPr>
              <w:pStyle w:val="a3"/>
              <w:spacing w:before="0" w:beforeAutospacing="0" w:after="0" w:afterAutospacing="0"/>
              <w:jc w:val="center"/>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14:paraId="39D1AB63" w14:textId="77777777" w:rsidR="00000000" w:rsidRDefault="00097612">
            <w:pPr>
              <w:pStyle w:val="a3"/>
              <w:spacing w:before="0" w:beforeAutospacing="0" w:after="0" w:afterAutospacing="0"/>
              <w:ind w:right="60"/>
              <w:jc w:val="right"/>
              <w:rPr>
                <w:sz w:val="20"/>
                <w:szCs w:val="20"/>
              </w:rPr>
            </w:pPr>
            <w:r>
              <w:rPr>
                <w:sz w:val="20"/>
                <w:szCs w:val="20"/>
              </w:rPr>
              <w:t>46,97</w:t>
            </w:r>
            <w:r>
              <w:rPr>
                <w:sz w:val="20"/>
                <w:szCs w:val="20"/>
              </w:rPr>
              <w:t>7</w:t>
            </w:r>
          </w:p>
        </w:tc>
        <w:tc>
          <w:tcPr>
            <w:tcW w:w="79" w:type="pct"/>
            <w:shd w:val="clear" w:color="auto" w:fill="CCEEFF"/>
            <w:noWrap/>
            <w:tcMar>
              <w:top w:w="0" w:type="dxa"/>
              <w:left w:w="0" w:type="dxa"/>
              <w:bottom w:w="0" w:type="dxa"/>
              <w:right w:w="0" w:type="dxa"/>
            </w:tcMar>
            <w:vAlign w:val="bottom"/>
            <w:hideMark/>
          </w:tcPr>
          <w:p w14:paraId="3BA8C79D"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4FE92EC" w14:textId="77777777" w:rsidR="00000000" w:rsidRDefault="00097612">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45574D1D" w14:textId="77777777" w:rsidR="00000000" w:rsidRDefault="00097612">
            <w:pPr>
              <w:pStyle w:val="a3"/>
              <w:spacing w:before="0" w:beforeAutospacing="0" w:after="0" w:afterAutospacing="0"/>
              <w:jc w:val="right"/>
              <w:rPr>
                <w:sz w:val="20"/>
                <w:szCs w:val="20"/>
              </w:rPr>
            </w:pPr>
            <w:r>
              <w:rPr>
                <w:sz w:val="20"/>
                <w:szCs w:val="20"/>
              </w:rPr>
              <w:t>(3,704</w:t>
            </w:r>
            <w:r>
              <w:rPr>
                <w:sz w:val="20"/>
                <w:szCs w:val="20"/>
              </w:rPr>
              <w:t>)</w:t>
            </w:r>
          </w:p>
        </w:tc>
        <w:tc>
          <w:tcPr>
            <w:tcW w:w="79" w:type="pct"/>
            <w:shd w:val="clear" w:color="auto" w:fill="CCEEFF"/>
            <w:noWrap/>
            <w:tcMar>
              <w:top w:w="0" w:type="dxa"/>
              <w:left w:w="0" w:type="dxa"/>
              <w:bottom w:w="0" w:type="dxa"/>
              <w:right w:w="0" w:type="dxa"/>
            </w:tcMar>
            <w:vAlign w:val="bottom"/>
            <w:hideMark/>
          </w:tcPr>
          <w:p w14:paraId="41362229" w14:textId="77777777" w:rsidR="00000000" w:rsidRDefault="00097612">
            <w:pPr>
              <w:pStyle w:val="a3"/>
              <w:spacing w:before="0" w:beforeAutospacing="0" w:after="0" w:afterAutospacing="0"/>
              <w:jc w:val="center"/>
              <w:rPr>
                <w:sz w:val="20"/>
                <w:szCs w:val="20"/>
              </w:rPr>
            </w:pPr>
            <w:r>
              <w:rPr>
                <w:sz w:val="20"/>
                <w:szCs w:val="20"/>
              </w:rPr>
              <w:t>​</w:t>
            </w:r>
          </w:p>
        </w:tc>
        <w:tc>
          <w:tcPr>
            <w:tcW w:w="153" w:type="pct"/>
            <w:shd w:val="clear" w:color="auto" w:fill="CCEEFF"/>
            <w:noWrap/>
            <w:tcMar>
              <w:top w:w="0" w:type="dxa"/>
              <w:left w:w="0" w:type="dxa"/>
              <w:bottom w:w="0" w:type="dxa"/>
              <w:right w:w="0" w:type="dxa"/>
            </w:tcMar>
            <w:vAlign w:val="bottom"/>
            <w:hideMark/>
          </w:tcPr>
          <w:p w14:paraId="54C94374" w14:textId="77777777" w:rsidR="00000000" w:rsidRDefault="00097612">
            <w:pPr>
              <w:pStyle w:val="a3"/>
              <w:spacing w:before="0" w:beforeAutospacing="0" w:after="0" w:afterAutospacing="0"/>
              <w:jc w:val="right"/>
              <w:rPr>
                <w:sz w:val="20"/>
                <w:szCs w:val="20"/>
              </w:rPr>
            </w:pPr>
            <w:r>
              <w:rPr>
                <w:sz w:val="20"/>
                <w:szCs w:val="20"/>
              </w:rPr>
              <w:t>(8</w:t>
            </w:r>
            <w:r>
              <w:rPr>
                <w:sz w:val="20"/>
                <w:szCs w:val="20"/>
              </w:rPr>
              <w:t>)</w:t>
            </w:r>
          </w:p>
        </w:tc>
        <w:tc>
          <w:tcPr>
            <w:tcW w:w="132" w:type="pct"/>
            <w:shd w:val="clear" w:color="auto" w:fill="CCEEFF"/>
            <w:noWrap/>
            <w:tcMar>
              <w:top w:w="0" w:type="dxa"/>
              <w:left w:w="0" w:type="dxa"/>
              <w:bottom w:w="0" w:type="dxa"/>
              <w:right w:w="0" w:type="dxa"/>
            </w:tcMar>
            <w:vAlign w:val="bottom"/>
            <w:hideMark/>
          </w:tcPr>
          <w:p w14:paraId="482D9AB2" w14:textId="77777777" w:rsidR="00000000" w:rsidRDefault="00097612">
            <w:pPr>
              <w:pStyle w:val="a3"/>
              <w:spacing w:before="0" w:beforeAutospacing="0" w:after="0" w:afterAutospacing="0"/>
              <w:jc w:val="center"/>
              <w:rPr>
                <w:sz w:val="20"/>
                <w:szCs w:val="20"/>
              </w:rPr>
            </w:pPr>
            <w:r>
              <w:rPr>
                <w:sz w:val="20"/>
                <w:szCs w:val="20"/>
              </w:rPr>
              <w:t>%  </w:t>
            </w:r>
          </w:p>
        </w:tc>
      </w:tr>
      <w:tr w:rsidR="00000000" w14:paraId="598BE28A" w14:textId="77777777">
        <w:trPr>
          <w:divId w:val="569077818"/>
        </w:trPr>
        <w:tc>
          <w:tcPr>
            <w:tcW w:w="1407" w:type="pct"/>
            <w:tcMar>
              <w:top w:w="0" w:type="dxa"/>
              <w:left w:w="0" w:type="dxa"/>
              <w:bottom w:w="0" w:type="dxa"/>
              <w:right w:w="0" w:type="dxa"/>
            </w:tcMar>
            <w:vAlign w:val="bottom"/>
            <w:hideMark/>
          </w:tcPr>
          <w:p w14:paraId="15B9DDB0" w14:textId="77777777" w:rsidR="00000000" w:rsidRDefault="00097612">
            <w:pPr>
              <w:pStyle w:val="a3"/>
              <w:spacing w:before="0" w:beforeAutospacing="0" w:after="0" w:afterAutospacing="0"/>
              <w:rPr>
                <w:sz w:val="20"/>
                <w:szCs w:val="20"/>
              </w:rPr>
            </w:pPr>
            <w:r>
              <w:rPr>
                <w:sz w:val="20"/>
                <w:szCs w:val="20"/>
              </w:rPr>
              <w:t>Share-based compensation</w:t>
            </w:r>
          </w:p>
        </w:tc>
        <w:tc>
          <w:tcPr>
            <w:tcW w:w="79" w:type="pct"/>
            <w:noWrap/>
            <w:tcMar>
              <w:top w:w="0" w:type="dxa"/>
              <w:left w:w="0" w:type="dxa"/>
              <w:bottom w:w="0" w:type="dxa"/>
              <w:right w:w="0" w:type="dxa"/>
            </w:tcMar>
            <w:vAlign w:val="bottom"/>
            <w:hideMark/>
          </w:tcPr>
          <w:p w14:paraId="167A7764" w14:textId="77777777" w:rsidR="00000000" w:rsidRDefault="00097612">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14:paraId="7342F19F" w14:textId="77777777" w:rsidR="00000000" w:rsidRDefault="00097612">
            <w:pPr>
              <w:pStyle w:val="a3"/>
              <w:spacing w:before="0" w:beforeAutospacing="0" w:after="0" w:afterAutospacing="0"/>
              <w:jc w:val="center"/>
              <w:rPr>
                <w:sz w:val="20"/>
                <w:szCs w:val="20"/>
              </w:rPr>
            </w:pPr>
            <w:r>
              <w:rPr>
                <w:sz w:val="20"/>
                <w:szCs w:val="20"/>
              </w:rPr>
              <w:t> </w:t>
            </w:r>
          </w:p>
        </w:tc>
        <w:tc>
          <w:tcPr>
            <w:tcW w:w="327" w:type="pct"/>
            <w:noWrap/>
            <w:tcMar>
              <w:top w:w="0" w:type="dxa"/>
              <w:left w:w="0" w:type="dxa"/>
              <w:bottom w:w="0" w:type="dxa"/>
              <w:right w:w="0" w:type="dxa"/>
            </w:tcMar>
            <w:vAlign w:val="bottom"/>
            <w:hideMark/>
          </w:tcPr>
          <w:p w14:paraId="6A3C46BD" w14:textId="77777777" w:rsidR="00000000" w:rsidRDefault="00097612">
            <w:pPr>
              <w:pStyle w:val="a3"/>
              <w:spacing w:before="0" w:beforeAutospacing="0" w:after="0" w:afterAutospacing="0"/>
              <w:ind w:right="60"/>
              <w:jc w:val="right"/>
              <w:rPr>
                <w:sz w:val="20"/>
                <w:szCs w:val="20"/>
              </w:rPr>
            </w:pPr>
            <w:r>
              <w:rPr>
                <w:sz w:val="20"/>
                <w:szCs w:val="20"/>
              </w:rPr>
              <w:t>6,45</w:t>
            </w:r>
            <w:r>
              <w:rPr>
                <w:sz w:val="20"/>
                <w:szCs w:val="20"/>
              </w:rPr>
              <w:t>8</w:t>
            </w:r>
          </w:p>
        </w:tc>
        <w:tc>
          <w:tcPr>
            <w:tcW w:w="79" w:type="pct"/>
            <w:noWrap/>
            <w:tcMar>
              <w:top w:w="0" w:type="dxa"/>
              <w:left w:w="0" w:type="dxa"/>
              <w:bottom w:w="0" w:type="dxa"/>
              <w:right w:w="0" w:type="dxa"/>
            </w:tcMar>
            <w:vAlign w:val="bottom"/>
            <w:hideMark/>
          </w:tcPr>
          <w:p w14:paraId="2572A2BE" w14:textId="77777777" w:rsidR="00000000" w:rsidRDefault="00097612">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14:paraId="39DA23F2" w14:textId="77777777" w:rsidR="00000000" w:rsidRDefault="00097612">
            <w:pPr>
              <w:pStyle w:val="a3"/>
              <w:spacing w:before="0" w:beforeAutospacing="0" w:after="0" w:afterAutospacing="0"/>
              <w:jc w:val="center"/>
              <w:rPr>
                <w:sz w:val="20"/>
                <w:szCs w:val="20"/>
              </w:rPr>
            </w:pPr>
            <w:r>
              <w:rPr>
                <w:sz w:val="20"/>
                <w:szCs w:val="20"/>
              </w:rPr>
              <w:t> </w:t>
            </w:r>
          </w:p>
        </w:tc>
        <w:tc>
          <w:tcPr>
            <w:tcW w:w="327" w:type="pct"/>
            <w:noWrap/>
            <w:tcMar>
              <w:top w:w="0" w:type="dxa"/>
              <w:left w:w="0" w:type="dxa"/>
              <w:bottom w:w="0" w:type="dxa"/>
              <w:right w:w="0" w:type="dxa"/>
            </w:tcMar>
            <w:vAlign w:val="bottom"/>
            <w:hideMark/>
          </w:tcPr>
          <w:p w14:paraId="00A1DB5A" w14:textId="77777777" w:rsidR="00000000" w:rsidRDefault="00097612">
            <w:pPr>
              <w:pStyle w:val="a3"/>
              <w:spacing w:before="0" w:beforeAutospacing="0" w:after="0" w:afterAutospacing="0"/>
              <w:ind w:right="60"/>
              <w:jc w:val="right"/>
              <w:rPr>
                <w:sz w:val="20"/>
                <w:szCs w:val="20"/>
              </w:rPr>
            </w:pPr>
            <w:r>
              <w:rPr>
                <w:sz w:val="20"/>
                <w:szCs w:val="20"/>
              </w:rPr>
              <w:t>6,29</w:t>
            </w:r>
            <w:r>
              <w:rPr>
                <w:sz w:val="20"/>
                <w:szCs w:val="20"/>
              </w:rPr>
              <w:t>4</w:t>
            </w:r>
          </w:p>
        </w:tc>
        <w:tc>
          <w:tcPr>
            <w:tcW w:w="79" w:type="pct"/>
            <w:noWrap/>
            <w:tcMar>
              <w:top w:w="0" w:type="dxa"/>
              <w:left w:w="0" w:type="dxa"/>
              <w:bottom w:w="0" w:type="dxa"/>
              <w:right w:w="0" w:type="dxa"/>
            </w:tcMar>
            <w:vAlign w:val="bottom"/>
            <w:hideMark/>
          </w:tcPr>
          <w:p w14:paraId="5C68B667" w14:textId="77777777" w:rsidR="00000000" w:rsidRDefault="00097612">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14:paraId="382A7BCA" w14:textId="77777777" w:rsidR="00000000" w:rsidRDefault="00097612">
            <w:pPr>
              <w:pStyle w:val="a3"/>
              <w:spacing w:before="0" w:beforeAutospacing="0" w:after="0" w:afterAutospacing="0"/>
              <w:jc w:val="center"/>
              <w:rPr>
                <w:sz w:val="20"/>
                <w:szCs w:val="20"/>
              </w:rPr>
            </w:pPr>
            <w:r>
              <w:rPr>
                <w:sz w:val="20"/>
                <w:szCs w:val="20"/>
              </w:rPr>
              <w:t> </w:t>
            </w:r>
          </w:p>
        </w:tc>
        <w:tc>
          <w:tcPr>
            <w:tcW w:w="314" w:type="pct"/>
            <w:noWrap/>
            <w:tcMar>
              <w:top w:w="0" w:type="dxa"/>
              <w:left w:w="0" w:type="dxa"/>
              <w:bottom w:w="0" w:type="dxa"/>
              <w:right w:w="0" w:type="dxa"/>
            </w:tcMar>
            <w:vAlign w:val="bottom"/>
            <w:hideMark/>
          </w:tcPr>
          <w:p w14:paraId="50DBC8AD" w14:textId="77777777" w:rsidR="00000000" w:rsidRDefault="00097612">
            <w:pPr>
              <w:pStyle w:val="a3"/>
              <w:spacing w:before="0" w:beforeAutospacing="0" w:after="0" w:afterAutospacing="0"/>
              <w:ind w:right="60"/>
              <w:jc w:val="right"/>
              <w:rPr>
                <w:sz w:val="20"/>
                <w:szCs w:val="20"/>
              </w:rPr>
            </w:pPr>
            <w:r>
              <w:rPr>
                <w:sz w:val="20"/>
                <w:szCs w:val="20"/>
              </w:rPr>
              <w:t>16</w:t>
            </w:r>
            <w:r>
              <w:rPr>
                <w:sz w:val="20"/>
                <w:szCs w:val="20"/>
              </w:rPr>
              <w:t>4</w:t>
            </w:r>
          </w:p>
        </w:tc>
        <w:tc>
          <w:tcPr>
            <w:tcW w:w="79" w:type="pct"/>
            <w:noWrap/>
            <w:tcMar>
              <w:top w:w="0" w:type="dxa"/>
              <w:left w:w="0" w:type="dxa"/>
              <w:bottom w:w="0" w:type="dxa"/>
              <w:right w:w="0" w:type="dxa"/>
            </w:tcMar>
            <w:vAlign w:val="bottom"/>
            <w:hideMark/>
          </w:tcPr>
          <w:p w14:paraId="1AAE7BF4" w14:textId="77777777" w:rsidR="00000000" w:rsidRDefault="00097612">
            <w:pPr>
              <w:pStyle w:val="a3"/>
              <w:spacing w:before="0" w:beforeAutospacing="0" w:after="0" w:afterAutospacing="0"/>
              <w:rPr>
                <w:sz w:val="20"/>
                <w:szCs w:val="20"/>
              </w:rPr>
            </w:pPr>
            <w:r>
              <w:rPr>
                <w:sz w:val="20"/>
                <w:szCs w:val="20"/>
              </w:rPr>
              <w:t>​</w:t>
            </w:r>
          </w:p>
        </w:tc>
        <w:tc>
          <w:tcPr>
            <w:tcW w:w="190" w:type="pct"/>
            <w:noWrap/>
            <w:tcMar>
              <w:top w:w="0" w:type="dxa"/>
              <w:left w:w="0" w:type="dxa"/>
              <w:bottom w:w="0" w:type="dxa"/>
              <w:right w:w="0" w:type="dxa"/>
            </w:tcMar>
            <w:vAlign w:val="bottom"/>
            <w:hideMark/>
          </w:tcPr>
          <w:p w14:paraId="32D5F0B8" w14:textId="77777777" w:rsidR="00000000" w:rsidRDefault="00097612">
            <w:pPr>
              <w:pStyle w:val="a3"/>
              <w:spacing w:before="0" w:beforeAutospacing="0" w:after="0" w:afterAutospacing="0"/>
              <w:ind w:right="60"/>
              <w:jc w:val="right"/>
              <w:rPr>
                <w:sz w:val="20"/>
                <w:szCs w:val="20"/>
              </w:rPr>
            </w:pPr>
            <w:r>
              <w:rPr>
                <w:sz w:val="20"/>
                <w:szCs w:val="20"/>
              </w:rPr>
              <w:t>3</w:t>
            </w:r>
          </w:p>
        </w:tc>
        <w:tc>
          <w:tcPr>
            <w:tcW w:w="132" w:type="pct"/>
            <w:noWrap/>
            <w:tcMar>
              <w:top w:w="0" w:type="dxa"/>
              <w:left w:w="0" w:type="dxa"/>
              <w:bottom w:w="0" w:type="dxa"/>
              <w:right w:w="0" w:type="dxa"/>
            </w:tcMar>
            <w:vAlign w:val="bottom"/>
            <w:hideMark/>
          </w:tcPr>
          <w:p w14:paraId="54809BB5" w14:textId="77777777" w:rsidR="00000000" w:rsidRDefault="00097612">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14:paraId="64E258ED" w14:textId="77777777" w:rsidR="00000000" w:rsidRDefault="00097612">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5A7A64B2" w14:textId="77777777" w:rsidR="00000000" w:rsidRDefault="00097612">
            <w:pPr>
              <w:pStyle w:val="a3"/>
              <w:spacing w:before="0" w:beforeAutospacing="0" w:after="0" w:afterAutospacing="0"/>
              <w:jc w:val="center"/>
              <w:rPr>
                <w:sz w:val="20"/>
                <w:szCs w:val="20"/>
              </w:rPr>
            </w:pPr>
            <w:r>
              <w:rPr>
                <w:sz w:val="20"/>
                <w:szCs w:val="20"/>
              </w:rPr>
              <w:t> </w:t>
            </w:r>
          </w:p>
        </w:tc>
        <w:tc>
          <w:tcPr>
            <w:tcW w:w="376" w:type="pct"/>
            <w:noWrap/>
            <w:tcMar>
              <w:top w:w="0" w:type="dxa"/>
              <w:left w:w="0" w:type="dxa"/>
              <w:bottom w:w="0" w:type="dxa"/>
              <w:right w:w="0" w:type="dxa"/>
            </w:tcMar>
            <w:vAlign w:val="bottom"/>
            <w:hideMark/>
          </w:tcPr>
          <w:p w14:paraId="2475F062" w14:textId="77777777" w:rsidR="00000000" w:rsidRDefault="00097612">
            <w:pPr>
              <w:pStyle w:val="a3"/>
              <w:spacing w:before="0" w:beforeAutospacing="0" w:after="0" w:afterAutospacing="0"/>
              <w:ind w:right="60"/>
              <w:jc w:val="right"/>
              <w:rPr>
                <w:sz w:val="20"/>
                <w:szCs w:val="20"/>
              </w:rPr>
            </w:pPr>
            <w:r>
              <w:rPr>
                <w:sz w:val="20"/>
                <w:szCs w:val="20"/>
              </w:rPr>
              <w:t>18,33</w:t>
            </w:r>
            <w:r>
              <w:rPr>
                <w:sz w:val="20"/>
                <w:szCs w:val="20"/>
              </w:rPr>
              <w:t>8</w:t>
            </w:r>
          </w:p>
        </w:tc>
        <w:tc>
          <w:tcPr>
            <w:tcW w:w="79" w:type="pct"/>
            <w:noWrap/>
            <w:tcMar>
              <w:top w:w="0" w:type="dxa"/>
              <w:left w:w="0" w:type="dxa"/>
              <w:bottom w:w="0" w:type="dxa"/>
              <w:right w:w="0" w:type="dxa"/>
            </w:tcMar>
            <w:vAlign w:val="bottom"/>
            <w:hideMark/>
          </w:tcPr>
          <w:p w14:paraId="5B93B2C5" w14:textId="77777777" w:rsidR="00000000" w:rsidRDefault="00097612">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4C3E213B" w14:textId="77777777" w:rsidR="00000000" w:rsidRDefault="00097612">
            <w:pPr>
              <w:pStyle w:val="a3"/>
              <w:spacing w:before="0" w:beforeAutospacing="0" w:after="0" w:afterAutospacing="0"/>
              <w:jc w:val="center"/>
              <w:rPr>
                <w:sz w:val="20"/>
                <w:szCs w:val="20"/>
              </w:rPr>
            </w:pPr>
            <w:r>
              <w:rPr>
                <w:sz w:val="20"/>
                <w:szCs w:val="20"/>
              </w:rPr>
              <w:t> </w:t>
            </w:r>
          </w:p>
        </w:tc>
        <w:tc>
          <w:tcPr>
            <w:tcW w:w="376" w:type="pct"/>
            <w:noWrap/>
            <w:tcMar>
              <w:top w:w="0" w:type="dxa"/>
              <w:left w:w="0" w:type="dxa"/>
              <w:bottom w:w="0" w:type="dxa"/>
              <w:right w:w="0" w:type="dxa"/>
            </w:tcMar>
            <w:vAlign w:val="bottom"/>
            <w:hideMark/>
          </w:tcPr>
          <w:p w14:paraId="068DC355" w14:textId="77777777" w:rsidR="00000000" w:rsidRDefault="00097612">
            <w:pPr>
              <w:pStyle w:val="a3"/>
              <w:spacing w:before="0" w:beforeAutospacing="0" w:after="0" w:afterAutospacing="0"/>
              <w:ind w:right="60"/>
              <w:jc w:val="right"/>
              <w:rPr>
                <w:sz w:val="20"/>
                <w:szCs w:val="20"/>
              </w:rPr>
            </w:pPr>
            <w:r>
              <w:rPr>
                <w:sz w:val="20"/>
                <w:szCs w:val="20"/>
              </w:rPr>
              <w:t>19,75</w:t>
            </w:r>
            <w:r>
              <w:rPr>
                <w:sz w:val="20"/>
                <w:szCs w:val="20"/>
              </w:rPr>
              <w:t>7</w:t>
            </w:r>
          </w:p>
        </w:tc>
        <w:tc>
          <w:tcPr>
            <w:tcW w:w="79" w:type="pct"/>
            <w:noWrap/>
            <w:tcMar>
              <w:top w:w="0" w:type="dxa"/>
              <w:left w:w="0" w:type="dxa"/>
              <w:bottom w:w="0" w:type="dxa"/>
              <w:right w:w="0" w:type="dxa"/>
            </w:tcMar>
            <w:vAlign w:val="bottom"/>
            <w:hideMark/>
          </w:tcPr>
          <w:p w14:paraId="078B40C4" w14:textId="77777777" w:rsidR="00000000" w:rsidRDefault="00097612">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04404B1D" w14:textId="77777777" w:rsidR="00000000" w:rsidRDefault="00097612">
            <w:pPr>
              <w:pStyle w:val="a3"/>
              <w:spacing w:before="0" w:beforeAutospacing="0" w:after="0" w:afterAutospacing="0"/>
              <w:jc w:val="center"/>
              <w:rPr>
                <w:sz w:val="20"/>
                <w:szCs w:val="20"/>
              </w:rPr>
            </w:pPr>
            <w:r>
              <w:rPr>
                <w:sz w:val="20"/>
                <w:szCs w:val="20"/>
              </w:rPr>
              <w:t> </w:t>
            </w:r>
          </w:p>
        </w:tc>
        <w:tc>
          <w:tcPr>
            <w:tcW w:w="327" w:type="pct"/>
            <w:noWrap/>
            <w:tcMar>
              <w:top w:w="0" w:type="dxa"/>
              <w:left w:w="0" w:type="dxa"/>
              <w:bottom w:w="0" w:type="dxa"/>
              <w:right w:w="0" w:type="dxa"/>
            </w:tcMar>
            <w:vAlign w:val="bottom"/>
            <w:hideMark/>
          </w:tcPr>
          <w:p w14:paraId="318E5BF2" w14:textId="77777777" w:rsidR="00000000" w:rsidRDefault="00097612">
            <w:pPr>
              <w:pStyle w:val="a3"/>
              <w:spacing w:before="0" w:beforeAutospacing="0" w:after="0" w:afterAutospacing="0"/>
              <w:jc w:val="right"/>
              <w:rPr>
                <w:sz w:val="20"/>
                <w:szCs w:val="20"/>
              </w:rPr>
            </w:pPr>
            <w:r>
              <w:rPr>
                <w:sz w:val="20"/>
                <w:szCs w:val="20"/>
              </w:rPr>
              <w:t>(1,419</w:t>
            </w:r>
            <w:r>
              <w:rPr>
                <w:sz w:val="20"/>
                <w:szCs w:val="20"/>
              </w:rPr>
              <w:t>)</w:t>
            </w:r>
          </w:p>
        </w:tc>
        <w:tc>
          <w:tcPr>
            <w:tcW w:w="79" w:type="pct"/>
            <w:noWrap/>
            <w:tcMar>
              <w:top w:w="0" w:type="dxa"/>
              <w:left w:w="0" w:type="dxa"/>
              <w:bottom w:w="0" w:type="dxa"/>
              <w:right w:w="0" w:type="dxa"/>
            </w:tcMar>
            <w:vAlign w:val="bottom"/>
            <w:hideMark/>
          </w:tcPr>
          <w:p w14:paraId="3D6A2689" w14:textId="77777777" w:rsidR="00000000" w:rsidRDefault="00097612">
            <w:pPr>
              <w:pStyle w:val="a3"/>
              <w:spacing w:before="0" w:beforeAutospacing="0" w:after="0" w:afterAutospacing="0"/>
              <w:jc w:val="center"/>
              <w:rPr>
                <w:sz w:val="20"/>
                <w:szCs w:val="20"/>
              </w:rPr>
            </w:pPr>
            <w:r>
              <w:rPr>
                <w:sz w:val="20"/>
                <w:szCs w:val="20"/>
              </w:rPr>
              <w:t>​</w:t>
            </w:r>
          </w:p>
        </w:tc>
        <w:tc>
          <w:tcPr>
            <w:tcW w:w="153" w:type="pct"/>
            <w:noWrap/>
            <w:tcMar>
              <w:top w:w="0" w:type="dxa"/>
              <w:left w:w="0" w:type="dxa"/>
              <w:bottom w:w="0" w:type="dxa"/>
              <w:right w:w="0" w:type="dxa"/>
            </w:tcMar>
            <w:vAlign w:val="bottom"/>
            <w:hideMark/>
          </w:tcPr>
          <w:p w14:paraId="2C552485" w14:textId="77777777" w:rsidR="00000000" w:rsidRDefault="00097612">
            <w:pPr>
              <w:pStyle w:val="a3"/>
              <w:spacing w:before="0" w:beforeAutospacing="0" w:after="0" w:afterAutospacing="0"/>
              <w:jc w:val="right"/>
              <w:rPr>
                <w:sz w:val="20"/>
                <w:szCs w:val="20"/>
              </w:rPr>
            </w:pPr>
            <w:r>
              <w:rPr>
                <w:sz w:val="20"/>
                <w:szCs w:val="20"/>
              </w:rPr>
              <w:t>(7</w:t>
            </w:r>
            <w:r>
              <w:rPr>
                <w:sz w:val="20"/>
                <w:szCs w:val="20"/>
              </w:rPr>
              <w:t>)</w:t>
            </w:r>
          </w:p>
        </w:tc>
        <w:tc>
          <w:tcPr>
            <w:tcW w:w="132" w:type="pct"/>
            <w:noWrap/>
            <w:tcMar>
              <w:top w:w="0" w:type="dxa"/>
              <w:left w:w="0" w:type="dxa"/>
              <w:bottom w:w="0" w:type="dxa"/>
              <w:right w:w="0" w:type="dxa"/>
            </w:tcMar>
            <w:vAlign w:val="bottom"/>
            <w:hideMark/>
          </w:tcPr>
          <w:p w14:paraId="5966D87C" w14:textId="77777777" w:rsidR="00000000" w:rsidRDefault="00097612">
            <w:pPr>
              <w:pStyle w:val="a3"/>
              <w:spacing w:before="0" w:beforeAutospacing="0" w:after="0" w:afterAutospacing="0"/>
              <w:jc w:val="center"/>
              <w:rPr>
                <w:sz w:val="20"/>
                <w:szCs w:val="20"/>
              </w:rPr>
            </w:pPr>
            <w:r>
              <w:rPr>
                <w:sz w:val="20"/>
                <w:szCs w:val="20"/>
              </w:rPr>
              <w:t>​</w:t>
            </w:r>
          </w:p>
        </w:tc>
      </w:tr>
      <w:tr w:rsidR="00000000" w14:paraId="7C5F264C" w14:textId="77777777">
        <w:trPr>
          <w:divId w:val="569077818"/>
        </w:trPr>
        <w:tc>
          <w:tcPr>
            <w:tcW w:w="1407" w:type="pct"/>
            <w:shd w:val="clear" w:color="auto" w:fill="CCEEFF"/>
            <w:tcMar>
              <w:top w:w="0" w:type="dxa"/>
              <w:left w:w="0" w:type="dxa"/>
              <w:bottom w:w="0" w:type="dxa"/>
              <w:right w:w="0" w:type="dxa"/>
            </w:tcMar>
            <w:vAlign w:val="bottom"/>
            <w:hideMark/>
          </w:tcPr>
          <w:p w14:paraId="667EABA3" w14:textId="77777777" w:rsidR="00000000" w:rsidRDefault="00097612">
            <w:pPr>
              <w:pStyle w:val="a3"/>
              <w:spacing w:before="0" w:beforeAutospacing="0" w:after="0" w:afterAutospacing="0"/>
              <w:rPr>
                <w:sz w:val="20"/>
                <w:szCs w:val="20"/>
              </w:rPr>
            </w:pPr>
            <w:r>
              <w:rPr>
                <w:sz w:val="20"/>
                <w:szCs w:val="20"/>
              </w:rPr>
              <w:t>External-related</w:t>
            </w:r>
          </w:p>
        </w:tc>
        <w:tc>
          <w:tcPr>
            <w:tcW w:w="79" w:type="pct"/>
            <w:shd w:val="clear" w:color="auto" w:fill="CCEEFF"/>
            <w:noWrap/>
            <w:tcMar>
              <w:top w:w="0" w:type="dxa"/>
              <w:left w:w="0" w:type="dxa"/>
              <w:bottom w:w="0" w:type="dxa"/>
              <w:right w:w="0" w:type="dxa"/>
            </w:tcMar>
            <w:vAlign w:val="bottom"/>
            <w:hideMark/>
          </w:tcPr>
          <w:p w14:paraId="248B6E73"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1418EA47" w14:textId="77777777" w:rsidR="00000000" w:rsidRDefault="00097612">
            <w:pPr>
              <w:pStyle w:val="a3"/>
              <w:spacing w:before="0" w:beforeAutospacing="0" w:after="0" w:afterAutospacing="0"/>
              <w:jc w:val="center"/>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14:paraId="1AE0579F" w14:textId="77777777" w:rsidR="00000000" w:rsidRDefault="00097612">
            <w:pPr>
              <w:pStyle w:val="a3"/>
              <w:spacing w:before="0" w:beforeAutospacing="0" w:after="0" w:afterAutospacing="0"/>
              <w:ind w:right="60"/>
              <w:jc w:val="right"/>
              <w:rPr>
                <w:sz w:val="20"/>
                <w:szCs w:val="20"/>
              </w:rPr>
            </w:pPr>
            <w:r>
              <w:rPr>
                <w:sz w:val="20"/>
                <w:szCs w:val="20"/>
              </w:rPr>
              <w:t>25,59</w:t>
            </w:r>
            <w:r>
              <w:rPr>
                <w:sz w:val="20"/>
                <w:szCs w:val="20"/>
              </w:rPr>
              <w:t>2</w:t>
            </w:r>
          </w:p>
        </w:tc>
        <w:tc>
          <w:tcPr>
            <w:tcW w:w="79" w:type="pct"/>
            <w:shd w:val="clear" w:color="auto" w:fill="CCEEFF"/>
            <w:noWrap/>
            <w:tcMar>
              <w:top w:w="0" w:type="dxa"/>
              <w:left w:w="0" w:type="dxa"/>
              <w:bottom w:w="0" w:type="dxa"/>
              <w:right w:w="0" w:type="dxa"/>
            </w:tcMar>
            <w:vAlign w:val="bottom"/>
            <w:hideMark/>
          </w:tcPr>
          <w:p w14:paraId="2B8E4096"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0B507B75" w14:textId="77777777" w:rsidR="00000000" w:rsidRDefault="00097612">
            <w:pPr>
              <w:pStyle w:val="a3"/>
              <w:spacing w:before="0" w:beforeAutospacing="0" w:after="0" w:afterAutospacing="0"/>
              <w:jc w:val="center"/>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14:paraId="299CFD7D" w14:textId="77777777" w:rsidR="00000000" w:rsidRDefault="00097612">
            <w:pPr>
              <w:pStyle w:val="a3"/>
              <w:spacing w:before="0" w:beforeAutospacing="0" w:after="0" w:afterAutospacing="0"/>
              <w:ind w:right="60"/>
              <w:jc w:val="right"/>
              <w:rPr>
                <w:sz w:val="20"/>
                <w:szCs w:val="20"/>
              </w:rPr>
            </w:pPr>
            <w:r>
              <w:rPr>
                <w:sz w:val="20"/>
                <w:szCs w:val="20"/>
              </w:rPr>
              <w:t>23,34</w:t>
            </w:r>
            <w:r>
              <w:rPr>
                <w:sz w:val="20"/>
                <w:szCs w:val="20"/>
              </w:rPr>
              <w:t>0</w:t>
            </w:r>
          </w:p>
        </w:tc>
        <w:tc>
          <w:tcPr>
            <w:tcW w:w="79" w:type="pct"/>
            <w:shd w:val="clear" w:color="auto" w:fill="CCEEFF"/>
            <w:noWrap/>
            <w:tcMar>
              <w:top w:w="0" w:type="dxa"/>
              <w:left w:w="0" w:type="dxa"/>
              <w:bottom w:w="0" w:type="dxa"/>
              <w:right w:w="0" w:type="dxa"/>
            </w:tcMar>
            <w:vAlign w:val="bottom"/>
            <w:hideMark/>
          </w:tcPr>
          <w:p w14:paraId="06B570EA"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9B985F0" w14:textId="77777777" w:rsidR="00000000" w:rsidRDefault="00097612">
            <w:pPr>
              <w:pStyle w:val="a3"/>
              <w:spacing w:before="0" w:beforeAutospacing="0" w:after="0" w:afterAutospacing="0"/>
              <w:jc w:val="center"/>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14:paraId="5D544C96" w14:textId="77777777" w:rsidR="00000000" w:rsidRDefault="00097612">
            <w:pPr>
              <w:pStyle w:val="a3"/>
              <w:spacing w:before="0" w:beforeAutospacing="0" w:after="0" w:afterAutospacing="0"/>
              <w:ind w:right="60"/>
              <w:jc w:val="right"/>
              <w:rPr>
                <w:sz w:val="20"/>
                <w:szCs w:val="20"/>
              </w:rPr>
            </w:pPr>
            <w:r>
              <w:rPr>
                <w:sz w:val="20"/>
                <w:szCs w:val="20"/>
              </w:rPr>
              <w:t>2,25</w:t>
            </w:r>
            <w:r>
              <w:rPr>
                <w:sz w:val="20"/>
                <w:szCs w:val="20"/>
              </w:rPr>
              <w:t>2</w:t>
            </w:r>
          </w:p>
        </w:tc>
        <w:tc>
          <w:tcPr>
            <w:tcW w:w="79" w:type="pct"/>
            <w:shd w:val="clear" w:color="auto" w:fill="CCEEFF"/>
            <w:noWrap/>
            <w:tcMar>
              <w:top w:w="0" w:type="dxa"/>
              <w:left w:w="0" w:type="dxa"/>
              <w:bottom w:w="0" w:type="dxa"/>
              <w:right w:w="0" w:type="dxa"/>
            </w:tcMar>
            <w:vAlign w:val="bottom"/>
            <w:hideMark/>
          </w:tcPr>
          <w:p w14:paraId="060AEED6" w14:textId="77777777" w:rsidR="00000000" w:rsidRDefault="00097612">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14:paraId="6C794123" w14:textId="77777777" w:rsidR="00000000" w:rsidRDefault="00097612">
            <w:pPr>
              <w:pStyle w:val="a3"/>
              <w:spacing w:before="0" w:beforeAutospacing="0" w:after="0" w:afterAutospacing="0"/>
              <w:ind w:right="60"/>
              <w:jc w:val="right"/>
              <w:rPr>
                <w:sz w:val="20"/>
                <w:szCs w:val="20"/>
              </w:rPr>
            </w:pPr>
            <w:r>
              <w:rPr>
                <w:sz w:val="20"/>
                <w:szCs w:val="20"/>
              </w:rPr>
              <w:t>1</w:t>
            </w:r>
            <w:r>
              <w:rPr>
                <w:sz w:val="20"/>
                <w:szCs w:val="20"/>
              </w:rPr>
              <w:t>0</w:t>
            </w:r>
          </w:p>
        </w:tc>
        <w:tc>
          <w:tcPr>
            <w:tcW w:w="132" w:type="pct"/>
            <w:shd w:val="clear" w:color="auto" w:fill="CCEEFF"/>
            <w:noWrap/>
            <w:tcMar>
              <w:top w:w="0" w:type="dxa"/>
              <w:left w:w="0" w:type="dxa"/>
              <w:bottom w:w="0" w:type="dxa"/>
              <w:right w:w="0" w:type="dxa"/>
            </w:tcMar>
            <w:vAlign w:val="bottom"/>
            <w:hideMark/>
          </w:tcPr>
          <w:p w14:paraId="02C4BACE" w14:textId="77777777" w:rsidR="00000000" w:rsidRDefault="00097612">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503F1147"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1E86C396" w14:textId="77777777" w:rsidR="00000000" w:rsidRDefault="00097612">
            <w:pPr>
              <w:pStyle w:val="a3"/>
              <w:spacing w:before="0" w:beforeAutospacing="0" w:after="0" w:afterAutospacing="0"/>
              <w:jc w:val="center"/>
              <w:rPr>
                <w:sz w:val="20"/>
                <w:szCs w:val="20"/>
              </w:rPr>
            </w:pPr>
            <w:r>
              <w:rPr>
                <w:sz w:val="20"/>
                <w:szCs w:val="20"/>
              </w:rPr>
              <w:t> </w:t>
            </w:r>
          </w:p>
        </w:tc>
        <w:tc>
          <w:tcPr>
            <w:tcW w:w="376" w:type="pct"/>
            <w:shd w:val="clear" w:color="auto" w:fill="CCEEFF"/>
            <w:noWrap/>
            <w:tcMar>
              <w:top w:w="0" w:type="dxa"/>
              <w:left w:w="0" w:type="dxa"/>
              <w:bottom w:w="0" w:type="dxa"/>
              <w:right w:w="0" w:type="dxa"/>
            </w:tcMar>
            <w:vAlign w:val="bottom"/>
            <w:hideMark/>
          </w:tcPr>
          <w:p w14:paraId="330A2676" w14:textId="77777777" w:rsidR="00000000" w:rsidRDefault="00097612">
            <w:pPr>
              <w:pStyle w:val="a3"/>
              <w:spacing w:before="0" w:beforeAutospacing="0" w:after="0" w:afterAutospacing="0"/>
              <w:ind w:right="60"/>
              <w:jc w:val="right"/>
              <w:rPr>
                <w:sz w:val="20"/>
                <w:szCs w:val="20"/>
              </w:rPr>
            </w:pPr>
            <w:r>
              <w:rPr>
                <w:sz w:val="20"/>
                <w:szCs w:val="20"/>
              </w:rPr>
              <w:t>66,17</w:t>
            </w:r>
            <w:r>
              <w:rPr>
                <w:sz w:val="20"/>
                <w:szCs w:val="20"/>
              </w:rPr>
              <w:t>5</w:t>
            </w:r>
          </w:p>
        </w:tc>
        <w:tc>
          <w:tcPr>
            <w:tcW w:w="79" w:type="pct"/>
            <w:shd w:val="clear" w:color="auto" w:fill="CCEEFF"/>
            <w:noWrap/>
            <w:tcMar>
              <w:top w:w="0" w:type="dxa"/>
              <w:left w:w="0" w:type="dxa"/>
              <w:bottom w:w="0" w:type="dxa"/>
              <w:right w:w="0" w:type="dxa"/>
            </w:tcMar>
            <w:vAlign w:val="bottom"/>
            <w:hideMark/>
          </w:tcPr>
          <w:p w14:paraId="277255F5"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85870B8" w14:textId="77777777" w:rsidR="00000000" w:rsidRDefault="00097612">
            <w:pPr>
              <w:pStyle w:val="a3"/>
              <w:spacing w:before="0" w:beforeAutospacing="0" w:after="0" w:afterAutospacing="0"/>
              <w:jc w:val="center"/>
              <w:rPr>
                <w:sz w:val="20"/>
                <w:szCs w:val="20"/>
              </w:rPr>
            </w:pPr>
            <w:r>
              <w:rPr>
                <w:sz w:val="20"/>
                <w:szCs w:val="20"/>
              </w:rPr>
              <w:t> </w:t>
            </w:r>
          </w:p>
        </w:tc>
        <w:tc>
          <w:tcPr>
            <w:tcW w:w="376" w:type="pct"/>
            <w:shd w:val="clear" w:color="auto" w:fill="CCEEFF"/>
            <w:noWrap/>
            <w:tcMar>
              <w:top w:w="0" w:type="dxa"/>
              <w:left w:w="0" w:type="dxa"/>
              <w:bottom w:w="0" w:type="dxa"/>
              <w:right w:w="0" w:type="dxa"/>
            </w:tcMar>
            <w:vAlign w:val="bottom"/>
            <w:hideMark/>
          </w:tcPr>
          <w:p w14:paraId="23E91F15" w14:textId="77777777" w:rsidR="00000000" w:rsidRDefault="00097612">
            <w:pPr>
              <w:pStyle w:val="a3"/>
              <w:spacing w:before="0" w:beforeAutospacing="0" w:after="0" w:afterAutospacing="0"/>
              <w:ind w:right="60"/>
              <w:jc w:val="right"/>
              <w:rPr>
                <w:sz w:val="20"/>
                <w:szCs w:val="20"/>
              </w:rPr>
            </w:pPr>
            <w:r>
              <w:rPr>
                <w:sz w:val="20"/>
                <w:szCs w:val="20"/>
              </w:rPr>
              <w:t>55,67</w:t>
            </w:r>
            <w:r>
              <w:rPr>
                <w:sz w:val="20"/>
                <w:szCs w:val="20"/>
              </w:rPr>
              <w:t>3</w:t>
            </w:r>
          </w:p>
        </w:tc>
        <w:tc>
          <w:tcPr>
            <w:tcW w:w="79" w:type="pct"/>
            <w:shd w:val="clear" w:color="auto" w:fill="CCEEFF"/>
            <w:noWrap/>
            <w:tcMar>
              <w:top w:w="0" w:type="dxa"/>
              <w:left w:w="0" w:type="dxa"/>
              <w:bottom w:w="0" w:type="dxa"/>
              <w:right w:w="0" w:type="dxa"/>
            </w:tcMar>
            <w:vAlign w:val="bottom"/>
            <w:hideMark/>
          </w:tcPr>
          <w:p w14:paraId="415A331C"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C6781C7" w14:textId="77777777" w:rsidR="00000000" w:rsidRDefault="00097612">
            <w:pPr>
              <w:pStyle w:val="a3"/>
              <w:spacing w:before="0" w:beforeAutospacing="0" w:after="0" w:afterAutospacing="0"/>
              <w:jc w:val="center"/>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14:paraId="69EA8981" w14:textId="77777777" w:rsidR="00000000" w:rsidRDefault="00097612">
            <w:pPr>
              <w:pStyle w:val="a3"/>
              <w:spacing w:before="0" w:beforeAutospacing="0" w:after="0" w:afterAutospacing="0"/>
              <w:ind w:right="60"/>
              <w:jc w:val="right"/>
              <w:rPr>
                <w:sz w:val="20"/>
                <w:szCs w:val="20"/>
              </w:rPr>
            </w:pPr>
            <w:r>
              <w:rPr>
                <w:sz w:val="20"/>
                <w:szCs w:val="20"/>
              </w:rPr>
              <w:t>10,50</w:t>
            </w:r>
            <w:r>
              <w:rPr>
                <w:sz w:val="20"/>
                <w:szCs w:val="20"/>
              </w:rPr>
              <w:t>2</w:t>
            </w:r>
          </w:p>
        </w:tc>
        <w:tc>
          <w:tcPr>
            <w:tcW w:w="79" w:type="pct"/>
            <w:shd w:val="clear" w:color="auto" w:fill="CCEEFF"/>
            <w:noWrap/>
            <w:tcMar>
              <w:top w:w="0" w:type="dxa"/>
              <w:left w:w="0" w:type="dxa"/>
              <w:bottom w:w="0" w:type="dxa"/>
              <w:right w:w="0" w:type="dxa"/>
            </w:tcMar>
            <w:vAlign w:val="bottom"/>
            <w:hideMark/>
          </w:tcPr>
          <w:p w14:paraId="65AA0E60" w14:textId="77777777" w:rsidR="00000000" w:rsidRDefault="00097612">
            <w:pPr>
              <w:pStyle w:val="a3"/>
              <w:spacing w:before="0" w:beforeAutospacing="0" w:after="0" w:afterAutospacing="0"/>
              <w:jc w:val="center"/>
              <w:rPr>
                <w:sz w:val="20"/>
                <w:szCs w:val="20"/>
              </w:rPr>
            </w:pPr>
            <w:r>
              <w:rPr>
                <w:sz w:val="20"/>
                <w:szCs w:val="20"/>
              </w:rPr>
              <w:t>​</w:t>
            </w:r>
          </w:p>
        </w:tc>
        <w:tc>
          <w:tcPr>
            <w:tcW w:w="153" w:type="pct"/>
            <w:shd w:val="clear" w:color="auto" w:fill="CCEEFF"/>
            <w:noWrap/>
            <w:tcMar>
              <w:top w:w="0" w:type="dxa"/>
              <w:left w:w="0" w:type="dxa"/>
              <w:bottom w:w="0" w:type="dxa"/>
              <w:right w:w="0" w:type="dxa"/>
            </w:tcMar>
            <w:vAlign w:val="bottom"/>
            <w:hideMark/>
          </w:tcPr>
          <w:p w14:paraId="47F66406" w14:textId="77777777" w:rsidR="00000000" w:rsidRDefault="00097612">
            <w:pPr>
              <w:pStyle w:val="a3"/>
              <w:spacing w:before="0" w:beforeAutospacing="0" w:after="0" w:afterAutospacing="0"/>
              <w:ind w:right="60"/>
              <w:jc w:val="right"/>
              <w:rPr>
                <w:sz w:val="20"/>
                <w:szCs w:val="20"/>
              </w:rPr>
            </w:pPr>
            <w:r>
              <w:rPr>
                <w:sz w:val="20"/>
                <w:szCs w:val="20"/>
              </w:rPr>
              <w:t>1</w:t>
            </w:r>
            <w:r>
              <w:rPr>
                <w:sz w:val="20"/>
                <w:szCs w:val="20"/>
              </w:rPr>
              <w:t>9</w:t>
            </w:r>
          </w:p>
        </w:tc>
        <w:tc>
          <w:tcPr>
            <w:tcW w:w="132" w:type="pct"/>
            <w:shd w:val="clear" w:color="auto" w:fill="CCEEFF"/>
            <w:noWrap/>
            <w:tcMar>
              <w:top w:w="0" w:type="dxa"/>
              <w:left w:w="0" w:type="dxa"/>
              <w:bottom w:w="0" w:type="dxa"/>
              <w:right w:w="0" w:type="dxa"/>
            </w:tcMar>
            <w:vAlign w:val="bottom"/>
            <w:hideMark/>
          </w:tcPr>
          <w:p w14:paraId="52680A47" w14:textId="77777777" w:rsidR="00000000" w:rsidRDefault="00097612">
            <w:pPr>
              <w:pStyle w:val="a3"/>
              <w:spacing w:before="0" w:beforeAutospacing="0" w:after="0" w:afterAutospacing="0"/>
              <w:jc w:val="center"/>
              <w:rPr>
                <w:sz w:val="20"/>
                <w:szCs w:val="20"/>
              </w:rPr>
            </w:pPr>
            <w:r>
              <w:rPr>
                <w:sz w:val="20"/>
                <w:szCs w:val="20"/>
              </w:rPr>
              <w:t>​</w:t>
            </w:r>
          </w:p>
        </w:tc>
      </w:tr>
      <w:tr w:rsidR="00000000" w14:paraId="4F288E75" w14:textId="77777777">
        <w:trPr>
          <w:divId w:val="569077818"/>
        </w:trPr>
        <w:tc>
          <w:tcPr>
            <w:tcW w:w="1407" w:type="pct"/>
            <w:tcMar>
              <w:top w:w="0" w:type="dxa"/>
              <w:left w:w="0" w:type="dxa"/>
              <w:bottom w:w="0" w:type="dxa"/>
              <w:right w:w="0" w:type="dxa"/>
            </w:tcMar>
            <w:vAlign w:val="bottom"/>
            <w:hideMark/>
          </w:tcPr>
          <w:p w14:paraId="694D3003" w14:textId="77777777" w:rsidR="00000000" w:rsidRDefault="00097612">
            <w:pPr>
              <w:pStyle w:val="a3"/>
              <w:spacing w:before="0" w:beforeAutospacing="0" w:after="0" w:afterAutospacing="0"/>
              <w:rPr>
                <w:sz w:val="20"/>
                <w:szCs w:val="20"/>
              </w:rPr>
            </w:pPr>
            <w:r>
              <w:rPr>
                <w:sz w:val="20"/>
                <w:szCs w:val="20"/>
              </w:rPr>
              <w:t>Facilities, depreciation and other allocated expenses</w:t>
            </w:r>
          </w:p>
        </w:tc>
        <w:tc>
          <w:tcPr>
            <w:tcW w:w="79" w:type="pct"/>
            <w:noWrap/>
            <w:tcMar>
              <w:top w:w="0" w:type="dxa"/>
              <w:left w:w="0" w:type="dxa"/>
              <w:bottom w:w="0" w:type="dxa"/>
              <w:right w:w="0" w:type="dxa"/>
            </w:tcMar>
            <w:vAlign w:val="bottom"/>
            <w:hideMark/>
          </w:tcPr>
          <w:p w14:paraId="5137CD6A" w14:textId="77777777" w:rsidR="00000000" w:rsidRDefault="00097612">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64D02BAE" w14:textId="77777777" w:rsidR="00000000" w:rsidRDefault="00097612">
            <w:pPr>
              <w:pStyle w:val="a3"/>
              <w:spacing w:before="0" w:beforeAutospacing="0" w:after="0" w:afterAutospacing="0"/>
              <w:jc w:val="center"/>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14:paraId="212899B0" w14:textId="77777777" w:rsidR="00000000" w:rsidRDefault="00097612">
            <w:pPr>
              <w:pStyle w:val="a3"/>
              <w:spacing w:before="0" w:beforeAutospacing="0" w:after="0" w:afterAutospacing="0"/>
              <w:ind w:right="60"/>
              <w:jc w:val="right"/>
              <w:rPr>
                <w:sz w:val="20"/>
                <w:szCs w:val="20"/>
              </w:rPr>
            </w:pPr>
            <w:r>
              <w:rPr>
                <w:sz w:val="20"/>
                <w:szCs w:val="20"/>
              </w:rPr>
              <w:t>7,48</w:t>
            </w:r>
            <w:r>
              <w:rPr>
                <w:sz w:val="20"/>
                <w:szCs w:val="20"/>
              </w:rPr>
              <w:t>7</w:t>
            </w:r>
          </w:p>
        </w:tc>
        <w:tc>
          <w:tcPr>
            <w:tcW w:w="79" w:type="pct"/>
            <w:noWrap/>
            <w:tcMar>
              <w:top w:w="0" w:type="dxa"/>
              <w:left w:w="0" w:type="dxa"/>
              <w:bottom w:w="0" w:type="dxa"/>
              <w:right w:w="0" w:type="dxa"/>
            </w:tcMar>
            <w:vAlign w:val="bottom"/>
            <w:hideMark/>
          </w:tcPr>
          <w:p w14:paraId="2D9CC8DC" w14:textId="77777777" w:rsidR="00000000" w:rsidRDefault="00097612">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72D2642E" w14:textId="77777777" w:rsidR="00000000" w:rsidRDefault="00097612">
            <w:pPr>
              <w:pStyle w:val="a3"/>
              <w:spacing w:before="0" w:beforeAutospacing="0" w:after="0" w:afterAutospacing="0"/>
              <w:jc w:val="center"/>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14:paraId="0C5A24C3" w14:textId="77777777" w:rsidR="00000000" w:rsidRDefault="00097612">
            <w:pPr>
              <w:pStyle w:val="a3"/>
              <w:spacing w:before="0" w:beforeAutospacing="0" w:after="0" w:afterAutospacing="0"/>
              <w:ind w:right="60"/>
              <w:jc w:val="right"/>
              <w:rPr>
                <w:sz w:val="20"/>
                <w:szCs w:val="20"/>
              </w:rPr>
            </w:pPr>
            <w:r>
              <w:rPr>
                <w:sz w:val="20"/>
                <w:szCs w:val="20"/>
              </w:rPr>
              <w:t>8,46</w:t>
            </w:r>
            <w:r>
              <w:rPr>
                <w:sz w:val="20"/>
                <w:szCs w:val="20"/>
              </w:rPr>
              <w:t>8</w:t>
            </w:r>
          </w:p>
        </w:tc>
        <w:tc>
          <w:tcPr>
            <w:tcW w:w="79" w:type="pct"/>
            <w:noWrap/>
            <w:tcMar>
              <w:top w:w="0" w:type="dxa"/>
              <w:left w:w="0" w:type="dxa"/>
              <w:bottom w:w="0" w:type="dxa"/>
              <w:right w:w="0" w:type="dxa"/>
            </w:tcMar>
            <w:vAlign w:val="bottom"/>
            <w:hideMark/>
          </w:tcPr>
          <w:p w14:paraId="7940FD9D" w14:textId="77777777" w:rsidR="00000000" w:rsidRDefault="00097612">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4D4E79C1" w14:textId="77777777" w:rsidR="00000000" w:rsidRDefault="00097612">
            <w:pPr>
              <w:pStyle w:val="a3"/>
              <w:spacing w:before="0" w:beforeAutospacing="0" w:after="0" w:afterAutospacing="0"/>
              <w:jc w:val="center"/>
              <w:rPr>
                <w:sz w:val="20"/>
                <w:szCs w:val="20"/>
              </w:rPr>
            </w:pPr>
            <w:r>
              <w:rPr>
                <w:sz w:val="20"/>
                <w:szCs w:val="20"/>
              </w:rPr>
              <w:t> </w:t>
            </w:r>
          </w:p>
        </w:tc>
        <w:tc>
          <w:tcPr>
            <w:tcW w:w="314" w:type="pct"/>
            <w:tcBorders>
              <w:bottom w:val="single" w:sz="6" w:space="0" w:color="000000"/>
            </w:tcBorders>
            <w:noWrap/>
            <w:tcMar>
              <w:top w:w="0" w:type="dxa"/>
              <w:left w:w="0" w:type="dxa"/>
              <w:bottom w:w="0" w:type="dxa"/>
              <w:right w:w="0" w:type="dxa"/>
            </w:tcMar>
            <w:vAlign w:val="bottom"/>
            <w:hideMark/>
          </w:tcPr>
          <w:p w14:paraId="56A1B58E" w14:textId="77777777" w:rsidR="00000000" w:rsidRDefault="00097612">
            <w:pPr>
              <w:pStyle w:val="a3"/>
              <w:spacing w:before="0" w:beforeAutospacing="0" w:after="0" w:afterAutospacing="0"/>
              <w:jc w:val="right"/>
              <w:rPr>
                <w:sz w:val="20"/>
                <w:szCs w:val="20"/>
              </w:rPr>
            </w:pPr>
            <w:r>
              <w:rPr>
                <w:sz w:val="20"/>
                <w:szCs w:val="20"/>
              </w:rPr>
              <w:t>(981</w:t>
            </w:r>
            <w:r>
              <w:rPr>
                <w:sz w:val="20"/>
                <w:szCs w:val="20"/>
              </w:rPr>
              <w:t>)</w:t>
            </w:r>
          </w:p>
        </w:tc>
        <w:tc>
          <w:tcPr>
            <w:tcW w:w="79" w:type="pct"/>
            <w:noWrap/>
            <w:tcMar>
              <w:top w:w="0" w:type="dxa"/>
              <w:left w:w="0" w:type="dxa"/>
              <w:bottom w:w="0" w:type="dxa"/>
              <w:right w:w="0" w:type="dxa"/>
            </w:tcMar>
            <w:vAlign w:val="bottom"/>
            <w:hideMark/>
          </w:tcPr>
          <w:p w14:paraId="14BEFDA0" w14:textId="77777777" w:rsidR="00000000" w:rsidRDefault="00097612">
            <w:pPr>
              <w:pStyle w:val="a3"/>
              <w:spacing w:before="0" w:beforeAutospacing="0" w:after="0" w:afterAutospacing="0"/>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14:paraId="7E14B252" w14:textId="77777777" w:rsidR="00000000" w:rsidRDefault="00097612">
            <w:pPr>
              <w:pStyle w:val="a3"/>
              <w:spacing w:before="0" w:beforeAutospacing="0" w:after="0" w:afterAutospacing="0"/>
              <w:jc w:val="right"/>
              <w:rPr>
                <w:sz w:val="20"/>
                <w:szCs w:val="20"/>
              </w:rPr>
            </w:pPr>
            <w:r>
              <w:rPr>
                <w:sz w:val="20"/>
                <w:szCs w:val="20"/>
              </w:rPr>
              <w:t>(12</w:t>
            </w:r>
            <w:r>
              <w:rPr>
                <w:sz w:val="20"/>
                <w:szCs w:val="20"/>
              </w:rPr>
              <w:t>)</w:t>
            </w:r>
          </w:p>
        </w:tc>
        <w:tc>
          <w:tcPr>
            <w:tcW w:w="132" w:type="pct"/>
            <w:noWrap/>
            <w:tcMar>
              <w:top w:w="0" w:type="dxa"/>
              <w:left w:w="0" w:type="dxa"/>
              <w:bottom w:w="0" w:type="dxa"/>
              <w:right w:w="0" w:type="dxa"/>
            </w:tcMar>
            <w:vAlign w:val="bottom"/>
            <w:hideMark/>
          </w:tcPr>
          <w:p w14:paraId="7B09F3C3" w14:textId="77777777" w:rsidR="00000000" w:rsidRDefault="00097612">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14:paraId="47D98955" w14:textId="77777777" w:rsidR="00000000" w:rsidRDefault="00097612">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7F7667B4" w14:textId="77777777" w:rsidR="00000000" w:rsidRDefault="00097612">
            <w:pPr>
              <w:pStyle w:val="a3"/>
              <w:spacing w:before="0" w:beforeAutospacing="0" w:after="0" w:afterAutospacing="0"/>
              <w:jc w:val="center"/>
              <w:rPr>
                <w:sz w:val="20"/>
                <w:szCs w:val="20"/>
              </w:rPr>
            </w:pPr>
            <w:r>
              <w:rPr>
                <w:sz w:val="20"/>
                <w:szCs w:val="20"/>
              </w:rPr>
              <w:t> </w:t>
            </w:r>
          </w:p>
        </w:tc>
        <w:tc>
          <w:tcPr>
            <w:tcW w:w="376" w:type="pct"/>
            <w:tcBorders>
              <w:bottom w:val="single" w:sz="6" w:space="0" w:color="000000"/>
            </w:tcBorders>
            <w:noWrap/>
            <w:tcMar>
              <w:top w:w="0" w:type="dxa"/>
              <w:left w:w="0" w:type="dxa"/>
              <w:bottom w:w="0" w:type="dxa"/>
              <w:right w:w="0" w:type="dxa"/>
            </w:tcMar>
            <w:vAlign w:val="bottom"/>
            <w:hideMark/>
          </w:tcPr>
          <w:p w14:paraId="7C755ED2" w14:textId="77777777" w:rsidR="00000000" w:rsidRDefault="00097612">
            <w:pPr>
              <w:pStyle w:val="a3"/>
              <w:spacing w:before="0" w:beforeAutospacing="0" w:after="0" w:afterAutospacing="0"/>
              <w:ind w:right="60"/>
              <w:jc w:val="right"/>
              <w:rPr>
                <w:sz w:val="20"/>
                <w:szCs w:val="20"/>
              </w:rPr>
            </w:pPr>
            <w:r>
              <w:rPr>
                <w:sz w:val="20"/>
                <w:szCs w:val="20"/>
              </w:rPr>
              <w:t>24,43</w:t>
            </w:r>
            <w:r>
              <w:rPr>
                <w:sz w:val="20"/>
                <w:szCs w:val="20"/>
              </w:rPr>
              <w:t>7</w:t>
            </w:r>
          </w:p>
        </w:tc>
        <w:tc>
          <w:tcPr>
            <w:tcW w:w="79" w:type="pct"/>
            <w:noWrap/>
            <w:tcMar>
              <w:top w:w="0" w:type="dxa"/>
              <w:left w:w="0" w:type="dxa"/>
              <w:bottom w:w="0" w:type="dxa"/>
              <w:right w:w="0" w:type="dxa"/>
            </w:tcMar>
            <w:vAlign w:val="bottom"/>
            <w:hideMark/>
          </w:tcPr>
          <w:p w14:paraId="3DC39700" w14:textId="77777777" w:rsidR="00000000" w:rsidRDefault="00097612">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1384A675" w14:textId="77777777" w:rsidR="00000000" w:rsidRDefault="00097612">
            <w:pPr>
              <w:pStyle w:val="a3"/>
              <w:spacing w:before="0" w:beforeAutospacing="0" w:after="0" w:afterAutospacing="0"/>
              <w:jc w:val="center"/>
              <w:rPr>
                <w:sz w:val="20"/>
                <w:szCs w:val="20"/>
              </w:rPr>
            </w:pPr>
            <w:r>
              <w:rPr>
                <w:sz w:val="20"/>
                <w:szCs w:val="20"/>
              </w:rPr>
              <w:t> </w:t>
            </w:r>
          </w:p>
        </w:tc>
        <w:tc>
          <w:tcPr>
            <w:tcW w:w="376" w:type="pct"/>
            <w:tcBorders>
              <w:bottom w:val="single" w:sz="6" w:space="0" w:color="000000"/>
            </w:tcBorders>
            <w:noWrap/>
            <w:tcMar>
              <w:top w:w="0" w:type="dxa"/>
              <w:left w:w="0" w:type="dxa"/>
              <w:bottom w:w="0" w:type="dxa"/>
              <w:right w:w="0" w:type="dxa"/>
            </w:tcMar>
            <w:vAlign w:val="bottom"/>
            <w:hideMark/>
          </w:tcPr>
          <w:p w14:paraId="62F2869B" w14:textId="77777777" w:rsidR="00000000" w:rsidRDefault="00097612">
            <w:pPr>
              <w:pStyle w:val="a3"/>
              <w:spacing w:before="0" w:beforeAutospacing="0" w:after="0" w:afterAutospacing="0"/>
              <w:ind w:right="60"/>
              <w:jc w:val="right"/>
              <w:rPr>
                <w:sz w:val="20"/>
                <w:szCs w:val="20"/>
              </w:rPr>
            </w:pPr>
            <w:r>
              <w:rPr>
                <w:sz w:val="20"/>
                <w:szCs w:val="20"/>
              </w:rPr>
              <w:t>26,67</w:t>
            </w:r>
            <w:r>
              <w:rPr>
                <w:sz w:val="20"/>
                <w:szCs w:val="20"/>
              </w:rPr>
              <w:t>2</w:t>
            </w:r>
          </w:p>
        </w:tc>
        <w:tc>
          <w:tcPr>
            <w:tcW w:w="79" w:type="pct"/>
            <w:noWrap/>
            <w:tcMar>
              <w:top w:w="0" w:type="dxa"/>
              <w:left w:w="0" w:type="dxa"/>
              <w:bottom w:w="0" w:type="dxa"/>
              <w:right w:w="0" w:type="dxa"/>
            </w:tcMar>
            <w:vAlign w:val="bottom"/>
            <w:hideMark/>
          </w:tcPr>
          <w:p w14:paraId="0D22D9AE" w14:textId="77777777" w:rsidR="00000000" w:rsidRDefault="00097612">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0D0594DF" w14:textId="77777777" w:rsidR="00000000" w:rsidRDefault="00097612">
            <w:pPr>
              <w:pStyle w:val="a3"/>
              <w:spacing w:before="0" w:beforeAutospacing="0" w:after="0" w:afterAutospacing="0"/>
              <w:jc w:val="center"/>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14:paraId="2A2CEC61" w14:textId="77777777" w:rsidR="00000000" w:rsidRDefault="00097612">
            <w:pPr>
              <w:pStyle w:val="a3"/>
              <w:spacing w:before="0" w:beforeAutospacing="0" w:after="0" w:afterAutospacing="0"/>
              <w:jc w:val="right"/>
              <w:rPr>
                <w:sz w:val="20"/>
                <w:szCs w:val="20"/>
              </w:rPr>
            </w:pPr>
            <w:r>
              <w:rPr>
                <w:sz w:val="20"/>
                <w:szCs w:val="20"/>
              </w:rPr>
              <w:t>(2,235</w:t>
            </w:r>
            <w:r>
              <w:rPr>
                <w:sz w:val="20"/>
                <w:szCs w:val="20"/>
              </w:rPr>
              <w:t>)</w:t>
            </w:r>
          </w:p>
        </w:tc>
        <w:tc>
          <w:tcPr>
            <w:tcW w:w="79" w:type="pct"/>
            <w:noWrap/>
            <w:tcMar>
              <w:top w:w="0" w:type="dxa"/>
              <w:left w:w="0" w:type="dxa"/>
              <w:bottom w:w="0" w:type="dxa"/>
              <w:right w:w="0" w:type="dxa"/>
            </w:tcMar>
            <w:vAlign w:val="bottom"/>
            <w:hideMark/>
          </w:tcPr>
          <w:p w14:paraId="18751604" w14:textId="77777777" w:rsidR="00000000" w:rsidRDefault="00097612">
            <w:pPr>
              <w:pStyle w:val="a3"/>
              <w:spacing w:before="0" w:beforeAutospacing="0" w:after="0" w:afterAutospacing="0"/>
              <w:jc w:val="center"/>
              <w:rPr>
                <w:sz w:val="20"/>
                <w:szCs w:val="20"/>
              </w:rPr>
            </w:pPr>
            <w:r>
              <w:rPr>
                <w:sz w:val="20"/>
                <w:szCs w:val="20"/>
              </w:rPr>
              <w:t>​</w:t>
            </w:r>
          </w:p>
        </w:tc>
        <w:tc>
          <w:tcPr>
            <w:tcW w:w="153" w:type="pct"/>
            <w:tcBorders>
              <w:bottom w:val="single" w:sz="6" w:space="0" w:color="000000"/>
            </w:tcBorders>
            <w:noWrap/>
            <w:tcMar>
              <w:top w:w="0" w:type="dxa"/>
              <w:left w:w="0" w:type="dxa"/>
              <w:bottom w:w="0" w:type="dxa"/>
              <w:right w:w="0" w:type="dxa"/>
            </w:tcMar>
            <w:vAlign w:val="bottom"/>
            <w:hideMark/>
          </w:tcPr>
          <w:p w14:paraId="5EDA4396" w14:textId="77777777" w:rsidR="00000000" w:rsidRDefault="00097612">
            <w:pPr>
              <w:pStyle w:val="a3"/>
              <w:spacing w:before="0" w:beforeAutospacing="0" w:after="0" w:afterAutospacing="0"/>
              <w:jc w:val="right"/>
              <w:rPr>
                <w:sz w:val="20"/>
                <w:szCs w:val="20"/>
              </w:rPr>
            </w:pPr>
            <w:r>
              <w:rPr>
                <w:sz w:val="20"/>
                <w:szCs w:val="20"/>
              </w:rPr>
              <w:t>(8</w:t>
            </w:r>
            <w:r>
              <w:rPr>
                <w:sz w:val="20"/>
                <w:szCs w:val="20"/>
              </w:rPr>
              <w:t>)</w:t>
            </w:r>
          </w:p>
        </w:tc>
        <w:tc>
          <w:tcPr>
            <w:tcW w:w="132" w:type="pct"/>
            <w:noWrap/>
            <w:tcMar>
              <w:top w:w="0" w:type="dxa"/>
              <w:left w:w="0" w:type="dxa"/>
              <w:bottom w:w="0" w:type="dxa"/>
              <w:right w:w="0" w:type="dxa"/>
            </w:tcMar>
            <w:vAlign w:val="bottom"/>
            <w:hideMark/>
          </w:tcPr>
          <w:p w14:paraId="765FAACE" w14:textId="77777777" w:rsidR="00000000" w:rsidRDefault="00097612">
            <w:pPr>
              <w:pStyle w:val="a3"/>
              <w:spacing w:before="0" w:beforeAutospacing="0" w:after="0" w:afterAutospacing="0"/>
              <w:jc w:val="center"/>
              <w:rPr>
                <w:sz w:val="20"/>
                <w:szCs w:val="20"/>
              </w:rPr>
            </w:pPr>
            <w:r>
              <w:rPr>
                <w:sz w:val="20"/>
                <w:szCs w:val="20"/>
              </w:rPr>
              <w:t>​</w:t>
            </w:r>
          </w:p>
        </w:tc>
      </w:tr>
      <w:tr w:rsidR="00000000" w14:paraId="0F359526" w14:textId="77777777">
        <w:trPr>
          <w:divId w:val="569077818"/>
        </w:trPr>
        <w:tc>
          <w:tcPr>
            <w:tcW w:w="1407" w:type="pct"/>
            <w:shd w:val="clear" w:color="auto" w:fill="CCEEFF"/>
            <w:tcMar>
              <w:top w:w="0" w:type="dxa"/>
              <w:left w:w="0" w:type="dxa"/>
              <w:bottom w:w="0" w:type="dxa"/>
              <w:right w:w="0" w:type="dxa"/>
            </w:tcMar>
            <w:vAlign w:val="bottom"/>
            <w:hideMark/>
          </w:tcPr>
          <w:p w14:paraId="61EDEE73" w14:textId="77777777" w:rsidR="00000000" w:rsidRDefault="00097612">
            <w:pPr>
              <w:pStyle w:val="a3"/>
              <w:spacing w:before="0" w:beforeAutospacing="0" w:after="0" w:afterAutospacing="0"/>
              <w:ind w:left="120"/>
              <w:rPr>
                <w:sz w:val="20"/>
                <w:szCs w:val="20"/>
              </w:rPr>
            </w:pPr>
            <w:r>
              <w:rPr>
                <w:sz w:val="20"/>
                <w:szCs w:val="20"/>
              </w:rPr>
              <w:t>Total research &amp; development</w:t>
            </w:r>
          </w:p>
        </w:tc>
        <w:tc>
          <w:tcPr>
            <w:tcW w:w="79" w:type="pct"/>
            <w:shd w:val="clear" w:color="auto" w:fill="CCEEFF"/>
            <w:noWrap/>
            <w:tcMar>
              <w:top w:w="0" w:type="dxa"/>
              <w:left w:w="0" w:type="dxa"/>
              <w:bottom w:w="0" w:type="dxa"/>
              <w:right w:w="0" w:type="dxa"/>
            </w:tcMar>
            <w:vAlign w:val="bottom"/>
            <w:hideMark/>
          </w:tcPr>
          <w:p w14:paraId="7FE1AAB5" w14:textId="77777777" w:rsidR="00000000" w:rsidRDefault="00097612">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0F5EE867" w14:textId="77777777" w:rsidR="00000000" w:rsidRDefault="00097612">
            <w:pPr>
              <w:pStyle w:val="a3"/>
              <w:spacing w:before="0" w:beforeAutospacing="0" w:after="0" w:afterAutospacing="0"/>
              <w:jc w:val="center"/>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14:paraId="47067AA1" w14:textId="77777777" w:rsidR="00000000" w:rsidRDefault="00097612">
            <w:pPr>
              <w:pStyle w:val="a3"/>
              <w:spacing w:before="0" w:beforeAutospacing="0" w:after="0" w:afterAutospacing="0"/>
              <w:ind w:right="60"/>
              <w:jc w:val="right"/>
              <w:rPr>
                <w:sz w:val="20"/>
                <w:szCs w:val="20"/>
              </w:rPr>
            </w:pPr>
            <w:r>
              <w:rPr>
                <w:sz w:val="20"/>
                <w:szCs w:val="20"/>
              </w:rPr>
              <w:t>52,00</w:t>
            </w:r>
            <w:r>
              <w:rPr>
                <w:sz w:val="20"/>
                <w:szCs w:val="20"/>
              </w:rPr>
              <w:t>6</w:t>
            </w:r>
          </w:p>
        </w:tc>
        <w:tc>
          <w:tcPr>
            <w:tcW w:w="79" w:type="pct"/>
            <w:shd w:val="clear" w:color="auto" w:fill="CCEEFF"/>
            <w:noWrap/>
            <w:tcMar>
              <w:top w:w="0" w:type="dxa"/>
              <w:left w:w="0" w:type="dxa"/>
              <w:bottom w:w="0" w:type="dxa"/>
              <w:right w:w="0" w:type="dxa"/>
            </w:tcMar>
            <w:vAlign w:val="bottom"/>
            <w:hideMark/>
          </w:tcPr>
          <w:p w14:paraId="5E9B49B4" w14:textId="77777777" w:rsidR="00000000" w:rsidRDefault="00097612">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066768B8" w14:textId="77777777" w:rsidR="00000000" w:rsidRDefault="00097612">
            <w:pPr>
              <w:pStyle w:val="a3"/>
              <w:spacing w:before="0" w:beforeAutospacing="0" w:after="0" w:afterAutospacing="0"/>
              <w:jc w:val="center"/>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14:paraId="482904A7" w14:textId="77777777" w:rsidR="00000000" w:rsidRDefault="00097612">
            <w:pPr>
              <w:pStyle w:val="a3"/>
              <w:spacing w:before="0" w:beforeAutospacing="0" w:after="0" w:afterAutospacing="0"/>
              <w:ind w:right="60"/>
              <w:jc w:val="right"/>
              <w:rPr>
                <w:sz w:val="20"/>
                <w:szCs w:val="20"/>
              </w:rPr>
            </w:pPr>
            <w:r>
              <w:rPr>
                <w:sz w:val="20"/>
                <w:szCs w:val="20"/>
              </w:rPr>
              <w:t>52,69</w:t>
            </w:r>
            <w:r>
              <w:rPr>
                <w:sz w:val="20"/>
                <w:szCs w:val="20"/>
              </w:rPr>
              <w:t>3</w:t>
            </w:r>
          </w:p>
        </w:tc>
        <w:tc>
          <w:tcPr>
            <w:tcW w:w="79" w:type="pct"/>
            <w:shd w:val="clear" w:color="auto" w:fill="CCEEFF"/>
            <w:noWrap/>
            <w:tcMar>
              <w:top w:w="0" w:type="dxa"/>
              <w:left w:w="0" w:type="dxa"/>
              <w:bottom w:w="0" w:type="dxa"/>
              <w:right w:w="0" w:type="dxa"/>
            </w:tcMar>
            <w:vAlign w:val="bottom"/>
            <w:hideMark/>
          </w:tcPr>
          <w:p w14:paraId="68A46224" w14:textId="77777777" w:rsidR="00000000" w:rsidRDefault="00097612">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0555F95D" w14:textId="77777777" w:rsidR="00000000" w:rsidRDefault="00097612">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14:paraId="4E4C290B" w14:textId="77777777" w:rsidR="00000000" w:rsidRDefault="00097612">
            <w:pPr>
              <w:pStyle w:val="a3"/>
              <w:spacing w:before="0" w:beforeAutospacing="0" w:after="0" w:afterAutospacing="0"/>
              <w:jc w:val="right"/>
              <w:rPr>
                <w:sz w:val="20"/>
                <w:szCs w:val="20"/>
              </w:rPr>
            </w:pPr>
            <w:r>
              <w:rPr>
                <w:sz w:val="20"/>
                <w:szCs w:val="20"/>
              </w:rPr>
              <w:t>(687</w:t>
            </w:r>
            <w:r>
              <w:rPr>
                <w:sz w:val="20"/>
                <w:szCs w:val="20"/>
              </w:rPr>
              <w:t>)</w:t>
            </w:r>
          </w:p>
        </w:tc>
        <w:tc>
          <w:tcPr>
            <w:tcW w:w="79" w:type="pct"/>
            <w:shd w:val="clear" w:color="auto" w:fill="CCEEFF"/>
            <w:noWrap/>
            <w:tcMar>
              <w:top w:w="0" w:type="dxa"/>
              <w:left w:w="0" w:type="dxa"/>
              <w:bottom w:w="0" w:type="dxa"/>
              <w:right w:w="0" w:type="dxa"/>
            </w:tcMar>
            <w:vAlign w:val="bottom"/>
            <w:hideMark/>
          </w:tcPr>
          <w:p w14:paraId="5ACF770B" w14:textId="77777777" w:rsidR="00000000" w:rsidRDefault="00097612">
            <w:pPr>
              <w:pStyle w:val="a3"/>
              <w:spacing w:before="0" w:beforeAutospacing="0" w:after="0" w:afterAutospacing="0"/>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14:paraId="6416B7FC" w14:textId="77777777" w:rsidR="00000000" w:rsidRDefault="00097612">
            <w:pPr>
              <w:pStyle w:val="a3"/>
              <w:spacing w:before="0" w:beforeAutospacing="0" w:after="0" w:afterAutospacing="0"/>
              <w:jc w:val="right"/>
              <w:rPr>
                <w:sz w:val="20"/>
                <w:szCs w:val="20"/>
              </w:rPr>
            </w:pPr>
            <w:r>
              <w:rPr>
                <w:sz w:val="20"/>
                <w:szCs w:val="20"/>
              </w:rPr>
              <w:t>(1</w:t>
            </w:r>
            <w:r>
              <w:rPr>
                <w:sz w:val="20"/>
                <w:szCs w:val="20"/>
              </w:rPr>
              <w:t>)</w:t>
            </w:r>
          </w:p>
        </w:tc>
        <w:tc>
          <w:tcPr>
            <w:tcW w:w="132" w:type="pct"/>
            <w:shd w:val="clear" w:color="auto" w:fill="CCEEFF"/>
            <w:noWrap/>
            <w:tcMar>
              <w:top w:w="0" w:type="dxa"/>
              <w:left w:w="0" w:type="dxa"/>
              <w:bottom w:w="0" w:type="dxa"/>
              <w:right w:w="0" w:type="dxa"/>
            </w:tcMar>
            <w:vAlign w:val="bottom"/>
            <w:hideMark/>
          </w:tcPr>
          <w:p w14:paraId="569D3A54" w14:textId="77777777" w:rsidR="00000000" w:rsidRDefault="00097612">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14:paraId="68D3850D" w14:textId="77777777" w:rsidR="00000000" w:rsidRDefault="00097612">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15A42A14" w14:textId="77777777" w:rsidR="00000000" w:rsidRDefault="00097612">
            <w:pPr>
              <w:pStyle w:val="a3"/>
              <w:spacing w:before="0" w:beforeAutospacing="0" w:after="0" w:afterAutospacing="0"/>
              <w:jc w:val="center"/>
              <w:rPr>
                <w:sz w:val="20"/>
                <w:szCs w:val="20"/>
              </w:rPr>
            </w:pPr>
            <w:r>
              <w:rPr>
                <w:sz w:val="20"/>
                <w:szCs w:val="20"/>
              </w:rPr>
              <w:t>$</w:t>
            </w:r>
          </w:p>
        </w:tc>
        <w:tc>
          <w:tcPr>
            <w:tcW w:w="376" w:type="pct"/>
            <w:tcBorders>
              <w:bottom w:val="double" w:sz="6" w:space="0" w:color="000000"/>
            </w:tcBorders>
            <w:shd w:val="clear" w:color="auto" w:fill="CCEEFF"/>
            <w:noWrap/>
            <w:tcMar>
              <w:top w:w="0" w:type="dxa"/>
              <w:left w:w="0" w:type="dxa"/>
              <w:bottom w:w="0" w:type="dxa"/>
              <w:right w:w="0" w:type="dxa"/>
            </w:tcMar>
            <w:vAlign w:val="bottom"/>
            <w:hideMark/>
          </w:tcPr>
          <w:p w14:paraId="55EEF963" w14:textId="77777777" w:rsidR="00000000" w:rsidRDefault="00097612">
            <w:pPr>
              <w:pStyle w:val="a3"/>
              <w:spacing w:before="0" w:beforeAutospacing="0" w:after="0" w:afterAutospacing="0"/>
              <w:ind w:right="60"/>
              <w:jc w:val="right"/>
              <w:rPr>
                <w:sz w:val="20"/>
                <w:szCs w:val="20"/>
              </w:rPr>
            </w:pPr>
            <w:r>
              <w:rPr>
                <w:sz w:val="20"/>
                <w:szCs w:val="20"/>
              </w:rPr>
              <w:t>152,22</w:t>
            </w:r>
            <w:r>
              <w:rPr>
                <w:sz w:val="20"/>
                <w:szCs w:val="20"/>
              </w:rPr>
              <w:t>3</w:t>
            </w:r>
          </w:p>
        </w:tc>
        <w:tc>
          <w:tcPr>
            <w:tcW w:w="79" w:type="pct"/>
            <w:shd w:val="clear" w:color="auto" w:fill="CCEEFF"/>
            <w:noWrap/>
            <w:tcMar>
              <w:top w:w="0" w:type="dxa"/>
              <w:left w:w="0" w:type="dxa"/>
              <w:bottom w:w="0" w:type="dxa"/>
              <w:right w:w="0" w:type="dxa"/>
            </w:tcMar>
            <w:vAlign w:val="bottom"/>
            <w:hideMark/>
          </w:tcPr>
          <w:p w14:paraId="4BE226AD" w14:textId="77777777" w:rsidR="00000000" w:rsidRDefault="00097612">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3DF2A146" w14:textId="77777777" w:rsidR="00000000" w:rsidRDefault="00097612">
            <w:pPr>
              <w:pStyle w:val="a3"/>
              <w:spacing w:before="0" w:beforeAutospacing="0" w:after="0" w:afterAutospacing="0"/>
              <w:jc w:val="center"/>
              <w:rPr>
                <w:sz w:val="20"/>
                <w:szCs w:val="20"/>
              </w:rPr>
            </w:pPr>
            <w:r>
              <w:rPr>
                <w:sz w:val="20"/>
                <w:szCs w:val="20"/>
              </w:rPr>
              <w:t>$</w:t>
            </w:r>
          </w:p>
        </w:tc>
        <w:tc>
          <w:tcPr>
            <w:tcW w:w="376" w:type="pct"/>
            <w:tcBorders>
              <w:bottom w:val="double" w:sz="6" w:space="0" w:color="000000"/>
            </w:tcBorders>
            <w:shd w:val="clear" w:color="auto" w:fill="CCEEFF"/>
            <w:noWrap/>
            <w:tcMar>
              <w:top w:w="0" w:type="dxa"/>
              <w:left w:w="0" w:type="dxa"/>
              <w:bottom w:w="0" w:type="dxa"/>
              <w:right w:w="0" w:type="dxa"/>
            </w:tcMar>
            <w:vAlign w:val="bottom"/>
            <w:hideMark/>
          </w:tcPr>
          <w:p w14:paraId="2021DFE3" w14:textId="77777777" w:rsidR="00000000" w:rsidRDefault="00097612">
            <w:pPr>
              <w:pStyle w:val="a3"/>
              <w:spacing w:before="0" w:beforeAutospacing="0" w:after="0" w:afterAutospacing="0"/>
              <w:ind w:right="60"/>
              <w:jc w:val="right"/>
              <w:rPr>
                <w:sz w:val="20"/>
                <w:szCs w:val="20"/>
              </w:rPr>
            </w:pPr>
            <w:r>
              <w:rPr>
                <w:sz w:val="20"/>
                <w:szCs w:val="20"/>
              </w:rPr>
              <w:t>149,07</w:t>
            </w:r>
            <w:r>
              <w:rPr>
                <w:sz w:val="20"/>
                <w:szCs w:val="20"/>
              </w:rPr>
              <w:t>9</w:t>
            </w:r>
          </w:p>
        </w:tc>
        <w:tc>
          <w:tcPr>
            <w:tcW w:w="79" w:type="pct"/>
            <w:shd w:val="clear" w:color="auto" w:fill="CCEEFF"/>
            <w:noWrap/>
            <w:tcMar>
              <w:top w:w="0" w:type="dxa"/>
              <w:left w:w="0" w:type="dxa"/>
              <w:bottom w:w="0" w:type="dxa"/>
              <w:right w:w="0" w:type="dxa"/>
            </w:tcMar>
            <w:vAlign w:val="bottom"/>
            <w:hideMark/>
          </w:tcPr>
          <w:p w14:paraId="4E96B8B1" w14:textId="77777777" w:rsidR="00000000" w:rsidRDefault="00097612">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0738451B" w14:textId="77777777" w:rsidR="00000000" w:rsidRDefault="00097612">
            <w:pPr>
              <w:pStyle w:val="a3"/>
              <w:spacing w:before="0" w:beforeAutospacing="0" w:after="0" w:afterAutospacing="0"/>
              <w:jc w:val="center"/>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14:paraId="14BFD861" w14:textId="77777777" w:rsidR="00000000" w:rsidRDefault="00097612">
            <w:pPr>
              <w:pStyle w:val="a3"/>
              <w:spacing w:before="0" w:beforeAutospacing="0" w:after="0" w:afterAutospacing="0"/>
              <w:ind w:right="60"/>
              <w:jc w:val="right"/>
              <w:rPr>
                <w:sz w:val="20"/>
                <w:szCs w:val="20"/>
              </w:rPr>
            </w:pPr>
            <w:r>
              <w:rPr>
                <w:sz w:val="20"/>
                <w:szCs w:val="20"/>
              </w:rPr>
              <w:t>3,14</w:t>
            </w:r>
            <w:r>
              <w:rPr>
                <w:sz w:val="20"/>
                <w:szCs w:val="20"/>
              </w:rPr>
              <w:t>4</w:t>
            </w:r>
          </w:p>
        </w:tc>
        <w:tc>
          <w:tcPr>
            <w:tcW w:w="79" w:type="pct"/>
            <w:shd w:val="clear" w:color="auto" w:fill="CCEEFF"/>
            <w:noWrap/>
            <w:tcMar>
              <w:top w:w="0" w:type="dxa"/>
              <w:left w:w="0" w:type="dxa"/>
              <w:bottom w:w="0" w:type="dxa"/>
              <w:right w:w="0" w:type="dxa"/>
            </w:tcMar>
            <w:vAlign w:val="bottom"/>
            <w:hideMark/>
          </w:tcPr>
          <w:p w14:paraId="1EDCC43A" w14:textId="77777777" w:rsidR="00000000" w:rsidRDefault="00097612">
            <w:pPr>
              <w:pStyle w:val="a3"/>
              <w:spacing w:before="0" w:beforeAutospacing="0" w:after="0" w:afterAutospacing="0"/>
              <w:jc w:val="center"/>
              <w:rPr>
                <w:sz w:val="20"/>
                <w:szCs w:val="20"/>
              </w:rPr>
            </w:pPr>
            <w:r>
              <w:rPr>
                <w:sz w:val="20"/>
                <w:szCs w:val="20"/>
              </w:rPr>
              <w:t>​</w:t>
            </w:r>
          </w:p>
        </w:tc>
        <w:tc>
          <w:tcPr>
            <w:tcW w:w="153" w:type="pct"/>
            <w:tcBorders>
              <w:bottom w:val="double" w:sz="6" w:space="0" w:color="000000"/>
            </w:tcBorders>
            <w:shd w:val="clear" w:color="auto" w:fill="CCEEFF"/>
            <w:noWrap/>
            <w:tcMar>
              <w:top w:w="0" w:type="dxa"/>
              <w:left w:w="0" w:type="dxa"/>
              <w:bottom w:w="0" w:type="dxa"/>
              <w:right w:w="0" w:type="dxa"/>
            </w:tcMar>
            <w:vAlign w:val="bottom"/>
            <w:hideMark/>
          </w:tcPr>
          <w:p w14:paraId="1660A762" w14:textId="77777777" w:rsidR="00000000" w:rsidRDefault="00097612">
            <w:pPr>
              <w:pStyle w:val="a3"/>
              <w:spacing w:before="0" w:beforeAutospacing="0" w:after="0" w:afterAutospacing="0"/>
              <w:ind w:right="60"/>
              <w:jc w:val="right"/>
              <w:rPr>
                <w:sz w:val="20"/>
                <w:szCs w:val="20"/>
              </w:rPr>
            </w:pPr>
            <w:r>
              <w:rPr>
                <w:sz w:val="20"/>
                <w:szCs w:val="20"/>
              </w:rPr>
              <w:t>2</w:t>
            </w:r>
          </w:p>
        </w:tc>
        <w:tc>
          <w:tcPr>
            <w:tcW w:w="132" w:type="pct"/>
            <w:shd w:val="clear" w:color="auto" w:fill="CCEEFF"/>
            <w:noWrap/>
            <w:tcMar>
              <w:top w:w="0" w:type="dxa"/>
              <w:left w:w="0" w:type="dxa"/>
              <w:bottom w:w="0" w:type="dxa"/>
              <w:right w:w="0" w:type="dxa"/>
            </w:tcMar>
            <w:vAlign w:val="bottom"/>
            <w:hideMark/>
          </w:tcPr>
          <w:p w14:paraId="15022AED" w14:textId="77777777" w:rsidR="00000000" w:rsidRDefault="00097612">
            <w:pPr>
              <w:pStyle w:val="a3"/>
              <w:spacing w:before="0" w:beforeAutospacing="0" w:after="0" w:afterAutospacing="0"/>
              <w:jc w:val="center"/>
              <w:rPr>
                <w:sz w:val="20"/>
                <w:szCs w:val="20"/>
              </w:rPr>
            </w:pPr>
            <w:r>
              <w:rPr>
                <w:sz w:val="20"/>
                <w:szCs w:val="20"/>
              </w:rPr>
              <w:t>%  </w:t>
            </w:r>
          </w:p>
        </w:tc>
      </w:tr>
    </w:tbl>
    <w:p w14:paraId="15A79E7C" w14:textId="77777777" w:rsidR="00000000" w:rsidRDefault="00097612">
      <w:pPr>
        <w:pStyle w:val="a3"/>
        <w:spacing w:before="0" w:beforeAutospacing="0" w:after="0" w:afterAutospacing="0"/>
        <w:divId w:val="569077818"/>
        <w:rPr>
          <w:sz w:val="20"/>
          <w:szCs w:val="20"/>
        </w:rPr>
      </w:pPr>
      <w:r>
        <w:rPr>
          <w:sz w:val="20"/>
          <w:szCs w:val="20"/>
        </w:rPr>
        <w:t>​</w:t>
      </w:r>
    </w:p>
    <w:p w14:paraId="5A77C00E" w14:textId="77777777" w:rsidR="00000000" w:rsidRDefault="00097612">
      <w:pPr>
        <w:pStyle w:val="a3"/>
        <w:spacing w:before="0" w:beforeAutospacing="0" w:after="0" w:afterAutospacing="0"/>
        <w:ind w:firstLine="720"/>
        <w:divId w:val="569077818"/>
        <w:rPr>
          <w:sz w:val="20"/>
          <w:szCs w:val="20"/>
        </w:rPr>
      </w:pPr>
      <w:r>
        <w:rPr>
          <w:sz w:val="20"/>
          <w:szCs w:val="20"/>
        </w:rPr>
        <w:t>R&amp;</w:t>
      </w:r>
      <w:r>
        <w:rPr>
          <w:sz w:val="20"/>
          <w:szCs w:val="20"/>
        </w:rPr>
        <w:t xml:space="preserve">D expenses decreased by $0.7 million for the three months ended September 30, 2019 compared to same period in 2018. The decrease was primarily attributed to a $2.1 million decrease in employee-related expenses and a $1.0 million decrease in other expenses </w:t>
      </w:r>
      <w:r>
        <w:rPr>
          <w:sz w:val="20"/>
          <w:szCs w:val="20"/>
        </w:rPr>
        <w:t>resulting from our workforce reduction in the first quarter of 2019. The decrease was partially offset by a $2.3 million increase in external-related expenses related to our ongoing late-stage clinical programs in TD-1473 (our gut-selective pan-JAK inhibit</w:t>
      </w:r>
      <w:r>
        <w:rPr>
          <w:sz w:val="20"/>
          <w:szCs w:val="20"/>
        </w:rPr>
        <w:t xml:space="preserve">or), ampreloxetine (a norepinephrine serotonin reuptake inhibitor (“NSRI”)) in neurogenic orthostatic hypotension (“nOH”), as well as continued investment in our early-stage programs, and partially offset by the termination of the Phase 3 Bacteremia study </w:t>
      </w:r>
      <w:r>
        <w:rPr>
          <w:sz w:val="20"/>
          <w:szCs w:val="20"/>
        </w:rPr>
        <w:t xml:space="preserve">of VIBATIV in 2018. </w:t>
      </w:r>
    </w:p>
    <w:p w14:paraId="3F0FBE17" w14:textId="77777777" w:rsidR="00000000" w:rsidRDefault="00097612">
      <w:pPr>
        <w:pStyle w:val="a3"/>
        <w:spacing w:before="0" w:beforeAutospacing="0" w:after="0" w:afterAutospacing="0"/>
        <w:ind w:firstLine="720"/>
        <w:divId w:val="569077818"/>
        <w:rPr>
          <w:sz w:val="20"/>
          <w:szCs w:val="20"/>
        </w:rPr>
      </w:pPr>
      <w:r>
        <w:rPr>
          <w:sz w:val="20"/>
          <w:szCs w:val="20"/>
        </w:rPr>
        <w:t>​</w:t>
      </w:r>
    </w:p>
    <w:p w14:paraId="59FC4C80" w14:textId="77777777" w:rsidR="00000000" w:rsidRDefault="00097612">
      <w:pPr>
        <w:pStyle w:val="a3"/>
        <w:spacing w:before="0" w:beforeAutospacing="0" w:after="0" w:afterAutospacing="0"/>
        <w:ind w:firstLine="720"/>
        <w:divId w:val="569077818"/>
        <w:rPr>
          <w:sz w:val="20"/>
          <w:szCs w:val="20"/>
        </w:rPr>
      </w:pPr>
      <w:r>
        <w:rPr>
          <w:sz w:val="20"/>
          <w:szCs w:val="20"/>
        </w:rPr>
        <w:t>R&amp;D expenses increased by $3.1 million for the nine months ended September 30, 2019 compared to the same period in 2018. The increase was primarily due to a $10.5 million increase in external-related expenses related to our ongoing l</w:t>
      </w:r>
      <w:r>
        <w:rPr>
          <w:sz w:val="20"/>
          <w:szCs w:val="20"/>
        </w:rPr>
        <w:t>ate-stage clinical programs in TD-1473, ampreloxetine, as well as continued investment in our early-stage programs and partially offset by the termination of the Phase 3 Bacteremia study of VIBATIV in 2018. The external-related expense increase was partial</w:t>
      </w:r>
      <w:r>
        <w:rPr>
          <w:sz w:val="20"/>
          <w:szCs w:val="20"/>
        </w:rPr>
        <w:t>ly offset by a $3.7 million decrease in employee-related expenses, a $1.4 million decrease related to share-based compensation expense, and a $2.2 million decrease in other expenses resulting primarily from our workforce reduction in the first quarter of 2</w:t>
      </w:r>
      <w:r>
        <w:rPr>
          <w:sz w:val="20"/>
          <w:szCs w:val="20"/>
        </w:rPr>
        <w:t>019.</w:t>
      </w:r>
    </w:p>
    <w:p w14:paraId="3F0FA3AA" w14:textId="77777777" w:rsidR="00000000" w:rsidRDefault="00097612">
      <w:pPr>
        <w:pStyle w:val="a3"/>
        <w:spacing w:before="0" w:beforeAutospacing="0" w:after="0" w:afterAutospacing="0"/>
        <w:divId w:val="569077818"/>
        <w:rPr>
          <w:sz w:val="20"/>
          <w:szCs w:val="20"/>
        </w:rPr>
      </w:pPr>
      <w:r>
        <w:rPr>
          <w:sz w:val="20"/>
          <w:szCs w:val="20"/>
        </w:rPr>
        <w:t>​</w:t>
      </w:r>
    </w:p>
    <w:p w14:paraId="56069071" w14:textId="77777777" w:rsidR="00000000" w:rsidRDefault="00097612">
      <w:pPr>
        <w:pStyle w:val="a3"/>
        <w:spacing w:before="0" w:beforeAutospacing="0" w:after="0" w:afterAutospacing="0"/>
        <w:ind w:firstLine="720"/>
        <w:divId w:val="569077818"/>
        <w:rPr>
          <w:sz w:val="20"/>
          <w:szCs w:val="20"/>
        </w:rPr>
      </w:pPr>
      <w:r>
        <w:rPr>
          <w:sz w:val="20"/>
          <w:szCs w:val="20"/>
        </w:rPr>
        <w:t xml:space="preserve">Under certain of our collaborative arrangements, we receive partial reimbursement of employee-related costs and external costs, which have been reflected as a reduction of R&amp;D expenses of $1.0 million and $3.2 million for the three </w:t>
      </w:r>
    </w:p>
    <w:p w14:paraId="54E0172A" w14:textId="77777777" w:rsidR="00000000" w:rsidRDefault="00097612">
      <w:pPr>
        <w:pStyle w:val="a3"/>
        <w:spacing w:before="360" w:beforeAutospacing="0" w:after="0" w:afterAutospacing="0"/>
        <w:jc w:val="center"/>
        <w:divId w:val="2029913421"/>
        <w:rPr>
          <w:sz w:val="20"/>
          <w:szCs w:val="20"/>
        </w:rPr>
      </w:pPr>
      <w:r>
        <w:rPr>
          <w:sz w:val="20"/>
          <w:szCs w:val="20"/>
        </w:rPr>
        <w:t>29</w:t>
      </w:r>
    </w:p>
    <w:p w14:paraId="33E5977A" w14:textId="77777777" w:rsidR="00000000" w:rsidRDefault="00097612">
      <w:pPr>
        <w:pStyle w:val="a3"/>
        <w:spacing w:before="0" w:beforeAutospacing="0" w:after="600" w:afterAutospacing="0"/>
        <w:divId w:val="361826525"/>
        <w:rPr>
          <w:sz w:val="20"/>
          <w:szCs w:val="20"/>
        </w:rPr>
      </w:pPr>
      <w:hyperlink w:anchor="TOC" w:history="1">
        <w:r>
          <w:rPr>
            <w:rStyle w:val="a4"/>
            <w:sz w:val="20"/>
            <w:szCs w:val="20"/>
          </w:rPr>
          <w:t>Table of Contents</w:t>
        </w:r>
      </w:hyperlink>
    </w:p>
    <w:p w14:paraId="09F0E868" w14:textId="77777777" w:rsidR="00000000" w:rsidRDefault="00097612">
      <w:pPr>
        <w:pStyle w:val="a3"/>
        <w:spacing w:before="0" w:beforeAutospacing="0" w:after="0" w:afterAutospacing="0"/>
        <w:divId w:val="1973749852"/>
        <w:rPr>
          <w:sz w:val="20"/>
          <w:szCs w:val="20"/>
        </w:rPr>
      </w:pPr>
      <w:r>
        <w:rPr>
          <w:sz w:val="20"/>
          <w:szCs w:val="20"/>
        </w:rPr>
        <w:t>months ended September 30, 2019 and 2018, respectively, and $3.4 million and $6.5 million for the nine months ended September 30, 2019 and 2018, respectively. The decreases in expense reimbursements were primarily attributed to the wind down of the revefen</w:t>
      </w:r>
      <w:r>
        <w:rPr>
          <w:sz w:val="20"/>
          <w:szCs w:val="20"/>
        </w:rPr>
        <w:t xml:space="preserve">acin development program following our submission of the NDA in November 2017. </w:t>
      </w:r>
    </w:p>
    <w:p w14:paraId="7A10A363" w14:textId="77777777" w:rsidR="00000000" w:rsidRDefault="00097612">
      <w:pPr>
        <w:pStyle w:val="a3"/>
        <w:spacing w:before="0" w:beforeAutospacing="0" w:after="0" w:afterAutospacing="0"/>
        <w:ind w:firstLine="720"/>
        <w:divId w:val="1973749852"/>
        <w:rPr>
          <w:sz w:val="20"/>
          <w:szCs w:val="20"/>
        </w:rPr>
      </w:pPr>
      <w:r>
        <w:rPr>
          <w:sz w:val="20"/>
          <w:szCs w:val="20"/>
        </w:rPr>
        <w:t>​</w:t>
      </w:r>
    </w:p>
    <w:p w14:paraId="6B590359" w14:textId="77777777" w:rsidR="00000000" w:rsidRDefault="00097612">
      <w:pPr>
        <w:pStyle w:val="a3"/>
        <w:spacing w:before="0" w:beforeAutospacing="0" w:after="0" w:afterAutospacing="0"/>
        <w:divId w:val="1973749852"/>
        <w:rPr>
          <w:sz w:val="20"/>
          <w:szCs w:val="20"/>
        </w:rPr>
      </w:pPr>
      <w:r>
        <w:rPr>
          <w:b/>
          <w:bCs/>
          <w:i/>
          <w:iCs/>
          <w:sz w:val="20"/>
          <w:szCs w:val="20"/>
        </w:rPr>
        <w:t>Selling, General and Administrative Expenses</w:t>
      </w:r>
    </w:p>
    <w:p w14:paraId="50E26D3C" w14:textId="77777777" w:rsidR="00000000" w:rsidRDefault="00097612">
      <w:pPr>
        <w:pStyle w:val="a3"/>
        <w:spacing w:before="0" w:beforeAutospacing="0" w:after="0" w:afterAutospacing="0"/>
        <w:divId w:val="1973749852"/>
        <w:rPr>
          <w:sz w:val="20"/>
          <w:szCs w:val="20"/>
        </w:rPr>
      </w:pPr>
      <w:r>
        <w:rPr>
          <w:sz w:val="10"/>
          <w:szCs w:val="10"/>
        </w:rPr>
        <w:t>​</w:t>
      </w:r>
    </w:p>
    <w:p w14:paraId="19857309" w14:textId="77777777" w:rsidR="00000000" w:rsidRDefault="00097612">
      <w:pPr>
        <w:pStyle w:val="a3"/>
        <w:spacing w:before="0" w:beforeAutospacing="0" w:after="0" w:afterAutospacing="0"/>
        <w:ind w:firstLine="720"/>
        <w:divId w:val="1973749852"/>
        <w:rPr>
          <w:sz w:val="20"/>
          <w:szCs w:val="20"/>
        </w:rPr>
      </w:pPr>
      <w:r>
        <w:rPr>
          <w:sz w:val="20"/>
          <w:szCs w:val="20"/>
        </w:rPr>
        <w:t>Selling, general and administrative expenses, as compared to the comparable periods in the prior year, were as follows:</w:t>
      </w:r>
    </w:p>
    <w:p w14:paraId="2F9AEAC0" w14:textId="77777777" w:rsidR="00000000" w:rsidRDefault="00097612">
      <w:pPr>
        <w:pStyle w:val="a3"/>
        <w:spacing w:before="0" w:beforeAutospacing="0" w:after="0" w:afterAutospacing="0"/>
        <w:divId w:val="197374985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52"/>
        <w:gridCol w:w="160"/>
        <w:gridCol w:w="100"/>
        <w:gridCol w:w="610"/>
        <w:gridCol w:w="160"/>
        <w:gridCol w:w="100"/>
        <w:gridCol w:w="610"/>
        <w:gridCol w:w="160"/>
        <w:gridCol w:w="100"/>
        <w:gridCol w:w="510"/>
        <w:gridCol w:w="160"/>
        <w:gridCol w:w="260"/>
        <w:gridCol w:w="267"/>
        <w:gridCol w:w="160"/>
        <w:gridCol w:w="100"/>
        <w:gridCol w:w="610"/>
        <w:gridCol w:w="160"/>
        <w:gridCol w:w="100"/>
        <w:gridCol w:w="610"/>
        <w:gridCol w:w="160"/>
        <w:gridCol w:w="100"/>
        <w:gridCol w:w="510"/>
        <w:gridCol w:w="160"/>
        <w:gridCol w:w="160"/>
        <w:gridCol w:w="267"/>
        <w:gridCol w:w="160"/>
      </w:tblGrid>
      <w:tr w:rsidR="00000000" w14:paraId="62758F10" w14:textId="77777777">
        <w:trPr>
          <w:divId w:val="1973749852"/>
          <w:trHeight w:val="20"/>
        </w:trPr>
        <w:tc>
          <w:tcPr>
            <w:tcW w:w="1600" w:type="pct"/>
            <w:tcMar>
              <w:top w:w="0" w:type="dxa"/>
              <w:left w:w="0" w:type="dxa"/>
              <w:bottom w:w="0" w:type="dxa"/>
              <w:right w:w="0" w:type="dxa"/>
            </w:tcMar>
            <w:vAlign w:val="bottom"/>
            <w:hideMark/>
          </w:tcPr>
          <w:p w14:paraId="652C905B" w14:textId="77777777" w:rsidR="00000000" w:rsidRDefault="00097612">
            <w:pPr>
              <w:pStyle w:val="a3"/>
              <w:spacing w:before="0" w:beforeAutospacing="0" w:after="0" w:afterAutospacing="0"/>
              <w:divId w:val="344523843"/>
              <w:rPr>
                <w:sz w:val="20"/>
                <w:szCs w:val="20"/>
              </w:rPr>
            </w:pPr>
            <w:r>
              <w:rPr>
                <w:sz w:val="2"/>
                <w:szCs w:val="2"/>
              </w:rPr>
              <w:t>​</w:t>
            </w:r>
          </w:p>
        </w:tc>
        <w:tc>
          <w:tcPr>
            <w:tcW w:w="79" w:type="pct"/>
            <w:noWrap/>
            <w:tcMar>
              <w:top w:w="0" w:type="dxa"/>
              <w:left w:w="0" w:type="dxa"/>
              <w:bottom w:w="0" w:type="dxa"/>
              <w:right w:w="0" w:type="dxa"/>
            </w:tcMar>
            <w:vAlign w:val="bottom"/>
            <w:hideMark/>
          </w:tcPr>
          <w:p w14:paraId="79AACD45" w14:textId="77777777" w:rsidR="00000000" w:rsidRDefault="00097612">
            <w:pPr>
              <w:pStyle w:val="a3"/>
              <w:spacing w:before="0" w:beforeAutospacing="0" w:after="0" w:afterAutospacing="0"/>
              <w:divId w:val="629018570"/>
              <w:rPr>
                <w:sz w:val="20"/>
                <w:szCs w:val="20"/>
              </w:rPr>
            </w:pPr>
            <w:r>
              <w:rPr>
                <w:sz w:val="2"/>
                <w:szCs w:val="2"/>
              </w:rPr>
              <w:t>​</w:t>
            </w:r>
          </w:p>
        </w:tc>
        <w:tc>
          <w:tcPr>
            <w:tcW w:w="49" w:type="pct"/>
            <w:noWrap/>
            <w:tcMar>
              <w:top w:w="0" w:type="dxa"/>
              <w:left w:w="0" w:type="dxa"/>
              <w:bottom w:w="0" w:type="dxa"/>
              <w:right w:w="0" w:type="dxa"/>
            </w:tcMar>
            <w:vAlign w:val="bottom"/>
            <w:hideMark/>
          </w:tcPr>
          <w:p w14:paraId="2891C495" w14:textId="77777777" w:rsidR="00000000" w:rsidRDefault="00097612">
            <w:pPr>
              <w:pStyle w:val="a3"/>
              <w:spacing w:before="0" w:beforeAutospacing="0" w:after="0" w:afterAutospacing="0"/>
              <w:divId w:val="1023165460"/>
              <w:rPr>
                <w:sz w:val="20"/>
                <w:szCs w:val="20"/>
              </w:rPr>
            </w:pPr>
            <w:r>
              <w:rPr>
                <w:sz w:val="2"/>
                <w:szCs w:val="2"/>
              </w:rPr>
              <w:t>​</w:t>
            </w:r>
          </w:p>
        </w:tc>
        <w:tc>
          <w:tcPr>
            <w:tcW w:w="327" w:type="pct"/>
            <w:noWrap/>
            <w:tcMar>
              <w:top w:w="0" w:type="dxa"/>
              <w:left w:w="0" w:type="dxa"/>
              <w:bottom w:w="0" w:type="dxa"/>
              <w:right w:w="0" w:type="dxa"/>
            </w:tcMar>
            <w:vAlign w:val="bottom"/>
            <w:hideMark/>
          </w:tcPr>
          <w:p w14:paraId="7B2F4CFC" w14:textId="77777777" w:rsidR="00000000" w:rsidRDefault="00097612">
            <w:pPr>
              <w:pStyle w:val="a3"/>
              <w:spacing w:before="0" w:beforeAutospacing="0" w:after="0" w:afterAutospacing="0"/>
              <w:divId w:val="349570845"/>
              <w:rPr>
                <w:sz w:val="20"/>
                <w:szCs w:val="20"/>
              </w:rPr>
            </w:pPr>
            <w:r>
              <w:rPr>
                <w:sz w:val="2"/>
                <w:szCs w:val="2"/>
              </w:rPr>
              <w:t>​</w:t>
            </w:r>
          </w:p>
        </w:tc>
        <w:tc>
          <w:tcPr>
            <w:tcW w:w="79" w:type="pct"/>
            <w:noWrap/>
            <w:tcMar>
              <w:top w:w="0" w:type="dxa"/>
              <w:left w:w="0" w:type="dxa"/>
              <w:bottom w:w="0" w:type="dxa"/>
              <w:right w:w="0" w:type="dxa"/>
            </w:tcMar>
            <w:vAlign w:val="bottom"/>
            <w:hideMark/>
          </w:tcPr>
          <w:p w14:paraId="60A95CFA" w14:textId="77777777" w:rsidR="00000000" w:rsidRDefault="00097612">
            <w:pPr>
              <w:pStyle w:val="a3"/>
              <w:spacing w:before="0" w:beforeAutospacing="0" w:after="0" w:afterAutospacing="0"/>
              <w:divId w:val="362286158"/>
              <w:rPr>
                <w:sz w:val="20"/>
                <w:szCs w:val="20"/>
              </w:rPr>
            </w:pPr>
            <w:r>
              <w:rPr>
                <w:sz w:val="2"/>
                <w:szCs w:val="2"/>
              </w:rPr>
              <w:t>​</w:t>
            </w:r>
          </w:p>
        </w:tc>
        <w:tc>
          <w:tcPr>
            <w:tcW w:w="49" w:type="pct"/>
            <w:noWrap/>
            <w:tcMar>
              <w:top w:w="0" w:type="dxa"/>
              <w:left w:w="0" w:type="dxa"/>
              <w:bottom w:w="0" w:type="dxa"/>
              <w:right w:w="0" w:type="dxa"/>
            </w:tcMar>
            <w:vAlign w:val="bottom"/>
            <w:hideMark/>
          </w:tcPr>
          <w:p w14:paraId="5C60BF5B" w14:textId="77777777" w:rsidR="00000000" w:rsidRDefault="00097612">
            <w:pPr>
              <w:pStyle w:val="a3"/>
              <w:spacing w:before="0" w:beforeAutospacing="0" w:after="0" w:afterAutospacing="0"/>
              <w:divId w:val="1800995281"/>
              <w:rPr>
                <w:sz w:val="20"/>
                <w:szCs w:val="20"/>
              </w:rPr>
            </w:pPr>
            <w:r>
              <w:rPr>
                <w:sz w:val="2"/>
                <w:szCs w:val="2"/>
              </w:rPr>
              <w:t>​</w:t>
            </w:r>
          </w:p>
        </w:tc>
        <w:tc>
          <w:tcPr>
            <w:tcW w:w="327" w:type="pct"/>
            <w:noWrap/>
            <w:tcMar>
              <w:top w:w="0" w:type="dxa"/>
              <w:left w:w="0" w:type="dxa"/>
              <w:bottom w:w="0" w:type="dxa"/>
              <w:right w:w="0" w:type="dxa"/>
            </w:tcMar>
            <w:vAlign w:val="bottom"/>
            <w:hideMark/>
          </w:tcPr>
          <w:p w14:paraId="0699EC6A" w14:textId="77777777" w:rsidR="00000000" w:rsidRDefault="00097612">
            <w:pPr>
              <w:pStyle w:val="a3"/>
              <w:spacing w:before="0" w:beforeAutospacing="0" w:after="0" w:afterAutospacing="0"/>
              <w:divId w:val="569929087"/>
              <w:rPr>
                <w:sz w:val="20"/>
                <w:szCs w:val="20"/>
              </w:rPr>
            </w:pPr>
            <w:r>
              <w:rPr>
                <w:sz w:val="2"/>
                <w:szCs w:val="2"/>
              </w:rPr>
              <w:t>​</w:t>
            </w:r>
          </w:p>
        </w:tc>
        <w:tc>
          <w:tcPr>
            <w:tcW w:w="79" w:type="pct"/>
            <w:noWrap/>
            <w:tcMar>
              <w:top w:w="0" w:type="dxa"/>
              <w:left w:w="0" w:type="dxa"/>
              <w:bottom w:w="0" w:type="dxa"/>
              <w:right w:w="0" w:type="dxa"/>
            </w:tcMar>
            <w:vAlign w:val="bottom"/>
            <w:hideMark/>
          </w:tcPr>
          <w:p w14:paraId="5A0F56A1" w14:textId="77777777" w:rsidR="00000000" w:rsidRDefault="00097612">
            <w:pPr>
              <w:pStyle w:val="a3"/>
              <w:spacing w:before="0" w:beforeAutospacing="0" w:after="0" w:afterAutospacing="0"/>
              <w:divId w:val="2137678905"/>
              <w:rPr>
                <w:sz w:val="20"/>
                <w:szCs w:val="20"/>
              </w:rPr>
            </w:pPr>
            <w:r>
              <w:rPr>
                <w:sz w:val="2"/>
                <w:szCs w:val="2"/>
              </w:rPr>
              <w:t>​</w:t>
            </w:r>
          </w:p>
        </w:tc>
        <w:tc>
          <w:tcPr>
            <w:tcW w:w="49" w:type="pct"/>
            <w:noWrap/>
            <w:tcMar>
              <w:top w:w="0" w:type="dxa"/>
              <w:left w:w="0" w:type="dxa"/>
              <w:bottom w:w="0" w:type="dxa"/>
              <w:right w:w="0" w:type="dxa"/>
            </w:tcMar>
            <w:vAlign w:val="bottom"/>
            <w:hideMark/>
          </w:tcPr>
          <w:p w14:paraId="197B3A34" w14:textId="77777777" w:rsidR="00000000" w:rsidRDefault="00097612">
            <w:pPr>
              <w:pStyle w:val="a3"/>
              <w:spacing w:before="0" w:beforeAutospacing="0" w:after="0" w:afterAutospacing="0"/>
              <w:divId w:val="1570462355"/>
              <w:rPr>
                <w:sz w:val="20"/>
                <w:szCs w:val="20"/>
              </w:rPr>
            </w:pPr>
            <w:r>
              <w:rPr>
                <w:sz w:val="2"/>
                <w:szCs w:val="2"/>
              </w:rPr>
              <w:t>​</w:t>
            </w:r>
          </w:p>
        </w:tc>
        <w:tc>
          <w:tcPr>
            <w:tcW w:w="277" w:type="pct"/>
            <w:noWrap/>
            <w:tcMar>
              <w:top w:w="0" w:type="dxa"/>
              <w:left w:w="0" w:type="dxa"/>
              <w:bottom w:w="0" w:type="dxa"/>
              <w:right w:w="0" w:type="dxa"/>
            </w:tcMar>
            <w:vAlign w:val="bottom"/>
            <w:hideMark/>
          </w:tcPr>
          <w:p w14:paraId="27749CF5" w14:textId="77777777" w:rsidR="00000000" w:rsidRDefault="00097612">
            <w:pPr>
              <w:pStyle w:val="a3"/>
              <w:spacing w:before="0" w:beforeAutospacing="0" w:after="0" w:afterAutospacing="0"/>
              <w:divId w:val="1757357301"/>
              <w:rPr>
                <w:sz w:val="20"/>
                <w:szCs w:val="20"/>
              </w:rPr>
            </w:pPr>
            <w:r>
              <w:rPr>
                <w:sz w:val="2"/>
                <w:szCs w:val="2"/>
              </w:rPr>
              <w:t>​</w:t>
            </w:r>
          </w:p>
        </w:tc>
        <w:tc>
          <w:tcPr>
            <w:tcW w:w="79" w:type="pct"/>
            <w:noWrap/>
            <w:tcMar>
              <w:top w:w="0" w:type="dxa"/>
              <w:left w:w="0" w:type="dxa"/>
              <w:bottom w:w="0" w:type="dxa"/>
              <w:right w:w="0" w:type="dxa"/>
            </w:tcMar>
            <w:vAlign w:val="bottom"/>
            <w:hideMark/>
          </w:tcPr>
          <w:p w14:paraId="3FB62218" w14:textId="77777777" w:rsidR="00000000" w:rsidRDefault="00097612">
            <w:pPr>
              <w:pStyle w:val="a3"/>
              <w:spacing w:before="0" w:beforeAutospacing="0" w:after="0" w:afterAutospacing="0"/>
              <w:divId w:val="1171329930"/>
              <w:rPr>
                <w:sz w:val="20"/>
                <w:szCs w:val="20"/>
              </w:rPr>
            </w:pPr>
            <w:r>
              <w:rPr>
                <w:sz w:val="2"/>
                <w:szCs w:val="2"/>
              </w:rPr>
              <w:t>​</w:t>
            </w:r>
          </w:p>
        </w:tc>
        <w:tc>
          <w:tcPr>
            <w:tcW w:w="153" w:type="pct"/>
            <w:noWrap/>
            <w:tcMar>
              <w:top w:w="0" w:type="dxa"/>
              <w:left w:w="0" w:type="dxa"/>
              <w:bottom w:w="0" w:type="dxa"/>
              <w:right w:w="0" w:type="dxa"/>
            </w:tcMar>
            <w:vAlign w:val="bottom"/>
            <w:hideMark/>
          </w:tcPr>
          <w:p w14:paraId="4946CA4F" w14:textId="77777777" w:rsidR="00000000" w:rsidRDefault="00097612">
            <w:pPr>
              <w:pStyle w:val="a3"/>
              <w:spacing w:before="0" w:beforeAutospacing="0" w:after="0" w:afterAutospacing="0"/>
              <w:divId w:val="927159301"/>
              <w:rPr>
                <w:sz w:val="20"/>
                <w:szCs w:val="20"/>
              </w:rPr>
            </w:pPr>
            <w:r>
              <w:rPr>
                <w:sz w:val="2"/>
                <w:szCs w:val="2"/>
              </w:rPr>
              <w:t>​</w:t>
            </w:r>
          </w:p>
        </w:tc>
        <w:tc>
          <w:tcPr>
            <w:tcW w:w="132" w:type="pct"/>
            <w:noWrap/>
            <w:tcMar>
              <w:top w:w="0" w:type="dxa"/>
              <w:left w:w="0" w:type="dxa"/>
              <w:bottom w:w="0" w:type="dxa"/>
              <w:right w:w="0" w:type="dxa"/>
            </w:tcMar>
            <w:vAlign w:val="bottom"/>
            <w:hideMark/>
          </w:tcPr>
          <w:p w14:paraId="3BCC1F80" w14:textId="77777777" w:rsidR="00000000" w:rsidRDefault="00097612">
            <w:pPr>
              <w:pStyle w:val="a3"/>
              <w:spacing w:before="0" w:beforeAutospacing="0" w:after="0" w:afterAutospacing="0"/>
              <w:divId w:val="1514804328"/>
              <w:rPr>
                <w:sz w:val="20"/>
                <w:szCs w:val="20"/>
              </w:rPr>
            </w:pPr>
            <w:r>
              <w:rPr>
                <w:sz w:val="2"/>
                <w:szCs w:val="2"/>
              </w:rPr>
              <w:t>​</w:t>
            </w:r>
          </w:p>
        </w:tc>
        <w:tc>
          <w:tcPr>
            <w:tcW w:w="79" w:type="pct"/>
            <w:noWrap/>
            <w:tcMar>
              <w:top w:w="0" w:type="dxa"/>
              <w:left w:w="0" w:type="dxa"/>
              <w:bottom w:w="0" w:type="dxa"/>
              <w:right w:w="0" w:type="dxa"/>
            </w:tcMar>
            <w:vAlign w:val="bottom"/>
            <w:hideMark/>
          </w:tcPr>
          <w:p w14:paraId="20E1536F" w14:textId="77777777" w:rsidR="00000000" w:rsidRDefault="00097612">
            <w:pPr>
              <w:pStyle w:val="a3"/>
              <w:spacing w:before="0" w:beforeAutospacing="0" w:after="0" w:afterAutospacing="0"/>
              <w:divId w:val="766002124"/>
              <w:rPr>
                <w:sz w:val="20"/>
                <w:szCs w:val="20"/>
              </w:rPr>
            </w:pPr>
            <w:r>
              <w:rPr>
                <w:sz w:val="2"/>
                <w:szCs w:val="2"/>
              </w:rPr>
              <w:t>​</w:t>
            </w:r>
          </w:p>
        </w:tc>
        <w:tc>
          <w:tcPr>
            <w:tcW w:w="49" w:type="pct"/>
            <w:noWrap/>
            <w:tcMar>
              <w:top w:w="0" w:type="dxa"/>
              <w:left w:w="0" w:type="dxa"/>
              <w:bottom w:w="0" w:type="dxa"/>
              <w:right w:w="0" w:type="dxa"/>
            </w:tcMar>
            <w:vAlign w:val="bottom"/>
            <w:hideMark/>
          </w:tcPr>
          <w:p w14:paraId="7F4A8C4E" w14:textId="77777777" w:rsidR="00000000" w:rsidRDefault="00097612">
            <w:pPr>
              <w:pStyle w:val="a3"/>
              <w:spacing w:before="0" w:beforeAutospacing="0" w:after="0" w:afterAutospacing="0"/>
              <w:divId w:val="1778793119"/>
              <w:rPr>
                <w:sz w:val="20"/>
                <w:szCs w:val="20"/>
              </w:rPr>
            </w:pPr>
            <w:r>
              <w:rPr>
                <w:sz w:val="2"/>
                <w:szCs w:val="2"/>
              </w:rPr>
              <w:t>​</w:t>
            </w:r>
          </w:p>
        </w:tc>
        <w:tc>
          <w:tcPr>
            <w:tcW w:w="327" w:type="pct"/>
            <w:noWrap/>
            <w:tcMar>
              <w:top w:w="0" w:type="dxa"/>
              <w:left w:w="0" w:type="dxa"/>
              <w:bottom w:w="0" w:type="dxa"/>
              <w:right w:w="0" w:type="dxa"/>
            </w:tcMar>
            <w:vAlign w:val="bottom"/>
            <w:hideMark/>
          </w:tcPr>
          <w:p w14:paraId="69F59B5F" w14:textId="77777777" w:rsidR="00000000" w:rsidRDefault="00097612">
            <w:pPr>
              <w:pStyle w:val="a3"/>
              <w:spacing w:before="0" w:beforeAutospacing="0" w:after="0" w:afterAutospacing="0"/>
              <w:divId w:val="1079793898"/>
              <w:rPr>
                <w:sz w:val="20"/>
                <w:szCs w:val="20"/>
              </w:rPr>
            </w:pPr>
            <w:r>
              <w:rPr>
                <w:sz w:val="2"/>
                <w:szCs w:val="2"/>
              </w:rPr>
              <w:t>​</w:t>
            </w:r>
          </w:p>
        </w:tc>
        <w:tc>
          <w:tcPr>
            <w:tcW w:w="79" w:type="pct"/>
            <w:noWrap/>
            <w:tcMar>
              <w:top w:w="0" w:type="dxa"/>
              <w:left w:w="0" w:type="dxa"/>
              <w:bottom w:w="0" w:type="dxa"/>
              <w:right w:w="0" w:type="dxa"/>
            </w:tcMar>
            <w:vAlign w:val="bottom"/>
            <w:hideMark/>
          </w:tcPr>
          <w:p w14:paraId="0E568247" w14:textId="77777777" w:rsidR="00000000" w:rsidRDefault="00097612">
            <w:pPr>
              <w:pStyle w:val="a3"/>
              <w:spacing w:before="0" w:beforeAutospacing="0" w:after="0" w:afterAutospacing="0"/>
              <w:divId w:val="19936050"/>
              <w:rPr>
                <w:sz w:val="20"/>
                <w:szCs w:val="20"/>
              </w:rPr>
            </w:pPr>
            <w:r>
              <w:rPr>
                <w:sz w:val="2"/>
                <w:szCs w:val="2"/>
              </w:rPr>
              <w:t>​</w:t>
            </w:r>
          </w:p>
        </w:tc>
        <w:tc>
          <w:tcPr>
            <w:tcW w:w="49" w:type="pct"/>
            <w:noWrap/>
            <w:tcMar>
              <w:top w:w="0" w:type="dxa"/>
              <w:left w:w="0" w:type="dxa"/>
              <w:bottom w:w="0" w:type="dxa"/>
              <w:right w:w="0" w:type="dxa"/>
            </w:tcMar>
            <w:vAlign w:val="bottom"/>
            <w:hideMark/>
          </w:tcPr>
          <w:p w14:paraId="27D08D73" w14:textId="77777777" w:rsidR="00000000" w:rsidRDefault="00097612">
            <w:pPr>
              <w:pStyle w:val="a3"/>
              <w:spacing w:before="0" w:beforeAutospacing="0" w:after="0" w:afterAutospacing="0"/>
              <w:divId w:val="145123447"/>
              <w:rPr>
                <w:sz w:val="20"/>
                <w:szCs w:val="20"/>
              </w:rPr>
            </w:pPr>
            <w:r>
              <w:rPr>
                <w:sz w:val="2"/>
                <w:szCs w:val="2"/>
              </w:rPr>
              <w:t>​</w:t>
            </w:r>
          </w:p>
        </w:tc>
        <w:tc>
          <w:tcPr>
            <w:tcW w:w="327" w:type="pct"/>
            <w:noWrap/>
            <w:tcMar>
              <w:top w:w="0" w:type="dxa"/>
              <w:left w:w="0" w:type="dxa"/>
              <w:bottom w:w="0" w:type="dxa"/>
              <w:right w:w="0" w:type="dxa"/>
            </w:tcMar>
            <w:vAlign w:val="bottom"/>
            <w:hideMark/>
          </w:tcPr>
          <w:p w14:paraId="06CF3C56" w14:textId="77777777" w:rsidR="00000000" w:rsidRDefault="00097612">
            <w:pPr>
              <w:pStyle w:val="a3"/>
              <w:spacing w:before="0" w:beforeAutospacing="0" w:after="0" w:afterAutospacing="0"/>
              <w:divId w:val="1123959314"/>
              <w:rPr>
                <w:sz w:val="20"/>
                <w:szCs w:val="20"/>
              </w:rPr>
            </w:pPr>
            <w:r>
              <w:rPr>
                <w:sz w:val="2"/>
                <w:szCs w:val="2"/>
              </w:rPr>
              <w:t>​</w:t>
            </w:r>
          </w:p>
        </w:tc>
        <w:tc>
          <w:tcPr>
            <w:tcW w:w="79" w:type="pct"/>
            <w:noWrap/>
            <w:tcMar>
              <w:top w:w="0" w:type="dxa"/>
              <w:left w:w="0" w:type="dxa"/>
              <w:bottom w:w="0" w:type="dxa"/>
              <w:right w:w="0" w:type="dxa"/>
            </w:tcMar>
            <w:vAlign w:val="bottom"/>
            <w:hideMark/>
          </w:tcPr>
          <w:p w14:paraId="574A74A0" w14:textId="77777777" w:rsidR="00000000" w:rsidRDefault="00097612">
            <w:pPr>
              <w:pStyle w:val="a3"/>
              <w:spacing w:before="0" w:beforeAutospacing="0" w:after="0" w:afterAutospacing="0"/>
              <w:divId w:val="489248763"/>
              <w:rPr>
                <w:sz w:val="20"/>
                <w:szCs w:val="20"/>
              </w:rPr>
            </w:pPr>
            <w:r>
              <w:rPr>
                <w:sz w:val="2"/>
                <w:szCs w:val="2"/>
              </w:rPr>
              <w:t>​</w:t>
            </w:r>
          </w:p>
        </w:tc>
        <w:tc>
          <w:tcPr>
            <w:tcW w:w="49" w:type="pct"/>
            <w:noWrap/>
            <w:tcMar>
              <w:top w:w="0" w:type="dxa"/>
              <w:left w:w="0" w:type="dxa"/>
              <w:bottom w:w="0" w:type="dxa"/>
              <w:right w:w="0" w:type="dxa"/>
            </w:tcMar>
            <w:vAlign w:val="bottom"/>
            <w:hideMark/>
          </w:tcPr>
          <w:p w14:paraId="5E68FF9B" w14:textId="77777777" w:rsidR="00000000" w:rsidRDefault="00097612">
            <w:pPr>
              <w:pStyle w:val="a3"/>
              <w:spacing w:before="0" w:beforeAutospacing="0" w:after="0" w:afterAutospacing="0"/>
              <w:divId w:val="1585870021"/>
              <w:rPr>
                <w:sz w:val="20"/>
                <w:szCs w:val="20"/>
              </w:rPr>
            </w:pPr>
            <w:r>
              <w:rPr>
                <w:sz w:val="2"/>
                <w:szCs w:val="2"/>
              </w:rPr>
              <w:t>​</w:t>
            </w:r>
          </w:p>
        </w:tc>
        <w:tc>
          <w:tcPr>
            <w:tcW w:w="277" w:type="pct"/>
            <w:noWrap/>
            <w:tcMar>
              <w:top w:w="0" w:type="dxa"/>
              <w:left w:w="0" w:type="dxa"/>
              <w:bottom w:w="0" w:type="dxa"/>
              <w:right w:w="0" w:type="dxa"/>
            </w:tcMar>
            <w:vAlign w:val="bottom"/>
            <w:hideMark/>
          </w:tcPr>
          <w:p w14:paraId="7D22C335" w14:textId="77777777" w:rsidR="00000000" w:rsidRDefault="00097612">
            <w:pPr>
              <w:pStyle w:val="a3"/>
              <w:spacing w:before="0" w:beforeAutospacing="0" w:after="0" w:afterAutospacing="0"/>
              <w:divId w:val="335310952"/>
              <w:rPr>
                <w:sz w:val="20"/>
                <w:szCs w:val="20"/>
              </w:rPr>
            </w:pPr>
            <w:r>
              <w:rPr>
                <w:sz w:val="2"/>
                <w:szCs w:val="2"/>
              </w:rPr>
              <w:t>​</w:t>
            </w:r>
          </w:p>
        </w:tc>
        <w:tc>
          <w:tcPr>
            <w:tcW w:w="79" w:type="pct"/>
            <w:noWrap/>
            <w:tcMar>
              <w:top w:w="0" w:type="dxa"/>
              <w:left w:w="0" w:type="dxa"/>
              <w:bottom w:w="0" w:type="dxa"/>
              <w:right w:w="0" w:type="dxa"/>
            </w:tcMar>
            <w:vAlign w:val="bottom"/>
            <w:hideMark/>
          </w:tcPr>
          <w:p w14:paraId="39A7C9A8" w14:textId="77777777" w:rsidR="00000000" w:rsidRDefault="00097612">
            <w:pPr>
              <w:pStyle w:val="a3"/>
              <w:spacing w:before="0" w:beforeAutospacing="0" w:after="0" w:afterAutospacing="0"/>
              <w:divId w:val="156577791"/>
              <w:rPr>
                <w:sz w:val="20"/>
                <w:szCs w:val="20"/>
              </w:rPr>
            </w:pPr>
            <w:r>
              <w:rPr>
                <w:sz w:val="2"/>
                <w:szCs w:val="2"/>
              </w:rPr>
              <w:t>​</w:t>
            </w:r>
          </w:p>
        </w:tc>
        <w:tc>
          <w:tcPr>
            <w:tcW w:w="104" w:type="pct"/>
            <w:noWrap/>
            <w:tcMar>
              <w:top w:w="0" w:type="dxa"/>
              <w:left w:w="0" w:type="dxa"/>
              <w:bottom w:w="0" w:type="dxa"/>
              <w:right w:w="0" w:type="dxa"/>
            </w:tcMar>
            <w:vAlign w:val="bottom"/>
            <w:hideMark/>
          </w:tcPr>
          <w:p w14:paraId="74F0002E" w14:textId="77777777" w:rsidR="00000000" w:rsidRDefault="00097612">
            <w:pPr>
              <w:pStyle w:val="a3"/>
              <w:spacing w:before="0" w:beforeAutospacing="0" w:after="0" w:afterAutospacing="0"/>
              <w:divId w:val="1110274778"/>
              <w:rPr>
                <w:sz w:val="20"/>
                <w:szCs w:val="20"/>
              </w:rPr>
            </w:pPr>
            <w:r>
              <w:rPr>
                <w:sz w:val="2"/>
                <w:szCs w:val="2"/>
              </w:rPr>
              <w:t>​</w:t>
            </w:r>
          </w:p>
        </w:tc>
        <w:tc>
          <w:tcPr>
            <w:tcW w:w="132" w:type="pct"/>
            <w:noWrap/>
            <w:tcMar>
              <w:top w:w="0" w:type="dxa"/>
              <w:left w:w="0" w:type="dxa"/>
              <w:bottom w:w="0" w:type="dxa"/>
              <w:right w:w="0" w:type="dxa"/>
            </w:tcMar>
            <w:vAlign w:val="bottom"/>
            <w:hideMark/>
          </w:tcPr>
          <w:p w14:paraId="3643CFDC" w14:textId="77777777" w:rsidR="00000000" w:rsidRDefault="00097612">
            <w:pPr>
              <w:pStyle w:val="a3"/>
              <w:spacing w:before="0" w:beforeAutospacing="0" w:after="0" w:afterAutospacing="0"/>
              <w:divId w:val="1839031348"/>
              <w:rPr>
                <w:sz w:val="20"/>
                <w:szCs w:val="20"/>
              </w:rPr>
            </w:pPr>
            <w:r>
              <w:rPr>
                <w:sz w:val="2"/>
                <w:szCs w:val="2"/>
              </w:rPr>
              <w:t>​</w:t>
            </w:r>
          </w:p>
        </w:tc>
        <w:tc>
          <w:tcPr>
            <w:tcW w:w="79" w:type="pct"/>
            <w:noWrap/>
            <w:tcMar>
              <w:top w:w="0" w:type="dxa"/>
              <w:left w:w="0" w:type="dxa"/>
              <w:bottom w:w="0" w:type="dxa"/>
              <w:right w:w="0" w:type="dxa"/>
            </w:tcMar>
            <w:vAlign w:val="bottom"/>
            <w:hideMark/>
          </w:tcPr>
          <w:p w14:paraId="6289FB2B" w14:textId="77777777" w:rsidR="00000000" w:rsidRDefault="00097612">
            <w:pPr>
              <w:pStyle w:val="a3"/>
              <w:spacing w:before="0" w:beforeAutospacing="0" w:after="0" w:afterAutospacing="0"/>
              <w:divId w:val="1014189066"/>
              <w:rPr>
                <w:sz w:val="20"/>
                <w:szCs w:val="20"/>
              </w:rPr>
            </w:pPr>
            <w:r>
              <w:rPr>
                <w:sz w:val="2"/>
                <w:szCs w:val="2"/>
              </w:rPr>
              <w:t>​</w:t>
            </w:r>
          </w:p>
        </w:tc>
      </w:tr>
      <w:tr w:rsidR="00000000" w14:paraId="4F352FA7" w14:textId="77777777">
        <w:trPr>
          <w:divId w:val="1973749852"/>
        </w:trPr>
        <w:tc>
          <w:tcPr>
            <w:tcW w:w="1600" w:type="pct"/>
            <w:shd w:val="clear" w:color="auto" w:fill="auto"/>
            <w:tcMar>
              <w:top w:w="0" w:type="dxa"/>
              <w:left w:w="0" w:type="dxa"/>
              <w:bottom w:w="0" w:type="dxa"/>
              <w:right w:w="0" w:type="dxa"/>
            </w:tcMar>
            <w:vAlign w:val="bottom"/>
            <w:hideMark/>
          </w:tcPr>
          <w:p w14:paraId="52FE4EF9"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01289175" w14:textId="77777777" w:rsidR="00000000" w:rsidRDefault="00097612">
            <w:pPr>
              <w:pStyle w:val="a3"/>
              <w:spacing w:before="0" w:beforeAutospacing="0" w:after="0" w:afterAutospacing="0"/>
              <w:rPr>
                <w:sz w:val="20"/>
                <w:szCs w:val="20"/>
              </w:rPr>
            </w:pPr>
            <w:r>
              <w:rPr>
                <w:b/>
                <w:bCs/>
                <w:sz w:val="16"/>
                <w:szCs w:val="16"/>
              </w:rPr>
              <w:t>​</w:t>
            </w:r>
          </w:p>
        </w:tc>
        <w:tc>
          <w:tcPr>
            <w:tcW w:w="833" w:type="pct"/>
            <w:gridSpan w:val="5"/>
            <w:shd w:val="clear" w:color="auto" w:fill="auto"/>
            <w:noWrap/>
            <w:tcMar>
              <w:top w:w="0" w:type="dxa"/>
              <w:left w:w="0" w:type="dxa"/>
              <w:bottom w:w="0" w:type="dxa"/>
              <w:right w:w="0" w:type="dxa"/>
            </w:tcMar>
            <w:vAlign w:val="bottom"/>
            <w:hideMark/>
          </w:tcPr>
          <w:p w14:paraId="0C60F7AB"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79" w:type="pct"/>
            <w:shd w:val="clear" w:color="auto" w:fill="auto"/>
            <w:noWrap/>
            <w:tcMar>
              <w:top w:w="0" w:type="dxa"/>
              <w:left w:w="0" w:type="dxa"/>
              <w:bottom w:w="0" w:type="dxa"/>
              <w:right w:w="0" w:type="dxa"/>
            </w:tcMar>
            <w:vAlign w:val="bottom"/>
            <w:hideMark/>
          </w:tcPr>
          <w:p w14:paraId="7F0A1D81" w14:textId="77777777" w:rsidR="00000000" w:rsidRDefault="00097612">
            <w:pPr>
              <w:pStyle w:val="a3"/>
              <w:spacing w:before="0" w:beforeAutospacing="0" w:after="0" w:afterAutospacing="0"/>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421AE705" w14:textId="77777777" w:rsidR="00000000" w:rsidRDefault="00097612">
            <w:pPr>
              <w:pStyle w:val="a3"/>
              <w:spacing w:before="0" w:beforeAutospacing="0" w:after="0" w:afterAutospacing="0"/>
              <w:jc w:val="center"/>
              <w:rPr>
                <w:sz w:val="20"/>
                <w:szCs w:val="20"/>
              </w:rPr>
            </w:pPr>
            <w:r>
              <w:rPr>
                <w:sz w:val="16"/>
                <w:szCs w:val="16"/>
              </w:rPr>
              <w:t>​</w:t>
            </w:r>
          </w:p>
        </w:tc>
        <w:tc>
          <w:tcPr>
            <w:tcW w:w="277" w:type="pct"/>
            <w:shd w:val="clear" w:color="auto" w:fill="auto"/>
            <w:noWrap/>
            <w:tcMar>
              <w:top w:w="0" w:type="dxa"/>
              <w:left w:w="0" w:type="dxa"/>
              <w:bottom w:w="0" w:type="dxa"/>
              <w:right w:w="0" w:type="dxa"/>
            </w:tcMar>
            <w:vAlign w:val="bottom"/>
            <w:hideMark/>
          </w:tcPr>
          <w:p w14:paraId="1D1D8482"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107132F7" w14:textId="77777777" w:rsidR="00000000" w:rsidRDefault="00097612">
            <w:pPr>
              <w:pStyle w:val="a3"/>
              <w:spacing w:before="0" w:beforeAutospacing="0" w:after="0" w:afterAutospacing="0"/>
              <w:jc w:val="center"/>
              <w:rPr>
                <w:sz w:val="20"/>
                <w:szCs w:val="20"/>
              </w:rPr>
            </w:pPr>
            <w:r>
              <w:rPr>
                <w:sz w:val="16"/>
                <w:szCs w:val="16"/>
              </w:rPr>
              <w:t>​</w:t>
            </w:r>
          </w:p>
        </w:tc>
        <w:tc>
          <w:tcPr>
            <w:tcW w:w="153" w:type="pct"/>
            <w:shd w:val="clear" w:color="auto" w:fill="auto"/>
            <w:noWrap/>
            <w:tcMar>
              <w:top w:w="0" w:type="dxa"/>
              <w:left w:w="0" w:type="dxa"/>
              <w:bottom w:w="0" w:type="dxa"/>
              <w:right w:w="0" w:type="dxa"/>
            </w:tcMar>
            <w:vAlign w:val="bottom"/>
            <w:hideMark/>
          </w:tcPr>
          <w:p w14:paraId="61BCE8FF" w14:textId="77777777" w:rsidR="00000000" w:rsidRDefault="00097612">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14:paraId="2743727A"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618B851D" w14:textId="77777777" w:rsidR="00000000" w:rsidRDefault="00097612">
            <w:pPr>
              <w:pStyle w:val="a3"/>
              <w:spacing w:before="0" w:beforeAutospacing="0" w:after="0" w:afterAutospacing="0"/>
              <w:jc w:val="center"/>
              <w:rPr>
                <w:sz w:val="20"/>
                <w:szCs w:val="20"/>
              </w:rPr>
            </w:pPr>
            <w:r>
              <w:rPr>
                <w:b/>
                <w:bCs/>
                <w:sz w:val="16"/>
                <w:szCs w:val="16"/>
              </w:rPr>
              <w:t>​</w:t>
            </w:r>
          </w:p>
        </w:tc>
        <w:tc>
          <w:tcPr>
            <w:tcW w:w="833" w:type="pct"/>
            <w:gridSpan w:val="5"/>
            <w:shd w:val="clear" w:color="auto" w:fill="auto"/>
            <w:noWrap/>
            <w:tcMar>
              <w:top w:w="0" w:type="dxa"/>
              <w:left w:w="0" w:type="dxa"/>
              <w:bottom w:w="0" w:type="dxa"/>
              <w:right w:w="0" w:type="dxa"/>
            </w:tcMar>
            <w:vAlign w:val="bottom"/>
            <w:hideMark/>
          </w:tcPr>
          <w:p w14:paraId="407E9EB9"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79" w:type="pct"/>
            <w:shd w:val="clear" w:color="auto" w:fill="auto"/>
            <w:noWrap/>
            <w:tcMar>
              <w:top w:w="0" w:type="dxa"/>
              <w:left w:w="0" w:type="dxa"/>
              <w:bottom w:w="0" w:type="dxa"/>
              <w:right w:w="0" w:type="dxa"/>
            </w:tcMar>
            <w:vAlign w:val="bottom"/>
            <w:hideMark/>
          </w:tcPr>
          <w:p w14:paraId="549BFC58" w14:textId="77777777" w:rsidR="00000000" w:rsidRDefault="00097612">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7F2C8D56" w14:textId="77777777" w:rsidR="00000000" w:rsidRDefault="00097612">
            <w:pPr>
              <w:pStyle w:val="a3"/>
              <w:spacing w:before="0" w:beforeAutospacing="0" w:after="0" w:afterAutospacing="0"/>
              <w:jc w:val="center"/>
              <w:rPr>
                <w:sz w:val="20"/>
                <w:szCs w:val="20"/>
              </w:rPr>
            </w:pPr>
            <w:r>
              <w:rPr>
                <w:sz w:val="16"/>
                <w:szCs w:val="16"/>
              </w:rPr>
              <w:t>​</w:t>
            </w:r>
          </w:p>
        </w:tc>
        <w:tc>
          <w:tcPr>
            <w:tcW w:w="277" w:type="pct"/>
            <w:shd w:val="clear" w:color="auto" w:fill="auto"/>
            <w:noWrap/>
            <w:tcMar>
              <w:top w:w="0" w:type="dxa"/>
              <w:left w:w="0" w:type="dxa"/>
              <w:bottom w:w="0" w:type="dxa"/>
              <w:right w:w="0" w:type="dxa"/>
            </w:tcMar>
            <w:vAlign w:val="bottom"/>
            <w:hideMark/>
          </w:tcPr>
          <w:p w14:paraId="6B37267C"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3DCC41D5" w14:textId="77777777" w:rsidR="00000000" w:rsidRDefault="00097612">
            <w:pPr>
              <w:pStyle w:val="a3"/>
              <w:spacing w:before="0" w:beforeAutospacing="0" w:after="0" w:afterAutospacing="0"/>
              <w:jc w:val="center"/>
              <w:rPr>
                <w:sz w:val="20"/>
                <w:szCs w:val="20"/>
              </w:rPr>
            </w:pPr>
            <w:r>
              <w:rPr>
                <w:sz w:val="16"/>
                <w:szCs w:val="16"/>
              </w:rPr>
              <w:t>​</w:t>
            </w:r>
          </w:p>
        </w:tc>
        <w:tc>
          <w:tcPr>
            <w:tcW w:w="104" w:type="pct"/>
            <w:shd w:val="clear" w:color="auto" w:fill="auto"/>
            <w:noWrap/>
            <w:tcMar>
              <w:top w:w="0" w:type="dxa"/>
              <w:left w:w="0" w:type="dxa"/>
              <w:bottom w:w="0" w:type="dxa"/>
              <w:right w:w="0" w:type="dxa"/>
            </w:tcMar>
            <w:vAlign w:val="bottom"/>
            <w:hideMark/>
          </w:tcPr>
          <w:p w14:paraId="600659AD" w14:textId="77777777" w:rsidR="00000000" w:rsidRDefault="00097612">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14:paraId="6EAB1EC2"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35C7DB4F" w14:textId="77777777" w:rsidR="00000000" w:rsidRDefault="00097612">
            <w:pPr>
              <w:pStyle w:val="a3"/>
              <w:spacing w:before="0" w:beforeAutospacing="0" w:after="0" w:afterAutospacing="0"/>
              <w:rPr>
                <w:sz w:val="20"/>
                <w:szCs w:val="20"/>
              </w:rPr>
            </w:pPr>
            <w:r>
              <w:rPr>
                <w:b/>
                <w:bCs/>
                <w:sz w:val="16"/>
                <w:szCs w:val="16"/>
              </w:rPr>
              <w:t>​</w:t>
            </w:r>
          </w:p>
        </w:tc>
      </w:tr>
      <w:tr w:rsidR="00000000" w14:paraId="172EB440" w14:textId="77777777">
        <w:trPr>
          <w:divId w:val="1973749852"/>
        </w:trPr>
        <w:tc>
          <w:tcPr>
            <w:tcW w:w="1600" w:type="pct"/>
            <w:shd w:val="clear" w:color="auto" w:fill="auto"/>
            <w:tcMar>
              <w:top w:w="0" w:type="dxa"/>
              <w:left w:w="0" w:type="dxa"/>
              <w:bottom w:w="0" w:type="dxa"/>
              <w:right w:w="0" w:type="dxa"/>
            </w:tcMar>
            <w:vAlign w:val="bottom"/>
            <w:hideMark/>
          </w:tcPr>
          <w:p w14:paraId="4671FE39"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1E32A168" w14:textId="77777777" w:rsidR="00000000" w:rsidRDefault="00097612">
            <w:pPr>
              <w:pStyle w:val="a3"/>
              <w:spacing w:before="0" w:beforeAutospacing="0" w:after="0" w:afterAutospacing="0"/>
              <w:rPr>
                <w:sz w:val="20"/>
                <w:szCs w:val="20"/>
              </w:rPr>
            </w:pPr>
            <w:r>
              <w:rPr>
                <w:b/>
                <w:bCs/>
                <w:sz w:val="16"/>
                <w:szCs w:val="16"/>
              </w:rPr>
              <w:t>​</w:t>
            </w:r>
          </w:p>
        </w:tc>
        <w:tc>
          <w:tcPr>
            <w:tcW w:w="833" w:type="pct"/>
            <w:gridSpan w:val="5"/>
            <w:tcBorders>
              <w:bottom w:val="single" w:sz="6" w:space="0" w:color="000000"/>
            </w:tcBorders>
            <w:shd w:val="clear" w:color="auto" w:fill="auto"/>
            <w:noWrap/>
            <w:tcMar>
              <w:top w:w="0" w:type="dxa"/>
              <w:left w:w="0" w:type="dxa"/>
              <w:bottom w:w="0" w:type="dxa"/>
              <w:right w:w="0" w:type="dxa"/>
            </w:tcMar>
            <w:vAlign w:val="bottom"/>
            <w:hideMark/>
          </w:tcPr>
          <w:p w14:paraId="1766DE50"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606B5A22" w14:textId="77777777" w:rsidR="00000000" w:rsidRDefault="00097612">
            <w:pPr>
              <w:pStyle w:val="a3"/>
              <w:spacing w:before="0" w:beforeAutospacing="0" w:after="0" w:afterAutospacing="0"/>
              <w:rPr>
                <w:sz w:val="20"/>
                <w:szCs w:val="20"/>
              </w:rPr>
            </w:pPr>
            <w:r>
              <w:rPr>
                <w:b/>
                <w:bCs/>
                <w:sz w:val="16"/>
                <w:szCs w:val="16"/>
              </w:rPr>
              <w:t>​</w:t>
            </w:r>
          </w:p>
        </w:tc>
        <w:tc>
          <w:tcPr>
            <w:tcW w:w="560" w:type="pct"/>
            <w:gridSpan w:val="4"/>
            <w:tcBorders>
              <w:bottom w:val="single" w:sz="6" w:space="0" w:color="000000"/>
            </w:tcBorders>
            <w:shd w:val="clear" w:color="auto" w:fill="auto"/>
            <w:noWrap/>
            <w:tcMar>
              <w:top w:w="0" w:type="dxa"/>
              <w:left w:w="0" w:type="dxa"/>
              <w:bottom w:w="0" w:type="dxa"/>
              <w:right w:w="0" w:type="dxa"/>
            </w:tcMar>
            <w:vAlign w:val="bottom"/>
            <w:hideMark/>
          </w:tcPr>
          <w:p w14:paraId="116DB79A" w14:textId="77777777" w:rsidR="00000000" w:rsidRDefault="00097612">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14:paraId="39293BFA"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7DEEC606" w14:textId="77777777" w:rsidR="00000000" w:rsidRDefault="00097612">
            <w:pPr>
              <w:pStyle w:val="a3"/>
              <w:spacing w:before="0" w:beforeAutospacing="0" w:after="0" w:afterAutospacing="0"/>
              <w:jc w:val="center"/>
              <w:rPr>
                <w:sz w:val="20"/>
                <w:szCs w:val="20"/>
              </w:rPr>
            </w:pPr>
            <w:r>
              <w:rPr>
                <w:b/>
                <w:bCs/>
                <w:sz w:val="16"/>
                <w:szCs w:val="16"/>
              </w:rPr>
              <w:t>​</w:t>
            </w:r>
          </w:p>
        </w:tc>
        <w:tc>
          <w:tcPr>
            <w:tcW w:w="833" w:type="pct"/>
            <w:gridSpan w:val="5"/>
            <w:tcBorders>
              <w:bottom w:val="single" w:sz="6" w:space="0" w:color="000000"/>
            </w:tcBorders>
            <w:shd w:val="clear" w:color="auto" w:fill="auto"/>
            <w:noWrap/>
            <w:tcMar>
              <w:top w:w="0" w:type="dxa"/>
              <w:left w:w="0" w:type="dxa"/>
              <w:bottom w:w="0" w:type="dxa"/>
              <w:right w:w="0" w:type="dxa"/>
            </w:tcMar>
            <w:vAlign w:val="bottom"/>
            <w:hideMark/>
          </w:tcPr>
          <w:p w14:paraId="4C2FDD13"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6340F658" w14:textId="77777777" w:rsidR="00000000" w:rsidRDefault="00097612">
            <w:pPr>
              <w:pStyle w:val="a3"/>
              <w:spacing w:before="0" w:beforeAutospacing="0" w:after="0" w:afterAutospacing="0"/>
              <w:jc w:val="center"/>
              <w:rPr>
                <w:sz w:val="20"/>
                <w:szCs w:val="20"/>
              </w:rPr>
            </w:pPr>
            <w:r>
              <w:rPr>
                <w:b/>
                <w:bCs/>
                <w:sz w:val="16"/>
                <w:szCs w:val="16"/>
              </w:rPr>
              <w:t>​</w:t>
            </w:r>
          </w:p>
        </w:tc>
        <w:tc>
          <w:tcPr>
            <w:tcW w:w="510" w:type="pct"/>
            <w:gridSpan w:val="4"/>
            <w:tcBorders>
              <w:bottom w:val="single" w:sz="6" w:space="0" w:color="000000"/>
            </w:tcBorders>
            <w:shd w:val="clear" w:color="auto" w:fill="auto"/>
            <w:noWrap/>
            <w:tcMar>
              <w:top w:w="0" w:type="dxa"/>
              <w:left w:w="0" w:type="dxa"/>
              <w:bottom w:w="0" w:type="dxa"/>
              <w:right w:w="0" w:type="dxa"/>
            </w:tcMar>
            <w:vAlign w:val="bottom"/>
            <w:hideMark/>
          </w:tcPr>
          <w:p w14:paraId="4E378302" w14:textId="77777777" w:rsidR="00000000" w:rsidRDefault="00097612">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14:paraId="42A9B2ED"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034207B7" w14:textId="77777777" w:rsidR="00000000" w:rsidRDefault="00097612">
            <w:pPr>
              <w:pStyle w:val="a3"/>
              <w:spacing w:before="0" w:beforeAutospacing="0" w:after="0" w:afterAutospacing="0"/>
              <w:rPr>
                <w:sz w:val="20"/>
                <w:szCs w:val="20"/>
              </w:rPr>
            </w:pPr>
            <w:r>
              <w:rPr>
                <w:b/>
                <w:bCs/>
                <w:sz w:val="16"/>
                <w:szCs w:val="16"/>
              </w:rPr>
              <w:t>​</w:t>
            </w:r>
          </w:p>
        </w:tc>
      </w:tr>
      <w:tr w:rsidR="00000000" w14:paraId="0CC00D00" w14:textId="77777777">
        <w:trPr>
          <w:divId w:val="1973749852"/>
        </w:trPr>
        <w:tc>
          <w:tcPr>
            <w:tcW w:w="1600" w:type="pct"/>
            <w:tcBorders>
              <w:bottom w:val="single" w:sz="6" w:space="0" w:color="000000"/>
            </w:tcBorders>
            <w:shd w:val="clear" w:color="auto" w:fill="auto"/>
            <w:tcMar>
              <w:top w:w="0" w:type="dxa"/>
              <w:left w:w="0" w:type="dxa"/>
              <w:bottom w:w="0" w:type="dxa"/>
              <w:right w:w="0" w:type="dxa"/>
            </w:tcMar>
            <w:vAlign w:val="bottom"/>
            <w:hideMark/>
          </w:tcPr>
          <w:p w14:paraId="75C5BAA4" w14:textId="77777777" w:rsidR="00000000" w:rsidRDefault="00097612">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14:paraId="3D9609AF" w14:textId="77777777" w:rsidR="00000000" w:rsidRDefault="00097612">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14:paraId="3FFE4BD3" w14:textId="77777777" w:rsidR="00000000" w:rsidRDefault="00097612">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14:paraId="19AFC1E9" w14:textId="77777777" w:rsidR="00000000" w:rsidRDefault="00097612">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14:paraId="06AEBC79"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7881239A" w14:textId="77777777" w:rsidR="00000000" w:rsidRDefault="00097612">
            <w:pPr>
              <w:pStyle w:val="a3"/>
              <w:spacing w:before="0" w:beforeAutospacing="0" w:after="0" w:afterAutospacing="0"/>
              <w:rPr>
                <w:sz w:val="16"/>
                <w:szCs w:val="16"/>
              </w:rPr>
            </w:pPr>
            <w:r>
              <w:rPr>
                <w:b/>
                <w:bCs/>
                <w:sz w:val="16"/>
                <w:szCs w:val="16"/>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14:paraId="0D3FCD40" w14:textId="77777777" w:rsidR="00000000" w:rsidRDefault="00097612">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63B1BEEE" w14:textId="77777777" w:rsidR="00000000" w:rsidRDefault="00097612">
            <w:pPr>
              <w:pStyle w:val="a3"/>
              <w:spacing w:before="0" w:beforeAutospacing="0" w:after="0" w:afterAutospacing="0"/>
              <w:rPr>
                <w:sz w:val="16"/>
                <w:szCs w:val="16"/>
              </w:rPr>
            </w:pPr>
            <w:r>
              <w:rPr>
                <w:b/>
                <w:bCs/>
                <w:sz w:val="16"/>
                <w:szCs w:val="16"/>
              </w:rPr>
              <w:t>    </w:t>
            </w:r>
          </w:p>
        </w:tc>
        <w:tc>
          <w:tcPr>
            <w:tcW w:w="153" w:type="pct"/>
            <w:tcBorders>
              <w:bottom w:val="single" w:sz="6" w:space="0" w:color="000000"/>
            </w:tcBorders>
            <w:shd w:val="clear" w:color="auto" w:fill="auto"/>
            <w:noWrap/>
            <w:tcMar>
              <w:top w:w="0" w:type="dxa"/>
              <w:left w:w="0" w:type="dxa"/>
              <w:bottom w:w="0" w:type="dxa"/>
              <w:right w:w="0" w:type="dxa"/>
            </w:tcMar>
            <w:vAlign w:val="bottom"/>
            <w:hideMark/>
          </w:tcPr>
          <w:p w14:paraId="34F69085" w14:textId="77777777" w:rsidR="00000000" w:rsidRDefault="00097612">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14:paraId="721312E8" w14:textId="77777777" w:rsidR="00000000" w:rsidRDefault="00097612">
            <w:pPr>
              <w:pStyle w:val="a3"/>
              <w:spacing w:before="0" w:beforeAutospacing="0" w:after="0" w:afterAutospacing="0"/>
              <w:rPr>
                <w:sz w:val="16"/>
                <w:szCs w:val="16"/>
              </w:rPr>
            </w:pPr>
            <w:r>
              <w:rPr>
                <w:b/>
                <w:bCs/>
                <w:sz w:val="16"/>
                <w:szCs w:val="16"/>
              </w:rPr>
              <w:t>    </w:t>
            </w:r>
          </w:p>
        </w:tc>
        <w:tc>
          <w:tcPr>
            <w:tcW w:w="79" w:type="pct"/>
            <w:shd w:val="clear" w:color="auto" w:fill="auto"/>
            <w:noWrap/>
            <w:tcMar>
              <w:top w:w="0" w:type="dxa"/>
              <w:left w:w="0" w:type="dxa"/>
              <w:bottom w:w="0" w:type="dxa"/>
              <w:right w:w="0" w:type="dxa"/>
            </w:tcMar>
            <w:vAlign w:val="bottom"/>
            <w:hideMark/>
          </w:tcPr>
          <w:p w14:paraId="60C95141" w14:textId="77777777" w:rsidR="00000000" w:rsidRDefault="00097612">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14:paraId="263F17F0" w14:textId="77777777" w:rsidR="00000000" w:rsidRDefault="00097612">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14:paraId="5D860630" w14:textId="77777777" w:rsidR="00000000" w:rsidRDefault="00097612">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14:paraId="79A83B85"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46006696" w14:textId="77777777" w:rsidR="00000000" w:rsidRDefault="00097612">
            <w:pPr>
              <w:pStyle w:val="a3"/>
              <w:spacing w:before="0" w:beforeAutospacing="0" w:after="0" w:afterAutospacing="0"/>
              <w:jc w:val="center"/>
              <w:rPr>
                <w:sz w:val="16"/>
                <w:szCs w:val="16"/>
              </w:rPr>
            </w:pPr>
            <w:r>
              <w:rPr>
                <w:b/>
                <w:bCs/>
                <w:sz w:val="16"/>
                <w:szCs w:val="16"/>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14:paraId="186C5958" w14:textId="77777777" w:rsidR="00000000" w:rsidRDefault="00097612">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0FAC3813" w14:textId="77777777" w:rsidR="00000000" w:rsidRDefault="00097612">
            <w:pPr>
              <w:pStyle w:val="a3"/>
              <w:spacing w:before="0" w:beforeAutospacing="0" w:after="0" w:afterAutospacing="0"/>
              <w:jc w:val="center"/>
              <w:rPr>
                <w:sz w:val="16"/>
                <w:szCs w:val="16"/>
              </w:rPr>
            </w:pPr>
            <w:r>
              <w:rPr>
                <w:b/>
                <w:bCs/>
                <w:sz w:val="16"/>
                <w:szCs w:val="16"/>
              </w:rPr>
              <w:t>    </w:t>
            </w:r>
          </w:p>
        </w:tc>
        <w:tc>
          <w:tcPr>
            <w:tcW w:w="104" w:type="pct"/>
            <w:tcBorders>
              <w:bottom w:val="single" w:sz="6" w:space="0" w:color="000000"/>
            </w:tcBorders>
            <w:shd w:val="clear" w:color="auto" w:fill="auto"/>
            <w:noWrap/>
            <w:tcMar>
              <w:top w:w="0" w:type="dxa"/>
              <w:left w:w="0" w:type="dxa"/>
              <w:bottom w:w="0" w:type="dxa"/>
              <w:right w:w="0" w:type="dxa"/>
            </w:tcMar>
            <w:vAlign w:val="bottom"/>
            <w:hideMark/>
          </w:tcPr>
          <w:p w14:paraId="5CEFDFBB" w14:textId="77777777" w:rsidR="00000000" w:rsidRDefault="00097612">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14:paraId="7966F6ED" w14:textId="77777777" w:rsidR="00000000" w:rsidRDefault="00097612">
            <w:pPr>
              <w:pStyle w:val="a3"/>
              <w:spacing w:before="0" w:beforeAutospacing="0" w:after="0" w:afterAutospacing="0"/>
              <w:jc w:val="center"/>
              <w:rPr>
                <w:sz w:val="16"/>
                <w:szCs w:val="16"/>
              </w:rPr>
            </w:pPr>
            <w:r>
              <w:rPr>
                <w:b/>
                <w:bCs/>
                <w:sz w:val="16"/>
                <w:szCs w:val="16"/>
              </w:rPr>
              <w:t>    </w:t>
            </w:r>
          </w:p>
        </w:tc>
        <w:tc>
          <w:tcPr>
            <w:tcW w:w="79" w:type="pct"/>
            <w:shd w:val="clear" w:color="auto" w:fill="auto"/>
            <w:noWrap/>
            <w:tcMar>
              <w:top w:w="0" w:type="dxa"/>
              <w:left w:w="0" w:type="dxa"/>
              <w:bottom w:w="0" w:type="dxa"/>
              <w:right w:w="0" w:type="dxa"/>
            </w:tcMar>
            <w:vAlign w:val="bottom"/>
            <w:hideMark/>
          </w:tcPr>
          <w:p w14:paraId="7E1BD4CF" w14:textId="77777777" w:rsidR="00000000" w:rsidRDefault="00097612">
            <w:pPr>
              <w:pStyle w:val="a3"/>
              <w:spacing w:before="0" w:beforeAutospacing="0" w:after="0" w:afterAutospacing="0"/>
              <w:rPr>
                <w:sz w:val="16"/>
                <w:szCs w:val="16"/>
              </w:rPr>
            </w:pPr>
            <w:r>
              <w:rPr>
                <w:b/>
                <w:bCs/>
                <w:sz w:val="16"/>
                <w:szCs w:val="16"/>
              </w:rPr>
              <w:t>    </w:t>
            </w:r>
          </w:p>
        </w:tc>
      </w:tr>
      <w:tr w:rsidR="00097612" w14:paraId="5874EBB8" w14:textId="77777777">
        <w:trPr>
          <w:divId w:val="1973749852"/>
        </w:trPr>
        <w:tc>
          <w:tcPr>
            <w:tcW w:w="1600" w:type="pct"/>
            <w:shd w:val="clear" w:color="auto" w:fill="CCEEFF"/>
            <w:tcMar>
              <w:top w:w="0" w:type="dxa"/>
              <w:left w:w="0" w:type="dxa"/>
              <w:bottom w:w="0" w:type="dxa"/>
              <w:right w:w="0" w:type="dxa"/>
            </w:tcMar>
            <w:vAlign w:val="bottom"/>
            <w:hideMark/>
          </w:tcPr>
          <w:p w14:paraId="3EBF7FF5" w14:textId="77777777" w:rsidR="00000000" w:rsidRDefault="00097612">
            <w:pPr>
              <w:pStyle w:val="a3"/>
              <w:spacing w:before="0" w:beforeAutospacing="0" w:after="0" w:afterAutospacing="0"/>
              <w:rPr>
                <w:sz w:val="20"/>
                <w:szCs w:val="20"/>
              </w:rPr>
            </w:pPr>
            <w:r>
              <w:rPr>
                <w:sz w:val="20"/>
                <w:szCs w:val="20"/>
              </w:rPr>
              <w:t>Selling, general and administrative</w:t>
            </w:r>
          </w:p>
        </w:tc>
        <w:tc>
          <w:tcPr>
            <w:tcW w:w="79" w:type="pct"/>
            <w:shd w:val="clear" w:color="auto" w:fill="CCEEFF"/>
            <w:noWrap/>
            <w:tcMar>
              <w:top w:w="0" w:type="dxa"/>
              <w:left w:w="0" w:type="dxa"/>
              <w:bottom w:w="0" w:type="dxa"/>
              <w:right w:w="0" w:type="dxa"/>
            </w:tcMar>
            <w:vAlign w:val="bottom"/>
            <w:hideMark/>
          </w:tcPr>
          <w:p w14:paraId="539CB45E"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DC0563C" w14:textId="77777777" w:rsidR="00000000" w:rsidRDefault="00097612">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16B91EB4" w14:textId="77777777" w:rsidR="00000000" w:rsidRDefault="00097612">
            <w:pPr>
              <w:pStyle w:val="a3"/>
              <w:spacing w:before="0" w:beforeAutospacing="0" w:after="0" w:afterAutospacing="0"/>
              <w:ind w:right="60"/>
              <w:jc w:val="right"/>
              <w:rPr>
                <w:sz w:val="20"/>
                <w:szCs w:val="20"/>
              </w:rPr>
            </w:pPr>
            <w:r>
              <w:rPr>
                <w:sz w:val="20"/>
                <w:szCs w:val="20"/>
              </w:rPr>
              <w:t>25,62</w:t>
            </w:r>
            <w:r>
              <w:rPr>
                <w:sz w:val="20"/>
                <w:szCs w:val="20"/>
              </w:rPr>
              <w:t>2</w:t>
            </w:r>
          </w:p>
        </w:tc>
        <w:tc>
          <w:tcPr>
            <w:tcW w:w="79" w:type="pct"/>
            <w:shd w:val="clear" w:color="auto" w:fill="CCEEFF"/>
            <w:noWrap/>
            <w:tcMar>
              <w:top w:w="0" w:type="dxa"/>
              <w:left w:w="0" w:type="dxa"/>
              <w:bottom w:w="0" w:type="dxa"/>
              <w:right w:w="0" w:type="dxa"/>
            </w:tcMar>
            <w:vAlign w:val="bottom"/>
            <w:hideMark/>
          </w:tcPr>
          <w:p w14:paraId="56DBB03D"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4504EDA0" w14:textId="77777777" w:rsidR="00000000" w:rsidRDefault="00097612">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691CE851" w14:textId="77777777" w:rsidR="00000000" w:rsidRDefault="00097612">
            <w:pPr>
              <w:pStyle w:val="a3"/>
              <w:spacing w:before="0" w:beforeAutospacing="0" w:after="0" w:afterAutospacing="0"/>
              <w:ind w:right="60"/>
              <w:jc w:val="right"/>
              <w:rPr>
                <w:sz w:val="20"/>
                <w:szCs w:val="20"/>
              </w:rPr>
            </w:pPr>
            <w:r>
              <w:rPr>
                <w:sz w:val="20"/>
                <w:szCs w:val="20"/>
              </w:rPr>
              <w:t>21,89</w:t>
            </w:r>
            <w:r>
              <w:rPr>
                <w:sz w:val="20"/>
                <w:szCs w:val="20"/>
              </w:rPr>
              <w:t>0</w:t>
            </w:r>
          </w:p>
        </w:tc>
        <w:tc>
          <w:tcPr>
            <w:tcW w:w="79" w:type="pct"/>
            <w:shd w:val="clear" w:color="auto" w:fill="CCEEFF"/>
            <w:noWrap/>
            <w:tcMar>
              <w:top w:w="0" w:type="dxa"/>
              <w:left w:w="0" w:type="dxa"/>
              <w:bottom w:w="0" w:type="dxa"/>
              <w:right w:w="0" w:type="dxa"/>
            </w:tcMar>
            <w:vAlign w:val="bottom"/>
            <w:hideMark/>
          </w:tcPr>
          <w:p w14:paraId="1509596C"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2B85097" w14:textId="77777777" w:rsidR="00000000" w:rsidRDefault="00097612">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13F867DB" w14:textId="77777777" w:rsidR="00000000" w:rsidRDefault="00097612">
            <w:pPr>
              <w:pStyle w:val="a3"/>
              <w:spacing w:before="0" w:beforeAutospacing="0" w:after="0" w:afterAutospacing="0"/>
              <w:ind w:right="60"/>
              <w:jc w:val="right"/>
              <w:rPr>
                <w:sz w:val="20"/>
                <w:szCs w:val="20"/>
              </w:rPr>
            </w:pPr>
            <w:r>
              <w:rPr>
                <w:sz w:val="20"/>
                <w:szCs w:val="20"/>
              </w:rPr>
              <w:t>3,73</w:t>
            </w:r>
            <w:r>
              <w:rPr>
                <w:sz w:val="20"/>
                <w:szCs w:val="20"/>
              </w:rPr>
              <w:t>2</w:t>
            </w:r>
          </w:p>
        </w:tc>
        <w:tc>
          <w:tcPr>
            <w:tcW w:w="79" w:type="pct"/>
            <w:shd w:val="clear" w:color="auto" w:fill="CCEEFF"/>
            <w:noWrap/>
            <w:tcMar>
              <w:top w:w="0" w:type="dxa"/>
              <w:left w:w="0" w:type="dxa"/>
              <w:bottom w:w="0" w:type="dxa"/>
              <w:right w:w="0" w:type="dxa"/>
            </w:tcMar>
            <w:vAlign w:val="bottom"/>
            <w:hideMark/>
          </w:tcPr>
          <w:p w14:paraId="3BB4FC79" w14:textId="77777777" w:rsidR="00000000" w:rsidRDefault="00097612">
            <w:pPr>
              <w:pStyle w:val="a3"/>
              <w:spacing w:before="0" w:beforeAutospacing="0" w:after="0" w:afterAutospacing="0"/>
              <w:rPr>
                <w:sz w:val="20"/>
                <w:szCs w:val="20"/>
              </w:rPr>
            </w:pPr>
            <w:r>
              <w:rPr>
                <w:sz w:val="20"/>
                <w:szCs w:val="20"/>
              </w:rPr>
              <w:t>​</w:t>
            </w:r>
          </w:p>
        </w:tc>
        <w:tc>
          <w:tcPr>
            <w:tcW w:w="153" w:type="pct"/>
            <w:shd w:val="clear" w:color="auto" w:fill="CCEEFF"/>
            <w:noWrap/>
            <w:tcMar>
              <w:top w:w="0" w:type="dxa"/>
              <w:left w:w="0" w:type="dxa"/>
              <w:bottom w:w="0" w:type="dxa"/>
              <w:right w:w="0" w:type="dxa"/>
            </w:tcMar>
            <w:vAlign w:val="bottom"/>
            <w:hideMark/>
          </w:tcPr>
          <w:p w14:paraId="2946857A" w14:textId="77777777" w:rsidR="00000000" w:rsidRDefault="00097612">
            <w:pPr>
              <w:pStyle w:val="a3"/>
              <w:spacing w:before="0" w:beforeAutospacing="0" w:after="0" w:afterAutospacing="0"/>
              <w:ind w:right="60"/>
              <w:jc w:val="right"/>
              <w:rPr>
                <w:sz w:val="20"/>
                <w:szCs w:val="20"/>
              </w:rPr>
            </w:pPr>
            <w:r>
              <w:rPr>
                <w:sz w:val="20"/>
                <w:szCs w:val="20"/>
              </w:rPr>
              <w:t>1</w:t>
            </w:r>
            <w:r>
              <w:rPr>
                <w:sz w:val="20"/>
                <w:szCs w:val="20"/>
              </w:rPr>
              <w:t>7</w:t>
            </w:r>
          </w:p>
        </w:tc>
        <w:tc>
          <w:tcPr>
            <w:tcW w:w="132" w:type="pct"/>
            <w:shd w:val="clear" w:color="auto" w:fill="CCEEFF"/>
            <w:noWrap/>
            <w:tcMar>
              <w:top w:w="0" w:type="dxa"/>
              <w:left w:w="0" w:type="dxa"/>
              <w:bottom w:w="0" w:type="dxa"/>
              <w:right w:w="0" w:type="dxa"/>
            </w:tcMar>
            <w:vAlign w:val="bottom"/>
            <w:hideMark/>
          </w:tcPr>
          <w:p w14:paraId="117B52CB" w14:textId="77777777" w:rsidR="00000000" w:rsidRDefault="00097612">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14:paraId="4323F56F"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58B8C4C" w14:textId="77777777" w:rsidR="00000000" w:rsidRDefault="00097612">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65922BCE" w14:textId="77777777" w:rsidR="00000000" w:rsidRDefault="00097612">
            <w:pPr>
              <w:pStyle w:val="a3"/>
              <w:spacing w:before="0" w:beforeAutospacing="0" w:after="0" w:afterAutospacing="0"/>
              <w:ind w:right="60"/>
              <w:jc w:val="right"/>
              <w:rPr>
                <w:sz w:val="20"/>
                <w:szCs w:val="20"/>
              </w:rPr>
            </w:pPr>
            <w:r>
              <w:rPr>
                <w:sz w:val="20"/>
                <w:szCs w:val="20"/>
              </w:rPr>
              <w:t>73,03</w:t>
            </w:r>
            <w:r>
              <w:rPr>
                <w:sz w:val="20"/>
                <w:szCs w:val="20"/>
              </w:rPr>
              <w:t>5</w:t>
            </w:r>
          </w:p>
        </w:tc>
        <w:tc>
          <w:tcPr>
            <w:tcW w:w="79" w:type="pct"/>
            <w:shd w:val="clear" w:color="auto" w:fill="CCEEFF"/>
            <w:noWrap/>
            <w:tcMar>
              <w:top w:w="0" w:type="dxa"/>
              <w:left w:w="0" w:type="dxa"/>
              <w:bottom w:w="0" w:type="dxa"/>
              <w:right w:w="0" w:type="dxa"/>
            </w:tcMar>
            <w:vAlign w:val="bottom"/>
            <w:hideMark/>
          </w:tcPr>
          <w:p w14:paraId="33A762C4"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784C661" w14:textId="77777777" w:rsidR="00000000" w:rsidRDefault="00097612">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7BBB5485" w14:textId="77777777" w:rsidR="00000000" w:rsidRDefault="00097612">
            <w:pPr>
              <w:pStyle w:val="a3"/>
              <w:spacing w:before="0" w:beforeAutospacing="0" w:after="0" w:afterAutospacing="0"/>
              <w:ind w:right="60"/>
              <w:jc w:val="right"/>
              <w:rPr>
                <w:sz w:val="20"/>
                <w:szCs w:val="20"/>
              </w:rPr>
            </w:pPr>
            <w:r>
              <w:rPr>
                <w:sz w:val="20"/>
                <w:szCs w:val="20"/>
              </w:rPr>
              <w:t>71,60</w:t>
            </w:r>
            <w:r>
              <w:rPr>
                <w:sz w:val="20"/>
                <w:szCs w:val="20"/>
              </w:rPr>
              <w:t>1</w:t>
            </w:r>
          </w:p>
        </w:tc>
        <w:tc>
          <w:tcPr>
            <w:tcW w:w="79" w:type="pct"/>
            <w:shd w:val="clear" w:color="auto" w:fill="CCEEFF"/>
            <w:noWrap/>
            <w:tcMar>
              <w:top w:w="0" w:type="dxa"/>
              <w:left w:w="0" w:type="dxa"/>
              <w:bottom w:w="0" w:type="dxa"/>
              <w:right w:w="0" w:type="dxa"/>
            </w:tcMar>
            <w:vAlign w:val="bottom"/>
            <w:hideMark/>
          </w:tcPr>
          <w:p w14:paraId="5CA677FD"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956008B" w14:textId="77777777" w:rsidR="00000000" w:rsidRDefault="00097612">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735FDA51" w14:textId="77777777" w:rsidR="00000000" w:rsidRDefault="00097612">
            <w:pPr>
              <w:pStyle w:val="a3"/>
              <w:spacing w:before="0" w:beforeAutospacing="0" w:after="0" w:afterAutospacing="0"/>
              <w:ind w:right="60"/>
              <w:jc w:val="right"/>
              <w:rPr>
                <w:sz w:val="20"/>
                <w:szCs w:val="20"/>
              </w:rPr>
            </w:pPr>
            <w:r>
              <w:rPr>
                <w:sz w:val="20"/>
                <w:szCs w:val="20"/>
              </w:rPr>
              <w:t>1,43</w:t>
            </w:r>
            <w:r>
              <w:rPr>
                <w:sz w:val="20"/>
                <w:szCs w:val="20"/>
              </w:rPr>
              <w:t>4</w:t>
            </w:r>
          </w:p>
        </w:tc>
        <w:tc>
          <w:tcPr>
            <w:tcW w:w="79" w:type="pct"/>
            <w:shd w:val="clear" w:color="auto" w:fill="CCEEFF"/>
            <w:noWrap/>
            <w:tcMar>
              <w:top w:w="0" w:type="dxa"/>
              <w:left w:w="0" w:type="dxa"/>
              <w:bottom w:w="0" w:type="dxa"/>
              <w:right w:w="0" w:type="dxa"/>
            </w:tcMar>
            <w:vAlign w:val="bottom"/>
            <w:hideMark/>
          </w:tcPr>
          <w:p w14:paraId="3F473F26" w14:textId="77777777" w:rsidR="00000000" w:rsidRDefault="00097612">
            <w:pPr>
              <w:pStyle w:val="a3"/>
              <w:spacing w:before="0" w:beforeAutospacing="0" w:after="0" w:afterAutospacing="0"/>
              <w:jc w:val="center"/>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14:paraId="2B4E7A09" w14:textId="77777777" w:rsidR="00000000" w:rsidRDefault="00097612">
            <w:pPr>
              <w:pStyle w:val="a3"/>
              <w:spacing w:before="0" w:beforeAutospacing="0" w:after="0" w:afterAutospacing="0"/>
              <w:ind w:right="60"/>
              <w:jc w:val="right"/>
              <w:rPr>
                <w:sz w:val="20"/>
                <w:szCs w:val="20"/>
              </w:rPr>
            </w:pPr>
            <w:r>
              <w:rPr>
                <w:sz w:val="20"/>
                <w:szCs w:val="20"/>
              </w:rPr>
              <w:t>2</w:t>
            </w:r>
          </w:p>
        </w:tc>
        <w:tc>
          <w:tcPr>
            <w:tcW w:w="132" w:type="pct"/>
            <w:shd w:val="clear" w:color="auto" w:fill="CCEEFF"/>
            <w:noWrap/>
            <w:tcMar>
              <w:top w:w="0" w:type="dxa"/>
              <w:left w:w="0" w:type="dxa"/>
              <w:bottom w:w="0" w:type="dxa"/>
              <w:right w:w="0" w:type="dxa"/>
            </w:tcMar>
            <w:vAlign w:val="bottom"/>
            <w:hideMark/>
          </w:tcPr>
          <w:p w14:paraId="7CAC6DF4" w14:textId="77777777" w:rsidR="00000000" w:rsidRDefault="00097612">
            <w:pPr>
              <w:pStyle w:val="a3"/>
              <w:spacing w:before="0" w:beforeAutospacing="0" w:after="0" w:afterAutospacing="0"/>
              <w:jc w:val="center"/>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14:paraId="7E031CCD" w14:textId="77777777" w:rsidR="00000000" w:rsidRDefault="00097612">
            <w:pPr>
              <w:pStyle w:val="a3"/>
              <w:spacing w:before="0" w:beforeAutospacing="0" w:after="0" w:afterAutospacing="0"/>
              <w:rPr>
                <w:sz w:val="20"/>
                <w:szCs w:val="20"/>
              </w:rPr>
            </w:pPr>
            <w:r>
              <w:rPr>
                <w:sz w:val="20"/>
                <w:szCs w:val="20"/>
              </w:rPr>
              <w:t>​</w:t>
            </w:r>
          </w:p>
        </w:tc>
      </w:tr>
    </w:tbl>
    <w:p w14:paraId="1883C671" w14:textId="77777777" w:rsidR="00000000" w:rsidRDefault="00097612">
      <w:pPr>
        <w:pStyle w:val="a3"/>
        <w:spacing w:before="0" w:beforeAutospacing="0" w:after="0" w:afterAutospacing="0"/>
        <w:divId w:val="1973749852"/>
        <w:rPr>
          <w:sz w:val="20"/>
          <w:szCs w:val="20"/>
        </w:rPr>
      </w:pPr>
      <w:r>
        <w:rPr>
          <w:sz w:val="20"/>
          <w:szCs w:val="20"/>
        </w:rPr>
        <w:t>​</w:t>
      </w:r>
    </w:p>
    <w:p w14:paraId="1260934D" w14:textId="77777777" w:rsidR="00000000" w:rsidRDefault="00097612">
      <w:pPr>
        <w:pStyle w:val="a3"/>
        <w:spacing w:before="0" w:beforeAutospacing="0" w:after="0" w:afterAutospacing="0"/>
        <w:ind w:firstLine="720"/>
        <w:divId w:val="1973749852"/>
        <w:rPr>
          <w:sz w:val="20"/>
          <w:szCs w:val="20"/>
        </w:rPr>
      </w:pPr>
      <w:r>
        <w:rPr>
          <w:sz w:val="20"/>
          <w:szCs w:val="20"/>
        </w:rPr>
        <w:t xml:space="preserve">Selling, general and administrative expenses increased by $3.7 million for the three months ended September 30, 2019 compared to the same period in 2018. The increase was primarily due to increases in external-related expenses and share-based compensation </w:t>
      </w:r>
      <w:r>
        <w:rPr>
          <w:sz w:val="20"/>
          <w:szCs w:val="20"/>
        </w:rPr>
        <w:t>expense. External-related expenses increased $3.4 million primarily due to legal costs associated with the Innoviva arbitration, partially offset by a decrease in VIBATIV-related external services as a result of the sale of VIBATIV to Cumberland in Novembe</w:t>
      </w:r>
      <w:r>
        <w:rPr>
          <w:sz w:val="20"/>
          <w:szCs w:val="20"/>
        </w:rPr>
        <w:t>r 2018, and share-based compensation expense increased by $1.1 million. These increases were partially offset by a decrease of $1.3 million in employee-related expenses primarily due to our workforce reduction in the first quarter of 2019</w:t>
      </w:r>
      <w:r>
        <w:rPr>
          <w:sz w:val="20"/>
          <w:szCs w:val="20"/>
        </w:rPr>
        <w:t>.</w:t>
      </w:r>
      <w:r>
        <w:rPr>
          <w:color w:val="FF0000"/>
          <w:sz w:val="20"/>
          <w:szCs w:val="20"/>
        </w:rPr>
        <w:t xml:space="preserve"> </w:t>
      </w:r>
    </w:p>
    <w:p w14:paraId="1DFFB7EF" w14:textId="77777777" w:rsidR="00000000" w:rsidRDefault="00097612">
      <w:pPr>
        <w:pStyle w:val="a3"/>
        <w:spacing w:before="0" w:beforeAutospacing="0" w:after="0" w:afterAutospacing="0"/>
        <w:divId w:val="1973749852"/>
        <w:rPr>
          <w:sz w:val="20"/>
          <w:szCs w:val="20"/>
        </w:rPr>
      </w:pPr>
      <w:r>
        <w:rPr>
          <w:sz w:val="20"/>
          <w:szCs w:val="20"/>
        </w:rPr>
        <w:t>​</w:t>
      </w:r>
    </w:p>
    <w:p w14:paraId="763FFFD2" w14:textId="77777777" w:rsidR="00000000" w:rsidRDefault="00097612">
      <w:pPr>
        <w:pStyle w:val="a3"/>
        <w:spacing w:before="0" w:beforeAutospacing="0" w:after="0" w:afterAutospacing="0"/>
        <w:ind w:firstLine="720"/>
        <w:divId w:val="1973749852"/>
        <w:rPr>
          <w:sz w:val="20"/>
          <w:szCs w:val="20"/>
        </w:rPr>
      </w:pPr>
      <w:r>
        <w:rPr>
          <w:sz w:val="20"/>
          <w:szCs w:val="20"/>
        </w:rPr>
        <w:t>Selling, gene</w:t>
      </w:r>
      <w:r>
        <w:rPr>
          <w:sz w:val="20"/>
          <w:szCs w:val="20"/>
        </w:rPr>
        <w:t>ral and administrative expenses increased by $1.4 million for the nine months ended September 30, 2019 compared to the same period in 2018. The increase was primarily due to increases in external-related expenses, collaboration loss, and facilities and oth</w:t>
      </w:r>
      <w:r>
        <w:rPr>
          <w:sz w:val="20"/>
          <w:szCs w:val="20"/>
        </w:rPr>
        <w:t>er allocable expenses. External-related expenses increased $0.4 million primarily due to legal costs associated with the Innoviva arbitration, partially offset by a decrease in VIBATIV-related external services as a result of the sale of VIBATIV to Cumberl</w:t>
      </w:r>
      <w:r>
        <w:rPr>
          <w:sz w:val="20"/>
          <w:szCs w:val="20"/>
        </w:rPr>
        <w:t>and in November 2018. Collaboration loss increased by $1.6 million due to the launch of YUPELRI late-2018, and facilities and other allocable expenses increased by $2.0 million. These increases were partially offset by decreases in share-based compensation</w:t>
      </w:r>
      <w:r>
        <w:rPr>
          <w:sz w:val="20"/>
          <w:szCs w:val="20"/>
        </w:rPr>
        <w:t xml:space="preserve"> of $1.6 million and employee-related expenses of $1.1 million. The decrease in employee-related expenses was primarily due to our workforce reduction in the first quarter of 2019. </w:t>
      </w:r>
    </w:p>
    <w:p w14:paraId="10461DBE" w14:textId="77777777" w:rsidR="00000000" w:rsidRDefault="00097612">
      <w:pPr>
        <w:pStyle w:val="a3"/>
        <w:spacing w:before="0" w:beforeAutospacing="0" w:after="0" w:afterAutospacing="0"/>
        <w:ind w:firstLine="720"/>
        <w:divId w:val="1973749852"/>
        <w:rPr>
          <w:sz w:val="20"/>
          <w:szCs w:val="20"/>
        </w:rPr>
      </w:pPr>
      <w:r>
        <w:rPr>
          <w:sz w:val="20"/>
          <w:szCs w:val="20"/>
        </w:rPr>
        <w:t>​</w:t>
      </w:r>
    </w:p>
    <w:p w14:paraId="6CEFBEA3" w14:textId="77777777" w:rsidR="00000000" w:rsidRDefault="00097612">
      <w:pPr>
        <w:pStyle w:val="a3"/>
        <w:spacing w:before="0" w:beforeAutospacing="0" w:after="0" w:afterAutospacing="0"/>
        <w:divId w:val="1973749852"/>
        <w:rPr>
          <w:sz w:val="20"/>
          <w:szCs w:val="20"/>
        </w:rPr>
      </w:pPr>
      <w:r>
        <w:rPr>
          <w:b/>
          <w:bCs/>
          <w:i/>
          <w:iCs/>
          <w:sz w:val="20"/>
          <w:szCs w:val="20"/>
        </w:rPr>
        <w:t>Income from Investment in TRC, LLC</w:t>
      </w:r>
    </w:p>
    <w:p w14:paraId="44717165" w14:textId="77777777" w:rsidR="00000000" w:rsidRDefault="00097612">
      <w:pPr>
        <w:pStyle w:val="a3"/>
        <w:spacing w:before="0" w:beforeAutospacing="0" w:after="0" w:afterAutospacing="0"/>
        <w:divId w:val="1973749852"/>
        <w:rPr>
          <w:sz w:val="20"/>
          <w:szCs w:val="20"/>
        </w:rPr>
      </w:pPr>
      <w:r>
        <w:rPr>
          <w:sz w:val="12"/>
          <w:szCs w:val="12"/>
        </w:rPr>
        <w:t>​</w:t>
      </w:r>
    </w:p>
    <w:p w14:paraId="4F180509" w14:textId="77777777" w:rsidR="00000000" w:rsidRDefault="00097612">
      <w:pPr>
        <w:pStyle w:val="a3"/>
        <w:spacing w:before="0" w:beforeAutospacing="0" w:after="0" w:afterAutospacing="0"/>
        <w:ind w:firstLine="720"/>
        <w:divId w:val="1973749852"/>
        <w:rPr>
          <w:sz w:val="20"/>
          <w:szCs w:val="20"/>
        </w:rPr>
      </w:pPr>
      <w:r>
        <w:rPr>
          <w:sz w:val="20"/>
          <w:szCs w:val="20"/>
        </w:rPr>
        <w:t>Income from investment in TRC, as c</w:t>
      </w:r>
      <w:r>
        <w:rPr>
          <w:sz w:val="20"/>
          <w:szCs w:val="20"/>
        </w:rPr>
        <w:t>ompared to the comparable periods in the prior year, was as follows:</w:t>
      </w:r>
    </w:p>
    <w:p w14:paraId="6785FFD6" w14:textId="77777777" w:rsidR="00000000" w:rsidRDefault="00097612">
      <w:pPr>
        <w:pStyle w:val="a3"/>
        <w:spacing w:before="0" w:beforeAutospacing="0" w:after="0" w:afterAutospacing="0"/>
        <w:divId w:val="197374985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733"/>
        <w:gridCol w:w="200"/>
        <w:gridCol w:w="101"/>
        <w:gridCol w:w="539"/>
        <w:gridCol w:w="201"/>
        <w:gridCol w:w="100"/>
        <w:gridCol w:w="538"/>
        <w:gridCol w:w="200"/>
        <w:gridCol w:w="100"/>
        <w:gridCol w:w="510"/>
        <w:gridCol w:w="200"/>
        <w:gridCol w:w="300"/>
        <w:gridCol w:w="227"/>
        <w:gridCol w:w="200"/>
        <w:gridCol w:w="100"/>
        <w:gridCol w:w="610"/>
        <w:gridCol w:w="200"/>
        <w:gridCol w:w="100"/>
        <w:gridCol w:w="510"/>
        <w:gridCol w:w="200"/>
        <w:gridCol w:w="100"/>
        <w:gridCol w:w="610"/>
        <w:gridCol w:w="200"/>
        <w:gridCol w:w="300"/>
        <w:gridCol w:w="227"/>
      </w:tblGrid>
      <w:tr w:rsidR="00000000" w14:paraId="1680A032" w14:textId="77777777">
        <w:trPr>
          <w:divId w:val="1973749852"/>
          <w:trHeight w:val="20"/>
        </w:trPr>
        <w:tc>
          <w:tcPr>
            <w:tcW w:w="1570" w:type="pct"/>
            <w:tcMar>
              <w:top w:w="0" w:type="dxa"/>
              <w:left w:w="0" w:type="dxa"/>
              <w:bottom w:w="0" w:type="dxa"/>
              <w:right w:w="0" w:type="dxa"/>
            </w:tcMar>
            <w:vAlign w:val="bottom"/>
            <w:hideMark/>
          </w:tcPr>
          <w:p w14:paraId="1AB49F38" w14:textId="77777777" w:rsidR="00000000" w:rsidRDefault="00097612">
            <w:pPr>
              <w:pStyle w:val="a3"/>
              <w:spacing w:before="0" w:beforeAutospacing="0" w:after="0" w:afterAutospacing="0"/>
              <w:divId w:val="1791972318"/>
              <w:rPr>
                <w:sz w:val="20"/>
                <w:szCs w:val="20"/>
              </w:rPr>
            </w:pPr>
            <w:r>
              <w:rPr>
                <w:sz w:val="2"/>
                <w:szCs w:val="2"/>
              </w:rPr>
              <w:t>​</w:t>
            </w:r>
          </w:p>
        </w:tc>
        <w:tc>
          <w:tcPr>
            <w:tcW w:w="99" w:type="pct"/>
            <w:noWrap/>
            <w:tcMar>
              <w:top w:w="0" w:type="dxa"/>
              <w:left w:w="0" w:type="dxa"/>
              <w:bottom w:w="0" w:type="dxa"/>
              <w:right w:w="0" w:type="dxa"/>
            </w:tcMar>
            <w:vAlign w:val="bottom"/>
            <w:hideMark/>
          </w:tcPr>
          <w:p w14:paraId="1E4CDF18" w14:textId="77777777" w:rsidR="00000000" w:rsidRDefault="00097612">
            <w:pPr>
              <w:pStyle w:val="a3"/>
              <w:spacing w:before="0" w:beforeAutospacing="0" w:after="0" w:afterAutospacing="0"/>
              <w:divId w:val="1566452292"/>
              <w:rPr>
                <w:sz w:val="20"/>
                <w:szCs w:val="20"/>
              </w:rPr>
            </w:pPr>
            <w:r>
              <w:rPr>
                <w:sz w:val="2"/>
                <w:szCs w:val="2"/>
              </w:rPr>
              <w:t>​</w:t>
            </w:r>
          </w:p>
        </w:tc>
        <w:tc>
          <w:tcPr>
            <w:tcW w:w="49" w:type="pct"/>
            <w:noWrap/>
            <w:tcMar>
              <w:top w:w="0" w:type="dxa"/>
              <w:left w:w="0" w:type="dxa"/>
              <w:bottom w:w="0" w:type="dxa"/>
              <w:right w:w="0" w:type="dxa"/>
            </w:tcMar>
            <w:vAlign w:val="bottom"/>
            <w:hideMark/>
          </w:tcPr>
          <w:p w14:paraId="06175498" w14:textId="77777777" w:rsidR="00000000" w:rsidRDefault="00097612">
            <w:pPr>
              <w:pStyle w:val="a3"/>
              <w:spacing w:before="0" w:beforeAutospacing="0" w:after="0" w:afterAutospacing="0"/>
              <w:divId w:val="690453745"/>
              <w:rPr>
                <w:sz w:val="20"/>
                <w:szCs w:val="20"/>
              </w:rPr>
            </w:pPr>
            <w:r>
              <w:rPr>
                <w:sz w:val="2"/>
                <w:szCs w:val="2"/>
              </w:rPr>
              <w:t>​</w:t>
            </w:r>
          </w:p>
        </w:tc>
        <w:tc>
          <w:tcPr>
            <w:tcW w:w="277" w:type="pct"/>
            <w:noWrap/>
            <w:tcMar>
              <w:top w:w="0" w:type="dxa"/>
              <w:left w:w="0" w:type="dxa"/>
              <w:bottom w:w="0" w:type="dxa"/>
              <w:right w:w="0" w:type="dxa"/>
            </w:tcMar>
            <w:vAlign w:val="bottom"/>
            <w:hideMark/>
          </w:tcPr>
          <w:p w14:paraId="4814F986" w14:textId="77777777" w:rsidR="00000000" w:rsidRDefault="00097612">
            <w:pPr>
              <w:pStyle w:val="a3"/>
              <w:spacing w:before="0" w:beforeAutospacing="0" w:after="0" w:afterAutospacing="0"/>
              <w:divId w:val="1422405932"/>
              <w:rPr>
                <w:sz w:val="20"/>
                <w:szCs w:val="20"/>
              </w:rPr>
            </w:pPr>
            <w:r>
              <w:rPr>
                <w:sz w:val="2"/>
                <w:szCs w:val="2"/>
              </w:rPr>
              <w:t>​</w:t>
            </w:r>
          </w:p>
        </w:tc>
        <w:tc>
          <w:tcPr>
            <w:tcW w:w="99" w:type="pct"/>
            <w:noWrap/>
            <w:tcMar>
              <w:top w:w="0" w:type="dxa"/>
              <w:left w:w="0" w:type="dxa"/>
              <w:bottom w:w="0" w:type="dxa"/>
              <w:right w:w="0" w:type="dxa"/>
            </w:tcMar>
            <w:vAlign w:val="bottom"/>
            <w:hideMark/>
          </w:tcPr>
          <w:p w14:paraId="67B56D42" w14:textId="77777777" w:rsidR="00000000" w:rsidRDefault="00097612">
            <w:pPr>
              <w:pStyle w:val="a3"/>
              <w:spacing w:before="0" w:beforeAutospacing="0" w:after="0" w:afterAutospacing="0"/>
              <w:divId w:val="269318723"/>
              <w:rPr>
                <w:sz w:val="20"/>
                <w:szCs w:val="20"/>
              </w:rPr>
            </w:pPr>
            <w:r>
              <w:rPr>
                <w:sz w:val="2"/>
                <w:szCs w:val="2"/>
              </w:rPr>
              <w:t>​</w:t>
            </w:r>
          </w:p>
        </w:tc>
        <w:tc>
          <w:tcPr>
            <w:tcW w:w="49" w:type="pct"/>
            <w:noWrap/>
            <w:tcMar>
              <w:top w:w="0" w:type="dxa"/>
              <w:left w:w="0" w:type="dxa"/>
              <w:bottom w:w="0" w:type="dxa"/>
              <w:right w:w="0" w:type="dxa"/>
            </w:tcMar>
            <w:vAlign w:val="bottom"/>
            <w:hideMark/>
          </w:tcPr>
          <w:p w14:paraId="362D662D" w14:textId="77777777" w:rsidR="00000000" w:rsidRDefault="00097612">
            <w:pPr>
              <w:pStyle w:val="a3"/>
              <w:spacing w:before="0" w:beforeAutospacing="0" w:after="0" w:afterAutospacing="0"/>
              <w:divId w:val="323750582"/>
              <w:rPr>
                <w:sz w:val="20"/>
                <w:szCs w:val="20"/>
              </w:rPr>
            </w:pPr>
            <w:r>
              <w:rPr>
                <w:sz w:val="2"/>
                <w:szCs w:val="2"/>
              </w:rPr>
              <w:t>​</w:t>
            </w:r>
          </w:p>
        </w:tc>
        <w:tc>
          <w:tcPr>
            <w:tcW w:w="277" w:type="pct"/>
            <w:noWrap/>
            <w:tcMar>
              <w:top w:w="0" w:type="dxa"/>
              <w:left w:w="0" w:type="dxa"/>
              <w:bottom w:w="0" w:type="dxa"/>
              <w:right w:w="0" w:type="dxa"/>
            </w:tcMar>
            <w:vAlign w:val="bottom"/>
            <w:hideMark/>
          </w:tcPr>
          <w:p w14:paraId="06B5A717" w14:textId="77777777" w:rsidR="00000000" w:rsidRDefault="00097612">
            <w:pPr>
              <w:pStyle w:val="a3"/>
              <w:spacing w:before="0" w:beforeAutospacing="0" w:after="0" w:afterAutospacing="0"/>
              <w:divId w:val="1145849666"/>
              <w:rPr>
                <w:sz w:val="20"/>
                <w:szCs w:val="20"/>
              </w:rPr>
            </w:pPr>
            <w:r>
              <w:rPr>
                <w:sz w:val="2"/>
                <w:szCs w:val="2"/>
              </w:rPr>
              <w:t>​</w:t>
            </w:r>
          </w:p>
        </w:tc>
        <w:tc>
          <w:tcPr>
            <w:tcW w:w="99" w:type="pct"/>
            <w:noWrap/>
            <w:tcMar>
              <w:top w:w="0" w:type="dxa"/>
              <w:left w:w="0" w:type="dxa"/>
              <w:bottom w:w="0" w:type="dxa"/>
              <w:right w:w="0" w:type="dxa"/>
            </w:tcMar>
            <w:vAlign w:val="bottom"/>
            <w:hideMark/>
          </w:tcPr>
          <w:p w14:paraId="01D7CF90" w14:textId="77777777" w:rsidR="00000000" w:rsidRDefault="00097612">
            <w:pPr>
              <w:pStyle w:val="a3"/>
              <w:spacing w:before="0" w:beforeAutospacing="0" w:after="0" w:afterAutospacing="0"/>
              <w:divId w:val="1342199089"/>
              <w:rPr>
                <w:sz w:val="20"/>
                <w:szCs w:val="20"/>
              </w:rPr>
            </w:pPr>
            <w:r>
              <w:rPr>
                <w:sz w:val="2"/>
                <w:szCs w:val="2"/>
              </w:rPr>
              <w:t>​</w:t>
            </w:r>
          </w:p>
        </w:tc>
        <w:tc>
          <w:tcPr>
            <w:tcW w:w="49" w:type="pct"/>
            <w:noWrap/>
            <w:tcMar>
              <w:top w:w="0" w:type="dxa"/>
              <w:left w:w="0" w:type="dxa"/>
              <w:bottom w:w="0" w:type="dxa"/>
              <w:right w:w="0" w:type="dxa"/>
            </w:tcMar>
            <w:vAlign w:val="bottom"/>
            <w:hideMark/>
          </w:tcPr>
          <w:p w14:paraId="4F426F40" w14:textId="77777777" w:rsidR="00000000" w:rsidRDefault="00097612">
            <w:pPr>
              <w:pStyle w:val="a3"/>
              <w:spacing w:before="0" w:beforeAutospacing="0" w:after="0" w:afterAutospacing="0"/>
              <w:divId w:val="1918857494"/>
              <w:rPr>
                <w:sz w:val="20"/>
                <w:szCs w:val="20"/>
              </w:rPr>
            </w:pPr>
            <w:r>
              <w:rPr>
                <w:sz w:val="2"/>
                <w:szCs w:val="2"/>
              </w:rPr>
              <w:t>​</w:t>
            </w:r>
          </w:p>
        </w:tc>
        <w:tc>
          <w:tcPr>
            <w:tcW w:w="277" w:type="pct"/>
            <w:noWrap/>
            <w:tcMar>
              <w:top w:w="0" w:type="dxa"/>
              <w:left w:w="0" w:type="dxa"/>
              <w:bottom w:w="0" w:type="dxa"/>
              <w:right w:w="0" w:type="dxa"/>
            </w:tcMar>
            <w:vAlign w:val="bottom"/>
            <w:hideMark/>
          </w:tcPr>
          <w:p w14:paraId="42B2BCF9" w14:textId="77777777" w:rsidR="00000000" w:rsidRDefault="00097612">
            <w:pPr>
              <w:pStyle w:val="a3"/>
              <w:spacing w:before="0" w:beforeAutospacing="0" w:after="0" w:afterAutospacing="0"/>
              <w:divId w:val="839806367"/>
              <w:rPr>
                <w:sz w:val="20"/>
                <w:szCs w:val="20"/>
              </w:rPr>
            </w:pPr>
            <w:r>
              <w:rPr>
                <w:sz w:val="2"/>
                <w:szCs w:val="2"/>
              </w:rPr>
              <w:t>​</w:t>
            </w:r>
          </w:p>
        </w:tc>
        <w:tc>
          <w:tcPr>
            <w:tcW w:w="99" w:type="pct"/>
            <w:noWrap/>
            <w:tcMar>
              <w:top w:w="0" w:type="dxa"/>
              <w:left w:w="0" w:type="dxa"/>
              <w:bottom w:w="0" w:type="dxa"/>
              <w:right w:w="0" w:type="dxa"/>
            </w:tcMar>
            <w:vAlign w:val="bottom"/>
            <w:hideMark/>
          </w:tcPr>
          <w:p w14:paraId="5E087B51" w14:textId="77777777" w:rsidR="00000000" w:rsidRDefault="00097612">
            <w:pPr>
              <w:pStyle w:val="a3"/>
              <w:spacing w:before="0" w:beforeAutospacing="0" w:after="0" w:afterAutospacing="0"/>
              <w:divId w:val="1999310766"/>
              <w:rPr>
                <w:sz w:val="20"/>
                <w:szCs w:val="20"/>
              </w:rPr>
            </w:pPr>
            <w:r>
              <w:rPr>
                <w:sz w:val="2"/>
                <w:szCs w:val="2"/>
              </w:rPr>
              <w:t>​</w:t>
            </w:r>
          </w:p>
        </w:tc>
        <w:tc>
          <w:tcPr>
            <w:tcW w:w="173" w:type="pct"/>
            <w:noWrap/>
            <w:tcMar>
              <w:top w:w="0" w:type="dxa"/>
              <w:left w:w="0" w:type="dxa"/>
              <w:bottom w:w="0" w:type="dxa"/>
              <w:right w:w="0" w:type="dxa"/>
            </w:tcMar>
            <w:vAlign w:val="bottom"/>
            <w:hideMark/>
          </w:tcPr>
          <w:p w14:paraId="066FAA9F" w14:textId="77777777" w:rsidR="00000000" w:rsidRDefault="00097612">
            <w:pPr>
              <w:pStyle w:val="a3"/>
              <w:spacing w:before="0" w:beforeAutospacing="0" w:after="0" w:afterAutospacing="0"/>
              <w:divId w:val="9600667"/>
              <w:rPr>
                <w:sz w:val="20"/>
                <w:szCs w:val="20"/>
              </w:rPr>
            </w:pPr>
            <w:r>
              <w:rPr>
                <w:sz w:val="2"/>
                <w:szCs w:val="2"/>
              </w:rPr>
              <w:t>​</w:t>
            </w:r>
          </w:p>
        </w:tc>
        <w:tc>
          <w:tcPr>
            <w:tcW w:w="112" w:type="pct"/>
            <w:noWrap/>
            <w:tcMar>
              <w:top w:w="0" w:type="dxa"/>
              <w:left w:w="0" w:type="dxa"/>
              <w:bottom w:w="0" w:type="dxa"/>
              <w:right w:w="0" w:type="dxa"/>
            </w:tcMar>
            <w:vAlign w:val="bottom"/>
            <w:hideMark/>
          </w:tcPr>
          <w:p w14:paraId="04F14139" w14:textId="77777777" w:rsidR="00000000" w:rsidRDefault="00097612">
            <w:pPr>
              <w:pStyle w:val="a3"/>
              <w:spacing w:before="0" w:beforeAutospacing="0" w:after="0" w:afterAutospacing="0"/>
              <w:divId w:val="201285028"/>
              <w:rPr>
                <w:sz w:val="20"/>
                <w:szCs w:val="20"/>
              </w:rPr>
            </w:pPr>
            <w:r>
              <w:rPr>
                <w:sz w:val="2"/>
                <w:szCs w:val="2"/>
              </w:rPr>
              <w:t>​</w:t>
            </w:r>
          </w:p>
        </w:tc>
        <w:tc>
          <w:tcPr>
            <w:tcW w:w="99" w:type="pct"/>
            <w:noWrap/>
            <w:tcMar>
              <w:top w:w="0" w:type="dxa"/>
              <w:left w:w="0" w:type="dxa"/>
              <w:bottom w:w="0" w:type="dxa"/>
              <w:right w:w="0" w:type="dxa"/>
            </w:tcMar>
            <w:vAlign w:val="bottom"/>
            <w:hideMark/>
          </w:tcPr>
          <w:p w14:paraId="365FE8AC" w14:textId="77777777" w:rsidR="00000000" w:rsidRDefault="00097612">
            <w:pPr>
              <w:pStyle w:val="a3"/>
              <w:spacing w:before="0" w:beforeAutospacing="0" w:after="0" w:afterAutospacing="0"/>
              <w:divId w:val="1462263766"/>
              <w:rPr>
                <w:sz w:val="20"/>
                <w:szCs w:val="20"/>
              </w:rPr>
            </w:pPr>
            <w:r>
              <w:rPr>
                <w:sz w:val="2"/>
                <w:szCs w:val="2"/>
              </w:rPr>
              <w:t>​</w:t>
            </w:r>
          </w:p>
        </w:tc>
        <w:tc>
          <w:tcPr>
            <w:tcW w:w="49" w:type="pct"/>
            <w:noWrap/>
            <w:tcMar>
              <w:top w:w="0" w:type="dxa"/>
              <w:left w:w="0" w:type="dxa"/>
              <w:bottom w:w="0" w:type="dxa"/>
              <w:right w:w="0" w:type="dxa"/>
            </w:tcMar>
            <w:vAlign w:val="bottom"/>
            <w:hideMark/>
          </w:tcPr>
          <w:p w14:paraId="186DD478" w14:textId="77777777" w:rsidR="00000000" w:rsidRDefault="00097612">
            <w:pPr>
              <w:pStyle w:val="a3"/>
              <w:spacing w:before="0" w:beforeAutospacing="0" w:after="0" w:afterAutospacing="0"/>
              <w:divId w:val="1916745968"/>
              <w:rPr>
                <w:sz w:val="20"/>
                <w:szCs w:val="20"/>
              </w:rPr>
            </w:pPr>
            <w:r>
              <w:rPr>
                <w:sz w:val="2"/>
                <w:szCs w:val="2"/>
              </w:rPr>
              <w:t>​</w:t>
            </w:r>
          </w:p>
        </w:tc>
        <w:tc>
          <w:tcPr>
            <w:tcW w:w="327" w:type="pct"/>
            <w:noWrap/>
            <w:tcMar>
              <w:top w:w="0" w:type="dxa"/>
              <w:left w:w="0" w:type="dxa"/>
              <w:bottom w:w="0" w:type="dxa"/>
              <w:right w:w="0" w:type="dxa"/>
            </w:tcMar>
            <w:vAlign w:val="bottom"/>
            <w:hideMark/>
          </w:tcPr>
          <w:p w14:paraId="487CCC18" w14:textId="77777777" w:rsidR="00000000" w:rsidRDefault="00097612">
            <w:pPr>
              <w:pStyle w:val="a3"/>
              <w:spacing w:before="0" w:beforeAutospacing="0" w:after="0" w:afterAutospacing="0"/>
              <w:divId w:val="1626690743"/>
              <w:rPr>
                <w:sz w:val="20"/>
                <w:szCs w:val="20"/>
              </w:rPr>
            </w:pPr>
            <w:r>
              <w:rPr>
                <w:sz w:val="2"/>
                <w:szCs w:val="2"/>
              </w:rPr>
              <w:t>​</w:t>
            </w:r>
          </w:p>
        </w:tc>
        <w:tc>
          <w:tcPr>
            <w:tcW w:w="99" w:type="pct"/>
            <w:noWrap/>
            <w:tcMar>
              <w:top w:w="0" w:type="dxa"/>
              <w:left w:w="0" w:type="dxa"/>
              <w:bottom w:w="0" w:type="dxa"/>
              <w:right w:w="0" w:type="dxa"/>
            </w:tcMar>
            <w:vAlign w:val="bottom"/>
            <w:hideMark/>
          </w:tcPr>
          <w:p w14:paraId="76AEA003" w14:textId="77777777" w:rsidR="00000000" w:rsidRDefault="00097612">
            <w:pPr>
              <w:pStyle w:val="a3"/>
              <w:spacing w:before="0" w:beforeAutospacing="0" w:after="0" w:afterAutospacing="0"/>
              <w:divId w:val="443813933"/>
              <w:rPr>
                <w:sz w:val="20"/>
                <w:szCs w:val="20"/>
              </w:rPr>
            </w:pPr>
            <w:r>
              <w:rPr>
                <w:sz w:val="2"/>
                <w:szCs w:val="2"/>
              </w:rPr>
              <w:t>​</w:t>
            </w:r>
          </w:p>
        </w:tc>
        <w:tc>
          <w:tcPr>
            <w:tcW w:w="49" w:type="pct"/>
            <w:noWrap/>
            <w:tcMar>
              <w:top w:w="0" w:type="dxa"/>
              <w:left w:w="0" w:type="dxa"/>
              <w:bottom w:w="0" w:type="dxa"/>
              <w:right w:w="0" w:type="dxa"/>
            </w:tcMar>
            <w:vAlign w:val="bottom"/>
            <w:hideMark/>
          </w:tcPr>
          <w:p w14:paraId="243D977D" w14:textId="77777777" w:rsidR="00000000" w:rsidRDefault="00097612">
            <w:pPr>
              <w:pStyle w:val="a3"/>
              <w:spacing w:before="0" w:beforeAutospacing="0" w:after="0" w:afterAutospacing="0"/>
              <w:divId w:val="594435438"/>
              <w:rPr>
                <w:sz w:val="20"/>
                <w:szCs w:val="20"/>
              </w:rPr>
            </w:pPr>
            <w:r>
              <w:rPr>
                <w:sz w:val="2"/>
                <w:szCs w:val="2"/>
              </w:rPr>
              <w:t>​</w:t>
            </w:r>
          </w:p>
        </w:tc>
        <w:tc>
          <w:tcPr>
            <w:tcW w:w="277" w:type="pct"/>
            <w:noWrap/>
            <w:tcMar>
              <w:top w:w="0" w:type="dxa"/>
              <w:left w:w="0" w:type="dxa"/>
              <w:bottom w:w="0" w:type="dxa"/>
              <w:right w:w="0" w:type="dxa"/>
            </w:tcMar>
            <w:vAlign w:val="bottom"/>
            <w:hideMark/>
          </w:tcPr>
          <w:p w14:paraId="69E96EC0" w14:textId="77777777" w:rsidR="00000000" w:rsidRDefault="00097612">
            <w:pPr>
              <w:pStyle w:val="a3"/>
              <w:spacing w:before="0" w:beforeAutospacing="0" w:after="0" w:afterAutospacing="0"/>
              <w:divId w:val="2083943663"/>
              <w:rPr>
                <w:sz w:val="20"/>
                <w:szCs w:val="20"/>
              </w:rPr>
            </w:pPr>
            <w:r>
              <w:rPr>
                <w:sz w:val="2"/>
                <w:szCs w:val="2"/>
              </w:rPr>
              <w:t>​</w:t>
            </w:r>
          </w:p>
        </w:tc>
        <w:tc>
          <w:tcPr>
            <w:tcW w:w="99" w:type="pct"/>
            <w:noWrap/>
            <w:tcMar>
              <w:top w:w="0" w:type="dxa"/>
              <w:left w:w="0" w:type="dxa"/>
              <w:bottom w:w="0" w:type="dxa"/>
              <w:right w:w="0" w:type="dxa"/>
            </w:tcMar>
            <w:vAlign w:val="bottom"/>
            <w:hideMark/>
          </w:tcPr>
          <w:p w14:paraId="3B4A9B82" w14:textId="77777777" w:rsidR="00000000" w:rsidRDefault="00097612">
            <w:pPr>
              <w:pStyle w:val="a3"/>
              <w:spacing w:before="0" w:beforeAutospacing="0" w:after="0" w:afterAutospacing="0"/>
              <w:divId w:val="564296028"/>
              <w:rPr>
                <w:sz w:val="20"/>
                <w:szCs w:val="20"/>
              </w:rPr>
            </w:pPr>
            <w:r>
              <w:rPr>
                <w:sz w:val="2"/>
                <w:szCs w:val="2"/>
              </w:rPr>
              <w:t>​</w:t>
            </w:r>
          </w:p>
        </w:tc>
        <w:tc>
          <w:tcPr>
            <w:tcW w:w="49" w:type="pct"/>
            <w:noWrap/>
            <w:tcMar>
              <w:top w:w="0" w:type="dxa"/>
              <w:left w:w="0" w:type="dxa"/>
              <w:bottom w:w="0" w:type="dxa"/>
              <w:right w:w="0" w:type="dxa"/>
            </w:tcMar>
            <w:vAlign w:val="bottom"/>
            <w:hideMark/>
          </w:tcPr>
          <w:p w14:paraId="383CA950" w14:textId="77777777" w:rsidR="00000000" w:rsidRDefault="00097612">
            <w:pPr>
              <w:pStyle w:val="a3"/>
              <w:spacing w:before="0" w:beforeAutospacing="0" w:after="0" w:afterAutospacing="0"/>
              <w:divId w:val="1186676475"/>
              <w:rPr>
                <w:sz w:val="20"/>
                <w:szCs w:val="20"/>
              </w:rPr>
            </w:pPr>
            <w:r>
              <w:rPr>
                <w:sz w:val="2"/>
                <w:szCs w:val="2"/>
              </w:rPr>
              <w:t>​</w:t>
            </w:r>
          </w:p>
        </w:tc>
        <w:tc>
          <w:tcPr>
            <w:tcW w:w="327" w:type="pct"/>
            <w:noWrap/>
            <w:tcMar>
              <w:top w:w="0" w:type="dxa"/>
              <w:left w:w="0" w:type="dxa"/>
              <w:bottom w:w="0" w:type="dxa"/>
              <w:right w:w="0" w:type="dxa"/>
            </w:tcMar>
            <w:vAlign w:val="bottom"/>
            <w:hideMark/>
          </w:tcPr>
          <w:p w14:paraId="0A3828CC" w14:textId="77777777" w:rsidR="00000000" w:rsidRDefault="00097612">
            <w:pPr>
              <w:pStyle w:val="a3"/>
              <w:spacing w:before="0" w:beforeAutospacing="0" w:after="0" w:afterAutospacing="0"/>
              <w:divId w:val="680278357"/>
              <w:rPr>
                <w:sz w:val="20"/>
                <w:szCs w:val="20"/>
              </w:rPr>
            </w:pPr>
            <w:r>
              <w:rPr>
                <w:sz w:val="2"/>
                <w:szCs w:val="2"/>
              </w:rPr>
              <w:t>​</w:t>
            </w:r>
          </w:p>
        </w:tc>
        <w:tc>
          <w:tcPr>
            <w:tcW w:w="99" w:type="pct"/>
            <w:noWrap/>
            <w:tcMar>
              <w:top w:w="0" w:type="dxa"/>
              <w:left w:w="0" w:type="dxa"/>
              <w:bottom w:w="0" w:type="dxa"/>
              <w:right w:w="0" w:type="dxa"/>
            </w:tcMar>
            <w:vAlign w:val="bottom"/>
            <w:hideMark/>
          </w:tcPr>
          <w:p w14:paraId="2781DF92" w14:textId="77777777" w:rsidR="00000000" w:rsidRDefault="00097612">
            <w:pPr>
              <w:pStyle w:val="a3"/>
              <w:spacing w:before="0" w:beforeAutospacing="0" w:after="0" w:afterAutospacing="0"/>
              <w:divId w:val="577591826"/>
              <w:rPr>
                <w:sz w:val="20"/>
                <w:szCs w:val="20"/>
              </w:rPr>
            </w:pPr>
            <w:r>
              <w:rPr>
                <w:sz w:val="2"/>
                <w:szCs w:val="2"/>
              </w:rPr>
              <w:t>​</w:t>
            </w:r>
          </w:p>
        </w:tc>
        <w:tc>
          <w:tcPr>
            <w:tcW w:w="173" w:type="pct"/>
            <w:noWrap/>
            <w:tcMar>
              <w:top w:w="0" w:type="dxa"/>
              <w:left w:w="0" w:type="dxa"/>
              <w:bottom w:w="0" w:type="dxa"/>
              <w:right w:w="0" w:type="dxa"/>
            </w:tcMar>
            <w:vAlign w:val="bottom"/>
            <w:hideMark/>
          </w:tcPr>
          <w:p w14:paraId="3C6AA620" w14:textId="77777777" w:rsidR="00000000" w:rsidRDefault="00097612">
            <w:pPr>
              <w:pStyle w:val="a3"/>
              <w:spacing w:before="0" w:beforeAutospacing="0" w:after="0" w:afterAutospacing="0"/>
              <w:divId w:val="855580761"/>
              <w:rPr>
                <w:sz w:val="20"/>
                <w:szCs w:val="20"/>
              </w:rPr>
            </w:pPr>
            <w:r>
              <w:rPr>
                <w:sz w:val="2"/>
                <w:szCs w:val="2"/>
              </w:rPr>
              <w:t>​</w:t>
            </w:r>
          </w:p>
        </w:tc>
        <w:tc>
          <w:tcPr>
            <w:tcW w:w="112" w:type="pct"/>
            <w:noWrap/>
            <w:tcMar>
              <w:top w:w="0" w:type="dxa"/>
              <w:left w:w="0" w:type="dxa"/>
              <w:bottom w:w="0" w:type="dxa"/>
              <w:right w:w="0" w:type="dxa"/>
            </w:tcMar>
            <w:vAlign w:val="bottom"/>
            <w:hideMark/>
          </w:tcPr>
          <w:p w14:paraId="6273FB68" w14:textId="77777777" w:rsidR="00000000" w:rsidRDefault="00097612">
            <w:pPr>
              <w:pStyle w:val="a3"/>
              <w:spacing w:before="0" w:beforeAutospacing="0" w:after="0" w:afterAutospacing="0"/>
              <w:divId w:val="1548029628"/>
              <w:rPr>
                <w:sz w:val="20"/>
                <w:szCs w:val="20"/>
              </w:rPr>
            </w:pPr>
            <w:r>
              <w:rPr>
                <w:sz w:val="2"/>
                <w:szCs w:val="2"/>
              </w:rPr>
              <w:t>​</w:t>
            </w:r>
          </w:p>
        </w:tc>
      </w:tr>
      <w:tr w:rsidR="00000000" w14:paraId="0E38E976" w14:textId="77777777">
        <w:trPr>
          <w:divId w:val="1973749852"/>
        </w:trPr>
        <w:tc>
          <w:tcPr>
            <w:tcW w:w="1570" w:type="pct"/>
            <w:shd w:val="clear" w:color="auto" w:fill="auto"/>
            <w:tcMar>
              <w:top w:w="0" w:type="dxa"/>
              <w:left w:w="0" w:type="dxa"/>
              <w:bottom w:w="0" w:type="dxa"/>
              <w:right w:w="0" w:type="dxa"/>
            </w:tcMar>
            <w:vAlign w:val="bottom"/>
            <w:hideMark/>
          </w:tcPr>
          <w:p w14:paraId="5F8E68B7" w14:textId="77777777" w:rsidR="00000000" w:rsidRDefault="00097612">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75542A6A" w14:textId="77777777" w:rsidR="00000000" w:rsidRDefault="00097612">
            <w:pPr>
              <w:pStyle w:val="a3"/>
              <w:spacing w:before="0" w:beforeAutospacing="0" w:after="0" w:afterAutospacing="0"/>
              <w:jc w:val="center"/>
              <w:rPr>
                <w:sz w:val="20"/>
                <w:szCs w:val="20"/>
              </w:rPr>
            </w:pPr>
            <w:r>
              <w:rPr>
                <w:b/>
                <w:bCs/>
                <w:sz w:val="16"/>
                <w:szCs w:val="16"/>
              </w:rPr>
              <w:t>​</w:t>
            </w:r>
          </w:p>
        </w:tc>
        <w:tc>
          <w:tcPr>
            <w:tcW w:w="753" w:type="pct"/>
            <w:gridSpan w:val="5"/>
            <w:shd w:val="clear" w:color="auto" w:fill="auto"/>
            <w:noWrap/>
            <w:tcMar>
              <w:top w:w="0" w:type="dxa"/>
              <w:left w:w="0" w:type="dxa"/>
              <w:bottom w:w="0" w:type="dxa"/>
              <w:right w:w="0" w:type="dxa"/>
            </w:tcMar>
            <w:vAlign w:val="bottom"/>
            <w:hideMark/>
          </w:tcPr>
          <w:p w14:paraId="38EC20F7"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99" w:type="pct"/>
            <w:shd w:val="clear" w:color="auto" w:fill="auto"/>
            <w:noWrap/>
            <w:tcMar>
              <w:top w:w="0" w:type="dxa"/>
              <w:left w:w="0" w:type="dxa"/>
              <w:bottom w:w="0" w:type="dxa"/>
              <w:right w:w="0" w:type="dxa"/>
            </w:tcMar>
            <w:vAlign w:val="bottom"/>
            <w:hideMark/>
          </w:tcPr>
          <w:p w14:paraId="55B97254" w14:textId="77777777" w:rsidR="00000000" w:rsidRDefault="00097612">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4663EF1C" w14:textId="77777777" w:rsidR="00000000" w:rsidRDefault="00097612">
            <w:pPr>
              <w:pStyle w:val="a3"/>
              <w:spacing w:before="0" w:beforeAutospacing="0" w:after="0" w:afterAutospacing="0"/>
              <w:jc w:val="center"/>
              <w:rPr>
                <w:sz w:val="20"/>
                <w:szCs w:val="20"/>
              </w:rPr>
            </w:pPr>
            <w:r>
              <w:rPr>
                <w:sz w:val="16"/>
                <w:szCs w:val="16"/>
              </w:rPr>
              <w:t>​</w:t>
            </w:r>
          </w:p>
        </w:tc>
        <w:tc>
          <w:tcPr>
            <w:tcW w:w="277" w:type="pct"/>
            <w:shd w:val="clear" w:color="auto" w:fill="auto"/>
            <w:noWrap/>
            <w:tcMar>
              <w:top w:w="0" w:type="dxa"/>
              <w:left w:w="0" w:type="dxa"/>
              <w:bottom w:w="0" w:type="dxa"/>
              <w:right w:w="0" w:type="dxa"/>
            </w:tcMar>
            <w:vAlign w:val="bottom"/>
            <w:hideMark/>
          </w:tcPr>
          <w:p w14:paraId="02D8E2E9" w14:textId="77777777" w:rsidR="00000000" w:rsidRDefault="00097612">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14:paraId="5585C109" w14:textId="77777777" w:rsidR="00000000" w:rsidRDefault="00097612">
            <w:pPr>
              <w:pStyle w:val="a3"/>
              <w:spacing w:before="0" w:beforeAutospacing="0" w:after="0" w:afterAutospacing="0"/>
              <w:jc w:val="center"/>
              <w:rPr>
                <w:sz w:val="20"/>
                <w:szCs w:val="20"/>
              </w:rPr>
            </w:pPr>
            <w:r>
              <w:rPr>
                <w:sz w:val="16"/>
                <w:szCs w:val="16"/>
              </w:rPr>
              <w:t>​</w:t>
            </w:r>
          </w:p>
        </w:tc>
        <w:tc>
          <w:tcPr>
            <w:tcW w:w="173" w:type="pct"/>
            <w:shd w:val="clear" w:color="auto" w:fill="auto"/>
            <w:noWrap/>
            <w:tcMar>
              <w:top w:w="0" w:type="dxa"/>
              <w:left w:w="0" w:type="dxa"/>
              <w:bottom w:w="0" w:type="dxa"/>
              <w:right w:w="0" w:type="dxa"/>
            </w:tcMar>
            <w:vAlign w:val="bottom"/>
            <w:hideMark/>
          </w:tcPr>
          <w:p w14:paraId="074B5F8D" w14:textId="77777777" w:rsidR="00000000" w:rsidRDefault="00097612">
            <w:pPr>
              <w:pStyle w:val="a3"/>
              <w:spacing w:before="0" w:beforeAutospacing="0" w:after="0" w:afterAutospacing="0"/>
              <w:jc w:val="center"/>
              <w:rPr>
                <w:sz w:val="20"/>
                <w:szCs w:val="20"/>
              </w:rPr>
            </w:pPr>
            <w:r>
              <w:rPr>
                <w:sz w:val="16"/>
                <w:szCs w:val="16"/>
              </w:rPr>
              <w:t>​</w:t>
            </w:r>
          </w:p>
        </w:tc>
        <w:tc>
          <w:tcPr>
            <w:tcW w:w="112" w:type="pct"/>
            <w:shd w:val="clear" w:color="auto" w:fill="auto"/>
            <w:noWrap/>
            <w:tcMar>
              <w:top w:w="0" w:type="dxa"/>
              <w:left w:w="0" w:type="dxa"/>
              <w:bottom w:w="0" w:type="dxa"/>
              <w:right w:w="0" w:type="dxa"/>
            </w:tcMar>
            <w:vAlign w:val="bottom"/>
            <w:hideMark/>
          </w:tcPr>
          <w:p w14:paraId="719D5034" w14:textId="77777777" w:rsidR="00000000" w:rsidRDefault="00097612">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14:paraId="3B1ACCA2" w14:textId="77777777" w:rsidR="00000000" w:rsidRDefault="00097612">
            <w:pPr>
              <w:pStyle w:val="a3"/>
              <w:spacing w:before="0" w:beforeAutospacing="0" w:after="0" w:afterAutospacing="0"/>
              <w:jc w:val="center"/>
              <w:rPr>
                <w:sz w:val="20"/>
                <w:szCs w:val="20"/>
              </w:rPr>
            </w:pPr>
            <w:r>
              <w:rPr>
                <w:sz w:val="16"/>
                <w:szCs w:val="16"/>
              </w:rPr>
              <w:t>​</w:t>
            </w:r>
          </w:p>
        </w:tc>
        <w:tc>
          <w:tcPr>
            <w:tcW w:w="803" w:type="pct"/>
            <w:gridSpan w:val="5"/>
            <w:shd w:val="clear" w:color="auto" w:fill="auto"/>
            <w:noWrap/>
            <w:tcMar>
              <w:top w:w="0" w:type="dxa"/>
              <w:left w:w="0" w:type="dxa"/>
              <w:bottom w:w="0" w:type="dxa"/>
              <w:right w:w="0" w:type="dxa"/>
            </w:tcMar>
            <w:vAlign w:val="bottom"/>
            <w:hideMark/>
          </w:tcPr>
          <w:p w14:paraId="0E293281"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99" w:type="pct"/>
            <w:shd w:val="clear" w:color="auto" w:fill="auto"/>
            <w:noWrap/>
            <w:tcMar>
              <w:top w:w="0" w:type="dxa"/>
              <w:left w:w="0" w:type="dxa"/>
              <w:bottom w:w="0" w:type="dxa"/>
              <w:right w:w="0" w:type="dxa"/>
            </w:tcMar>
            <w:vAlign w:val="bottom"/>
            <w:hideMark/>
          </w:tcPr>
          <w:p w14:paraId="5D83358F" w14:textId="77777777" w:rsidR="00000000" w:rsidRDefault="00097612">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0DAA9FB8" w14:textId="77777777" w:rsidR="00000000" w:rsidRDefault="00097612">
            <w:pPr>
              <w:pStyle w:val="a3"/>
              <w:spacing w:before="0" w:beforeAutospacing="0" w:after="0" w:afterAutospacing="0"/>
              <w:jc w:val="center"/>
              <w:rPr>
                <w:sz w:val="20"/>
                <w:szCs w:val="20"/>
              </w:rPr>
            </w:pPr>
            <w:r>
              <w:rPr>
                <w:sz w:val="16"/>
                <w:szCs w:val="16"/>
              </w:rPr>
              <w:t>​</w:t>
            </w:r>
          </w:p>
        </w:tc>
        <w:tc>
          <w:tcPr>
            <w:tcW w:w="327" w:type="pct"/>
            <w:shd w:val="clear" w:color="auto" w:fill="auto"/>
            <w:noWrap/>
            <w:tcMar>
              <w:top w:w="0" w:type="dxa"/>
              <w:left w:w="0" w:type="dxa"/>
              <w:bottom w:w="0" w:type="dxa"/>
              <w:right w:w="0" w:type="dxa"/>
            </w:tcMar>
            <w:vAlign w:val="bottom"/>
            <w:hideMark/>
          </w:tcPr>
          <w:p w14:paraId="65BE177B" w14:textId="77777777" w:rsidR="00000000" w:rsidRDefault="00097612">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14:paraId="4897A805" w14:textId="77777777" w:rsidR="00000000" w:rsidRDefault="00097612">
            <w:pPr>
              <w:pStyle w:val="a3"/>
              <w:spacing w:before="0" w:beforeAutospacing="0" w:after="0" w:afterAutospacing="0"/>
              <w:jc w:val="center"/>
              <w:rPr>
                <w:sz w:val="20"/>
                <w:szCs w:val="20"/>
              </w:rPr>
            </w:pPr>
            <w:r>
              <w:rPr>
                <w:sz w:val="16"/>
                <w:szCs w:val="16"/>
              </w:rPr>
              <w:t>​</w:t>
            </w:r>
          </w:p>
        </w:tc>
        <w:tc>
          <w:tcPr>
            <w:tcW w:w="173" w:type="pct"/>
            <w:shd w:val="clear" w:color="auto" w:fill="auto"/>
            <w:noWrap/>
            <w:tcMar>
              <w:top w:w="0" w:type="dxa"/>
              <w:left w:w="0" w:type="dxa"/>
              <w:bottom w:w="0" w:type="dxa"/>
              <w:right w:w="0" w:type="dxa"/>
            </w:tcMar>
            <w:vAlign w:val="bottom"/>
            <w:hideMark/>
          </w:tcPr>
          <w:p w14:paraId="7D159597" w14:textId="77777777" w:rsidR="00000000" w:rsidRDefault="00097612">
            <w:pPr>
              <w:pStyle w:val="a3"/>
              <w:spacing w:before="0" w:beforeAutospacing="0" w:after="0" w:afterAutospacing="0"/>
              <w:jc w:val="center"/>
              <w:rPr>
                <w:sz w:val="20"/>
                <w:szCs w:val="20"/>
              </w:rPr>
            </w:pPr>
            <w:r>
              <w:rPr>
                <w:sz w:val="16"/>
                <w:szCs w:val="16"/>
              </w:rPr>
              <w:t>​</w:t>
            </w:r>
          </w:p>
        </w:tc>
        <w:tc>
          <w:tcPr>
            <w:tcW w:w="112" w:type="pct"/>
            <w:shd w:val="clear" w:color="auto" w:fill="auto"/>
            <w:noWrap/>
            <w:tcMar>
              <w:top w:w="0" w:type="dxa"/>
              <w:left w:w="0" w:type="dxa"/>
              <w:bottom w:w="0" w:type="dxa"/>
              <w:right w:w="0" w:type="dxa"/>
            </w:tcMar>
            <w:vAlign w:val="bottom"/>
            <w:hideMark/>
          </w:tcPr>
          <w:p w14:paraId="4018B086" w14:textId="77777777" w:rsidR="00000000" w:rsidRDefault="00097612">
            <w:pPr>
              <w:pStyle w:val="a3"/>
              <w:spacing w:before="0" w:beforeAutospacing="0" w:after="0" w:afterAutospacing="0"/>
              <w:jc w:val="center"/>
              <w:rPr>
                <w:sz w:val="20"/>
                <w:szCs w:val="20"/>
              </w:rPr>
            </w:pPr>
            <w:r>
              <w:rPr>
                <w:sz w:val="16"/>
                <w:szCs w:val="16"/>
              </w:rPr>
              <w:t>​</w:t>
            </w:r>
          </w:p>
        </w:tc>
      </w:tr>
      <w:tr w:rsidR="00000000" w14:paraId="11D8A5FE" w14:textId="77777777">
        <w:trPr>
          <w:divId w:val="1973749852"/>
        </w:trPr>
        <w:tc>
          <w:tcPr>
            <w:tcW w:w="1570" w:type="pct"/>
            <w:shd w:val="clear" w:color="auto" w:fill="auto"/>
            <w:tcMar>
              <w:top w:w="0" w:type="dxa"/>
              <w:left w:w="0" w:type="dxa"/>
              <w:bottom w:w="0" w:type="dxa"/>
              <w:right w:w="0" w:type="dxa"/>
            </w:tcMar>
            <w:vAlign w:val="bottom"/>
            <w:hideMark/>
          </w:tcPr>
          <w:p w14:paraId="3861131C" w14:textId="77777777" w:rsidR="00000000" w:rsidRDefault="00097612">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7F26D855" w14:textId="77777777" w:rsidR="00000000" w:rsidRDefault="00097612">
            <w:pPr>
              <w:pStyle w:val="a3"/>
              <w:spacing w:before="0" w:beforeAutospacing="0" w:after="0" w:afterAutospacing="0"/>
              <w:jc w:val="center"/>
              <w:rPr>
                <w:sz w:val="20"/>
                <w:szCs w:val="20"/>
              </w:rPr>
            </w:pPr>
            <w:r>
              <w:rPr>
                <w:b/>
                <w:bCs/>
                <w:sz w:val="16"/>
                <w:szCs w:val="16"/>
              </w:rPr>
              <w:t>​</w:t>
            </w:r>
          </w:p>
        </w:tc>
        <w:tc>
          <w:tcPr>
            <w:tcW w:w="753" w:type="pct"/>
            <w:gridSpan w:val="5"/>
            <w:tcBorders>
              <w:bottom w:val="single" w:sz="6" w:space="0" w:color="000000"/>
            </w:tcBorders>
            <w:shd w:val="clear" w:color="auto" w:fill="auto"/>
            <w:noWrap/>
            <w:tcMar>
              <w:top w:w="0" w:type="dxa"/>
              <w:left w:w="0" w:type="dxa"/>
              <w:bottom w:w="0" w:type="dxa"/>
              <w:right w:w="0" w:type="dxa"/>
            </w:tcMar>
            <w:vAlign w:val="bottom"/>
            <w:hideMark/>
          </w:tcPr>
          <w:p w14:paraId="104639CE"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99" w:type="pct"/>
            <w:shd w:val="clear" w:color="auto" w:fill="auto"/>
            <w:noWrap/>
            <w:tcMar>
              <w:top w:w="0" w:type="dxa"/>
              <w:left w:w="0" w:type="dxa"/>
              <w:bottom w:w="0" w:type="dxa"/>
              <w:right w:w="0" w:type="dxa"/>
            </w:tcMar>
            <w:vAlign w:val="bottom"/>
            <w:hideMark/>
          </w:tcPr>
          <w:p w14:paraId="7124504D" w14:textId="77777777" w:rsidR="00000000" w:rsidRDefault="00097612">
            <w:pPr>
              <w:pStyle w:val="a3"/>
              <w:spacing w:before="0" w:beforeAutospacing="0" w:after="0" w:afterAutospacing="0"/>
              <w:jc w:val="center"/>
              <w:rPr>
                <w:sz w:val="20"/>
                <w:szCs w:val="20"/>
              </w:rPr>
            </w:pPr>
            <w:r>
              <w:rPr>
                <w:b/>
                <w:bCs/>
                <w:sz w:val="16"/>
                <w:szCs w:val="16"/>
              </w:rPr>
              <w:t>​</w:t>
            </w:r>
          </w:p>
        </w:tc>
        <w:tc>
          <w:tcPr>
            <w:tcW w:w="600" w:type="pct"/>
            <w:gridSpan w:val="4"/>
            <w:tcBorders>
              <w:bottom w:val="single" w:sz="6" w:space="0" w:color="000000"/>
            </w:tcBorders>
            <w:shd w:val="clear" w:color="auto" w:fill="auto"/>
            <w:noWrap/>
            <w:tcMar>
              <w:top w:w="0" w:type="dxa"/>
              <w:left w:w="0" w:type="dxa"/>
              <w:bottom w:w="0" w:type="dxa"/>
              <w:right w:w="0" w:type="dxa"/>
            </w:tcMar>
            <w:vAlign w:val="bottom"/>
            <w:hideMark/>
          </w:tcPr>
          <w:p w14:paraId="19298A38" w14:textId="77777777" w:rsidR="00000000" w:rsidRDefault="00097612">
            <w:pPr>
              <w:pStyle w:val="a3"/>
              <w:spacing w:before="0" w:beforeAutospacing="0" w:after="0" w:afterAutospacing="0"/>
              <w:jc w:val="center"/>
              <w:rPr>
                <w:sz w:val="16"/>
                <w:szCs w:val="16"/>
              </w:rPr>
            </w:pPr>
            <w:r>
              <w:rPr>
                <w:b/>
                <w:bCs/>
                <w:sz w:val="16"/>
                <w:szCs w:val="16"/>
              </w:rPr>
              <w:t>Change</w:t>
            </w:r>
          </w:p>
        </w:tc>
        <w:tc>
          <w:tcPr>
            <w:tcW w:w="112" w:type="pct"/>
            <w:shd w:val="clear" w:color="auto" w:fill="auto"/>
            <w:noWrap/>
            <w:tcMar>
              <w:top w:w="0" w:type="dxa"/>
              <w:left w:w="0" w:type="dxa"/>
              <w:bottom w:w="0" w:type="dxa"/>
              <w:right w:w="0" w:type="dxa"/>
            </w:tcMar>
            <w:vAlign w:val="bottom"/>
            <w:hideMark/>
          </w:tcPr>
          <w:p w14:paraId="69A83DB7" w14:textId="77777777" w:rsidR="00000000" w:rsidRDefault="00097612">
            <w:pPr>
              <w:pStyle w:val="a3"/>
              <w:spacing w:before="0" w:beforeAutospacing="0" w:after="0" w:afterAutospacing="0"/>
              <w:jc w:val="center"/>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7654783C" w14:textId="77777777" w:rsidR="00000000" w:rsidRDefault="00097612">
            <w:pPr>
              <w:pStyle w:val="a3"/>
              <w:spacing w:before="0" w:beforeAutospacing="0" w:after="0" w:afterAutospacing="0"/>
              <w:jc w:val="center"/>
              <w:rPr>
                <w:sz w:val="20"/>
                <w:szCs w:val="20"/>
              </w:rPr>
            </w:pPr>
            <w:r>
              <w:rPr>
                <w:b/>
                <w:bCs/>
                <w:sz w:val="16"/>
                <w:szCs w:val="16"/>
              </w:rPr>
              <w:t>​</w:t>
            </w:r>
          </w:p>
        </w:tc>
        <w:tc>
          <w:tcPr>
            <w:tcW w:w="803" w:type="pct"/>
            <w:gridSpan w:val="5"/>
            <w:tcBorders>
              <w:bottom w:val="single" w:sz="6" w:space="0" w:color="000000"/>
            </w:tcBorders>
            <w:shd w:val="clear" w:color="auto" w:fill="auto"/>
            <w:noWrap/>
            <w:tcMar>
              <w:top w:w="0" w:type="dxa"/>
              <w:left w:w="0" w:type="dxa"/>
              <w:bottom w:w="0" w:type="dxa"/>
              <w:right w:w="0" w:type="dxa"/>
            </w:tcMar>
            <w:vAlign w:val="bottom"/>
            <w:hideMark/>
          </w:tcPr>
          <w:p w14:paraId="21957F13"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99" w:type="pct"/>
            <w:shd w:val="clear" w:color="auto" w:fill="auto"/>
            <w:noWrap/>
            <w:tcMar>
              <w:top w:w="0" w:type="dxa"/>
              <w:left w:w="0" w:type="dxa"/>
              <w:bottom w:w="0" w:type="dxa"/>
              <w:right w:w="0" w:type="dxa"/>
            </w:tcMar>
            <w:vAlign w:val="bottom"/>
            <w:hideMark/>
          </w:tcPr>
          <w:p w14:paraId="7F38B751" w14:textId="77777777" w:rsidR="00000000" w:rsidRDefault="00097612">
            <w:pPr>
              <w:pStyle w:val="a3"/>
              <w:spacing w:before="0" w:beforeAutospacing="0" w:after="0" w:afterAutospacing="0"/>
              <w:jc w:val="center"/>
              <w:rPr>
                <w:sz w:val="20"/>
                <w:szCs w:val="20"/>
              </w:rPr>
            </w:pPr>
            <w:r>
              <w:rPr>
                <w:b/>
                <w:bCs/>
                <w:sz w:val="16"/>
                <w:szCs w:val="16"/>
              </w:rPr>
              <w:t>​</w:t>
            </w:r>
          </w:p>
        </w:tc>
        <w:tc>
          <w:tcPr>
            <w:tcW w:w="649" w:type="pct"/>
            <w:gridSpan w:val="4"/>
            <w:tcBorders>
              <w:bottom w:val="single" w:sz="6" w:space="0" w:color="000000"/>
            </w:tcBorders>
            <w:shd w:val="clear" w:color="auto" w:fill="auto"/>
            <w:noWrap/>
            <w:tcMar>
              <w:top w:w="0" w:type="dxa"/>
              <w:left w:w="0" w:type="dxa"/>
              <w:bottom w:w="0" w:type="dxa"/>
              <w:right w:w="0" w:type="dxa"/>
            </w:tcMar>
            <w:vAlign w:val="bottom"/>
            <w:hideMark/>
          </w:tcPr>
          <w:p w14:paraId="3DDDA034" w14:textId="77777777" w:rsidR="00000000" w:rsidRDefault="00097612">
            <w:pPr>
              <w:pStyle w:val="a3"/>
              <w:spacing w:before="0" w:beforeAutospacing="0" w:after="0" w:afterAutospacing="0"/>
              <w:jc w:val="center"/>
              <w:rPr>
                <w:sz w:val="16"/>
                <w:szCs w:val="16"/>
              </w:rPr>
            </w:pPr>
            <w:r>
              <w:rPr>
                <w:b/>
                <w:bCs/>
                <w:sz w:val="16"/>
                <w:szCs w:val="16"/>
              </w:rPr>
              <w:t>Change</w:t>
            </w:r>
          </w:p>
        </w:tc>
        <w:tc>
          <w:tcPr>
            <w:tcW w:w="112" w:type="pct"/>
            <w:shd w:val="clear" w:color="auto" w:fill="auto"/>
            <w:noWrap/>
            <w:tcMar>
              <w:top w:w="0" w:type="dxa"/>
              <w:left w:w="0" w:type="dxa"/>
              <w:bottom w:w="0" w:type="dxa"/>
              <w:right w:w="0" w:type="dxa"/>
            </w:tcMar>
            <w:vAlign w:val="bottom"/>
            <w:hideMark/>
          </w:tcPr>
          <w:p w14:paraId="7A57B571" w14:textId="77777777" w:rsidR="00000000" w:rsidRDefault="00097612">
            <w:pPr>
              <w:pStyle w:val="a3"/>
              <w:spacing w:before="0" w:beforeAutospacing="0" w:after="0" w:afterAutospacing="0"/>
              <w:jc w:val="center"/>
              <w:rPr>
                <w:sz w:val="20"/>
                <w:szCs w:val="20"/>
              </w:rPr>
            </w:pPr>
            <w:r>
              <w:rPr>
                <w:b/>
                <w:bCs/>
                <w:sz w:val="16"/>
                <w:szCs w:val="16"/>
              </w:rPr>
              <w:t>​</w:t>
            </w:r>
          </w:p>
        </w:tc>
      </w:tr>
      <w:tr w:rsidR="00000000" w14:paraId="377F7B1B" w14:textId="77777777">
        <w:trPr>
          <w:divId w:val="1973749852"/>
        </w:trPr>
        <w:tc>
          <w:tcPr>
            <w:tcW w:w="1570" w:type="pct"/>
            <w:tcBorders>
              <w:bottom w:val="single" w:sz="6" w:space="0" w:color="000000"/>
            </w:tcBorders>
            <w:shd w:val="clear" w:color="auto" w:fill="auto"/>
            <w:tcMar>
              <w:top w:w="0" w:type="dxa"/>
              <w:left w:w="0" w:type="dxa"/>
              <w:bottom w:w="0" w:type="dxa"/>
              <w:right w:w="0" w:type="dxa"/>
            </w:tcMar>
            <w:vAlign w:val="bottom"/>
            <w:hideMark/>
          </w:tcPr>
          <w:p w14:paraId="3F64B127" w14:textId="77777777" w:rsidR="00000000" w:rsidRDefault="00097612">
            <w:pPr>
              <w:pStyle w:val="a3"/>
              <w:spacing w:before="0" w:beforeAutospacing="0" w:after="0" w:afterAutospacing="0"/>
              <w:rPr>
                <w:sz w:val="16"/>
                <w:szCs w:val="16"/>
              </w:rPr>
            </w:pPr>
            <w:r>
              <w:rPr>
                <w:b/>
                <w:bCs/>
                <w:sz w:val="16"/>
                <w:szCs w:val="16"/>
              </w:rPr>
              <w:t>(In thousands)</w:t>
            </w:r>
          </w:p>
        </w:tc>
        <w:tc>
          <w:tcPr>
            <w:tcW w:w="99" w:type="pct"/>
            <w:shd w:val="clear" w:color="auto" w:fill="auto"/>
            <w:noWrap/>
            <w:tcMar>
              <w:top w:w="0" w:type="dxa"/>
              <w:left w:w="0" w:type="dxa"/>
              <w:bottom w:w="0" w:type="dxa"/>
              <w:right w:w="0" w:type="dxa"/>
            </w:tcMar>
            <w:vAlign w:val="bottom"/>
            <w:hideMark/>
          </w:tcPr>
          <w:p w14:paraId="14ED01A2" w14:textId="77777777" w:rsidR="00000000" w:rsidRDefault="00097612">
            <w:pPr>
              <w:pStyle w:val="a3"/>
              <w:spacing w:before="0" w:beforeAutospacing="0" w:after="0" w:afterAutospacing="0"/>
              <w:jc w:val="center"/>
              <w:rPr>
                <w:sz w:val="20"/>
                <w:szCs w:val="20"/>
              </w:rPr>
            </w:pPr>
            <w:r>
              <w:rPr>
                <w:b/>
                <w:bCs/>
                <w:sz w:val="20"/>
                <w:szCs w:val="20"/>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14:paraId="63645CDF" w14:textId="77777777" w:rsidR="00000000" w:rsidRDefault="00097612">
            <w:pPr>
              <w:pStyle w:val="a3"/>
              <w:spacing w:before="0" w:beforeAutospacing="0" w:after="0" w:afterAutospacing="0"/>
              <w:jc w:val="center"/>
              <w:rPr>
                <w:sz w:val="16"/>
                <w:szCs w:val="16"/>
              </w:rPr>
            </w:pPr>
            <w:r>
              <w:rPr>
                <w:b/>
                <w:bCs/>
                <w:sz w:val="16"/>
                <w:szCs w:val="16"/>
              </w:rPr>
              <w:t>2019</w:t>
            </w:r>
          </w:p>
        </w:tc>
        <w:tc>
          <w:tcPr>
            <w:tcW w:w="99" w:type="pct"/>
            <w:shd w:val="clear" w:color="auto" w:fill="auto"/>
            <w:noWrap/>
            <w:tcMar>
              <w:top w:w="0" w:type="dxa"/>
              <w:left w:w="0" w:type="dxa"/>
              <w:bottom w:w="0" w:type="dxa"/>
              <w:right w:w="0" w:type="dxa"/>
            </w:tcMar>
            <w:vAlign w:val="bottom"/>
            <w:hideMark/>
          </w:tcPr>
          <w:p w14:paraId="1C4BB99F" w14:textId="77777777" w:rsidR="00000000" w:rsidRDefault="00097612">
            <w:pPr>
              <w:pStyle w:val="a3"/>
              <w:spacing w:before="0" w:beforeAutospacing="0" w:after="0" w:afterAutospacing="0"/>
              <w:jc w:val="center"/>
              <w:rPr>
                <w:sz w:val="20"/>
                <w:szCs w:val="20"/>
              </w:rPr>
            </w:pPr>
            <w:r>
              <w:rPr>
                <w:b/>
                <w:bCs/>
                <w:sz w:val="20"/>
                <w:szCs w:val="20"/>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14:paraId="201CBDBD" w14:textId="77777777" w:rsidR="00000000" w:rsidRDefault="00097612">
            <w:pPr>
              <w:pStyle w:val="a3"/>
              <w:spacing w:before="0" w:beforeAutospacing="0" w:after="0" w:afterAutospacing="0"/>
              <w:jc w:val="center"/>
              <w:rPr>
                <w:sz w:val="16"/>
                <w:szCs w:val="16"/>
              </w:rPr>
            </w:pPr>
            <w:r>
              <w:rPr>
                <w:b/>
                <w:bCs/>
                <w:sz w:val="16"/>
                <w:szCs w:val="16"/>
              </w:rPr>
              <w:t>2018</w:t>
            </w:r>
          </w:p>
        </w:tc>
        <w:tc>
          <w:tcPr>
            <w:tcW w:w="99" w:type="pct"/>
            <w:shd w:val="clear" w:color="auto" w:fill="auto"/>
            <w:noWrap/>
            <w:tcMar>
              <w:top w:w="0" w:type="dxa"/>
              <w:left w:w="0" w:type="dxa"/>
              <w:bottom w:w="0" w:type="dxa"/>
              <w:right w:w="0" w:type="dxa"/>
            </w:tcMar>
            <w:vAlign w:val="bottom"/>
            <w:hideMark/>
          </w:tcPr>
          <w:p w14:paraId="09A7BF40" w14:textId="77777777" w:rsidR="00000000" w:rsidRDefault="00097612">
            <w:pPr>
              <w:pStyle w:val="a3"/>
              <w:spacing w:before="0" w:beforeAutospacing="0" w:after="0" w:afterAutospacing="0"/>
              <w:jc w:val="center"/>
              <w:rPr>
                <w:sz w:val="20"/>
                <w:szCs w:val="20"/>
              </w:rPr>
            </w:pPr>
            <w:r>
              <w:rPr>
                <w:b/>
                <w:bCs/>
                <w:sz w:val="20"/>
                <w:szCs w:val="20"/>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14:paraId="0360A796" w14:textId="77777777" w:rsidR="00000000" w:rsidRDefault="00097612">
            <w:pPr>
              <w:pStyle w:val="a3"/>
              <w:spacing w:before="0" w:beforeAutospacing="0" w:after="0" w:afterAutospacing="0"/>
              <w:jc w:val="center"/>
              <w:rPr>
                <w:sz w:val="16"/>
                <w:szCs w:val="16"/>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2E09D4D9" w14:textId="77777777" w:rsidR="00000000" w:rsidRDefault="00097612">
            <w:pPr>
              <w:pStyle w:val="a3"/>
              <w:spacing w:before="0" w:beforeAutospacing="0" w:after="0" w:afterAutospacing="0"/>
              <w:jc w:val="center"/>
              <w:rPr>
                <w:sz w:val="20"/>
                <w:szCs w:val="20"/>
              </w:rPr>
            </w:pPr>
            <w:r>
              <w:rPr>
                <w:b/>
                <w:bCs/>
                <w:sz w:val="20"/>
                <w:szCs w:val="20"/>
              </w:rPr>
              <w:t>    </w:t>
            </w:r>
          </w:p>
        </w:tc>
        <w:tc>
          <w:tcPr>
            <w:tcW w:w="173" w:type="pct"/>
            <w:tcBorders>
              <w:bottom w:val="single" w:sz="6" w:space="0" w:color="000000"/>
            </w:tcBorders>
            <w:shd w:val="clear" w:color="auto" w:fill="auto"/>
            <w:noWrap/>
            <w:tcMar>
              <w:top w:w="0" w:type="dxa"/>
              <w:left w:w="0" w:type="dxa"/>
              <w:bottom w:w="0" w:type="dxa"/>
              <w:right w:w="0" w:type="dxa"/>
            </w:tcMar>
            <w:vAlign w:val="bottom"/>
            <w:hideMark/>
          </w:tcPr>
          <w:p w14:paraId="4A375AE1" w14:textId="77777777" w:rsidR="00000000" w:rsidRDefault="00097612">
            <w:pPr>
              <w:pStyle w:val="a3"/>
              <w:spacing w:before="0" w:beforeAutospacing="0" w:after="0" w:afterAutospacing="0"/>
              <w:jc w:val="center"/>
              <w:rPr>
                <w:sz w:val="16"/>
                <w:szCs w:val="16"/>
              </w:rPr>
            </w:pPr>
            <w:r>
              <w:rPr>
                <w:b/>
                <w:bCs/>
                <w:sz w:val="16"/>
                <w:szCs w:val="16"/>
              </w:rPr>
              <w:t>%</w:t>
            </w:r>
          </w:p>
        </w:tc>
        <w:tc>
          <w:tcPr>
            <w:tcW w:w="112" w:type="pct"/>
            <w:shd w:val="clear" w:color="auto" w:fill="auto"/>
            <w:noWrap/>
            <w:tcMar>
              <w:top w:w="0" w:type="dxa"/>
              <w:left w:w="0" w:type="dxa"/>
              <w:bottom w:w="0" w:type="dxa"/>
              <w:right w:w="0" w:type="dxa"/>
            </w:tcMar>
            <w:vAlign w:val="bottom"/>
            <w:hideMark/>
          </w:tcPr>
          <w:p w14:paraId="48A63F9B" w14:textId="77777777" w:rsidR="00000000" w:rsidRDefault="00097612">
            <w:pPr>
              <w:pStyle w:val="a3"/>
              <w:spacing w:before="0" w:beforeAutospacing="0" w:after="0" w:afterAutospacing="0"/>
              <w:jc w:val="center"/>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2CE2FD4B" w14:textId="77777777" w:rsidR="00000000" w:rsidRDefault="00097612">
            <w:pPr>
              <w:pStyle w:val="a3"/>
              <w:spacing w:before="0" w:beforeAutospacing="0" w:after="0" w:afterAutospacing="0"/>
              <w:jc w:val="center"/>
              <w:rPr>
                <w:sz w:val="20"/>
                <w:szCs w:val="20"/>
              </w:rPr>
            </w:pPr>
            <w:r>
              <w:rPr>
                <w:b/>
                <w:bCs/>
                <w:sz w:val="20"/>
                <w:szCs w:val="20"/>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14:paraId="1B1BF3E0" w14:textId="77777777" w:rsidR="00000000" w:rsidRDefault="00097612">
            <w:pPr>
              <w:pStyle w:val="a3"/>
              <w:spacing w:before="0" w:beforeAutospacing="0" w:after="0" w:afterAutospacing="0"/>
              <w:jc w:val="center"/>
              <w:rPr>
                <w:sz w:val="16"/>
                <w:szCs w:val="16"/>
              </w:rPr>
            </w:pPr>
            <w:r>
              <w:rPr>
                <w:b/>
                <w:bCs/>
                <w:sz w:val="16"/>
                <w:szCs w:val="16"/>
              </w:rPr>
              <w:t>2019</w:t>
            </w:r>
          </w:p>
        </w:tc>
        <w:tc>
          <w:tcPr>
            <w:tcW w:w="99" w:type="pct"/>
            <w:shd w:val="clear" w:color="auto" w:fill="auto"/>
            <w:noWrap/>
            <w:tcMar>
              <w:top w:w="0" w:type="dxa"/>
              <w:left w:w="0" w:type="dxa"/>
              <w:bottom w:w="0" w:type="dxa"/>
              <w:right w:w="0" w:type="dxa"/>
            </w:tcMar>
            <w:vAlign w:val="bottom"/>
            <w:hideMark/>
          </w:tcPr>
          <w:p w14:paraId="1A6792BF" w14:textId="77777777" w:rsidR="00000000" w:rsidRDefault="00097612">
            <w:pPr>
              <w:pStyle w:val="a3"/>
              <w:spacing w:before="0" w:beforeAutospacing="0" w:after="0" w:afterAutospacing="0"/>
              <w:jc w:val="center"/>
              <w:rPr>
                <w:sz w:val="20"/>
                <w:szCs w:val="20"/>
              </w:rPr>
            </w:pPr>
            <w:r>
              <w:rPr>
                <w:b/>
                <w:bCs/>
                <w:sz w:val="20"/>
                <w:szCs w:val="20"/>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14:paraId="12756FF9" w14:textId="77777777" w:rsidR="00000000" w:rsidRDefault="00097612">
            <w:pPr>
              <w:pStyle w:val="a3"/>
              <w:spacing w:before="0" w:beforeAutospacing="0" w:after="0" w:afterAutospacing="0"/>
              <w:jc w:val="center"/>
              <w:rPr>
                <w:sz w:val="16"/>
                <w:szCs w:val="16"/>
              </w:rPr>
            </w:pPr>
            <w:r>
              <w:rPr>
                <w:b/>
                <w:bCs/>
                <w:sz w:val="16"/>
                <w:szCs w:val="16"/>
              </w:rPr>
              <w:t>2018</w:t>
            </w:r>
          </w:p>
        </w:tc>
        <w:tc>
          <w:tcPr>
            <w:tcW w:w="99" w:type="pct"/>
            <w:shd w:val="clear" w:color="auto" w:fill="auto"/>
            <w:noWrap/>
            <w:tcMar>
              <w:top w:w="0" w:type="dxa"/>
              <w:left w:w="0" w:type="dxa"/>
              <w:bottom w:w="0" w:type="dxa"/>
              <w:right w:w="0" w:type="dxa"/>
            </w:tcMar>
            <w:vAlign w:val="bottom"/>
            <w:hideMark/>
          </w:tcPr>
          <w:p w14:paraId="3E555AFB" w14:textId="77777777" w:rsidR="00000000" w:rsidRDefault="00097612">
            <w:pPr>
              <w:pStyle w:val="a3"/>
              <w:spacing w:before="0" w:beforeAutospacing="0" w:after="0" w:afterAutospacing="0"/>
              <w:jc w:val="center"/>
              <w:rPr>
                <w:sz w:val="20"/>
                <w:szCs w:val="20"/>
              </w:rPr>
            </w:pPr>
            <w:r>
              <w:rPr>
                <w:b/>
                <w:bCs/>
                <w:sz w:val="20"/>
                <w:szCs w:val="20"/>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14:paraId="6B901983" w14:textId="77777777" w:rsidR="00000000" w:rsidRDefault="00097612">
            <w:pPr>
              <w:pStyle w:val="a3"/>
              <w:spacing w:before="0" w:beforeAutospacing="0" w:after="0" w:afterAutospacing="0"/>
              <w:jc w:val="center"/>
              <w:rPr>
                <w:sz w:val="16"/>
                <w:szCs w:val="16"/>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122F97A0" w14:textId="77777777" w:rsidR="00000000" w:rsidRDefault="00097612">
            <w:pPr>
              <w:pStyle w:val="a3"/>
              <w:spacing w:before="0" w:beforeAutospacing="0" w:after="0" w:afterAutospacing="0"/>
              <w:jc w:val="center"/>
              <w:rPr>
                <w:sz w:val="20"/>
                <w:szCs w:val="20"/>
              </w:rPr>
            </w:pPr>
            <w:r>
              <w:rPr>
                <w:b/>
                <w:bCs/>
                <w:sz w:val="20"/>
                <w:szCs w:val="20"/>
              </w:rPr>
              <w:t>    </w:t>
            </w:r>
          </w:p>
        </w:tc>
        <w:tc>
          <w:tcPr>
            <w:tcW w:w="173" w:type="pct"/>
            <w:tcBorders>
              <w:bottom w:val="single" w:sz="6" w:space="0" w:color="000000"/>
            </w:tcBorders>
            <w:shd w:val="clear" w:color="auto" w:fill="auto"/>
            <w:noWrap/>
            <w:tcMar>
              <w:top w:w="0" w:type="dxa"/>
              <w:left w:w="0" w:type="dxa"/>
              <w:bottom w:w="0" w:type="dxa"/>
              <w:right w:w="0" w:type="dxa"/>
            </w:tcMar>
            <w:vAlign w:val="bottom"/>
            <w:hideMark/>
          </w:tcPr>
          <w:p w14:paraId="46D8914B" w14:textId="77777777" w:rsidR="00000000" w:rsidRDefault="00097612">
            <w:pPr>
              <w:pStyle w:val="a3"/>
              <w:spacing w:before="0" w:beforeAutospacing="0" w:after="0" w:afterAutospacing="0"/>
              <w:jc w:val="center"/>
              <w:rPr>
                <w:sz w:val="16"/>
                <w:szCs w:val="16"/>
              </w:rPr>
            </w:pPr>
            <w:r>
              <w:rPr>
                <w:b/>
                <w:bCs/>
                <w:sz w:val="16"/>
                <w:szCs w:val="16"/>
              </w:rPr>
              <w:t>%</w:t>
            </w:r>
          </w:p>
        </w:tc>
        <w:tc>
          <w:tcPr>
            <w:tcW w:w="112" w:type="pct"/>
            <w:shd w:val="clear" w:color="auto" w:fill="auto"/>
            <w:noWrap/>
            <w:tcMar>
              <w:top w:w="0" w:type="dxa"/>
              <w:left w:w="0" w:type="dxa"/>
              <w:bottom w:w="0" w:type="dxa"/>
              <w:right w:w="0" w:type="dxa"/>
            </w:tcMar>
            <w:vAlign w:val="bottom"/>
            <w:hideMark/>
          </w:tcPr>
          <w:p w14:paraId="7D4ABE9D" w14:textId="77777777" w:rsidR="00000000" w:rsidRDefault="00097612">
            <w:pPr>
              <w:pStyle w:val="a3"/>
              <w:spacing w:before="0" w:beforeAutospacing="0" w:after="0" w:afterAutospacing="0"/>
              <w:jc w:val="center"/>
              <w:rPr>
                <w:sz w:val="20"/>
                <w:szCs w:val="20"/>
              </w:rPr>
            </w:pPr>
            <w:r>
              <w:rPr>
                <w:b/>
                <w:bCs/>
                <w:sz w:val="20"/>
                <w:szCs w:val="20"/>
              </w:rPr>
              <w:t>    </w:t>
            </w:r>
          </w:p>
        </w:tc>
      </w:tr>
      <w:tr w:rsidR="00000000" w14:paraId="565193F6" w14:textId="77777777">
        <w:trPr>
          <w:divId w:val="1973749852"/>
        </w:trPr>
        <w:tc>
          <w:tcPr>
            <w:tcW w:w="1570" w:type="pct"/>
            <w:shd w:val="clear" w:color="auto" w:fill="CCEEFF"/>
            <w:tcMar>
              <w:top w:w="0" w:type="dxa"/>
              <w:left w:w="0" w:type="dxa"/>
              <w:bottom w:w="0" w:type="dxa"/>
              <w:right w:w="0" w:type="dxa"/>
            </w:tcMar>
            <w:vAlign w:val="bottom"/>
            <w:hideMark/>
          </w:tcPr>
          <w:p w14:paraId="30A28E34" w14:textId="77777777" w:rsidR="00000000" w:rsidRDefault="00097612">
            <w:pPr>
              <w:pStyle w:val="a3"/>
              <w:spacing w:before="0" w:beforeAutospacing="0" w:after="0" w:afterAutospacing="0"/>
              <w:rPr>
                <w:sz w:val="20"/>
                <w:szCs w:val="20"/>
              </w:rPr>
            </w:pPr>
            <w:r>
              <w:rPr>
                <w:sz w:val="20"/>
                <w:szCs w:val="20"/>
              </w:rPr>
              <w:t>Income from investment in TRC, LLC</w:t>
            </w:r>
          </w:p>
        </w:tc>
        <w:tc>
          <w:tcPr>
            <w:tcW w:w="99" w:type="pct"/>
            <w:shd w:val="clear" w:color="auto" w:fill="CCEEFF"/>
            <w:noWrap/>
            <w:tcMar>
              <w:top w:w="0" w:type="dxa"/>
              <w:left w:w="0" w:type="dxa"/>
              <w:bottom w:w="0" w:type="dxa"/>
              <w:right w:w="0" w:type="dxa"/>
            </w:tcMar>
            <w:vAlign w:val="bottom"/>
            <w:hideMark/>
          </w:tcPr>
          <w:p w14:paraId="67364119"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76C3E9D" w14:textId="77777777" w:rsidR="00000000" w:rsidRDefault="00097612">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7EAAE167" w14:textId="77777777" w:rsidR="00000000" w:rsidRDefault="00097612">
            <w:pPr>
              <w:pStyle w:val="a3"/>
              <w:spacing w:before="0" w:beforeAutospacing="0" w:after="0" w:afterAutospacing="0"/>
              <w:ind w:right="60"/>
              <w:jc w:val="right"/>
              <w:rPr>
                <w:sz w:val="20"/>
                <w:szCs w:val="20"/>
              </w:rPr>
            </w:pPr>
            <w:r>
              <w:rPr>
                <w:sz w:val="20"/>
                <w:szCs w:val="20"/>
              </w:rPr>
              <w:t>7,19</w:t>
            </w:r>
            <w:r>
              <w:rPr>
                <w:sz w:val="20"/>
                <w:szCs w:val="20"/>
              </w:rPr>
              <w:t>7</w:t>
            </w:r>
          </w:p>
        </w:tc>
        <w:tc>
          <w:tcPr>
            <w:tcW w:w="99" w:type="pct"/>
            <w:shd w:val="clear" w:color="auto" w:fill="CCEEFF"/>
            <w:noWrap/>
            <w:tcMar>
              <w:top w:w="0" w:type="dxa"/>
              <w:left w:w="0" w:type="dxa"/>
              <w:bottom w:w="0" w:type="dxa"/>
              <w:right w:w="0" w:type="dxa"/>
            </w:tcMar>
            <w:vAlign w:val="bottom"/>
            <w:hideMark/>
          </w:tcPr>
          <w:p w14:paraId="7C961A7C"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58300CF" w14:textId="77777777" w:rsidR="00000000" w:rsidRDefault="00097612">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2DC2BF1F" w14:textId="77777777" w:rsidR="00000000" w:rsidRDefault="00097612">
            <w:pPr>
              <w:pStyle w:val="a3"/>
              <w:spacing w:before="0" w:beforeAutospacing="0" w:after="0" w:afterAutospacing="0"/>
              <w:ind w:right="60"/>
              <w:jc w:val="right"/>
              <w:rPr>
                <w:sz w:val="20"/>
                <w:szCs w:val="20"/>
              </w:rPr>
            </w:pPr>
            <w:r>
              <w:rPr>
                <w:sz w:val="20"/>
                <w:szCs w:val="20"/>
              </w:rPr>
              <w:t>3,11</w:t>
            </w:r>
            <w:r>
              <w:rPr>
                <w:sz w:val="20"/>
                <w:szCs w:val="20"/>
              </w:rPr>
              <w:t>9</w:t>
            </w:r>
          </w:p>
        </w:tc>
        <w:tc>
          <w:tcPr>
            <w:tcW w:w="99" w:type="pct"/>
            <w:shd w:val="clear" w:color="auto" w:fill="CCEEFF"/>
            <w:noWrap/>
            <w:tcMar>
              <w:top w:w="0" w:type="dxa"/>
              <w:left w:w="0" w:type="dxa"/>
              <w:bottom w:w="0" w:type="dxa"/>
              <w:right w:w="0" w:type="dxa"/>
            </w:tcMar>
            <w:vAlign w:val="bottom"/>
            <w:hideMark/>
          </w:tcPr>
          <w:p w14:paraId="232ACB66"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BC9D84E" w14:textId="77777777" w:rsidR="00000000" w:rsidRDefault="00097612">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497BF06B" w14:textId="77777777" w:rsidR="00000000" w:rsidRDefault="00097612">
            <w:pPr>
              <w:pStyle w:val="a3"/>
              <w:spacing w:before="0" w:beforeAutospacing="0" w:after="0" w:afterAutospacing="0"/>
              <w:ind w:right="60"/>
              <w:jc w:val="right"/>
              <w:rPr>
                <w:sz w:val="20"/>
                <w:szCs w:val="20"/>
              </w:rPr>
            </w:pPr>
            <w:r>
              <w:rPr>
                <w:sz w:val="20"/>
                <w:szCs w:val="20"/>
              </w:rPr>
              <w:t>4,07</w:t>
            </w:r>
            <w:r>
              <w:rPr>
                <w:sz w:val="20"/>
                <w:szCs w:val="20"/>
              </w:rPr>
              <w:t>8</w:t>
            </w:r>
          </w:p>
        </w:tc>
        <w:tc>
          <w:tcPr>
            <w:tcW w:w="99" w:type="pct"/>
            <w:shd w:val="clear" w:color="auto" w:fill="CCEEFF"/>
            <w:noWrap/>
            <w:tcMar>
              <w:top w:w="0" w:type="dxa"/>
              <w:left w:w="0" w:type="dxa"/>
              <w:bottom w:w="0" w:type="dxa"/>
              <w:right w:w="0" w:type="dxa"/>
            </w:tcMar>
            <w:vAlign w:val="bottom"/>
            <w:hideMark/>
          </w:tcPr>
          <w:p w14:paraId="32C308AC" w14:textId="77777777" w:rsidR="00000000" w:rsidRDefault="00097612">
            <w:pPr>
              <w:pStyle w:val="a3"/>
              <w:spacing w:before="0" w:beforeAutospacing="0" w:after="0" w:afterAutospacing="0"/>
              <w:rPr>
                <w:sz w:val="20"/>
                <w:szCs w:val="20"/>
              </w:rPr>
            </w:pPr>
            <w:r>
              <w:rPr>
                <w:sz w:val="20"/>
                <w:szCs w:val="20"/>
              </w:rPr>
              <w:t>​</w:t>
            </w:r>
          </w:p>
        </w:tc>
        <w:tc>
          <w:tcPr>
            <w:tcW w:w="173" w:type="pct"/>
            <w:shd w:val="clear" w:color="auto" w:fill="CCEEFF"/>
            <w:noWrap/>
            <w:tcMar>
              <w:top w:w="0" w:type="dxa"/>
              <w:left w:w="0" w:type="dxa"/>
              <w:bottom w:w="0" w:type="dxa"/>
              <w:right w:w="0" w:type="dxa"/>
            </w:tcMar>
            <w:vAlign w:val="bottom"/>
            <w:hideMark/>
          </w:tcPr>
          <w:p w14:paraId="7F30731D" w14:textId="77777777" w:rsidR="00000000" w:rsidRDefault="00097612">
            <w:pPr>
              <w:pStyle w:val="a3"/>
              <w:spacing w:before="0" w:beforeAutospacing="0" w:after="0" w:afterAutospacing="0"/>
              <w:jc w:val="center"/>
              <w:rPr>
                <w:sz w:val="20"/>
                <w:szCs w:val="20"/>
              </w:rPr>
            </w:pPr>
            <w:r>
              <w:rPr>
                <w:sz w:val="20"/>
                <w:szCs w:val="20"/>
              </w:rPr>
              <w:t>13</w:t>
            </w:r>
            <w:r>
              <w:rPr>
                <w:sz w:val="20"/>
                <w:szCs w:val="20"/>
              </w:rPr>
              <w:t>1</w:t>
            </w:r>
          </w:p>
        </w:tc>
        <w:tc>
          <w:tcPr>
            <w:tcW w:w="112" w:type="pct"/>
            <w:shd w:val="clear" w:color="auto" w:fill="CCEEFF"/>
            <w:noWrap/>
            <w:tcMar>
              <w:top w:w="0" w:type="dxa"/>
              <w:left w:w="0" w:type="dxa"/>
              <w:bottom w:w="0" w:type="dxa"/>
              <w:right w:w="0" w:type="dxa"/>
            </w:tcMar>
            <w:vAlign w:val="bottom"/>
            <w:hideMark/>
          </w:tcPr>
          <w:p w14:paraId="00BD2E6D" w14:textId="77777777" w:rsidR="00000000" w:rsidRDefault="00097612">
            <w:pPr>
              <w:pStyle w:val="a3"/>
              <w:spacing w:before="0" w:beforeAutospacing="0" w:after="0" w:afterAutospacing="0"/>
              <w:ind w:right="6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14:paraId="74AACE0E"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7AFF3B6" w14:textId="77777777" w:rsidR="00000000" w:rsidRDefault="00097612">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14255F77" w14:textId="77777777" w:rsidR="00000000" w:rsidRDefault="00097612">
            <w:pPr>
              <w:pStyle w:val="a3"/>
              <w:spacing w:before="0" w:beforeAutospacing="0" w:after="0" w:afterAutospacing="0"/>
              <w:ind w:right="60"/>
              <w:jc w:val="right"/>
              <w:rPr>
                <w:sz w:val="20"/>
                <w:szCs w:val="20"/>
              </w:rPr>
            </w:pPr>
            <w:r>
              <w:rPr>
                <w:sz w:val="20"/>
                <w:szCs w:val="20"/>
              </w:rPr>
              <w:t>21,79</w:t>
            </w:r>
            <w:r>
              <w:rPr>
                <w:sz w:val="20"/>
                <w:szCs w:val="20"/>
              </w:rPr>
              <w:t>2</w:t>
            </w:r>
          </w:p>
        </w:tc>
        <w:tc>
          <w:tcPr>
            <w:tcW w:w="99" w:type="pct"/>
            <w:shd w:val="clear" w:color="auto" w:fill="CCEEFF"/>
            <w:noWrap/>
            <w:tcMar>
              <w:top w:w="0" w:type="dxa"/>
              <w:left w:w="0" w:type="dxa"/>
              <w:bottom w:w="0" w:type="dxa"/>
              <w:right w:w="0" w:type="dxa"/>
            </w:tcMar>
            <w:vAlign w:val="bottom"/>
            <w:hideMark/>
          </w:tcPr>
          <w:p w14:paraId="78CC239B"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4A7EE72C" w14:textId="77777777" w:rsidR="00000000" w:rsidRDefault="00097612">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01775230" w14:textId="77777777" w:rsidR="00000000" w:rsidRDefault="00097612">
            <w:pPr>
              <w:pStyle w:val="a3"/>
              <w:spacing w:before="0" w:beforeAutospacing="0" w:after="0" w:afterAutospacing="0"/>
              <w:ind w:right="60"/>
              <w:jc w:val="right"/>
              <w:rPr>
                <w:sz w:val="20"/>
                <w:szCs w:val="20"/>
              </w:rPr>
            </w:pPr>
            <w:r>
              <w:rPr>
                <w:sz w:val="20"/>
                <w:szCs w:val="20"/>
              </w:rPr>
              <w:t>5,75</w:t>
            </w:r>
            <w:r>
              <w:rPr>
                <w:sz w:val="20"/>
                <w:szCs w:val="20"/>
              </w:rPr>
              <w:t>4</w:t>
            </w:r>
          </w:p>
        </w:tc>
        <w:tc>
          <w:tcPr>
            <w:tcW w:w="99" w:type="pct"/>
            <w:shd w:val="clear" w:color="auto" w:fill="CCEEFF"/>
            <w:noWrap/>
            <w:tcMar>
              <w:top w:w="0" w:type="dxa"/>
              <w:left w:w="0" w:type="dxa"/>
              <w:bottom w:w="0" w:type="dxa"/>
              <w:right w:w="0" w:type="dxa"/>
            </w:tcMar>
            <w:vAlign w:val="bottom"/>
            <w:hideMark/>
          </w:tcPr>
          <w:p w14:paraId="5998AEB0"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1727911" w14:textId="77777777" w:rsidR="00000000" w:rsidRDefault="00097612">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2F9B7265" w14:textId="77777777" w:rsidR="00000000" w:rsidRDefault="00097612">
            <w:pPr>
              <w:pStyle w:val="a3"/>
              <w:spacing w:before="0" w:beforeAutospacing="0" w:after="0" w:afterAutospacing="0"/>
              <w:ind w:right="60"/>
              <w:jc w:val="right"/>
              <w:rPr>
                <w:sz w:val="20"/>
                <w:szCs w:val="20"/>
              </w:rPr>
            </w:pPr>
            <w:r>
              <w:rPr>
                <w:sz w:val="20"/>
                <w:szCs w:val="20"/>
              </w:rPr>
              <w:t>16,03</w:t>
            </w:r>
            <w:r>
              <w:rPr>
                <w:sz w:val="20"/>
                <w:szCs w:val="20"/>
              </w:rPr>
              <w:t>8</w:t>
            </w:r>
          </w:p>
        </w:tc>
        <w:tc>
          <w:tcPr>
            <w:tcW w:w="99" w:type="pct"/>
            <w:shd w:val="clear" w:color="auto" w:fill="CCEEFF"/>
            <w:noWrap/>
            <w:tcMar>
              <w:top w:w="0" w:type="dxa"/>
              <w:left w:w="0" w:type="dxa"/>
              <w:bottom w:w="0" w:type="dxa"/>
              <w:right w:w="0" w:type="dxa"/>
            </w:tcMar>
            <w:vAlign w:val="bottom"/>
            <w:hideMark/>
          </w:tcPr>
          <w:p w14:paraId="798051C6" w14:textId="77777777" w:rsidR="00000000" w:rsidRDefault="00097612">
            <w:pPr>
              <w:pStyle w:val="a3"/>
              <w:spacing w:before="0" w:beforeAutospacing="0" w:after="0" w:afterAutospacing="0"/>
              <w:jc w:val="center"/>
              <w:rPr>
                <w:sz w:val="20"/>
                <w:szCs w:val="20"/>
              </w:rPr>
            </w:pPr>
            <w:r>
              <w:rPr>
                <w:sz w:val="20"/>
                <w:szCs w:val="20"/>
              </w:rPr>
              <w:t>​</w:t>
            </w:r>
          </w:p>
        </w:tc>
        <w:tc>
          <w:tcPr>
            <w:tcW w:w="173" w:type="pct"/>
            <w:shd w:val="clear" w:color="auto" w:fill="CCEEFF"/>
            <w:noWrap/>
            <w:tcMar>
              <w:top w:w="0" w:type="dxa"/>
              <w:left w:w="0" w:type="dxa"/>
              <w:bottom w:w="0" w:type="dxa"/>
              <w:right w:w="0" w:type="dxa"/>
            </w:tcMar>
            <w:vAlign w:val="bottom"/>
            <w:hideMark/>
          </w:tcPr>
          <w:p w14:paraId="4ACE04E7" w14:textId="77777777" w:rsidR="00000000" w:rsidRDefault="00097612">
            <w:pPr>
              <w:pStyle w:val="a3"/>
              <w:spacing w:before="0" w:beforeAutospacing="0" w:after="0" w:afterAutospacing="0"/>
              <w:jc w:val="center"/>
              <w:rPr>
                <w:sz w:val="20"/>
                <w:szCs w:val="20"/>
              </w:rPr>
            </w:pPr>
            <w:r>
              <w:rPr>
                <w:sz w:val="20"/>
                <w:szCs w:val="20"/>
              </w:rPr>
              <w:t>27</w:t>
            </w:r>
            <w:r>
              <w:rPr>
                <w:sz w:val="20"/>
                <w:szCs w:val="20"/>
              </w:rPr>
              <w:t>9</w:t>
            </w:r>
          </w:p>
        </w:tc>
        <w:tc>
          <w:tcPr>
            <w:tcW w:w="112" w:type="pct"/>
            <w:shd w:val="clear" w:color="auto" w:fill="CCEEFF"/>
            <w:noWrap/>
            <w:tcMar>
              <w:top w:w="0" w:type="dxa"/>
              <w:left w:w="0" w:type="dxa"/>
              <w:bottom w:w="0" w:type="dxa"/>
              <w:right w:w="0" w:type="dxa"/>
            </w:tcMar>
            <w:vAlign w:val="bottom"/>
            <w:hideMark/>
          </w:tcPr>
          <w:p w14:paraId="5C9EE204" w14:textId="77777777" w:rsidR="00000000" w:rsidRDefault="00097612">
            <w:pPr>
              <w:pStyle w:val="a3"/>
              <w:spacing w:before="0" w:beforeAutospacing="0" w:after="0" w:afterAutospacing="0"/>
              <w:ind w:right="60"/>
              <w:jc w:val="right"/>
              <w:rPr>
                <w:sz w:val="20"/>
                <w:szCs w:val="20"/>
              </w:rPr>
            </w:pPr>
            <w:r>
              <w:rPr>
                <w:sz w:val="20"/>
                <w:szCs w:val="20"/>
              </w:rPr>
              <w:t>%</w:t>
            </w:r>
          </w:p>
        </w:tc>
      </w:tr>
    </w:tbl>
    <w:p w14:paraId="12A61C69" w14:textId="77777777" w:rsidR="00000000" w:rsidRDefault="00097612">
      <w:pPr>
        <w:pStyle w:val="a3"/>
        <w:spacing w:before="0" w:beforeAutospacing="0" w:after="0" w:afterAutospacing="0"/>
        <w:ind w:firstLine="720"/>
        <w:divId w:val="1973749852"/>
        <w:rPr>
          <w:sz w:val="20"/>
          <w:szCs w:val="20"/>
        </w:rPr>
      </w:pPr>
      <w:r>
        <w:rPr>
          <w:sz w:val="20"/>
          <w:szCs w:val="20"/>
        </w:rPr>
        <w:t>​</w:t>
      </w:r>
    </w:p>
    <w:p w14:paraId="099CAC09" w14:textId="77777777" w:rsidR="00000000" w:rsidRDefault="00097612">
      <w:pPr>
        <w:pStyle w:val="a3"/>
        <w:spacing w:before="0" w:beforeAutospacing="0" w:after="0" w:afterAutospacing="0"/>
        <w:divId w:val="1973749852"/>
        <w:rPr>
          <w:sz w:val="20"/>
          <w:szCs w:val="20"/>
        </w:rPr>
      </w:pPr>
      <w:r>
        <w:rPr>
          <w:sz w:val="20"/>
          <w:szCs w:val="20"/>
        </w:rPr>
        <w:t>The income from investment in TRC, LLC represents our share of the royalty payments from GSK to TRC on the net sales of TRELEGY ELLIPTA (net of our share of TRC expenses pai</w:t>
      </w:r>
      <w:r>
        <w:rPr>
          <w:sz w:val="20"/>
          <w:szCs w:val="20"/>
        </w:rPr>
        <w:t xml:space="preserve">d and the amount of cash, if any, expected to be used by TRC pursuant to the TRC LLC Agreement over the next four fiscal quarters). Income from investment in TRC increased by $4.1 million and $16.0 million for the three and nine months ended September 30, </w:t>
      </w:r>
      <w:r>
        <w:rPr>
          <w:sz w:val="20"/>
          <w:szCs w:val="20"/>
        </w:rPr>
        <w:t>2019, respectively, compared to the same periods in 2018. Our share of TRC expenses for the three and nine months ended September 30, 2019 was $2.3 million, which was primarily comprised of TRC’s legal and related fees associated with the arbitration betwe</w:t>
      </w:r>
      <w:r>
        <w:rPr>
          <w:sz w:val="20"/>
          <w:szCs w:val="20"/>
        </w:rPr>
        <w:t xml:space="preserve">en Innoviva and TRC and us. There were minimal TRC expenses for the three and nine months ended September 30, 2018. </w:t>
      </w:r>
    </w:p>
    <w:p w14:paraId="5A80781C" w14:textId="77777777" w:rsidR="00000000" w:rsidRDefault="00097612">
      <w:pPr>
        <w:pStyle w:val="a3"/>
        <w:spacing w:before="0" w:beforeAutospacing="0" w:after="0" w:afterAutospacing="0"/>
        <w:divId w:val="1973749852"/>
        <w:rPr>
          <w:sz w:val="20"/>
          <w:szCs w:val="20"/>
        </w:rPr>
      </w:pPr>
      <w:r>
        <w:rPr>
          <w:sz w:val="20"/>
          <w:szCs w:val="20"/>
        </w:rPr>
        <w:t>​</w:t>
      </w:r>
    </w:p>
    <w:p w14:paraId="0D8CB5C6" w14:textId="77777777" w:rsidR="00000000" w:rsidRDefault="00097612">
      <w:pPr>
        <w:pStyle w:val="a3"/>
        <w:spacing w:before="0" w:beforeAutospacing="0" w:after="0" w:afterAutospacing="0"/>
        <w:ind w:firstLine="720"/>
        <w:divId w:val="1973749852"/>
        <w:rPr>
          <w:sz w:val="20"/>
          <w:szCs w:val="20"/>
        </w:rPr>
      </w:pPr>
      <w:r>
        <w:rPr>
          <w:sz w:val="20"/>
          <w:szCs w:val="20"/>
        </w:rPr>
        <w:t>In connection with the issuance of our $237.5 million net principal amount Non-Recourse 2033 Notes in November 2018, 75% of the income from our investment in TRC is available only for payment of the Non-Recourse 2033 Notes and is not available to pay other</w:t>
      </w:r>
      <w:r>
        <w:rPr>
          <w:sz w:val="20"/>
          <w:szCs w:val="20"/>
        </w:rPr>
        <w:t xml:space="preserve"> creditor obligations or claims. In May 2019, we announced that we had initiated arbitration against Innoviva and TRC in connection with Innoviva’s failure to disburse certain royalties to us. Please refer to “Legal Proceedings” under Part II, Item 1 of th</w:t>
      </w:r>
      <w:r>
        <w:rPr>
          <w:sz w:val="20"/>
          <w:szCs w:val="20"/>
        </w:rPr>
        <w:t>ese financial statements for further details regarding the arbitrator’s final decision issued in September 2019.</w:t>
      </w:r>
    </w:p>
    <w:p w14:paraId="6A261A1C" w14:textId="77777777" w:rsidR="00000000" w:rsidRDefault="00097612">
      <w:pPr>
        <w:pStyle w:val="a3"/>
        <w:spacing w:before="0" w:beforeAutospacing="0" w:after="0" w:afterAutospacing="0"/>
        <w:divId w:val="1973749852"/>
        <w:rPr>
          <w:sz w:val="20"/>
          <w:szCs w:val="20"/>
        </w:rPr>
      </w:pPr>
      <w:r>
        <w:rPr>
          <w:color w:val="FF0000"/>
          <w:sz w:val="20"/>
          <w:szCs w:val="20"/>
        </w:rPr>
        <w:t>​</w:t>
      </w:r>
    </w:p>
    <w:p w14:paraId="52C49251" w14:textId="77777777" w:rsidR="00000000" w:rsidRDefault="00097612">
      <w:pPr>
        <w:pStyle w:val="a3"/>
        <w:spacing w:before="360" w:beforeAutospacing="0" w:after="0" w:afterAutospacing="0"/>
        <w:jc w:val="center"/>
        <w:divId w:val="835147110"/>
        <w:rPr>
          <w:sz w:val="20"/>
          <w:szCs w:val="20"/>
        </w:rPr>
      </w:pPr>
      <w:r>
        <w:rPr>
          <w:sz w:val="20"/>
          <w:szCs w:val="20"/>
        </w:rPr>
        <w:t>30</w:t>
      </w:r>
    </w:p>
    <w:p w14:paraId="5A2E07B7" w14:textId="77777777" w:rsidR="00000000" w:rsidRDefault="00097612">
      <w:pPr>
        <w:pStyle w:val="a3"/>
        <w:spacing w:before="0" w:beforeAutospacing="0" w:after="600" w:afterAutospacing="0"/>
        <w:divId w:val="156573991"/>
        <w:rPr>
          <w:sz w:val="20"/>
          <w:szCs w:val="20"/>
        </w:rPr>
      </w:pPr>
      <w:hyperlink w:anchor="TOC" w:history="1">
        <w:r>
          <w:rPr>
            <w:rStyle w:val="a4"/>
            <w:sz w:val="20"/>
            <w:szCs w:val="20"/>
          </w:rPr>
          <w:t>Table of Contents</w:t>
        </w:r>
      </w:hyperlink>
    </w:p>
    <w:p w14:paraId="32EACC9A" w14:textId="77777777" w:rsidR="00000000" w:rsidRDefault="00097612">
      <w:pPr>
        <w:pStyle w:val="a3"/>
        <w:spacing w:before="0" w:beforeAutospacing="0" w:after="0" w:afterAutospacing="0"/>
        <w:divId w:val="2014919711"/>
        <w:rPr>
          <w:sz w:val="20"/>
          <w:szCs w:val="20"/>
        </w:rPr>
      </w:pPr>
      <w:r>
        <w:rPr>
          <w:b/>
          <w:bCs/>
          <w:i/>
          <w:iCs/>
          <w:sz w:val="20"/>
          <w:szCs w:val="20"/>
        </w:rPr>
        <w:t>Interest Expense</w:t>
      </w:r>
    </w:p>
    <w:p w14:paraId="74B7F09B" w14:textId="77777777" w:rsidR="00000000" w:rsidRDefault="00097612">
      <w:pPr>
        <w:pStyle w:val="a3"/>
        <w:spacing w:before="0" w:beforeAutospacing="0" w:after="0" w:afterAutospacing="0"/>
        <w:divId w:val="2014919711"/>
        <w:rPr>
          <w:sz w:val="20"/>
          <w:szCs w:val="20"/>
        </w:rPr>
      </w:pPr>
      <w:r>
        <w:rPr>
          <w:sz w:val="10"/>
          <w:szCs w:val="10"/>
        </w:rPr>
        <w:t>​</w:t>
      </w:r>
    </w:p>
    <w:p w14:paraId="4F966125" w14:textId="77777777" w:rsidR="00000000" w:rsidRDefault="00097612">
      <w:pPr>
        <w:pStyle w:val="a3"/>
        <w:spacing w:before="0" w:beforeAutospacing="0" w:after="0" w:afterAutospacing="0"/>
        <w:ind w:firstLine="720"/>
        <w:divId w:val="2014919711"/>
        <w:rPr>
          <w:sz w:val="20"/>
          <w:szCs w:val="20"/>
        </w:rPr>
      </w:pPr>
      <w:r>
        <w:rPr>
          <w:sz w:val="20"/>
          <w:szCs w:val="20"/>
        </w:rPr>
        <w:t xml:space="preserve">Interest expense, as compared to the comparable periods in the prior year, </w:t>
      </w:r>
      <w:r>
        <w:rPr>
          <w:sz w:val="20"/>
          <w:szCs w:val="20"/>
        </w:rPr>
        <w:t>was as follows:</w:t>
      </w:r>
    </w:p>
    <w:p w14:paraId="5719A594" w14:textId="77777777" w:rsidR="00000000" w:rsidRDefault="00097612">
      <w:pPr>
        <w:pStyle w:val="a3"/>
        <w:spacing w:before="0" w:beforeAutospacing="0" w:after="0" w:afterAutospacing="0"/>
        <w:divId w:val="201491971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228"/>
        <w:gridCol w:w="200"/>
        <w:gridCol w:w="100"/>
        <w:gridCol w:w="584"/>
        <w:gridCol w:w="200"/>
        <w:gridCol w:w="100"/>
        <w:gridCol w:w="584"/>
        <w:gridCol w:w="200"/>
        <w:gridCol w:w="100"/>
        <w:gridCol w:w="584"/>
        <w:gridCol w:w="200"/>
        <w:gridCol w:w="360"/>
        <w:gridCol w:w="227"/>
        <w:gridCol w:w="200"/>
        <w:gridCol w:w="100"/>
        <w:gridCol w:w="684"/>
        <w:gridCol w:w="200"/>
        <w:gridCol w:w="100"/>
        <w:gridCol w:w="584"/>
        <w:gridCol w:w="200"/>
        <w:gridCol w:w="100"/>
        <w:gridCol w:w="684"/>
        <w:gridCol w:w="200"/>
        <w:gridCol w:w="360"/>
        <w:gridCol w:w="227"/>
      </w:tblGrid>
      <w:tr w:rsidR="00000000" w14:paraId="7B823360" w14:textId="77777777">
        <w:trPr>
          <w:divId w:val="2014919711"/>
          <w:trHeight w:val="20"/>
        </w:trPr>
        <w:tc>
          <w:tcPr>
            <w:tcW w:w="1290" w:type="pct"/>
            <w:tcMar>
              <w:top w:w="0" w:type="dxa"/>
              <w:left w:w="0" w:type="dxa"/>
              <w:bottom w:w="0" w:type="dxa"/>
              <w:right w:w="0" w:type="dxa"/>
            </w:tcMar>
            <w:vAlign w:val="bottom"/>
            <w:hideMark/>
          </w:tcPr>
          <w:p w14:paraId="0DF1F024" w14:textId="77777777" w:rsidR="00000000" w:rsidRDefault="00097612">
            <w:pPr>
              <w:pStyle w:val="a3"/>
              <w:spacing w:before="0" w:beforeAutospacing="0" w:after="0" w:afterAutospacing="0"/>
              <w:divId w:val="1429156701"/>
              <w:rPr>
                <w:sz w:val="20"/>
                <w:szCs w:val="20"/>
              </w:rPr>
            </w:pPr>
            <w:r>
              <w:rPr>
                <w:sz w:val="2"/>
                <w:szCs w:val="2"/>
              </w:rPr>
              <w:t>​</w:t>
            </w:r>
          </w:p>
        </w:tc>
        <w:tc>
          <w:tcPr>
            <w:tcW w:w="99" w:type="pct"/>
            <w:noWrap/>
            <w:tcMar>
              <w:top w:w="0" w:type="dxa"/>
              <w:left w:w="0" w:type="dxa"/>
              <w:bottom w:w="0" w:type="dxa"/>
              <w:right w:w="0" w:type="dxa"/>
            </w:tcMar>
            <w:vAlign w:val="bottom"/>
            <w:hideMark/>
          </w:tcPr>
          <w:p w14:paraId="15965299" w14:textId="77777777" w:rsidR="00000000" w:rsidRDefault="00097612">
            <w:pPr>
              <w:pStyle w:val="a3"/>
              <w:spacing w:before="0" w:beforeAutospacing="0" w:after="0" w:afterAutospacing="0"/>
              <w:divId w:val="70811533"/>
              <w:rPr>
                <w:sz w:val="20"/>
                <w:szCs w:val="20"/>
              </w:rPr>
            </w:pPr>
            <w:r>
              <w:rPr>
                <w:sz w:val="2"/>
                <w:szCs w:val="2"/>
              </w:rPr>
              <w:t>​</w:t>
            </w:r>
          </w:p>
        </w:tc>
        <w:tc>
          <w:tcPr>
            <w:tcW w:w="49" w:type="pct"/>
            <w:noWrap/>
            <w:tcMar>
              <w:top w:w="0" w:type="dxa"/>
              <w:left w:w="0" w:type="dxa"/>
              <w:bottom w:w="0" w:type="dxa"/>
              <w:right w:w="0" w:type="dxa"/>
            </w:tcMar>
            <w:vAlign w:val="bottom"/>
            <w:hideMark/>
          </w:tcPr>
          <w:p w14:paraId="42EB6FEE" w14:textId="77777777" w:rsidR="00000000" w:rsidRDefault="00097612">
            <w:pPr>
              <w:pStyle w:val="a3"/>
              <w:spacing w:before="0" w:beforeAutospacing="0" w:after="0" w:afterAutospacing="0"/>
              <w:divId w:val="1365519260"/>
              <w:rPr>
                <w:sz w:val="20"/>
                <w:szCs w:val="20"/>
              </w:rPr>
            </w:pPr>
            <w:r>
              <w:rPr>
                <w:sz w:val="2"/>
                <w:szCs w:val="2"/>
              </w:rPr>
              <w:t>​</w:t>
            </w:r>
          </w:p>
        </w:tc>
        <w:tc>
          <w:tcPr>
            <w:tcW w:w="314" w:type="pct"/>
            <w:noWrap/>
            <w:tcMar>
              <w:top w:w="0" w:type="dxa"/>
              <w:left w:w="0" w:type="dxa"/>
              <w:bottom w:w="0" w:type="dxa"/>
              <w:right w:w="0" w:type="dxa"/>
            </w:tcMar>
            <w:vAlign w:val="bottom"/>
            <w:hideMark/>
          </w:tcPr>
          <w:p w14:paraId="5D31C7B7" w14:textId="77777777" w:rsidR="00000000" w:rsidRDefault="00097612">
            <w:pPr>
              <w:pStyle w:val="a3"/>
              <w:spacing w:before="0" w:beforeAutospacing="0" w:after="0" w:afterAutospacing="0"/>
              <w:divId w:val="1743215443"/>
              <w:rPr>
                <w:sz w:val="20"/>
                <w:szCs w:val="20"/>
              </w:rPr>
            </w:pPr>
            <w:r>
              <w:rPr>
                <w:sz w:val="2"/>
                <w:szCs w:val="2"/>
              </w:rPr>
              <w:t>​</w:t>
            </w:r>
          </w:p>
        </w:tc>
        <w:tc>
          <w:tcPr>
            <w:tcW w:w="99" w:type="pct"/>
            <w:noWrap/>
            <w:tcMar>
              <w:top w:w="0" w:type="dxa"/>
              <w:left w:w="0" w:type="dxa"/>
              <w:bottom w:w="0" w:type="dxa"/>
              <w:right w:w="0" w:type="dxa"/>
            </w:tcMar>
            <w:vAlign w:val="bottom"/>
            <w:hideMark/>
          </w:tcPr>
          <w:p w14:paraId="59C7918B" w14:textId="77777777" w:rsidR="00000000" w:rsidRDefault="00097612">
            <w:pPr>
              <w:pStyle w:val="a3"/>
              <w:spacing w:before="0" w:beforeAutospacing="0" w:after="0" w:afterAutospacing="0"/>
              <w:divId w:val="1913077796"/>
              <w:rPr>
                <w:sz w:val="20"/>
                <w:szCs w:val="20"/>
              </w:rPr>
            </w:pPr>
            <w:r>
              <w:rPr>
                <w:sz w:val="2"/>
                <w:szCs w:val="2"/>
              </w:rPr>
              <w:t>​</w:t>
            </w:r>
          </w:p>
        </w:tc>
        <w:tc>
          <w:tcPr>
            <w:tcW w:w="49" w:type="pct"/>
            <w:noWrap/>
            <w:tcMar>
              <w:top w:w="0" w:type="dxa"/>
              <w:left w:w="0" w:type="dxa"/>
              <w:bottom w:w="0" w:type="dxa"/>
              <w:right w:w="0" w:type="dxa"/>
            </w:tcMar>
            <w:vAlign w:val="bottom"/>
            <w:hideMark/>
          </w:tcPr>
          <w:p w14:paraId="58276812" w14:textId="77777777" w:rsidR="00000000" w:rsidRDefault="00097612">
            <w:pPr>
              <w:pStyle w:val="a3"/>
              <w:spacing w:before="0" w:beforeAutospacing="0" w:after="0" w:afterAutospacing="0"/>
              <w:divId w:val="1566838069"/>
              <w:rPr>
                <w:sz w:val="20"/>
                <w:szCs w:val="20"/>
              </w:rPr>
            </w:pPr>
            <w:r>
              <w:rPr>
                <w:sz w:val="2"/>
                <w:szCs w:val="2"/>
              </w:rPr>
              <w:t>​</w:t>
            </w:r>
          </w:p>
        </w:tc>
        <w:tc>
          <w:tcPr>
            <w:tcW w:w="314" w:type="pct"/>
            <w:noWrap/>
            <w:tcMar>
              <w:top w:w="0" w:type="dxa"/>
              <w:left w:w="0" w:type="dxa"/>
              <w:bottom w:w="0" w:type="dxa"/>
              <w:right w:w="0" w:type="dxa"/>
            </w:tcMar>
            <w:vAlign w:val="bottom"/>
            <w:hideMark/>
          </w:tcPr>
          <w:p w14:paraId="7AD06DED" w14:textId="77777777" w:rsidR="00000000" w:rsidRDefault="00097612">
            <w:pPr>
              <w:pStyle w:val="a3"/>
              <w:spacing w:before="0" w:beforeAutospacing="0" w:after="0" w:afterAutospacing="0"/>
              <w:divId w:val="1202941009"/>
              <w:rPr>
                <w:sz w:val="20"/>
                <w:szCs w:val="20"/>
              </w:rPr>
            </w:pPr>
            <w:r>
              <w:rPr>
                <w:sz w:val="2"/>
                <w:szCs w:val="2"/>
              </w:rPr>
              <w:t>​</w:t>
            </w:r>
          </w:p>
        </w:tc>
        <w:tc>
          <w:tcPr>
            <w:tcW w:w="99" w:type="pct"/>
            <w:noWrap/>
            <w:tcMar>
              <w:top w:w="0" w:type="dxa"/>
              <w:left w:w="0" w:type="dxa"/>
              <w:bottom w:w="0" w:type="dxa"/>
              <w:right w:w="0" w:type="dxa"/>
            </w:tcMar>
            <w:vAlign w:val="bottom"/>
            <w:hideMark/>
          </w:tcPr>
          <w:p w14:paraId="291612D0" w14:textId="77777777" w:rsidR="00000000" w:rsidRDefault="00097612">
            <w:pPr>
              <w:pStyle w:val="a3"/>
              <w:spacing w:before="0" w:beforeAutospacing="0" w:after="0" w:afterAutospacing="0"/>
              <w:divId w:val="2123919876"/>
              <w:rPr>
                <w:sz w:val="20"/>
                <w:szCs w:val="20"/>
              </w:rPr>
            </w:pPr>
            <w:r>
              <w:rPr>
                <w:sz w:val="2"/>
                <w:szCs w:val="2"/>
              </w:rPr>
              <w:t>​</w:t>
            </w:r>
          </w:p>
        </w:tc>
        <w:tc>
          <w:tcPr>
            <w:tcW w:w="49" w:type="pct"/>
            <w:noWrap/>
            <w:tcMar>
              <w:top w:w="0" w:type="dxa"/>
              <w:left w:w="0" w:type="dxa"/>
              <w:bottom w:w="0" w:type="dxa"/>
              <w:right w:w="0" w:type="dxa"/>
            </w:tcMar>
            <w:vAlign w:val="bottom"/>
            <w:hideMark/>
          </w:tcPr>
          <w:p w14:paraId="4EDC76D3" w14:textId="77777777" w:rsidR="00000000" w:rsidRDefault="00097612">
            <w:pPr>
              <w:pStyle w:val="a3"/>
              <w:spacing w:before="0" w:beforeAutospacing="0" w:after="0" w:afterAutospacing="0"/>
              <w:divId w:val="366300551"/>
              <w:rPr>
                <w:sz w:val="20"/>
                <w:szCs w:val="20"/>
              </w:rPr>
            </w:pPr>
            <w:r>
              <w:rPr>
                <w:sz w:val="2"/>
                <w:szCs w:val="2"/>
              </w:rPr>
              <w:t>​</w:t>
            </w:r>
          </w:p>
        </w:tc>
        <w:tc>
          <w:tcPr>
            <w:tcW w:w="314" w:type="pct"/>
            <w:noWrap/>
            <w:tcMar>
              <w:top w:w="0" w:type="dxa"/>
              <w:left w:w="0" w:type="dxa"/>
              <w:bottom w:w="0" w:type="dxa"/>
              <w:right w:w="0" w:type="dxa"/>
            </w:tcMar>
            <w:vAlign w:val="bottom"/>
            <w:hideMark/>
          </w:tcPr>
          <w:p w14:paraId="7AC75E81" w14:textId="77777777" w:rsidR="00000000" w:rsidRDefault="00097612">
            <w:pPr>
              <w:pStyle w:val="a3"/>
              <w:spacing w:before="0" w:beforeAutospacing="0" w:after="0" w:afterAutospacing="0"/>
              <w:divId w:val="197471823"/>
              <w:rPr>
                <w:sz w:val="20"/>
                <w:szCs w:val="20"/>
              </w:rPr>
            </w:pPr>
            <w:r>
              <w:rPr>
                <w:sz w:val="2"/>
                <w:szCs w:val="2"/>
              </w:rPr>
              <w:t>​</w:t>
            </w:r>
          </w:p>
        </w:tc>
        <w:tc>
          <w:tcPr>
            <w:tcW w:w="99" w:type="pct"/>
            <w:noWrap/>
            <w:tcMar>
              <w:top w:w="0" w:type="dxa"/>
              <w:left w:w="0" w:type="dxa"/>
              <w:bottom w:w="0" w:type="dxa"/>
              <w:right w:w="0" w:type="dxa"/>
            </w:tcMar>
            <w:vAlign w:val="bottom"/>
            <w:hideMark/>
          </w:tcPr>
          <w:p w14:paraId="4D81839B" w14:textId="77777777" w:rsidR="00000000" w:rsidRDefault="00097612">
            <w:pPr>
              <w:pStyle w:val="a3"/>
              <w:spacing w:before="0" w:beforeAutospacing="0" w:after="0" w:afterAutospacing="0"/>
              <w:divId w:val="2006548188"/>
              <w:rPr>
                <w:sz w:val="20"/>
                <w:szCs w:val="20"/>
              </w:rPr>
            </w:pPr>
            <w:r>
              <w:rPr>
                <w:sz w:val="2"/>
                <w:szCs w:val="2"/>
              </w:rPr>
              <w:t>​</w:t>
            </w:r>
          </w:p>
        </w:tc>
        <w:tc>
          <w:tcPr>
            <w:tcW w:w="203" w:type="pct"/>
            <w:noWrap/>
            <w:tcMar>
              <w:top w:w="0" w:type="dxa"/>
              <w:left w:w="0" w:type="dxa"/>
              <w:bottom w:w="0" w:type="dxa"/>
              <w:right w:w="0" w:type="dxa"/>
            </w:tcMar>
            <w:vAlign w:val="bottom"/>
            <w:hideMark/>
          </w:tcPr>
          <w:p w14:paraId="7CA2BE2D" w14:textId="77777777" w:rsidR="00000000" w:rsidRDefault="00097612">
            <w:pPr>
              <w:pStyle w:val="a3"/>
              <w:spacing w:before="0" w:beforeAutospacing="0" w:after="0" w:afterAutospacing="0"/>
              <w:divId w:val="2067676253"/>
              <w:rPr>
                <w:sz w:val="20"/>
                <w:szCs w:val="20"/>
              </w:rPr>
            </w:pPr>
            <w:r>
              <w:rPr>
                <w:sz w:val="2"/>
                <w:szCs w:val="2"/>
              </w:rPr>
              <w:t>​</w:t>
            </w:r>
          </w:p>
        </w:tc>
        <w:tc>
          <w:tcPr>
            <w:tcW w:w="112" w:type="pct"/>
            <w:noWrap/>
            <w:tcMar>
              <w:top w:w="0" w:type="dxa"/>
              <w:left w:w="0" w:type="dxa"/>
              <w:bottom w:w="0" w:type="dxa"/>
              <w:right w:w="0" w:type="dxa"/>
            </w:tcMar>
            <w:vAlign w:val="bottom"/>
            <w:hideMark/>
          </w:tcPr>
          <w:p w14:paraId="0A66C1A2" w14:textId="77777777" w:rsidR="00000000" w:rsidRDefault="00097612">
            <w:pPr>
              <w:pStyle w:val="a3"/>
              <w:spacing w:before="0" w:beforeAutospacing="0" w:after="0" w:afterAutospacing="0"/>
              <w:divId w:val="114644677"/>
              <w:rPr>
                <w:sz w:val="20"/>
                <w:szCs w:val="20"/>
              </w:rPr>
            </w:pPr>
            <w:r>
              <w:rPr>
                <w:sz w:val="2"/>
                <w:szCs w:val="2"/>
              </w:rPr>
              <w:t>​</w:t>
            </w:r>
          </w:p>
        </w:tc>
        <w:tc>
          <w:tcPr>
            <w:tcW w:w="99" w:type="pct"/>
            <w:noWrap/>
            <w:tcMar>
              <w:top w:w="0" w:type="dxa"/>
              <w:left w:w="0" w:type="dxa"/>
              <w:bottom w:w="0" w:type="dxa"/>
              <w:right w:w="0" w:type="dxa"/>
            </w:tcMar>
            <w:vAlign w:val="bottom"/>
            <w:hideMark/>
          </w:tcPr>
          <w:p w14:paraId="231F0BF1" w14:textId="77777777" w:rsidR="00000000" w:rsidRDefault="00097612">
            <w:pPr>
              <w:pStyle w:val="a3"/>
              <w:spacing w:before="0" w:beforeAutospacing="0" w:after="0" w:afterAutospacing="0"/>
              <w:divId w:val="1745571147"/>
              <w:rPr>
                <w:sz w:val="20"/>
                <w:szCs w:val="20"/>
              </w:rPr>
            </w:pPr>
            <w:r>
              <w:rPr>
                <w:sz w:val="2"/>
                <w:szCs w:val="2"/>
              </w:rPr>
              <w:t>​</w:t>
            </w:r>
          </w:p>
        </w:tc>
        <w:tc>
          <w:tcPr>
            <w:tcW w:w="49" w:type="pct"/>
            <w:noWrap/>
            <w:tcMar>
              <w:top w:w="0" w:type="dxa"/>
              <w:left w:w="0" w:type="dxa"/>
              <w:bottom w:w="0" w:type="dxa"/>
              <w:right w:w="0" w:type="dxa"/>
            </w:tcMar>
            <w:vAlign w:val="bottom"/>
            <w:hideMark/>
          </w:tcPr>
          <w:p w14:paraId="7919D6D8" w14:textId="77777777" w:rsidR="00000000" w:rsidRDefault="00097612">
            <w:pPr>
              <w:pStyle w:val="a3"/>
              <w:spacing w:before="0" w:beforeAutospacing="0" w:after="0" w:afterAutospacing="0"/>
              <w:divId w:val="158472424"/>
              <w:rPr>
                <w:sz w:val="20"/>
                <w:szCs w:val="20"/>
              </w:rPr>
            </w:pPr>
            <w:r>
              <w:rPr>
                <w:sz w:val="2"/>
                <w:szCs w:val="2"/>
              </w:rPr>
              <w:t>​</w:t>
            </w:r>
          </w:p>
        </w:tc>
        <w:tc>
          <w:tcPr>
            <w:tcW w:w="364" w:type="pct"/>
            <w:noWrap/>
            <w:tcMar>
              <w:top w:w="0" w:type="dxa"/>
              <w:left w:w="0" w:type="dxa"/>
              <w:bottom w:w="0" w:type="dxa"/>
              <w:right w:w="0" w:type="dxa"/>
            </w:tcMar>
            <w:vAlign w:val="bottom"/>
            <w:hideMark/>
          </w:tcPr>
          <w:p w14:paraId="6F540272" w14:textId="77777777" w:rsidR="00000000" w:rsidRDefault="00097612">
            <w:pPr>
              <w:pStyle w:val="a3"/>
              <w:spacing w:before="0" w:beforeAutospacing="0" w:after="0" w:afterAutospacing="0"/>
              <w:divId w:val="1950624759"/>
              <w:rPr>
                <w:sz w:val="20"/>
                <w:szCs w:val="20"/>
              </w:rPr>
            </w:pPr>
            <w:r>
              <w:rPr>
                <w:sz w:val="2"/>
                <w:szCs w:val="2"/>
              </w:rPr>
              <w:t>​</w:t>
            </w:r>
          </w:p>
        </w:tc>
        <w:tc>
          <w:tcPr>
            <w:tcW w:w="99" w:type="pct"/>
            <w:noWrap/>
            <w:tcMar>
              <w:top w:w="0" w:type="dxa"/>
              <w:left w:w="0" w:type="dxa"/>
              <w:bottom w:w="0" w:type="dxa"/>
              <w:right w:w="0" w:type="dxa"/>
            </w:tcMar>
            <w:vAlign w:val="bottom"/>
            <w:hideMark/>
          </w:tcPr>
          <w:p w14:paraId="04EEB180" w14:textId="77777777" w:rsidR="00000000" w:rsidRDefault="00097612">
            <w:pPr>
              <w:pStyle w:val="a3"/>
              <w:spacing w:before="0" w:beforeAutospacing="0" w:after="0" w:afterAutospacing="0"/>
              <w:divId w:val="453787455"/>
              <w:rPr>
                <w:sz w:val="20"/>
                <w:szCs w:val="20"/>
              </w:rPr>
            </w:pPr>
            <w:r>
              <w:rPr>
                <w:sz w:val="2"/>
                <w:szCs w:val="2"/>
              </w:rPr>
              <w:t>​</w:t>
            </w:r>
          </w:p>
        </w:tc>
        <w:tc>
          <w:tcPr>
            <w:tcW w:w="49" w:type="pct"/>
            <w:noWrap/>
            <w:tcMar>
              <w:top w:w="0" w:type="dxa"/>
              <w:left w:w="0" w:type="dxa"/>
              <w:bottom w:w="0" w:type="dxa"/>
              <w:right w:w="0" w:type="dxa"/>
            </w:tcMar>
            <w:vAlign w:val="bottom"/>
            <w:hideMark/>
          </w:tcPr>
          <w:p w14:paraId="541C2622" w14:textId="77777777" w:rsidR="00000000" w:rsidRDefault="00097612">
            <w:pPr>
              <w:pStyle w:val="a3"/>
              <w:spacing w:before="0" w:beforeAutospacing="0" w:after="0" w:afterAutospacing="0"/>
              <w:divId w:val="442647767"/>
              <w:rPr>
                <w:sz w:val="20"/>
                <w:szCs w:val="20"/>
              </w:rPr>
            </w:pPr>
            <w:r>
              <w:rPr>
                <w:sz w:val="2"/>
                <w:szCs w:val="2"/>
              </w:rPr>
              <w:t>​</w:t>
            </w:r>
          </w:p>
        </w:tc>
        <w:tc>
          <w:tcPr>
            <w:tcW w:w="314" w:type="pct"/>
            <w:noWrap/>
            <w:tcMar>
              <w:top w:w="0" w:type="dxa"/>
              <w:left w:w="0" w:type="dxa"/>
              <w:bottom w:w="0" w:type="dxa"/>
              <w:right w:w="0" w:type="dxa"/>
            </w:tcMar>
            <w:vAlign w:val="bottom"/>
            <w:hideMark/>
          </w:tcPr>
          <w:p w14:paraId="56EFCDC0" w14:textId="77777777" w:rsidR="00000000" w:rsidRDefault="00097612">
            <w:pPr>
              <w:pStyle w:val="a3"/>
              <w:spacing w:before="0" w:beforeAutospacing="0" w:after="0" w:afterAutospacing="0"/>
              <w:divId w:val="1893537671"/>
              <w:rPr>
                <w:sz w:val="20"/>
                <w:szCs w:val="20"/>
              </w:rPr>
            </w:pPr>
            <w:r>
              <w:rPr>
                <w:sz w:val="2"/>
                <w:szCs w:val="2"/>
              </w:rPr>
              <w:t>​</w:t>
            </w:r>
          </w:p>
        </w:tc>
        <w:tc>
          <w:tcPr>
            <w:tcW w:w="99" w:type="pct"/>
            <w:noWrap/>
            <w:tcMar>
              <w:top w:w="0" w:type="dxa"/>
              <w:left w:w="0" w:type="dxa"/>
              <w:bottom w:w="0" w:type="dxa"/>
              <w:right w:w="0" w:type="dxa"/>
            </w:tcMar>
            <w:vAlign w:val="bottom"/>
            <w:hideMark/>
          </w:tcPr>
          <w:p w14:paraId="48B53210" w14:textId="77777777" w:rsidR="00000000" w:rsidRDefault="00097612">
            <w:pPr>
              <w:pStyle w:val="a3"/>
              <w:spacing w:before="0" w:beforeAutospacing="0" w:after="0" w:afterAutospacing="0"/>
              <w:divId w:val="1195771220"/>
              <w:rPr>
                <w:sz w:val="20"/>
                <w:szCs w:val="20"/>
              </w:rPr>
            </w:pPr>
            <w:r>
              <w:rPr>
                <w:sz w:val="2"/>
                <w:szCs w:val="2"/>
              </w:rPr>
              <w:t>​</w:t>
            </w:r>
          </w:p>
        </w:tc>
        <w:tc>
          <w:tcPr>
            <w:tcW w:w="49" w:type="pct"/>
            <w:noWrap/>
            <w:tcMar>
              <w:top w:w="0" w:type="dxa"/>
              <w:left w:w="0" w:type="dxa"/>
              <w:bottom w:w="0" w:type="dxa"/>
              <w:right w:w="0" w:type="dxa"/>
            </w:tcMar>
            <w:vAlign w:val="bottom"/>
            <w:hideMark/>
          </w:tcPr>
          <w:p w14:paraId="6A4E7E8E" w14:textId="77777777" w:rsidR="00000000" w:rsidRDefault="00097612">
            <w:pPr>
              <w:pStyle w:val="a3"/>
              <w:spacing w:before="0" w:beforeAutospacing="0" w:after="0" w:afterAutospacing="0"/>
              <w:divId w:val="1057971282"/>
              <w:rPr>
                <w:sz w:val="20"/>
                <w:szCs w:val="20"/>
              </w:rPr>
            </w:pPr>
            <w:r>
              <w:rPr>
                <w:sz w:val="2"/>
                <w:szCs w:val="2"/>
              </w:rPr>
              <w:t>​</w:t>
            </w:r>
          </w:p>
        </w:tc>
        <w:tc>
          <w:tcPr>
            <w:tcW w:w="364" w:type="pct"/>
            <w:noWrap/>
            <w:tcMar>
              <w:top w:w="0" w:type="dxa"/>
              <w:left w:w="0" w:type="dxa"/>
              <w:bottom w:w="0" w:type="dxa"/>
              <w:right w:w="0" w:type="dxa"/>
            </w:tcMar>
            <w:vAlign w:val="bottom"/>
            <w:hideMark/>
          </w:tcPr>
          <w:p w14:paraId="6059F942" w14:textId="77777777" w:rsidR="00000000" w:rsidRDefault="00097612">
            <w:pPr>
              <w:pStyle w:val="a3"/>
              <w:spacing w:before="0" w:beforeAutospacing="0" w:after="0" w:afterAutospacing="0"/>
              <w:divId w:val="527793129"/>
              <w:rPr>
                <w:sz w:val="20"/>
                <w:szCs w:val="20"/>
              </w:rPr>
            </w:pPr>
            <w:r>
              <w:rPr>
                <w:sz w:val="2"/>
                <w:szCs w:val="2"/>
              </w:rPr>
              <w:t>​</w:t>
            </w:r>
          </w:p>
        </w:tc>
        <w:tc>
          <w:tcPr>
            <w:tcW w:w="99" w:type="pct"/>
            <w:noWrap/>
            <w:tcMar>
              <w:top w:w="0" w:type="dxa"/>
              <w:left w:w="0" w:type="dxa"/>
              <w:bottom w:w="0" w:type="dxa"/>
              <w:right w:w="0" w:type="dxa"/>
            </w:tcMar>
            <w:vAlign w:val="bottom"/>
            <w:hideMark/>
          </w:tcPr>
          <w:p w14:paraId="76BC337D" w14:textId="77777777" w:rsidR="00000000" w:rsidRDefault="00097612">
            <w:pPr>
              <w:pStyle w:val="a3"/>
              <w:spacing w:before="0" w:beforeAutospacing="0" w:after="0" w:afterAutospacing="0"/>
              <w:divId w:val="1957592473"/>
              <w:rPr>
                <w:sz w:val="20"/>
                <w:szCs w:val="20"/>
              </w:rPr>
            </w:pPr>
            <w:r>
              <w:rPr>
                <w:sz w:val="2"/>
                <w:szCs w:val="2"/>
              </w:rPr>
              <w:t>​</w:t>
            </w:r>
          </w:p>
        </w:tc>
        <w:tc>
          <w:tcPr>
            <w:tcW w:w="203" w:type="pct"/>
            <w:noWrap/>
            <w:tcMar>
              <w:top w:w="0" w:type="dxa"/>
              <w:left w:w="0" w:type="dxa"/>
              <w:bottom w:w="0" w:type="dxa"/>
              <w:right w:w="0" w:type="dxa"/>
            </w:tcMar>
            <w:vAlign w:val="bottom"/>
            <w:hideMark/>
          </w:tcPr>
          <w:p w14:paraId="2D102C6F" w14:textId="77777777" w:rsidR="00000000" w:rsidRDefault="00097612">
            <w:pPr>
              <w:pStyle w:val="a3"/>
              <w:spacing w:before="0" w:beforeAutospacing="0" w:after="0" w:afterAutospacing="0"/>
              <w:divId w:val="1876312234"/>
              <w:rPr>
                <w:sz w:val="20"/>
                <w:szCs w:val="20"/>
              </w:rPr>
            </w:pPr>
            <w:r>
              <w:rPr>
                <w:sz w:val="2"/>
                <w:szCs w:val="2"/>
              </w:rPr>
              <w:t>​</w:t>
            </w:r>
          </w:p>
        </w:tc>
        <w:tc>
          <w:tcPr>
            <w:tcW w:w="112" w:type="pct"/>
            <w:noWrap/>
            <w:tcMar>
              <w:top w:w="0" w:type="dxa"/>
              <w:left w:w="0" w:type="dxa"/>
              <w:bottom w:w="0" w:type="dxa"/>
              <w:right w:w="0" w:type="dxa"/>
            </w:tcMar>
            <w:vAlign w:val="bottom"/>
            <w:hideMark/>
          </w:tcPr>
          <w:p w14:paraId="60857910" w14:textId="77777777" w:rsidR="00000000" w:rsidRDefault="00097612">
            <w:pPr>
              <w:pStyle w:val="a3"/>
              <w:spacing w:before="0" w:beforeAutospacing="0" w:after="0" w:afterAutospacing="0"/>
              <w:divId w:val="1084835200"/>
              <w:rPr>
                <w:sz w:val="20"/>
                <w:szCs w:val="20"/>
              </w:rPr>
            </w:pPr>
            <w:r>
              <w:rPr>
                <w:sz w:val="2"/>
                <w:szCs w:val="2"/>
              </w:rPr>
              <w:t>​</w:t>
            </w:r>
          </w:p>
        </w:tc>
      </w:tr>
      <w:tr w:rsidR="00000000" w14:paraId="19E00B95" w14:textId="77777777">
        <w:trPr>
          <w:divId w:val="2014919711"/>
        </w:trPr>
        <w:tc>
          <w:tcPr>
            <w:tcW w:w="1290" w:type="pct"/>
            <w:shd w:val="clear" w:color="auto" w:fill="auto"/>
            <w:tcMar>
              <w:top w:w="0" w:type="dxa"/>
              <w:left w:w="0" w:type="dxa"/>
              <w:bottom w:w="0" w:type="dxa"/>
              <w:right w:w="0" w:type="dxa"/>
            </w:tcMar>
            <w:vAlign w:val="bottom"/>
            <w:hideMark/>
          </w:tcPr>
          <w:p w14:paraId="4CF9DE8A" w14:textId="77777777" w:rsidR="00000000" w:rsidRDefault="00097612">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28DB26EE" w14:textId="77777777" w:rsidR="00000000" w:rsidRDefault="00097612">
            <w:pPr>
              <w:pStyle w:val="a3"/>
              <w:spacing w:before="0" w:beforeAutospacing="0" w:after="0" w:afterAutospacing="0"/>
              <w:jc w:val="center"/>
              <w:rPr>
                <w:sz w:val="20"/>
                <w:szCs w:val="20"/>
              </w:rPr>
            </w:pPr>
            <w:r>
              <w:rPr>
                <w:b/>
                <w:bCs/>
                <w:sz w:val="16"/>
                <w:szCs w:val="16"/>
              </w:rPr>
              <w:t>​</w:t>
            </w:r>
          </w:p>
        </w:tc>
        <w:tc>
          <w:tcPr>
            <w:tcW w:w="827" w:type="pct"/>
            <w:gridSpan w:val="5"/>
            <w:shd w:val="clear" w:color="auto" w:fill="auto"/>
            <w:noWrap/>
            <w:tcMar>
              <w:top w:w="0" w:type="dxa"/>
              <w:left w:w="0" w:type="dxa"/>
              <w:bottom w:w="0" w:type="dxa"/>
              <w:right w:w="0" w:type="dxa"/>
            </w:tcMar>
            <w:vAlign w:val="bottom"/>
            <w:hideMark/>
          </w:tcPr>
          <w:p w14:paraId="7A714748"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99" w:type="pct"/>
            <w:shd w:val="clear" w:color="auto" w:fill="auto"/>
            <w:noWrap/>
            <w:tcMar>
              <w:top w:w="0" w:type="dxa"/>
              <w:left w:w="0" w:type="dxa"/>
              <w:bottom w:w="0" w:type="dxa"/>
              <w:right w:w="0" w:type="dxa"/>
            </w:tcMar>
            <w:vAlign w:val="bottom"/>
            <w:hideMark/>
          </w:tcPr>
          <w:p w14:paraId="66C898A7" w14:textId="77777777" w:rsidR="00000000" w:rsidRDefault="00097612">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3895367B" w14:textId="77777777" w:rsidR="00000000" w:rsidRDefault="00097612">
            <w:pPr>
              <w:pStyle w:val="a3"/>
              <w:spacing w:before="0" w:beforeAutospacing="0" w:after="0" w:afterAutospacing="0"/>
              <w:jc w:val="center"/>
              <w:rPr>
                <w:sz w:val="20"/>
                <w:szCs w:val="20"/>
              </w:rPr>
            </w:pPr>
            <w:r>
              <w:rPr>
                <w:sz w:val="16"/>
                <w:szCs w:val="16"/>
              </w:rPr>
              <w:t>​</w:t>
            </w:r>
          </w:p>
        </w:tc>
        <w:tc>
          <w:tcPr>
            <w:tcW w:w="314" w:type="pct"/>
            <w:shd w:val="clear" w:color="auto" w:fill="auto"/>
            <w:noWrap/>
            <w:tcMar>
              <w:top w:w="0" w:type="dxa"/>
              <w:left w:w="0" w:type="dxa"/>
              <w:bottom w:w="0" w:type="dxa"/>
              <w:right w:w="0" w:type="dxa"/>
            </w:tcMar>
            <w:vAlign w:val="bottom"/>
            <w:hideMark/>
          </w:tcPr>
          <w:p w14:paraId="4F57D12B" w14:textId="77777777" w:rsidR="00000000" w:rsidRDefault="00097612">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14:paraId="77003935" w14:textId="77777777" w:rsidR="00000000" w:rsidRDefault="00097612">
            <w:pPr>
              <w:pStyle w:val="a3"/>
              <w:spacing w:before="0" w:beforeAutospacing="0" w:after="0" w:afterAutospacing="0"/>
              <w:jc w:val="center"/>
              <w:rPr>
                <w:sz w:val="20"/>
                <w:szCs w:val="20"/>
              </w:rPr>
            </w:pPr>
            <w:r>
              <w:rPr>
                <w:sz w:val="16"/>
                <w:szCs w:val="16"/>
              </w:rPr>
              <w:t>​</w:t>
            </w:r>
          </w:p>
        </w:tc>
        <w:tc>
          <w:tcPr>
            <w:tcW w:w="203" w:type="pct"/>
            <w:shd w:val="clear" w:color="auto" w:fill="auto"/>
            <w:noWrap/>
            <w:tcMar>
              <w:top w:w="0" w:type="dxa"/>
              <w:left w:w="0" w:type="dxa"/>
              <w:bottom w:w="0" w:type="dxa"/>
              <w:right w:w="0" w:type="dxa"/>
            </w:tcMar>
            <w:vAlign w:val="bottom"/>
            <w:hideMark/>
          </w:tcPr>
          <w:p w14:paraId="5E9F973F" w14:textId="77777777" w:rsidR="00000000" w:rsidRDefault="00097612">
            <w:pPr>
              <w:pStyle w:val="a3"/>
              <w:spacing w:before="0" w:beforeAutospacing="0" w:after="0" w:afterAutospacing="0"/>
              <w:jc w:val="center"/>
              <w:rPr>
                <w:sz w:val="20"/>
                <w:szCs w:val="20"/>
              </w:rPr>
            </w:pPr>
            <w:r>
              <w:rPr>
                <w:sz w:val="16"/>
                <w:szCs w:val="16"/>
              </w:rPr>
              <w:t>​</w:t>
            </w:r>
          </w:p>
        </w:tc>
        <w:tc>
          <w:tcPr>
            <w:tcW w:w="112" w:type="pct"/>
            <w:shd w:val="clear" w:color="auto" w:fill="auto"/>
            <w:noWrap/>
            <w:tcMar>
              <w:top w:w="0" w:type="dxa"/>
              <w:left w:w="0" w:type="dxa"/>
              <w:bottom w:w="0" w:type="dxa"/>
              <w:right w:w="0" w:type="dxa"/>
            </w:tcMar>
            <w:vAlign w:val="bottom"/>
            <w:hideMark/>
          </w:tcPr>
          <w:p w14:paraId="2B7A226E" w14:textId="77777777" w:rsidR="00000000" w:rsidRDefault="00097612">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14:paraId="0787A7F0" w14:textId="77777777" w:rsidR="00000000" w:rsidRDefault="00097612">
            <w:pPr>
              <w:pStyle w:val="a3"/>
              <w:spacing w:before="0" w:beforeAutospacing="0" w:after="0" w:afterAutospacing="0"/>
              <w:jc w:val="center"/>
              <w:rPr>
                <w:sz w:val="20"/>
                <w:szCs w:val="20"/>
              </w:rPr>
            </w:pPr>
            <w:r>
              <w:rPr>
                <w:sz w:val="16"/>
                <w:szCs w:val="16"/>
              </w:rPr>
              <w:t>​</w:t>
            </w:r>
          </w:p>
        </w:tc>
        <w:tc>
          <w:tcPr>
            <w:tcW w:w="876" w:type="pct"/>
            <w:gridSpan w:val="5"/>
            <w:shd w:val="clear" w:color="auto" w:fill="auto"/>
            <w:noWrap/>
            <w:tcMar>
              <w:top w:w="0" w:type="dxa"/>
              <w:left w:w="0" w:type="dxa"/>
              <w:bottom w:w="0" w:type="dxa"/>
              <w:right w:w="0" w:type="dxa"/>
            </w:tcMar>
            <w:vAlign w:val="bottom"/>
            <w:hideMark/>
          </w:tcPr>
          <w:p w14:paraId="7A424AB8"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99" w:type="pct"/>
            <w:shd w:val="clear" w:color="auto" w:fill="auto"/>
            <w:noWrap/>
            <w:tcMar>
              <w:top w:w="0" w:type="dxa"/>
              <w:left w:w="0" w:type="dxa"/>
              <w:bottom w:w="0" w:type="dxa"/>
              <w:right w:w="0" w:type="dxa"/>
            </w:tcMar>
            <w:vAlign w:val="bottom"/>
            <w:hideMark/>
          </w:tcPr>
          <w:p w14:paraId="5C397F4F" w14:textId="77777777" w:rsidR="00000000" w:rsidRDefault="00097612">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24D5ED51" w14:textId="77777777" w:rsidR="00000000" w:rsidRDefault="00097612">
            <w:pPr>
              <w:pStyle w:val="a3"/>
              <w:spacing w:before="0" w:beforeAutospacing="0" w:after="0" w:afterAutospacing="0"/>
              <w:jc w:val="center"/>
              <w:rPr>
                <w:sz w:val="20"/>
                <w:szCs w:val="20"/>
              </w:rPr>
            </w:pPr>
            <w:r>
              <w:rPr>
                <w:sz w:val="16"/>
                <w:szCs w:val="16"/>
              </w:rPr>
              <w:t>​</w:t>
            </w:r>
          </w:p>
        </w:tc>
        <w:tc>
          <w:tcPr>
            <w:tcW w:w="364" w:type="pct"/>
            <w:shd w:val="clear" w:color="auto" w:fill="auto"/>
            <w:noWrap/>
            <w:tcMar>
              <w:top w:w="0" w:type="dxa"/>
              <w:left w:w="0" w:type="dxa"/>
              <w:bottom w:w="0" w:type="dxa"/>
              <w:right w:w="0" w:type="dxa"/>
            </w:tcMar>
            <w:vAlign w:val="bottom"/>
            <w:hideMark/>
          </w:tcPr>
          <w:p w14:paraId="3DFDFA51" w14:textId="77777777" w:rsidR="00000000" w:rsidRDefault="00097612">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14:paraId="5378D09D" w14:textId="77777777" w:rsidR="00000000" w:rsidRDefault="00097612">
            <w:pPr>
              <w:pStyle w:val="a3"/>
              <w:spacing w:before="0" w:beforeAutospacing="0" w:after="0" w:afterAutospacing="0"/>
              <w:jc w:val="center"/>
              <w:rPr>
                <w:sz w:val="20"/>
                <w:szCs w:val="20"/>
              </w:rPr>
            </w:pPr>
            <w:r>
              <w:rPr>
                <w:sz w:val="16"/>
                <w:szCs w:val="16"/>
              </w:rPr>
              <w:t>​</w:t>
            </w:r>
          </w:p>
        </w:tc>
        <w:tc>
          <w:tcPr>
            <w:tcW w:w="203" w:type="pct"/>
            <w:shd w:val="clear" w:color="auto" w:fill="auto"/>
            <w:noWrap/>
            <w:tcMar>
              <w:top w:w="0" w:type="dxa"/>
              <w:left w:w="0" w:type="dxa"/>
              <w:bottom w:w="0" w:type="dxa"/>
              <w:right w:w="0" w:type="dxa"/>
            </w:tcMar>
            <w:vAlign w:val="bottom"/>
            <w:hideMark/>
          </w:tcPr>
          <w:p w14:paraId="5CE7F30C" w14:textId="77777777" w:rsidR="00000000" w:rsidRDefault="00097612">
            <w:pPr>
              <w:pStyle w:val="a3"/>
              <w:spacing w:before="0" w:beforeAutospacing="0" w:after="0" w:afterAutospacing="0"/>
              <w:jc w:val="center"/>
              <w:rPr>
                <w:sz w:val="20"/>
                <w:szCs w:val="20"/>
              </w:rPr>
            </w:pPr>
            <w:r>
              <w:rPr>
                <w:sz w:val="16"/>
                <w:szCs w:val="16"/>
              </w:rPr>
              <w:t>​</w:t>
            </w:r>
          </w:p>
        </w:tc>
        <w:tc>
          <w:tcPr>
            <w:tcW w:w="112" w:type="pct"/>
            <w:shd w:val="clear" w:color="auto" w:fill="auto"/>
            <w:noWrap/>
            <w:tcMar>
              <w:top w:w="0" w:type="dxa"/>
              <w:left w:w="0" w:type="dxa"/>
              <w:bottom w:w="0" w:type="dxa"/>
              <w:right w:w="0" w:type="dxa"/>
            </w:tcMar>
            <w:vAlign w:val="bottom"/>
            <w:hideMark/>
          </w:tcPr>
          <w:p w14:paraId="4963EF4C" w14:textId="77777777" w:rsidR="00000000" w:rsidRDefault="00097612">
            <w:pPr>
              <w:pStyle w:val="a3"/>
              <w:spacing w:before="0" w:beforeAutospacing="0" w:after="0" w:afterAutospacing="0"/>
              <w:jc w:val="center"/>
              <w:rPr>
                <w:sz w:val="20"/>
                <w:szCs w:val="20"/>
              </w:rPr>
            </w:pPr>
            <w:r>
              <w:rPr>
                <w:sz w:val="16"/>
                <w:szCs w:val="16"/>
              </w:rPr>
              <w:t>​</w:t>
            </w:r>
          </w:p>
        </w:tc>
      </w:tr>
      <w:tr w:rsidR="00000000" w14:paraId="7801C336" w14:textId="77777777">
        <w:trPr>
          <w:divId w:val="2014919711"/>
        </w:trPr>
        <w:tc>
          <w:tcPr>
            <w:tcW w:w="1290" w:type="pct"/>
            <w:shd w:val="clear" w:color="auto" w:fill="auto"/>
            <w:tcMar>
              <w:top w:w="0" w:type="dxa"/>
              <w:left w:w="0" w:type="dxa"/>
              <w:bottom w:w="0" w:type="dxa"/>
              <w:right w:w="0" w:type="dxa"/>
            </w:tcMar>
            <w:vAlign w:val="bottom"/>
            <w:hideMark/>
          </w:tcPr>
          <w:p w14:paraId="432905DB" w14:textId="77777777" w:rsidR="00000000" w:rsidRDefault="00097612">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17D27B47" w14:textId="77777777" w:rsidR="00000000" w:rsidRDefault="00097612">
            <w:pPr>
              <w:pStyle w:val="a3"/>
              <w:spacing w:before="0" w:beforeAutospacing="0" w:after="0" w:afterAutospacing="0"/>
              <w:jc w:val="center"/>
              <w:rPr>
                <w:sz w:val="20"/>
                <w:szCs w:val="20"/>
              </w:rPr>
            </w:pPr>
            <w:r>
              <w:rPr>
                <w:b/>
                <w:bCs/>
                <w:sz w:val="16"/>
                <w:szCs w:val="16"/>
              </w:rPr>
              <w:t>​</w:t>
            </w:r>
          </w:p>
        </w:tc>
        <w:tc>
          <w:tcPr>
            <w:tcW w:w="827" w:type="pct"/>
            <w:gridSpan w:val="5"/>
            <w:tcBorders>
              <w:bottom w:val="single" w:sz="6" w:space="0" w:color="000000"/>
            </w:tcBorders>
            <w:shd w:val="clear" w:color="auto" w:fill="auto"/>
            <w:noWrap/>
            <w:tcMar>
              <w:top w:w="0" w:type="dxa"/>
              <w:left w:w="0" w:type="dxa"/>
              <w:bottom w:w="0" w:type="dxa"/>
              <w:right w:w="0" w:type="dxa"/>
            </w:tcMar>
            <w:vAlign w:val="bottom"/>
            <w:hideMark/>
          </w:tcPr>
          <w:p w14:paraId="00D008AC"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99" w:type="pct"/>
            <w:shd w:val="clear" w:color="auto" w:fill="auto"/>
            <w:noWrap/>
            <w:tcMar>
              <w:top w:w="0" w:type="dxa"/>
              <w:left w:w="0" w:type="dxa"/>
              <w:bottom w:w="0" w:type="dxa"/>
              <w:right w:w="0" w:type="dxa"/>
            </w:tcMar>
            <w:vAlign w:val="bottom"/>
            <w:hideMark/>
          </w:tcPr>
          <w:p w14:paraId="47E9529A" w14:textId="77777777" w:rsidR="00000000" w:rsidRDefault="00097612">
            <w:pPr>
              <w:pStyle w:val="a3"/>
              <w:spacing w:before="0" w:beforeAutospacing="0" w:after="0" w:afterAutospacing="0"/>
              <w:jc w:val="center"/>
              <w:rPr>
                <w:sz w:val="20"/>
                <w:szCs w:val="20"/>
              </w:rPr>
            </w:pPr>
            <w:r>
              <w:rPr>
                <w:b/>
                <w:bCs/>
                <w:sz w:val="16"/>
                <w:szCs w:val="16"/>
              </w:rPr>
              <w:t>​</w:t>
            </w:r>
          </w:p>
        </w:tc>
        <w:tc>
          <w:tcPr>
            <w:tcW w:w="666" w:type="pct"/>
            <w:gridSpan w:val="4"/>
            <w:tcBorders>
              <w:bottom w:val="single" w:sz="6" w:space="0" w:color="000000"/>
            </w:tcBorders>
            <w:shd w:val="clear" w:color="auto" w:fill="auto"/>
            <w:noWrap/>
            <w:tcMar>
              <w:top w:w="0" w:type="dxa"/>
              <w:left w:w="0" w:type="dxa"/>
              <w:bottom w:w="0" w:type="dxa"/>
              <w:right w:w="0" w:type="dxa"/>
            </w:tcMar>
            <w:vAlign w:val="bottom"/>
            <w:hideMark/>
          </w:tcPr>
          <w:p w14:paraId="5D12A68D" w14:textId="77777777" w:rsidR="00000000" w:rsidRDefault="00097612">
            <w:pPr>
              <w:pStyle w:val="a3"/>
              <w:spacing w:before="0" w:beforeAutospacing="0" w:after="0" w:afterAutospacing="0"/>
              <w:jc w:val="center"/>
              <w:rPr>
                <w:sz w:val="16"/>
                <w:szCs w:val="16"/>
              </w:rPr>
            </w:pPr>
            <w:r>
              <w:rPr>
                <w:b/>
                <w:bCs/>
                <w:sz w:val="16"/>
                <w:szCs w:val="16"/>
              </w:rPr>
              <w:t>Change</w:t>
            </w:r>
          </w:p>
        </w:tc>
        <w:tc>
          <w:tcPr>
            <w:tcW w:w="112" w:type="pct"/>
            <w:shd w:val="clear" w:color="auto" w:fill="auto"/>
            <w:noWrap/>
            <w:tcMar>
              <w:top w:w="0" w:type="dxa"/>
              <w:left w:w="0" w:type="dxa"/>
              <w:bottom w:w="0" w:type="dxa"/>
              <w:right w:w="0" w:type="dxa"/>
            </w:tcMar>
            <w:vAlign w:val="bottom"/>
            <w:hideMark/>
          </w:tcPr>
          <w:p w14:paraId="2F8C54E7" w14:textId="77777777" w:rsidR="00000000" w:rsidRDefault="00097612">
            <w:pPr>
              <w:pStyle w:val="a3"/>
              <w:spacing w:before="0" w:beforeAutospacing="0" w:after="0" w:afterAutospacing="0"/>
              <w:jc w:val="center"/>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35A1E80D" w14:textId="77777777" w:rsidR="00000000" w:rsidRDefault="00097612">
            <w:pPr>
              <w:pStyle w:val="a3"/>
              <w:spacing w:before="0" w:beforeAutospacing="0" w:after="0" w:afterAutospacing="0"/>
              <w:jc w:val="center"/>
              <w:rPr>
                <w:sz w:val="20"/>
                <w:szCs w:val="20"/>
              </w:rPr>
            </w:pPr>
            <w:r>
              <w:rPr>
                <w:b/>
                <w:bCs/>
                <w:sz w:val="16"/>
                <w:szCs w:val="16"/>
              </w:rPr>
              <w:t>​</w:t>
            </w:r>
          </w:p>
        </w:tc>
        <w:tc>
          <w:tcPr>
            <w:tcW w:w="876" w:type="pct"/>
            <w:gridSpan w:val="5"/>
            <w:tcBorders>
              <w:bottom w:val="single" w:sz="6" w:space="0" w:color="000000"/>
            </w:tcBorders>
            <w:shd w:val="clear" w:color="auto" w:fill="auto"/>
            <w:noWrap/>
            <w:tcMar>
              <w:top w:w="0" w:type="dxa"/>
              <w:left w:w="0" w:type="dxa"/>
              <w:bottom w:w="0" w:type="dxa"/>
              <w:right w:w="0" w:type="dxa"/>
            </w:tcMar>
            <w:vAlign w:val="bottom"/>
            <w:hideMark/>
          </w:tcPr>
          <w:p w14:paraId="1F50152A"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99" w:type="pct"/>
            <w:shd w:val="clear" w:color="auto" w:fill="auto"/>
            <w:noWrap/>
            <w:tcMar>
              <w:top w:w="0" w:type="dxa"/>
              <w:left w:w="0" w:type="dxa"/>
              <w:bottom w:w="0" w:type="dxa"/>
              <w:right w:w="0" w:type="dxa"/>
            </w:tcMar>
            <w:vAlign w:val="bottom"/>
            <w:hideMark/>
          </w:tcPr>
          <w:p w14:paraId="5E48A8F3" w14:textId="77777777" w:rsidR="00000000" w:rsidRDefault="00097612">
            <w:pPr>
              <w:pStyle w:val="a3"/>
              <w:spacing w:before="0" w:beforeAutospacing="0" w:after="0" w:afterAutospacing="0"/>
              <w:jc w:val="center"/>
              <w:rPr>
                <w:sz w:val="20"/>
                <w:szCs w:val="20"/>
              </w:rPr>
            </w:pPr>
            <w:r>
              <w:rPr>
                <w:b/>
                <w:bCs/>
                <w:sz w:val="16"/>
                <w:szCs w:val="16"/>
              </w:rPr>
              <w:t>​</w:t>
            </w:r>
          </w:p>
        </w:tc>
        <w:tc>
          <w:tcPr>
            <w:tcW w:w="716" w:type="pct"/>
            <w:gridSpan w:val="4"/>
            <w:tcBorders>
              <w:bottom w:val="single" w:sz="6" w:space="0" w:color="000000"/>
            </w:tcBorders>
            <w:shd w:val="clear" w:color="auto" w:fill="auto"/>
            <w:noWrap/>
            <w:tcMar>
              <w:top w:w="0" w:type="dxa"/>
              <w:left w:w="0" w:type="dxa"/>
              <w:bottom w:w="0" w:type="dxa"/>
              <w:right w:w="0" w:type="dxa"/>
            </w:tcMar>
            <w:vAlign w:val="bottom"/>
            <w:hideMark/>
          </w:tcPr>
          <w:p w14:paraId="24865110" w14:textId="77777777" w:rsidR="00000000" w:rsidRDefault="00097612">
            <w:pPr>
              <w:pStyle w:val="a3"/>
              <w:spacing w:before="0" w:beforeAutospacing="0" w:after="0" w:afterAutospacing="0"/>
              <w:jc w:val="center"/>
              <w:rPr>
                <w:sz w:val="16"/>
                <w:szCs w:val="16"/>
              </w:rPr>
            </w:pPr>
            <w:r>
              <w:rPr>
                <w:b/>
                <w:bCs/>
                <w:sz w:val="16"/>
                <w:szCs w:val="16"/>
              </w:rPr>
              <w:t>Change</w:t>
            </w:r>
          </w:p>
        </w:tc>
        <w:tc>
          <w:tcPr>
            <w:tcW w:w="112" w:type="pct"/>
            <w:shd w:val="clear" w:color="auto" w:fill="auto"/>
            <w:noWrap/>
            <w:tcMar>
              <w:top w:w="0" w:type="dxa"/>
              <w:left w:w="0" w:type="dxa"/>
              <w:bottom w:w="0" w:type="dxa"/>
              <w:right w:w="0" w:type="dxa"/>
            </w:tcMar>
            <w:vAlign w:val="bottom"/>
            <w:hideMark/>
          </w:tcPr>
          <w:p w14:paraId="4FE0A409" w14:textId="77777777" w:rsidR="00000000" w:rsidRDefault="00097612">
            <w:pPr>
              <w:pStyle w:val="a3"/>
              <w:spacing w:before="0" w:beforeAutospacing="0" w:after="0" w:afterAutospacing="0"/>
              <w:jc w:val="center"/>
              <w:rPr>
                <w:sz w:val="20"/>
                <w:szCs w:val="20"/>
              </w:rPr>
            </w:pPr>
            <w:r>
              <w:rPr>
                <w:b/>
                <w:bCs/>
                <w:sz w:val="16"/>
                <w:szCs w:val="16"/>
              </w:rPr>
              <w:t>​</w:t>
            </w:r>
          </w:p>
        </w:tc>
      </w:tr>
      <w:tr w:rsidR="00000000" w14:paraId="578064D0" w14:textId="77777777">
        <w:trPr>
          <w:divId w:val="2014919711"/>
        </w:trPr>
        <w:tc>
          <w:tcPr>
            <w:tcW w:w="1290" w:type="pct"/>
            <w:tcBorders>
              <w:bottom w:val="single" w:sz="6" w:space="0" w:color="000000"/>
            </w:tcBorders>
            <w:shd w:val="clear" w:color="auto" w:fill="auto"/>
            <w:tcMar>
              <w:top w:w="0" w:type="dxa"/>
              <w:left w:w="0" w:type="dxa"/>
              <w:bottom w:w="0" w:type="dxa"/>
              <w:right w:w="0" w:type="dxa"/>
            </w:tcMar>
            <w:vAlign w:val="bottom"/>
            <w:hideMark/>
          </w:tcPr>
          <w:p w14:paraId="76AAD591" w14:textId="77777777" w:rsidR="00000000" w:rsidRDefault="00097612">
            <w:pPr>
              <w:pStyle w:val="a3"/>
              <w:spacing w:before="0" w:beforeAutospacing="0" w:after="0" w:afterAutospacing="0"/>
              <w:rPr>
                <w:sz w:val="16"/>
                <w:szCs w:val="16"/>
              </w:rPr>
            </w:pPr>
            <w:r>
              <w:rPr>
                <w:b/>
                <w:bCs/>
                <w:sz w:val="16"/>
                <w:szCs w:val="16"/>
              </w:rPr>
              <w:t>(In thousands)</w:t>
            </w:r>
          </w:p>
        </w:tc>
        <w:tc>
          <w:tcPr>
            <w:tcW w:w="99" w:type="pct"/>
            <w:shd w:val="clear" w:color="auto" w:fill="auto"/>
            <w:noWrap/>
            <w:tcMar>
              <w:top w:w="0" w:type="dxa"/>
              <w:left w:w="0" w:type="dxa"/>
              <w:bottom w:w="0" w:type="dxa"/>
              <w:right w:w="0" w:type="dxa"/>
            </w:tcMar>
            <w:vAlign w:val="bottom"/>
            <w:hideMark/>
          </w:tcPr>
          <w:p w14:paraId="12D00BB2" w14:textId="77777777" w:rsidR="00000000" w:rsidRDefault="00097612">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14:paraId="525D746B" w14:textId="77777777" w:rsidR="00000000" w:rsidRDefault="00097612">
            <w:pPr>
              <w:pStyle w:val="a3"/>
              <w:spacing w:before="0" w:beforeAutospacing="0" w:after="0" w:afterAutospacing="0"/>
              <w:jc w:val="center"/>
              <w:rPr>
                <w:sz w:val="16"/>
                <w:szCs w:val="16"/>
              </w:rPr>
            </w:pPr>
            <w:r>
              <w:rPr>
                <w:b/>
                <w:bCs/>
                <w:sz w:val="16"/>
                <w:szCs w:val="16"/>
              </w:rPr>
              <w:t>2019</w:t>
            </w:r>
          </w:p>
        </w:tc>
        <w:tc>
          <w:tcPr>
            <w:tcW w:w="99" w:type="pct"/>
            <w:shd w:val="clear" w:color="auto" w:fill="auto"/>
            <w:noWrap/>
            <w:tcMar>
              <w:top w:w="0" w:type="dxa"/>
              <w:left w:w="0" w:type="dxa"/>
              <w:bottom w:w="0" w:type="dxa"/>
              <w:right w:w="0" w:type="dxa"/>
            </w:tcMar>
            <w:vAlign w:val="bottom"/>
            <w:hideMark/>
          </w:tcPr>
          <w:p w14:paraId="66481505" w14:textId="77777777" w:rsidR="00000000" w:rsidRDefault="00097612">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14:paraId="765B4D16" w14:textId="77777777" w:rsidR="00000000" w:rsidRDefault="00097612">
            <w:pPr>
              <w:pStyle w:val="a3"/>
              <w:spacing w:before="0" w:beforeAutospacing="0" w:after="0" w:afterAutospacing="0"/>
              <w:jc w:val="center"/>
              <w:rPr>
                <w:sz w:val="16"/>
                <w:szCs w:val="16"/>
              </w:rPr>
            </w:pPr>
            <w:r>
              <w:rPr>
                <w:b/>
                <w:bCs/>
                <w:sz w:val="16"/>
                <w:szCs w:val="16"/>
              </w:rPr>
              <w:t>2018</w:t>
            </w:r>
          </w:p>
        </w:tc>
        <w:tc>
          <w:tcPr>
            <w:tcW w:w="99" w:type="pct"/>
            <w:shd w:val="clear" w:color="auto" w:fill="auto"/>
            <w:noWrap/>
            <w:tcMar>
              <w:top w:w="0" w:type="dxa"/>
              <w:left w:w="0" w:type="dxa"/>
              <w:bottom w:w="0" w:type="dxa"/>
              <w:right w:w="0" w:type="dxa"/>
            </w:tcMar>
            <w:vAlign w:val="bottom"/>
            <w:hideMark/>
          </w:tcPr>
          <w:p w14:paraId="27A930E4" w14:textId="77777777" w:rsidR="00000000" w:rsidRDefault="00097612">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14:paraId="20C563E3" w14:textId="77777777" w:rsidR="00000000" w:rsidRDefault="00097612">
            <w:pPr>
              <w:pStyle w:val="a3"/>
              <w:spacing w:before="0" w:beforeAutospacing="0" w:after="0" w:afterAutospacing="0"/>
              <w:jc w:val="center"/>
              <w:rPr>
                <w:sz w:val="16"/>
                <w:szCs w:val="16"/>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4F95B2C3" w14:textId="77777777" w:rsidR="00000000" w:rsidRDefault="00097612">
            <w:pPr>
              <w:pStyle w:val="a3"/>
              <w:spacing w:before="0" w:beforeAutospacing="0" w:after="0" w:afterAutospacing="0"/>
              <w:jc w:val="center"/>
              <w:rPr>
                <w:sz w:val="20"/>
                <w:szCs w:val="20"/>
              </w:rPr>
            </w:pPr>
            <w:r>
              <w:rPr>
                <w:b/>
                <w:bCs/>
                <w:sz w:val="20"/>
                <w:szCs w:val="20"/>
              </w:rPr>
              <w:t>    </w:t>
            </w:r>
          </w:p>
        </w:tc>
        <w:tc>
          <w:tcPr>
            <w:tcW w:w="203" w:type="pct"/>
            <w:tcBorders>
              <w:bottom w:val="single" w:sz="6" w:space="0" w:color="000000"/>
            </w:tcBorders>
            <w:shd w:val="clear" w:color="auto" w:fill="auto"/>
            <w:noWrap/>
            <w:tcMar>
              <w:top w:w="0" w:type="dxa"/>
              <w:left w:w="0" w:type="dxa"/>
              <w:bottom w:w="0" w:type="dxa"/>
              <w:right w:w="0" w:type="dxa"/>
            </w:tcMar>
            <w:vAlign w:val="bottom"/>
            <w:hideMark/>
          </w:tcPr>
          <w:p w14:paraId="3CF7BEA1" w14:textId="77777777" w:rsidR="00000000" w:rsidRDefault="00097612">
            <w:pPr>
              <w:pStyle w:val="a3"/>
              <w:spacing w:before="0" w:beforeAutospacing="0" w:after="0" w:afterAutospacing="0"/>
              <w:jc w:val="center"/>
              <w:rPr>
                <w:sz w:val="16"/>
                <w:szCs w:val="16"/>
              </w:rPr>
            </w:pPr>
            <w:r>
              <w:rPr>
                <w:b/>
                <w:bCs/>
                <w:sz w:val="16"/>
                <w:szCs w:val="16"/>
              </w:rPr>
              <w:t>%</w:t>
            </w:r>
          </w:p>
        </w:tc>
        <w:tc>
          <w:tcPr>
            <w:tcW w:w="112" w:type="pct"/>
            <w:shd w:val="clear" w:color="auto" w:fill="auto"/>
            <w:noWrap/>
            <w:tcMar>
              <w:top w:w="0" w:type="dxa"/>
              <w:left w:w="0" w:type="dxa"/>
              <w:bottom w:w="0" w:type="dxa"/>
              <w:right w:w="0" w:type="dxa"/>
            </w:tcMar>
            <w:vAlign w:val="bottom"/>
            <w:hideMark/>
          </w:tcPr>
          <w:p w14:paraId="0758ED86" w14:textId="77777777" w:rsidR="00000000" w:rsidRDefault="00097612">
            <w:pPr>
              <w:pStyle w:val="a3"/>
              <w:spacing w:before="0" w:beforeAutospacing="0" w:after="0" w:afterAutospacing="0"/>
              <w:jc w:val="center"/>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799CE8A5" w14:textId="77777777" w:rsidR="00000000" w:rsidRDefault="00097612">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shd w:val="clear" w:color="auto" w:fill="auto"/>
            <w:noWrap/>
            <w:tcMar>
              <w:top w:w="0" w:type="dxa"/>
              <w:left w:w="0" w:type="dxa"/>
              <w:bottom w:w="0" w:type="dxa"/>
              <w:right w:w="0" w:type="dxa"/>
            </w:tcMar>
            <w:vAlign w:val="bottom"/>
            <w:hideMark/>
          </w:tcPr>
          <w:p w14:paraId="13960046" w14:textId="77777777" w:rsidR="00000000" w:rsidRDefault="00097612">
            <w:pPr>
              <w:pStyle w:val="a3"/>
              <w:spacing w:before="0" w:beforeAutospacing="0" w:after="0" w:afterAutospacing="0"/>
              <w:jc w:val="center"/>
              <w:rPr>
                <w:sz w:val="16"/>
                <w:szCs w:val="16"/>
              </w:rPr>
            </w:pPr>
            <w:r>
              <w:rPr>
                <w:b/>
                <w:bCs/>
                <w:sz w:val="16"/>
                <w:szCs w:val="16"/>
              </w:rPr>
              <w:t>2019</w:t>
            </w:r>
          </w:p>
        </w:tc>
        <w:tc>
          <w:tcPr>
            <w:tcW w:w="99" w:type="pct"/>
            <w:shd w:val="clear" w:color="auto" w:fill="auto"/>
            <w:noWrap/>
            <w:tcMar>
              <w:top w:w="0" w:type="dxa"/>
              <w:left w:w="0" w:type="dxa"/>
              <w:bottom w:w="0" w:type="dxa"/>
              <w:right w:w="0" w:type="dxa"/>
            </w:tcMar>
            <w:vAlign w:val="bottom"/>
            <w:hideMark/>
          </w:tcPr>
          <w:p w14:paraId="7C953A7E" w14:textId="77777777" w:rsidR="00000000" w:rsidRDefault="00097612">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14:paraId="03F1F567" w14:textId="77777777" w:rsidR="00000000" w:rsidRDefault="00097612">
            <w:pPr>
              <w:pStyle w:val="a3"/>
              <w:spacing w:before="0" w:beforeAutospacing="0" w:after="0" w:afterAutospacing="0"/>
              <w:jc w:val="center"/>
              <w:rPr>
                <w:sz w:val="16"/>
                <w:szCs w:val="16"/>
              </w:rPr>
            </w:pPr>
            <w:r>
              <w:rPr>
                <w:b/>
                <w:bCs/>
                <w:sz w:val="16"/>
                <w:szCs w:val="16"/>
              </w:rPr>
              <w:t>2018</w:t>
            </w:r>
          </w:p>
        </w:tc>
        <w:tc>
          <w:tcPr>
            <w:tcW w:w="99" w:type="pct"/>
            <w:shd w:val="clear" w:color="auto" w:fill="auto"/>
            <w:noWrap/>
            <w:tcMar>
              <w:top w:w="0" w:type="dxa"/>
              <w:left w:w="0" w:type="dxa"/>
              <w:bottom w:w="0" w:type="dxa"/>
              <w:right w:w="0" w:type="dxa"/>
            </w:tcMar>
            <w:vAlign w:val="bottom"/>
            <w:hideMark/>
          </w:tcPr>
          <w:p w14:paraId="74602D2F" w14:textId="77777777" w:rsidR="00000000" w:rsidRDefault="00097612">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shd w:val="clear" w:color="auto" w:fill="auto"/>
            <w:noWrap/>
            <w:tcMar>
              <w:top w:w="0" w:type="dxa"/>
              <w:left w:w="0" w:type="dxa"/>
              <w:bottom w:w="0" w:type="dxa"/>
              <w:right w:w="0" w:type="dxa"/>
            </w:tcMar>
            <w:vAlign w:val="bottom"/>
            <w:hideMark/>
          </w:tcPr>
          <w:p w14:paraId="28B249D4" w14:textId="77777777" w:rsidR="00000000" w:rsidRDefault="00097612">
            <w:pPr>
              <w:pStyle w:val="a3"/>
              <w:spacing w:before="0" w:beforeAutospacing="0" w:after="0" w:afterAutospacing="0"/>
              <w:jc w:val="center"/>
              <w:rPr>
                <w:sz w:val="16"/>
                <w:szCs w:val="16"/>
              </w:rPr>
            </w:pPr>
            <w:r>
              <w:rPr>
                <w:b/>
                <w:bCs/>
                <w:sz w:val="16"/>
                <w:szCs w:val="16"/>
              </w:rPr>
              <w:t>$</w:t>
            </w:r>
          </w:p>
        </w:tc>
        <w:tc>
          <w:tcPr>
            <w:tcW w:w="99" w:type="pct"/>
            <w:shd w:val="clear" w:color="auto" w:fill="auto"/>
            <w:noWrap/>
            <w:tcMar>
              <w:top w:w="0" w:type="dxa"/>
              <w:left w:w="0" w:type="dxa"/>
              <w:bottom w:w="0" w:type="dxa"/>
              <w:right w:w="0" w:type="dxa"/>
            </w:tcMar>
            <w:vAlign w:val="bottom"/>
            <w:hideMark/>
          </w:tcPr>
          <w:p w14:paraId="5AC71744" w14:textId="77777777" w:rsidR="00000000" w:rsidRDefault="00097612">
            <w:pPr>
              <w:pStyle w:val="a3"/>
              <w:spacing w:before="0" w:beforeAutospacing="0" w:after="0" w:afterAutospacing="0"/>
              <w:jc w:val="center"/>
              <w:rPr>
                <w:sz w:val="20"/>
                <w:szCs w:val="20"/>
              </w:rPr>
            </w:pPr>
            <w:r>
              <w:rPr>
                <w:b/>
                <w:bCs/>
                <w:sz w:val="20"/>
                <w:szCs w:val="20"/>
              </w:rPr>
              <w:t>    </w:t>
            </w:r>
          </w:p>
        </w:tc>
        <w:tc>
          <w:tcPr>
            <w:tcW w:w="203" w:type="pct"/>
            <w:tcBorders>
              <w:bottom w:val="single" w:sz="6" w:space="0" w:color="000000"/>
            </w:tcBorders>
            <w:shd w:val="clear" w:color="auto" w:fill="auto"/>
            <w:noWrap/>
            <w:tcMar>
              <w:top w:w="0" w:type="dxa"/>
              <w:left w:w="0" w:type="dxa"/>
              <w:bottom w:w="0" w:type="dxa"/>
              <w:right w:w="0" w:type="dxa"/>
            </w:tcMar>
            <w:vAlign w:val="bottom"/>
            <w:hideMark/>
          </w:tcPr>
          <w:p w14:paraId="22D46FF6" w14:textId="77777777" w:rsidR="00000000" w:rsidRDefault="00097612">
            <w:pPr>
              <w:pStyle w:val="a3"/>
              <w:spacing w:before="0" w:beforeAutospacing="0" w:after="0" w:afterAutospacing="0"/>
              <w:jc w:val="center"/>
              <w:rPr>
                <w:sz w:val="16"/>
                <w:szCs w:val="16"/>
              </w:rPr>
            </w:pPr>
            <w:r>
              <w:rPr>
                <w:b/>
                <w:bCs/>
                <w:sz w:val="16"/>
                <w:szCs w:val="16"/>
              </w:rPr>
              <w:t>%</w:t>
            </w:r>
          </w:p>
        </w:tc>
        <w:tc>
          <w:tcPr>
            <w:tcW w:w="112" w:type="pct"/>
            <w:shd w:val="clear" w:color="auto" w:fill="auto"/>
            <w:noWrap/>
            <w:tcMar>
              <w:top w:w="0" w:type="dxa"/>
              <w:left w:w="0" w:type="dxa"/>
              <w:bottom w:w="0" w:type="dxa"/>
              <w:right w:w="0" w:type="dxa"/>
            </w:tcMar>
            <w:vAlign w:val="bottom"/>
            <w:hideMark/>
          </w:tcPr>
          <w:p w14:paraId="4AD7E531" w14:textId="77777777" w:rsidR="00000000" w:rsidRDefault="00097612">
            <w:pPr>
              <w:pStyle w:val="a3"/>
              <w:spacing w:before="0" w:beforeAutospacing="0" w:after="0" w:afterAutospacing="0"/>
              <w:jc w:val="center"/>
              <w:rPr>
                <w:sz w:val="20"/>
                <w:szCs w:val="20"/>
              </w:rPr>
            </w:pPr>
            <w:r>
              <w:rPr>
                <w:b/>
                <w:bCs/>
                <w:sz w:val="20"/>
                <w:szCs w:val="20"/>
              </w:rPr>
              <w:t>    </w:t>
            </w:r>
          </w:p>
        </w:tc>
      </w:tr>
      <w:tr w:rsidR="00000000" w14:paraId="370FECCE" w14:textId="77777777">
        <w:trPr>
          <w:divId w:val="2014919711"/>
        </w:trPr>
        <w:tc>
          <w:tcPr>
            <w:tcW w:w="1290" w:type="pct"/>
            <w:shd w:val="clear" w:color="auto" w:fill="CCEEFF"/>
            <w:tcMar>
              <w:top w:w="0" w:type="dxa"/>
              <w:left w:w="0" w:type="dxa"/>
              <w:bottom w:w="0" w:type="dxa"/>
              <w:right w:w="0" w:type="dxa"/>
            </w:tcMar>
            <w:vAlign w:val="bottom"/>
            <w:hideMark/>
          </w:tcPr>
          <w:p w14:paraId="73A85B7F" w14:textId="77777777" w:rsidR="00000000" w:rsidRDefault="00097612">
            <w:pPr>
              <w:pStyle w:val="a3"/>
              <w:spacing w:before="0" w:beforeAutospacing="0" w:after="0" w:afterAutospacing="0"/>
              <w:rPr>
                <w:sz w:val="20"/>
                <w:szCs w:val="20"/>
              </w:rPr>
            </w:pPr>
            <w:r>
              <w:rPr>
                <w:sz w:val="20"/>
                <w:szCs w:val="20"/>
              </w:rPr>
              <w:t>Interest expense</w:t>
            </w:r>
          </w:p>
        </w:tc>
        <w:tc>
          <w:tcPr>
            <w:tcW w:w="99" w:type="pct"/>
            <w:shd w:val="clear" w:color="auto" w:fill="CCEEFF"/>
            <w:noWrap/>
            <w:tcMar>
              <w:top w:w="0" w:type="dxa"/>
              <w:left w:w="0" w:type="dxa"/>
              <w:bottom w:w="0" w:type="dxa"/>
              <w:right w:w="0" w:type="dxa"/>
            </w:tcMar>
            <w:vAlign w:val="bottom"/>
            <w:hideMark/>
          </w:tcPr>
          <w:p w14:paraId="1CCB1279"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5905ED6" w14:textId="77777777" w:rsidR="00000000" w:rsidRDefault="00097612">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7E92F807" w14:textId="77777777" w:rsidR="00000000" w:rsidRDefault="00097612">
            <w:pPr>
              <w:pStyle w:val="a3"/>
              <w:spacing w:before="0" w:beforeAutospacing="0" w:after="0" w:afterAutospacing="0"/>
              <w:jc w:val="right"/>
              <w:rPr>
                <w:sz w:val="20"/>
                <w:szCs w:val="20"/>
              </w:rPr>
            </w:pPr>
            <w:r>
              <w:rPr>
                <w:sz w:val="20"/>
                <w:szCs w:val="20"/>
              </w:rPr>
              <w:t>(8,068</w:t>
            </w:r>
            <w:r>
              <w:rPr>
                <w:sz w:val="20"/>
                <w:szCs w:val="20"/>
              </w:rPr>
              <w:t>)</w:t>
            </w:r>
          </w:p>
        </w:tc>
        <w:tc>
          <w:tcPr>
            <w:tcW w:w="99" w:type="pct"/>
            <w:shd w:val="clear" w:color="auto" w:fill="CCEEFF"/>
            <w:noWrap/>
            <w:tcMar>
              <w:top w:w="0" w:type="dxa"/>
              <w:left w:w="0" w:type="dxa"/>
              <w:bottom w:w="0" w:type="dxa"/>
              <w:right w:w="0" w:type="dxa"/>
            </w:tcMar>
            <w:vAlign w:val="bottom"/>
            <w:hideMark/>
          </w:tcPr>
          <w:p w14:paraId="67421EE6"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EA84F38" w14:textId="77777777" w:rsidR="00000000" w:rsidRDefault="00097612">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49F4063D" w14:textId="77777777" w:rsidR="00000000" w:rsidRDefault="00097612">
            <w:pPr>
              <w:pStyle w:val="a3"/>
              <w:spacing w:before="0" w:beforeAutospacing="0" w:after="0" w:afterAutospacing="0"/>
              <w:jc w:val="right"/>
              <w:rPr>
                <w:sz w:val="20"/>
                <w:szCs w:val="20"/>
              </w:rPr>
            </w:pPr>
            <w:r>
              <w:rPr>
                <w:sz w:val="20"/>
                <w:szCs w:val="20"/>
              </w:rPr>
              <w:t>(2,137</w:t>
            </w:r>
            <w:r>
              <w:rPr>
                <w:sz w:val="20"/>
                <w:szCs w:val="20"/>
              </w:rPr>
              <w:t>)</w:t>
            </w:r>
          </w:p>
        </w:tc>
        <w:tc>
          <w:tcPr>
            <w:tcW w:w="99" w:type="pct"/>
            <w:shd w:val="clear" w:color="auto" w:fill="CCEEFF"/>
            <w:noWrap/>
            <w:tcMar>
              <w:top w:w="0" w:type="dxa"/>
              <w:left w:w="0" w:type="dxa"/>
              <w:bottom w:w="0" w:type="dxa"/>
              <w:right w:w="0" w:type="dxa"/>
            </w:tcMar>
            <w:vAlign w:val="bottom"/>
            <w:hideMark/>
          </w:tcPr>
          <w:p w14:paraId="31A02568"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7C7D90D" w14:textId="77777777" w:rsidR="00000000" w:rsidRDefault="00097612">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78DEB27E" w14:textId="77777777" w:rsidR="00000000" w:rsidRDefault="00097612">
            <w:pPr>
              <w:pStyle w:val="a3"/>
              <w:spacing w:before="0" w:beforeAutospacing="0" w:after="0" w:afterAutospacing="0"/>
              <w:jc w:val="right"/>
              <w:rPr>
                <w:sz w:val="20"/>
                <w:szCs w:val="20"/>
              </w:rPr>
            </w:pPr>
            <w:r>
              <w:rPr>
                <w:sz w:val="20"/>
                <w:szCs w:val="20"/>
              </w:rPr>
              <w:t>(5,931</w:t>
            </w:r>
            <w:r>
              <w:rPr>
                <w:sz w:val="20"/>
                <w:szCs w:val="20"/>
              </w:rPr>
              <w:t>)</w:t>
            </w:r>
          </w:p>
        </w:tc>
        <w:tc>
          <w:tcPr>
            <w:tcW w:w="99" w:type="pct"/>
            <w:shd w:val="clear" w:color="auto" w:fill="CCEEFF"/>
            <w:noWrap/>
            <w:tcMar>
              <w:top w:w="0" w:type="dxa"/>
              <w:left w:w="0" w:type="dxa"/>
              <w:bottom w:w="0" w:type="dxa"/>
              <w:right w:w="0" w:type="dxa"/>
            </w:tcMar>
            <w:vAlign w:val="bottom"/>
            <w:hideMark/>
          </w:tcPr>
          <w:p w14:paraId="127285C3" w14:textId="77777777" w:rsidR="00000000" w:rsidRDefault="00097612">
            <w:pPr>
              <w:pStyle w:val="a3"/>
              <w:spacing w:before="0" w:beforeAutospacing="0" w:after="0" w:afterAutospacing="0"/>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14:paraId="4E82323A" w14:textId="77777777" w:rsidR="00000000" w:rsidRDefault="00097612">
            <w:pPr>
              <w:pStyle w:val="a3"/>
              <w:spacing w:before="0" w:beforeAutospacing="0" w:after="0" w:afterAutospacing="0"/>
              <w:ind w:right="60"/>
              <w:jc w:val="right"/>
              <w:rPr>
                <w:sz w:val="20"/>
                <w:szCs w:val="20"/>
              </w:rPr>
            </w:pPr>
            <w:r>
              <w:rPr>
                <w:sz w:val="20"/>
                <w:szCs w:val="20"/>
              </w:rPr>
              <w:t>27</w:t>
            </w:r>
            <w:r>
              <w:rPr>
                <w:sz w:val="20"/>
                <w:szCs w:val="20"/>
              </w:rPr>
              <w:t>8</w:t>
            </w:r>
          </w:p>
        </w:tc>
        <w:tc>
          <w:tcPr>
            <w:tcW w:w="112" w:type="pct"/>
            <w:shd w:val="clear" w:color="auto" w:fill="CCEEFF"/>
            <w:noWrap/>
            <w:tcMar>
              <w:top w:w="0" w:type="dxa"/>
              <w:left w:w="0" w:type="dxa"/>
              <w:bottom w:w="0" w:type="dxa"/>
              <w:right w:w="0" w:type="dxa"/>
            </w:tcMar>
            <w:vAlign w:val="bottom"/>
            <w:hideMark/>
          </w:tcPr>
          <w:p w14:paraId="73CDB13C" w14:textId="77777777" w:rsidR="00000000" w:rsidRDefault="00097612">
            <w:pPr>
              <w:pStyle w:val="a3"/>
              <w:spacing w:before="0" w:beforeAutospacing="0" w:after="0" w:afterAutospacing="0"/>
              <w:ind w:right="6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14:paraId="351546A8"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0C445840" w14:textId="77777777" w:rsidR="00000000" w:rsidRDefault="00097612">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14:paraId="34FA5216" w14:textId="77777777" w:rsidR="00000000" w:rsidRDefault="00097612">
            <w:pPr>
              <w:pStyle w:val="a3"/>
              <w:spacing w:before="0" w:beforeAutospacing="0" w:after="0" w:afterAutospacing="0"/>
              <w:jc w:val="right"/>
              <w:rPr>
                <w:sz w:val="20"/>
                <w:szCs w:val="20"/>
              </w:rPr>
            </w:pPr>
            <w:r>
              <w:rPr>
                <w:sz w:val="20"/>
                <w:szCs w:val="20"/>
              </w:rPr>
              <w:t>(23,827</w:t>
            </w:r>
            <w:r>
              <w:rPr>
                <w:sz w:val="20"/>
                <w:szCs w:val="20"/>
              </w:rPr>
              <w:t>)</w:t>
            </w:r>
          </w:p>
        </w:tc>
        <w:tc>
          <w:tcPr>
            <w:tcW w:w="99" w:type="pct"/>
            <w:shd w:val="clear" w:color="auto" w:fill="CCEEFF"/>
            <w:noWrap/>
            <w:tcMar>
              <w:top w:w="0" w:type="dxa"/>
              <w:left w:w="0" w:type="dxa"/>
              <w:bottom w:w="0" w:type="dxa"/>
              <w:right w:w="0" w:type="dxa"/>
            </w:tcMar>
            <w:vAlign w:val="bottom"/>
            <w:hideMark/>
          </w:tcPr>
          <w:p w14:paraId="022BF0BC"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ABF0E7F" w14:textId="77777777" w:rsidR="00000000" w:rsidRDefault="00097612">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3E9C12CE" w14:textId="77777777" w:rsidR="00000000" w:rsidRDefault="00097612">
            <w:pPr>
              <w:pStyle w:val="a3"/>
              <w:spacing w:before="0" w:beforeAutospacing="0" w:after="0" w:afterAutospacing="0"/>
              <w:jc w:val="right"/>
              <w:rPr>
                <w:sz w:val="20"/>
                <w:szCs w:val="20"/>
              </w:rPr>
            </w:pPr>
            <w:r>
              <w:rPr>
                <w:sz w:val="20"/>
                <w:szCs w:val="20"/>
              </w:rPr>
              <w:t>(6,411</w:t>
            </w:r>
            <w:r>
              <w:rPr>
                <w:sz w:val="20"/>
                <w:szCs w:val="20"/>
              </w:rPr>
              <w:t>)</w:t>
            </w:r>
          </w:p>
        </w:tc>
        <w:tc>
          <w:tcPr>
            <w:tcW w:w="99" w:type="pct"/>
            <w:shd w:val="clear" w:color="auto" w:fill="CCEEFF"/>
            <w:noWrap/>
            <w:tcMar>
              <w:top w:w="0" w:type="dxa"/>
              <w:left w:w="0" w:type="dxa"/>
              <w:bottom w:w="0" w:type="dxa"/>
              <w:right w:w="0" w:type="dxa"/>
            </w:tcMar>
            <w:vAlign w:val="bottom"/>
            <w:hideMark/>
          </w:tcPr>
          <w:p w14:paraId="048A2C33"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43CE5F51" w14:textId="77777777" w:rsidR="00000000" w:rsidRDefault="00097612">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14:paraId="5F2B8881" w14:textId="77777777" w:rsidR="00000000" w:rsidRDefault="00097612">
            <w:pPr>
              <w:pStyle w:val="a3"/>
              <w:spacing w:before="0" w:beforeAutospacing="0" w:after="0" w:afterAutospacing="0"/>
              <w:jc w:val="right"/>
              <w:rPr>
                <w:sz w:val="20"/>
                <w:szCs w:val="20"/>
              </w:rPr>
            </w:pPr>
            <w:r>
              <w:rPr>
                <w:sz w:val="20"/>
                <w:szCs w:val="20"/>
              </w:rPr>
              <w:t>(17,416</w:t>
            </w:r>
            <w:r>
              <w:rPr>
                <w:sz w:val="20"/>
                <w:szCs w:val="20"/>
              </w:rPr>
              <w:t>)</w:t>
            </w:r>
          </w:p>
        </w:tc>
        <w:tc>
          <w:tcPr>
            <w:tcW w:w="99" w:type="pct"/>
            <w:shd w:val="clear" w:color="auto" w:fill="CCEEFF"/>
            <w:noWrap/>
            <w:tcMar>
              <w:top w:w="0" w:type="dxa"/>
              <w:left w:w="0" w:type="dxa"/>
              <w:bottom w:w="0" w:type="dxa"/>
              <w:right w:w="0" w:type="dxa"/>
            </w:tcMar>
            <w:vAlign w:val="bottom"/>
            <w:hideMark/>
          </w:tcPr>
          <w:p w14:paraId="2420B427" w14:textId="77777777" w:rsidR="00000000" w:rsidRDefault="00097612">
            <w:pPr>
              <w:pStyle w:val="a3"/>
              <w:spacing w:before="0" w:beforeAutospacing="0" w:after="0" w:afterAutospacing="0"/>
              <w:jc w:val="center"/>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14:paraId="15ABF63E" w14:textId="77777777" w:rsidR="00000000" w:rsidRDefault="00097612">
            <w:pPr>
              <w:pStyle w:val="a3"/>
              <w:spacing w:before="0" w:beforeAutospacing="0" w:after="0" w:afterAutospacing="0"/>
              <w:ind w:right="60"/>
              <w:jc w:val="right"/>
              <w:rPr>
                <w:sz w:val="20"/>
                <w:szCs w:val="20"/>
              </w:rPr>
            </w:pPr>
            <w:r>
              <w:rPr>
                <w:sz w:val="20"/>
                <w:szCs w:val="20"/>
              </w:rPr>
              <w:t>27</w:t>
            </w:r>
            <w:r>
              <w:rPr>
                <w:sz w:val="20"/>
                <w:szCs w:val="20"/>
              </w:rPr>
              <w:t>2</w:t>
            </w:r>
          </w:p>
        </w:tc>
        <w:tc>
          <w:tcPr>
            <w:tcW w:w="112" w:type="pct"/>
            <w:shd w:val="clear" w:color="auto" w:fill="CCEEFF"/>
            <w:noWrap/>
            <w:tcMar>
              <w:top w:w="0" w:type="dxa"/>
              <w:left w:w="0" w:type="dxa"/>
              <w:bottom w:w="0" w:type="dxa"/>
              <w:right w:w="0" w:type="dxa"/>
            </w:tcMar>
            <w:vAlign w:val="bottom"/>
            <w:hideMark/>
          </w:tcPr>
          <w:p w14:paraId="0112533D" w14:textId="77777777" w:rsidR="00000000" w:rsidRDefault="00097612">
            <w:pPr>
              <w:pStyle w:val="a3"/>
              <w:spacing w:before="0" w:beforeAutospacing="0" w:after="0" w:afterAutospacing="0"/>
              <w:ind w:right="60"/>
              <w:jc w:val="right"/>
              <w:rPr>
                <w:sz w:val="20"/>
                <w:szCs w:val="20"/>
              </w:rPr>
            </w:pPr>
            <w:r>
              <w:rPr>
                <w:sz w:val="20"/>
                <w:szCs w:val="20"/>
              </w:rPr>
              <w:t>%</w:t>
            </w:r>
          </w:p>
        </w:tc>
      </w:tr>
    </w:tbl>
    <w:p w14:paraId="78FC63AA" w14:textId="77777777" w:rsidR="00000000" w:rsidRDefault="00097612">
      <w:pPr>
        <w:pStyle w:val="a3"/>
        <w:spacing w:before="0" w:beforeAutospacing="0" w:after="0" w:afterAutospacing="0"/>
        <w:divId w:val="2014919711"/>
        <w:rPr>
          <w:sz w:val="20"/>
          <w:szCs w:val="20"/>
        </w:rPr>
      </w:pPr>
      <w:r>
        <w:rPr>
          <w:sz w:val="20"/>
          <w:szCs w:val="20"/>
        </w:rPr>
        <w:t>​</w:t>
      </w:r>
    </w:p>
    <w:p w14:paraId="05886B58" w14:textId="77777777" w:rsidR="00000000" w:rsidRDefault="00097612">
      <w:pPr>
        <w:pStyle w:val="a3"/>
        <w:spacing w:before="0" w:beforeAutospacing="0" w:after="0" w:afterAutospacing="0"/>
        <w:ind w:firstLine="720"/>
        <w:divId w:val="2014919711"/>
        <w:rPr>
          <w:sz w:val="20"/>
          <w:szCs w:val="20"/>
        </w:rPr>
      </w:pPr>
      <w:r>
        <w:rPr>
          <w:sz w:val="20"/>
          <w:szCs w:val="20"/>
        </w:rPr>
        <w:t>Interest expense increased by $5.9 million and $17.4 million for the three and nine months ended September 30, 2019, respectively, compared to the same periods in 2018 due t</w:t>
      </w:r>
      <w:r>
        <w:rPr>
          <w:sz w:val="20"/>
          <w:szCs w:val="20"/>
        </w:rPr>
        <w:t xml:space="preserve">o additional interest expense related to the issuance of the Non-Recourse 2033 Notes in November 2018. </w:t>
      </w:r>
    </w:p>
    <w:p w14:paraId="5D8AC8BD" w14:textId="77777777" w:rsidR="00000000" w:rsidRDefault="00097612">
      <w:pPr>
        <w:pStyle w:val="a3"/>
        <w:spacing w:before="0" w:beforeAutospacing="0" w:after="0" w:afterAutospacing="0"/>
        <w:divId w:val="2014919711"/>
        <w:rPr>
          <w:sz w:val="20"/>
          <w:szCs w:val="20"/>
        </w:rPr>
      </w:pPr>
      <w:r>
        <w:rPr>
          <w:sz w:val="20"/>
          <w:szCs w:val="20"/>
        </w:rPr>
        <w:t>​</w:t>
      </w:r>
    </w:p>
    <w:p w14:paraId="3043D639" w14:textId="77777777" w:rsidR="00000000" w:rsidRDefault="00097612">
      <w:pPr>
        <w:pStyle w:val="a3"/>
        <w:spacing w:before="0" w:beforeAutospacing="0" w:after="0" w:afterAutospacing="0"/>
        <w:divId w:val="2014919711"/>
        <w:rPr>
          <w:sz w:val="20"/>
          <w:szCs w:val="20"/>
        </w:rPr>
      </w:pPr>
      <w:r>
        <w:rPr>
          <w:b/>
          <w:bCs/>
          <w:i/>
          <w:iCs/>
          <w:sz w:val="20"/>
          <w:szCs w:val="20"/>
        </w:rPr>
        <w:t>Interest and Other Income, net</w:t>
      </w:r>
    </w:p>
    <w:p w14:paraId="357E2133" w14:textId="77777777" w:rsidR="00000000" w:rsidRDefault="00097612">
      <w:pPr>
        <w:pStyle w:val="a3"/>
        <w:spacing w:before="0" w:beforeAutospacing="0" w:after="0" w:afterAutospacing="0"/>
        <w:divId w:val="2014919711"/>
        <w:rPr>
          <w:sz w:val="20"/>
          <w:szCs w:val="20"/>
        </w:rPr>
      </w:pPr>
      <w:r>
        <w:rPr>
          <w:i/>
          <w:iCs/>
          <w:sz w:val="10"/>
          <w:szCs w:val="10"/>
        </w:rPr>
        <w:t>​</w:t>
      </w:r>
    </w:p>
    <w:p w14:paraId="42CC68DC" w14:textId="77777777" w:rsidR="00000000" w:rsidRDefault="00097612">
      <w:pPr>
        <w:pStyle w:val="a3"/>
        <w:spacing w:before="0" w:beforeAutospacing="0" w:after="0" w:afterAutospacing="0"/>
        <w:ind w:firstLine="720"/>
        <w:divId w:val="2014919711"/>
        <w:rPr>
          <w:sz w:val="20"/>
          <w:szCs w:val="20"/>
        </w:rPr>
      </w:pPr>
      <w:r>
        <w:rPr>
          <w:sz w:val="20"/>
          <w:szCs w:val="20"/>
        </w:rPr>
        <w:t>Interest and other income, net, as compared to the comparable periods in the prior year, was as follows:</w:t>
      </w:r>
    </w:p>
    <w:p w14:paraId="36DF96C4" w14:textId="77777777" w:rsidR="00000000" w:rsidRDefault="00097612">
      <w:pPr>
        <w:pStyle w:val="a3"/>
        <w:spacing w:before="0" w:beforeAutospacing="0" w:after="0" w:afterAutospacing="0"/>
        <w:divId w:val="2014919711"/>
        <w:rPr>
          <w:sz w:val="20"/>
          <w:szCs w:val="20"/>
        </w:rPr>
      </w:pPr>
      <w:r>
        <w:rPr>
          <w:sz w:val="20"/>
          <w:szCs w:val="20"/>
        </w:rPr>
        <w:t>​</w:t>
      </w:r>
    </w:p>
    <w:tbl>
      <w:tblPr>
        <w:tblW w:w="5062" w:type="pct"/>
        <w:tblCellMar>
          <w:top w:w="15" w:type="dxa"/>
          <w:left w:w="0" w:type="dxa"/>
          <w:bottom w:w="15" w:type="dxa"/>
          <w:right w:w="0" w:type="dxa"/>
        </w:tblCellMar>
        <w:tblLook w:val="04A0" w:firstRow="1" w:lastRow="0" w:firstColumn="1" w:lastColumn="0" w:noHBand="0" w:noVBand="1"/>
      </w:tblPr>
      <w:tblGrid>
        <w:gridCol w:w="2265"/>
        <w:gridCol w:w="200"/>
        <w:gridCol w:w="101"/>
        <w:gridCol w:w="539"/>
        <w:gridCol w:w="200"/>
        <w:gridCol w:w="100"/>
        <w:gridCol w:w="540"/>
        <w:gridCol w:w="200"/>
        <w:gridCol w:w="100"/>
        <w:gridCol w:w="360"/>
        <w:gridCol w:w="200"/>
        <w:gridCol w:w="260"/>
        <w:gridCol w:w="227"/>
        <w:gridCol w:w="200"/>
        <w:gridCol w:w="100"/>
        <w:gridCol w:w="510"/>
        <w:gridCol w:w="200"/>
        <w:gridCol w:w="100"/>
        <w:gridCol w:w="510"/>
        <w:gridCol w:w="200"/>
        <w:gridCol w:w="100"/>
        <w:gridCol w:w="510"/>
        <w:gridCol w:w="200"/>
        <w:gridCol w:w="260"/>
        <w:gridCol w:w="227"/>
      </w:tblGrid>
      <w:tr w:rsidR="00000000" w14:paraId="1B38984D" w14:textId="77777777">
        <w:trPr>
          <w:divId w:val="2014919711"/>
          <w:trHeight w:val="20"/>
        </w:trPr>
        <w:tc>
          <w:tcPr>
            <w:tcW w:w="1823" w:type="pct"/>
            <w:tcMar>
              <w:top w:w="0" w:type="dxa"/>
              <w:left w:w="0" w:type="dxa"/>
              <w:bottom w:w="0" w:type="dxa"/>
              <w:right w:w="0" w:type="dxa"/>
            </w:tcMar>
            <w:vAlign w:val="bottom"/>
            <w:hideMark/>
          </w:tcPr>
          <w:p w14:paraId="3AA7A4AF" w14:textId="77777777" w:rsidR="00000000" w:rsidRDefault="00097612">
            <w:pPr>
              <w:pStyle w:val="a3"/>
              <w:spacing w:before="0" w:beforeAutospacing="0" w:after="0" w:afterAutospacing="0"/>
              <w:divId w:val="2133474925"/>
              <w:rPr>
                <w:sz w:val="20"/>
                <w:szCs w:val="20"/>
              </w:rPr>
            </w:pPr>
            <w:r>
              <w:rPr>
                <w:sz w:val="2"/>
                <w:szCs w:val="2"/>
              </w:rPr>
              <w:t>​</w:t>
            </w:r>
          </w:p>
        </w:tc>
        <w:tc>
          <w:tcPr>
            <w:tcW w:w="97" w:type="pct"/>
            <w:noWrap/>
            <w:tcMar>
              <w:top w:w="0" w:type="dxa"/>
              <w:left w:w="0" w:type="dxa"/>
              <w:bottom w:w="0" w:type="dxa"/>
              <w:right w:w="0" w:type="dxa"/>
            </w:tcMar>
            <w:vAlign w:val="bottom"/>
            <w:hideMark/>
          </w:tcPr>
          <w:p w14:paraId="4C65B25A" w14:textId="77777777" w:rsidR="00000000" w:rsidRDefault="00097612">
            <w:pPr>
              <w:pStyle w:val="a3"/>
              <w:spacing w:before="0" w:beforeAutospacing="0" w:after="0" w:afterAutospacing="0"/>
              <w:divId w:val="185825871"/>
              <w:rPr>
                <w:sz w:val="20"/>
                <w:szCs w:val="20"/>
              </w:rPr>
            </w:pPr>
            <w:r>
              <w:rPr>
                <w:sz w:val="2"/>
                <w:szCs w:val="2"/>
              </w:rPr>
              <w:t>​</w:t>
            </w:r>
          </w:p>
        </w:tc>
        <w:tc>
          <w:tcPr>
            <w:tcW w:w="48" w:type="pct"/>
            <w:noWrap/>
            <w:tcMar>
              <w:top w:w="0" w:type="dxa"/>
              <w:left w:w="0" w:type="dxa"/>
              <w:bottom w:w="0" w:type="dxa"/>
              <w:right w:w="0" w:type="dxa"/>
            </w:tcMar>
            <w:vAlign w:val="bottom"/>
            <w:hideMark/>
          </w:tcPr>
          <w:p w14:paraId="74780C4C" w14:textId="77777777" w:rsidR="00000000" w:rsidRDefault="00097612">
            <w:pPr>
              <w:pStyle w:val="a3"/>
              <w:spacing w:before="0" w:beforeAutospacing="0" w:after="0" w:afterAutospacing="0"/>
              <w:divId w:val="1138768673"/>
              <w:rPr>
                <w:sz w:val="20"/>
                <w:szCs w:val="20"/>
              </w:rPr>
            </w:pPr>
            <w:r>
              <w:rPr>
                <w:sz w:val="2"/>
                <w:szCs w:val="2"/>
              </w:rPr>
              <w:t>​</w:t>
            </w:r>
          </w:p>
        </w:tc>
        <w:tc>
          <w:tcPr>
            <w:tcW w:w="274" w:type="pct"/>
            <w:noWrap/>
            <w:tcMar>
              <w:top w:w="0" w:type="dxa"/>
              <w:left w:w="0" w:type="dxa"/>
              <w:bottom w:w="0" w:type="dxa"/>
              <w:right w:w="0" w:type="dxa"/>
            </w:tcMar>
            <w:vAlign w:val="bottom"/>
            <w:hideMark/>
          </w:tcPr>
          <w:p w14:paraId="3C7CA523" w14:textId="77777777" w:rsidR="00000000" w:rsidRDefault="00097612">
            <w:pPr>
              <w:pStyle w:val="a3"/>
              <w:spacing w:before="0" w:beforeAutospacing="0" w:after="0" w:afterAutospacing="0"/>
              <w:divId w:val="2127657802"/>
              <w:rPr>
                <w:sz w:val="20"/>
                <w:szCs w:val="20"/>
              </w:rPr>
            </w:pPr>
            <w:r>
              <w:rPr>
                <w:sz w:val="2"/>
                <w:szCs w:val="2"/>
              </w:rPr>
              <w:t>​</w:t>
            </w:r>
          </w:p>
        </w:tc>
        <w:tc>
          <w:tcPr>
            <w:tcW w:w="97" w:type="pct"/>
            <w:noWrap/>
            <w:tcMar>
              <w:top w:w="0" w:type="dxa"/>
              <w:left w:w="0" w:type="dxa"/>
              <w:bottom w:w="0" w:type="dxa"/>
              <w:right w:w="0" w:type="dxa"/>
            </w:tcMar>
            <w:vAlign w:val="bottom"/>
            <w:hideMark/>
          </w:tcPr>
          <w:p w14:paraId="14D80E5A" w14:textId="77777777" w:rsidR="00000000" w:rsidRDefault="00097612">
            <w:pPr>
              <w:pStyle w:val="a3"/>
              <w:spacing w:before="0" w:beforeAutospacing="0" w:after="0" w:afterAutospacing="0"/>
              <w:divId w:val="2085490506"/>
              <w:rPr>
                <w:sz w:val="20"/>
                <w:szCs w:val="20"/>
              </w:rPr>
            </w:pPr>
            <w:r>
              <w:rPr>
                <w:sz w:val="2"/>
                <w:szCs w:val="2"/>
              </w:rPr>
              <w:t>​</w:t>
            </w:r>
          </w:p>
        </w:tc>
        <w:tc>
          <w:tcPr>
            <w:tcW w:w="48" w:type="pct"/>
            <w:noWrap/>
            <w:tcMar>
              <w:top w:w="0" w:type="dxa"/>
              <w:left w:w="0" w:type="dxa"/>
              <w:bottom w:w="0" w:type="dxa"/>
              <w:right w:w="0" w:type="dxa"/>
            </w:tcMar>
            <w:vAlign w:val="bottom"/>
            <w:hideMark/>
          </w:tcPr>
          <w:p w14:paraId="3FAB55FB" w14:textId="77777777" w:rsidR="00000000" w:rsidRDefault="00097612">
            <w:pPr>
              <w:pStyle w:val="a3"/>
              <w:spacing w:before="0" w:beforeAutospacing="0" w:after="0" w:afterAutospacing="0"/>
              <w:divId w:val="1981495964"/>
              <w:rPr>
                <w:sz w:val="20"/>
                <w:szCs w:val="20"/>
              </w:rPr>
            </w:pPr>
            <w:r>
              <w:rPr>
                <w:sz w:val="2"/>
                <w:szCs w:val="2"/>
              </w:rPr>
              <w:t>​</w:t>
            </w:r>
          </w:p>
        </w:tc>
        <w:tc>
          <w:tcPr>
            <w:tcW w:w="274" w:type="pct"/>
            <w:noWrap/>
            <w:tcMar>
              <w:top w:w="0" w:type="dxa"/>
              <w:left w:w="0" w:type="dxa"/>
              <w:bottom w:w="0" w:type="dxa"/>
              <w:right w:w="0" w:type="dxa"/>
            </w:tcMar>
            <w:vAlign w:val="bottom"/>
            <w:hideMark/>
          </w:tcPr>
          <w:p w14:paraId="2B0E5C5F" w14:textId="77777777" w:rsidR="00000000" w:rsidRDefault="00097612">
            <w:pPr>
              <w:pStyle w:val="a3"/>
              <w:spacing w:before="0" w:beforeAutospacing="0" w:after="0" w:afterAutospacing="0"/>
              <w:divId w:val="293413608"/>
              <w:rPr>
                <w:sz w:val="20"/>
                <w:szCs w:val="20"/>
              </w:rPr>
            </w:pPr>
            <w:r>
              <w:rPr>
                <w:sz w:val="2"/>
                <w:szCs w:val="2"/>
              </w:rPr>
              <w:t>​</w:t>
            </w:r>
          </w:p>
        </w:tc>
        <w:tc>
          <w:tcPr>
            <w:tcW w:w="97" w:type="pct"/>
            <w:noWrap/>
            <w:tcMar>
              <w:top w:w="0" w:type="dxa"/>
              <w:left w:w="0" w:type="dxa"/>
              <w:bottom w:w="0" w:type="dxa"/>
              <w:right w:w="0" w:type="dxa"/>
            </w:tcMar>
            <w:vAlign w:val="bottom"/>
            <w:hideMark/>
          </w:tcPr>
          <w:p w14:paraId="60FA6859" w14:textId="77777777" w:rsidR="00000000" w:rsidRDefault="00097612">
            <w:pPr>
              <w:pStyle w:val="a3"/>
              <w:spacing w:before="0" w:beforeAutospacing="0" w:after="0" w:afterAutospacing="0"/>
              <w:divId w:val="293366115"/>
              <w:rPr>
                <w:sz w:val="20"/>
                <w:szCs w:val="20"/>
              </w:rPr>
            </w:pPr>
            <w:r>
              <w:rPr>
                <w:sz w:val="2"/>
                <w:szCs w:val="2"/>
              </w:rPr>
              <w:t>​</w:t>
            </w:r>
          </w:p>
        </w:tc>
        <w:tc>
          <w:tcPr>
            <w:tcW w:w="48" w:type="pct"/>
            <w:noWrap/>
            <w:tcMar>
              <w:top w:w="0" w:type="dxa"/>
              <w:left w:w="0" w:type="dxa"/>
              <w:bottom w:w="0" w:type="dxa"/>
              <w:right w:w="0" w:type="dxa"/>
            </w:tcMar>
            <w:vAlign w:val="bottom"/>
            <w:hideMark/>
          </w:tcPr>
          <w:p w14:paraId="0182153F" w14:textId="77777777" w:rsidR="00000000" w:rsidRDefault="00097612">
            <w:pPr>
              <w:pStyle w:val="a3"/>
              <w:spacing w:before="0" w:beforeAutospacing="0" w:after="0" w:afterAutospacing="0"/>
              <w:divId w:val="190992965"/>
              <w:rPr>
                <w:sz w:val="20"/>
                <w:szCs w:val="20"/>
              </w:rPr>
            </w:pPr>
            <w:r>
              <w:rPr>
                <w:sz w:val="2"/>
                <w:szCs w:val="2"/>
              </w:rPr>
              <w:t>​</w:t>
            </w:r>
          </w:p>
        </w:tc>
        <w:tc>
          <w:tcPr>
            <w:tcW w:w="200" w:type="pct"/>
            <w:noWrap/>
            <w:tcMar>
              <w:top w:w="0" w:type="dxa"/>
              <w:left w:w="0" w:type="dxa"/>
              <w:bottom w:w="0" w:type="dxa"/>
              <w:right w:w="0" w:type="dxa"/>
            </w:tcMar>
            <w:vAlign w:val="bottom"/>
            <w:hideMark/>
          </w:tcPr>
          <w:p w14:paraId="7675CF7A" w14:textId="77777777" w:rsidR="00000000" w:rsidRDefault="00097612">
            <w:pPr>
              <w:pStyle w:val="a3"/>
              <w:spacing w:before="0" w:beforeAutospacing="0" w:after="0" w:afterAutospacing="0"/>
              <w:divId w:val="1171532128"/>
              <w:rPr>
                <w:sz w:val="20"/>
                <w:szCs w:val="20"/>
              </w:rPr>
            </w:pPr>
            <w:r>
              <w:rPr>
                <w:sz w:val="2"/>
                <w:szCs w:val="2"/>
              </w:rPr>
              <w:t>​</w:t>
            </w:r>
          </w:p>
        </w:tc>
        <w:tc>
          <w:tcPr>
            <w:tcW w:w="97" w:type="pct"/>
            <w:noWrap/>
            <w:tcMar>
              <w:top w:w="0" w:type="dxa"/>
              <w:left w:w="0" w:type="dxa"/>
              <w:bottom w:w="0" w:type="dxa"/>
              <w:right w:w="0" w:type="dxa"/>
            </w:tcMar>
            <w:vAlign w:val="bottom"/>
            <w:hideMark/>
          </w:tcPr>
          <w:p w14:paraId="20A56100" w14:textId="77777777" w:rsidR="00000000" w:rsidRDefault="00097612">
            <w:pPr>
              <w:pStyle w:val="a3"/>
              <w:spacing w:before="0" w:beforeAutospacing="0" w:after="0" w:afterAutospacing="0"/>
              <w:divId w:val="1307078940"/>
              <w:rPr>
                <w:sz w:val="20"/>
                <w:szCs w:val="20"/>
              </w:rPr>
            </w:pPr>
            <w:r>
              <w:rPr>
                <w:sz w:val="2"/>
                <w:szCs w:val="2"/>
              </w:rPr>
              <w:t>​</w:t>
            </w:r>
          </w:p>
        </w:tc>
        <w:tc>
          <w:tcPr>
            <w:tcW w:w="151" w:type="pct"/>
            <w:noWrap/>
            <w:tcMar>
              <w:top w:w="0" w:type="dxa"/>
              <w:left w:w="0" w:type="dxa"/>
              <w:bottom w:w="0" w:type="dxa"/>
              <w:right w:w="0" w:type="dxa"/>
            </w:tcMar>
            <w:vAlign w:val="bottom"/>
            <w:hideMark/>
          </w:tcPr>
          <w:p w14:paraId="03870EC0" w14:textId="77777777" w:rsidR="00000000" w:rsidRDefault="00097612">
            <w:pPr>
              <w:pStyle w:val="a3"/>
              <w:spacing w:before="0" w:beforeAutospacing="0" w:after="0" w:afterAutospacing="0"/>
              <w:divId w:val="460467385"/>
              <w:rPr>
                <w:sz w:val="20"/>
                <w:szCs w:val="20"/>
              </w:rPr>
            </w:pPr>
            <w:r>
              <w:rPr>
                <w:sz w:val="2"/>
                <w:szCs w:val="2"/>
              </w:rPr>
              <w:t>​</w:t>
            </w:r>
          </w:p>
        </w:tc>
        <w:tc>
          <w:tcPr>
            <w:tcW w:w="111" w:type="pct"/>
            <w:noWrap/>
            <w:tcMar>
              <w:top w:w="0" w:type="dxa"/>
              <w:left w:w="0" w:type="dxa"/>
              <w:bottom w:w="0" w:type="dxa"/>
              <w:right w:w="0" w:type="dxa"/>
            </w:tcMar>
            <w:vAlign w:val="bottom"/>
            <w:hideMark/>
          </w:tcPr>
          <w:p w14:paraId="6F4D95BE" w14:textId="77777777" w:rsidR="00000000" w:rsidRDefault="00097612">
            <w:pPr>
              <w:pStyle w:val="a3"/>
              <w:spacing w:before="0" w:beforeAutospacing="0" w:after="0" w:afterAutospacing="0"/>
              <w:divId w:val="443616673"/>
              <w:rPr>
                <w:sz w:val="20"/>
                <w:szCs w:val="20"/>
              </w:rPr>
            </w:pPr>
            <w:r>
              <w:rPr>
                <w:sz w:val="2"/>
                <w:szCs w:val="2"/>
              </w:rPr>
              <w:t>​</w:t>
            </w:r>
          </w:p>
        </w:tc>
        <w:tc>
          <w:tcPr>
            <w:tcW w:w="97" w:type="pct"/>
            <w:noWrap/>
            <w:tcMar>
              <w:top w:w="0" w:type="dxa"/>
              <w:left w:w="0" w:type="dxa"/>
              <w:bottom w:w="0" w:type="dxa"/>
              <w:right w:w="0" w:type="dxa"/>
            </w:tcMar>
            <w:vAlign w:val="bottom"/>
            <w:hideMark/>
          </w:tcPr>
          <w:p w14:paraId="0E768A7F" w14:textId="77777777" w:rsidR="00000000" w:rsidRDefault="00097612">
            <w:pPr>
              <w:pStyle w:val="a3"/>
              <w:spacing w:before="0" w:beforeAutospacing="0" w:after="0" w:afterAutospacing="0"/>
              <w:divId w:val="1716079500"/>
              <w:rPr>
                <w:sz w:val="20"/>
                <w:szCs w:val="20"/>
              </w:rPr>
            </w:pPr>
            <w:r>
              <w:rPr>
                <w:sz w:val="2"/>
                <w:szCs w:val="2"/>
              </w:rPr>
              <w:t>​</w:t>
            </w:r>
          </w:p>
        </w:tc>
        <w:tc>
          <w:tcPr>
            <w:tcW w:w="48" w:type="pct"/>
            <w:noWrap/>
            <w:tcMar>
              <w:top w:w="0" w:type="dxa"/>
              <w:left w:w="0" w:type="dxa"/>
              <w:bottom w:w="0" w:type="dxa"/>
              <w:right w:w="0" w:type="dxa"/>
            </w:tcMar>
            <w:vAlign w:val="bottom"/>
            <w:hideMark/>
          </w:tcPr>
          <w:p w14:paraId="74ABCFF9" w14:textId="77777777" w:rsidR="00000000" w:rsidRDefault="00097612">
            <w:pPr>
              <w:pStyle w:val="a3"/>
              <w:spacing w:before="0" w:beforeAutospacing="0" w:after="0" w:afterAutospacing="0"/>
              <w:divId w:val="693773109"/>
              <w:rPr>
                <w:sz w:val="20"/>
                <w:szCs w:val="20"/>
              </w:rPr>
            </w:pPr>
            <w:r>
              <w:rPr>
                <w:sz w:val="2"/>
                <w:szCs w:val="2"/>
              </w:rPr>
              <w:t>​</w:t>
            </w:r>
          </w:p>
        </w:tc>
        <w:tc>
          <w:tcPr>
            <w:tcW w:w="274" w:type="pct"/>
            <w:noWrap/>
            <w:tcMar>
              <w:top w:w="0" w:type="dxa"/>
              <w:left w:w="0" w:type="dxa"/>
              <w:bottom w:w="0" w:type="dxa"/>
              <w:right w:w="0" w:type="dxa"/>
            </w:tcMar>
            <w:vAlign w:val="bottom"/>
            <w:hideMark/>
          </w:tcPr>
          <w:p w14:paraId="7E56793E" w14:textId="77777777" w:rsidR="00000000" w:rsidRDefault="00097612">
            <w:pPr>
              <w:pStyle w:val="a3"/>
              <w:spacing w:before="0" w:beforeAutospacing="0" w:after="0" w:afterAutospacing="0"/>
              <w:divId w:val="409959784"/>
              <w:rPr>
                <w:sz w:val="20"/>
                <w:szCs w:val="20"/>
              </w:rPr>
            </w:pPr>
            <w:r>
              <w:rPr>
                <w:sz w:val="2"/>
                <w:szCs w:val="2"/>
              </w:rPr>
              <w:t>​</w:t>
            </w:r>
          </w:p>
        </w:tc>
        <w:tc>
          <w:tcPr>
            <w:tcW w:w="97" w:type="pct"/>
            <w:noWrap/>
            <w:tcMar>
              <w:top w:w="0" w:type="dxa"/>
              <w:left w:w="0" w:type="dxa"/>
              <w:bottom w:w="0" w:type="dxa"/>
              <w:right w:w="0" w:type="dxa"/>
            </w:tcMar>
            <w:vAlign w:val="bottom"/>
            <w:hideMark/>
          </w:tcPr>
          <w:p w14:paraId="56762E0B" w14:textId="77777777" w:rsidR="00000000" w:rsidRDefault="00097612">
            <w:pPr>
              <w:pStyle w:val="a3"/>
              <w:spacing w:before="0" w:beforeAutospacing="0" w:after="0" w:afterAutospacing="0"/>
              <w:divId w:val="676200517"/>
              <w:rPr>
                <w:sz w:val="20"/>
                <w:szCs w:val="20"/>
              </w:rPr>
            </w:pPr>
            <w:r>
              <w:rPr>
                <w:sz w:val="2"/>
                <w:szCs w:val="2"/>
              </w:rPr>
              <w:t>​</w:t>
            </w:r>
          </w:p>
        </w:tc>
        <w:tc>
          <w:tcPr>
            <w:tcW w:w="48" w:type="pct"/>
            <w:noWrap/>
            <w:tcMar>
              <w:top w:w="0" w:type="dxa"/>
              <w:left w:w="0" w:type="dxa"/>
              <w:bottom w:w="0" w:type="dxa"/>
              <w:right w:w="0" w:type="dxa"/>
            </w:tcMar>
            <w:vAlign w:val="bottom"/>
            <w:hideMark/>
          </w:tcPr>
          <w:p w14:paraId="0ED132D7" w14:textId="77777777" w:rsidR="00000000" w:rsidRDefault="00097612">
            <w:pPr>
              <w:pStyle w:val="a3"/>
              <w:spacing w:before="0" w:beforeAutospacing="0" w:after="0" w:afterAutospacing="0"/>
              <w:divId w:val="1578203442"/>
              <w:rPr>
                <w:sz w:val="20"/>
                <w:szCs w:val="20"/>
              </w:rPr>
            </w:pPr>
            <w:r>
              <w:rPr>
                <w:sz w:val="2"/>
                <w:szCs w:val="2"/>
              </w:rPr>
              <w:t>​</w:t>
            </w:r>
          </w:p>
        </w:tc>
        <w:tc>
          <w:tcPr>
            <w:tcW w:w="274" w:type="pct"/>
            <w:noWrap/>
            <w:tcMar>
              <w:top w:w="0" w:type="dxa"/>
              <w:left w:w="0" w:type="dxa"/>
              <w:bottom w:w="0" w:type="dxa"/>
              <w:right w:w="0" w:type="dxa"/>
            </w:tcMar>
            <w:vAlign w:val="bottom"/>
            <w:hideMark/>
          </w:tcPr>
          <w:p w14:paraId="0A982997" w14:textId="77777777" w:rsidR="00000000" w:rsidRDefault="00097612">
            <w:pPr>
              <w:pStyle w:val="a3"/>
              <w:spacing w:before="0" w:beforeAutospacing="0" w:after="0" w:afterAutospacing="0"/>
              <w:divId w:val="206719588"/>
              <w:rPr>
                <w:sz w:val="20"/>
                <w:szCs w:val="20"/>
              </w:rPr>
            </w:pPr>
            <w:r>
              <w:rPr>
                <w:sz w:val="2"/>
                <w:szCs w:val="2"/>
              </w:rPr>
              <w:t>​</w:t>
            </w:r>
          </w:p>
        </w:tc>
        <w:tc>
          <w:tcPr>
            <w:tcW w:w="97" w:type="pct"/>
            <w:noWrap/>
            <w:tcMar>
              <w:top w:w="0" w:type="dxa"/>
              <w:left w:w="0" w:type="dxa"/>
              <w:bottom w:w="0" w:type="dxa"/>
              <w:right w:w="0" w:type="dxa"/>
            </w:tcMar>
            <w:vAlign w:val="bottom"/>
            <w:hideMark/>
          </w:tcPr>
          <w:p w14:paraId="0A804446" w14:textId="77777777" w:rsidR="00000000" w:rsidRDefault="00097612">
            <w:pPr>
              <w:pStyle w:val="a3"/>
              <w:spacing w:before="0" w:beforeAutospacing="0" w:after="0" w:afterAutospacing="0"/>
              <w:divId w:val="878857640"/>
              <w:rPr>
                <w:sz w:val="20"/>
                <w:szCs w:val="20"/>
              </w:rPr>
            </w:pPr>
            <w:r>
              <w:rPr>
                <w:sz w:val="2"/>
                <w:szCs w:val="2"/>
              </w:rPr>
              <w:t>​</w:t>
            </w:r>
          </w:p>
        </w:tc>
        <w:tc>
          <w:tcPr>
            <w:tcW w:w="48" w:type="pct"/>
            <w:noWrap/>
            <w:tcMar>
              <w:top w:w="0" w:type="dxa"/>
              <w:left w:w="0" w:type="dxa"/>
              <w:bottom w:w="0" w:type="dxa"/>
              <w:right w:w="0" w:type="dxa"/>
            </w:tcMar>
            <w:vAlign w:val="bottom"/>
            <w:hideMark/>
          </w:tcPr>
          <w:p w14:paraId="75C7F0AB" w14:textId="77777777" w:rsidR="00000000" w:rsidRDefault="00097612">
            <w:pPr>
              <w:pStyle w:val="a3"/>
              <w:spacing w:before="0" w:beforeAutospacing="0" w:after="0" w:afterAutospacing="0"/>
              <w:divId w:val="1100106361"/>
              <w:rPr>
                <w:sz w:val="20"/>
                <w:szCs w:val="20"/>
              </w:rPr>
            </w:pPr>
            <w:r>
              <w:rPr>
                <w:sz w:val="2"/>
                <w:szCs w:val="2"/>
              </w:rPr>
              <w:t>​</w:t>
            </w:r>
          </w:p>
        </w:tc>
        <w:tc>
          <w:tcPr>
            <w:tcW w:w="274" w:type="pct"/>
            <w:noWrap/>
            <w:tcMar>
              <w:top w:w="0" w:type="dxa"/>
              <w:left w:w="0" w:type="dxa"/>
              <w:bottom w:w="0" w:type="dxa"/>
              <w:right w:w="0" w:type="dxa"/>
            </w:tcMar>
            <w:vAlign w:val="bottom"/>
            <w:hideMark/>
          </w:tcPr>
          <w:p w14:paraId="1268B5A7" w14:textId="77777777" w:rsidR="00000000" w:rsidRDefault="00097612">
            <w:pPr>
              <w:pStyle w:val="a3"/>
              <w:spacing w:before="0" w:beforeAutospacing="0" w:after="0" w:afterAutospacing="0"/>
              <w:divId w:val="1963418618"/>
              <w:rPr>
                <w:sz w:val="20"/>
                <w:szCs w:val="20"/>
              </w:rPr>
            </w:pPr>
            <w:r>
              <w:rPr>
                <w:sz w:val="2"/>
                <w:szCs w:val="2"/>
              </w:rPr>
              <w:t>​</w:t>
            </w:r>
          </w:p>
        </w:tc>
        <w:tc>
          <w:tcPr>
            <w:tcW w:w="97" w:type="pct"/>
            <w:noWrap/>
            <w:tcMar>
              <w:top w:w="0" w:type="dxa"/>
              <w:left w:w="0" w:type="dxa"/>
              <w:bottom w:w="0" w:type="dxa"/>
              <w:right w:w="0" w:type="dxa"/>
            </w:tcMar>
            <w:vAlign w:val="bottom"/>
            <w:hideMark/>
          </w:tcPr>
          <w:p w14:paraId="560D7FF0" w14:textId="77777777" w:rsidR="00000000" w:rsidRDefault="00097612">
            <w:pPr>
              <w:pStyle w:val="a3"/>
              <w:spacing w:before="0" w:beforeAutospacing="0" w:after="0" w:afterAutospacing="0"/>
              <w:divId w:val="967972817"/>
              <w:rPr>
                <w:sz w:val="20"/>
                <w:szCs w:val="20"/>
              </w:rPr>
            </w:pPr>
            <w:r>
              <w:rPr>
                <w:sz w:val="2"/>
                <w:szCs w:val="2"/>
              </w:rPr>
              <w:t>​</w:t>
            </w:r>
          </w:p>
        </w:tc>
        <w:tc>
          <w:tcPr>
            <w:tcW w:w="151" w:type="pct"/>
            <w:noWrap/>
            <w:tcMar>
              <w:top w:w="0" w:type="dxa"/>
              <w:left w:w="0" w:type="dxa"/>
              <w:bottom w:w="0" w:type="dxa"/>
              <w:right w:w="0" w:type="dxa"/>
            </w:tcMar>
            <w:vAlign w:val="bottom"/>
            <w:hideMark/>
          </w:tcPr>
          <w:p w14:paraId="5EF203D6" w14:textId="77777777" w:rsidR="00000000" w:rsidRDefault="00097612">
            <w:pPr>
              <w:pStyle w:val="a3"/>
              <w:spacing w:before="0" w:beforeAutospacing="0" w:after="0" w:afterAutospacing="0"/>
              <w:divId w:val="1682194861"/>
              <w:rPr>
                <w:sz w:val="20"/>
                <w:szCs w:val="20"/>
              </w:rPr>
            </w:pPr>
            <w:r>
              <w:rPr>
                <w:sz w:val="2"/>
                <w:szCs w:val="2"/>
              </w:rPr>
              <w:t>​</w:t>
            </w:r>
          </w:p>
        </w:tc>
        <w:tc>
          <w:tcPr>
            <w:tcW w:w="111" w:type="pct"/>
            <w:noWrap/>
            <w:tcMar>
              <w:top w:w="0" w:type="dxa"/>
              <w:left w:w="0" w:type="dxa"/>
              <w:bottom w:w="0" w:type="dxa"/>
              <w:right w:w="0" w:type="dxa"/>
            </w:tcMar>
            <w:vAlign w:val="bottom"/>
            <w:hideMark/>
          </w:tcPr>
          <w:p w14:paraId="058A06EE" w14:textId="77777777" w:rsidR="00000000" w:rsidRDefault="00097612">
            <w:pPr>
              <w:pStyle w:val="a3"/>
              <w:spacing w:before="0" w:beforeAutospacing="0" w:after="0" w:afterAutospacing="0"/>
              <w:divId w:val="1059481284"/>
              <w:rPr>
                <w:sz w:val="20"/>
                <w:szCs w:val="20"/>
              </w:rPr>
            </w:pPr>
            <w:r>
              <w:rPr>
                <w:sz w:val="2"/>
                <w:szCs w:val="2"/>
              </w:rPr>
              <w:t>​</w:t>
            </w:r>
          </w:p>
        </w:tc>
      </w:tr>
      <w:tr w:rsidR="00000000" w14:paraId="45978E98" w14:textId="77777777">
        <w:trPr>
          <w:divId w:val="2014919711"/>
        </w:trPr>
        <w:tc>
          <w:tcPr>
            <w:tcW w:w="1823" w:type="pct"/>
            <w:shd w:val="clear" w:color="auto" w:fill="auto"/>
            <w:tcMar>
              <w:top w:w="0" w:type="dxa"/>
              <w:left w:w="0" w:type="dxa"/>
              <w:bottom w:w="0" w:type="dxa"/>
              <w:right w:w="0" w:type="dxa"/>
            </w:tcMar>
            <w:vAlign w:val="bottom"/>
            <w:hideMark/>
          </w:tcPr>
          <w:p w14:paraId="65379285" w14:textId="77777777" w:rsidR="00000000" w:rsidRDefault="00097612">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1FFCDC46" w14:textId="77777777" w:rsidR="00000000" w:rsidRDefault="00097612">
            <w:pPr>
              <w:pStyle w:val="a3"/>
              <w:spacing w:before="0" w:beforeAutospacing="0" w:after="0" w:afterAutospacing="0"/>
              <w:jc w:val="center"/>
              <w:rPr>
                <w:sz w:val="20"/>
                <w:szCs w:val="20"/>
              </w:rPr>
            </w:pPr>
            <w:r>
              <w:rPr>
                <w:b/>
                <w:bCs/>
                <w:sz w:val="16"/>
                <w:szCs w:val="16"/>
              </w:rPr>
              <w:t>​</w:t>
            </w:r>
          </w:p>
        </w:tc>
        <w:tc>
          <w:tcPr>
            <w:tcW w:w="744" w:type="pct"/>
            <w:gridSpan w:val="5"/>
            <w:shd w:val="clear" w:color="auto" w:fill="auto"/>
            <w:noWrap/>
            <w:tcMar>
              <w:top w:w="0" w:type="dxa"/>
              <w:left w:w="0" w:type="dxa"/>
              <w:bottom w:w="0" w:type="dxa"/>
              <w:right w:w="0" w:type="dxa"/>
            </w:tcMar>
            <w:vAlign w:val="bottom"/>
            <w:hideMark/>
          </w:tcPr>
          <w:p w14:paraId="429B28BF"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97" w:type="pct"/>
            <w:shd w:val="clear" w:color="auto" w:fill="auto"/>
            <w:noWrap/>
            <w:tcMar>
              <w:top w:w="0" w:type="dxa"/>
              <w:left w:w="0" w:type="dxa"/>
              <w:bottom w:w="0" w:type="dxa"/>
              <w:right w:w="0" w:type="dxa"/>
            </w:tcMar>
            <w:vAlign w:val="bottom"/>
            <w:hideMark/>
          </w:tcPr>
          <w:p w14:paraId="5576ED85" w14:textId="77777777" w:rsidR="00000000" w:rsidRDefault="00097612">
            <w:pPr>
              <w:pStyle w:val="a3"/>
              <w:spacing w:before="0" w:beforeAutospacing="0" w:after="0" w:afterAutospacing="0"/>
              <w:jc w:val="center"/>
              <w:rPr>
                <w:sz w:val="20"/>
                <w:szCs w:val="20"/>
              </w:rPr>
            </w:pPr>
            <w:r>
              <w:rPr>
                <w:b/>
                <w:bCs/>
                <w:sz w:val="16"/>
                <w:szCs w:val="16"/>
              </w:rPr>
              <w:t>​</w:t>
            </w:r>
          </w:p>
        </w:tc>
        <w:tc>
          <w:tcPr>
            <w:tcW w:w="48" w:type="pct"/>
            <w:shd w:val="clear" w:color="auto" w:fill="auto"/>
            <w:noWrap/>
            <w:tcMar>
              <w:top w:w="0" w:type="dxa"/>
              <w:left w:w="0" w:type="dxa"/>
              <w:bottom w:w="0" w:type="dxa"/>
              <w:right w:w="0" w:type="dxa"/>
            </w:tcMar>
            <w:vAlign w:val="bottom"/>
            <w:hideMark/>
          </w:tcPr>
          <w:p w14:paraId="4E82E1C1" w14:textId="77777777" w:rsidR="00000000" w:rsidRDefault="00097612">
            <w:pPr>
              <w:pStyle w:val="a3"/>
              <w:spacing w:before="0" w:beforeAutospacing="0" w:after="0" w:afterAutospacing="0"/>
              <w:jc w:val="center"/>
              <w:rPr>
                <w:sz w:val="20"/>
                <w:szCs w:val="20"/>
              </w:rPr>
            </w:pPr>
            <w:r>
              <w:rPr>
                <w:sz w:val="16"/>
                <w:szCs w:val="16"/>
              </w:rPr>
              <w:t>​</w:t>
            </w:r>
          </w:p>
        </w:tc>
        <w:tc>
          <w:tcPr>
            <w:tcW w:w="200" w:type="pct"/>
            <w:shd w:val="clear" w:color="auto" w:fill="auto"/>
            <w:noWrap/>
            <w:tcMar>
              <w:top w:w="0" w:type="dxa"/>
              <w:left w:w="0" w:type="dxa"/>
              <w:bottom w:w="0" w:type="dxa"/>
              <w:right w:w="0" w:type="dxa"/>
            </w:tcMar>
            <w:vAlign w:val="bottom"/>
            <w:hideMark/>
          </w:tcPr>
          <w:p w14:paraId="0E1B8C2C" w14:textId="77777777" w:rsidR="00000000" w:rsidRDefault="00097612">
            <w:pPr>
              <w:pStyle w:val="a3"/>
              <w:spacing w:before="0" w:beforeAutospacing="0" w:after="0" w:afterAutospacing="0"/>
              <w:jc w:val="center"/>
              <w:rPr>
                <w:sz w:val="20"/>
                <w:szCs w:val="20"/>
              </w:rPr>
            </w:pPr>
            <w:r>
              <w:rPr>
                <w:sz w:val="16"/>
                <w:szCs w:val="16"/>
              </w:rPr>
              <w:t>​</w:t>
            </w:r>
          </w:p>
        </w:tc>
        <w:tc>
          <w:tcPr>
            <w:tcW w:w="97" w:type="pct"/>
            <w:shd w:val="clear" w:color="auto" w:fill="auto"/>
            <w:noWrap/>
            <w:tcMar>
              <w:top w:w="0" w:type="dxa"/>
              <w:left w:w="0" w:type="dxa"/>
              <w:bottom w:w="0" w:type="dxa"/>
              <w:right w:w="0" w:type="dxa"/>
            </w:tcMar>
            <w:vAlign w:val="bottom"/>
            <w:hideMark/>
          </w:tcPr>
          <w:p w14:paraId="51DD2C68" w14:textId="77777777" w:rsidR="00000000" w:rsidRDefault="00097612">
            <w:pPr>
              <w:pStyle w:val="a3"/>
              <w:spacing w:before="0" w:beforeAutospacing="0" w:after="0" w:afterAutospacing="0"/>
              <w:jc w:val="center"/>
              <w:rPr>
                <w:sz w:val="20"/>
                <w:szCs w:val="20"/>
              </w:rPr>
            </w:pPr>
            <w:r>
              <w:rPr>
                <w:sz w:val="16"/>
                <w:szCs w:val="16"/>
              </w:rPr>
              <w:t>​</w:t>
            </w:r>
          </w:p>
        </w:tc>
        <w:tc>
          <w:tcPr>
            <w:tcW w:w="151" w:type="pct"/>
            <w:shd w:val="clear" w:color="auto" w:fill="auto"/>
            <w:noWrap/>
            <w:tcMar>
              <w:top w:w="0" w:type="dxa"/>
              <w:left w:w="0" w:type="dxa"/>
              <w:bottom w:w="0" w:type="dxa"/>
              <w:right w:w="0" w:type="dxa"/>
            </w:tcMar>
            <w:vAlign w:val="bottom"/>
            <w:hideMark/>
          </w:tcPr>
          <w:p w14:paraId="2CFD6301" w14:textId="77777777" w:rsidR="00000000" w:rsidRDefault="00097612">
            <w:pPr>
              <w:pStyle w:val="a3"/>
              <w:spacing w:before="0" w:beforeAutospacing="0" w:after="0" w:afterAutospacing="0"/>
              <w:jc w:val="center"/>
              <w:rPr>
                <w:sz w:val="20"/>
                <w:szCs w:val="20"/>
              </w:rPr>
            </w:pPr>
            <w:r>
              <w:rPr>
                <w:sz w:val="16"/>
                <w:szCs w:val="16"/>
              </w:rPr>
              <w:t>​</w:t>
            </w:r>
          </w:p>
        </w:tc>
        <w:tc>
          <w:tcPr>
            <w:tcW w:w="111" w:type="pct"/>
            <w:shd w:val="clear" w:color="auto" w:fill="auto"/>
            <w:noWrap/>
            <w:tcMar>
              <w:top w:w="0" w:type="dxa"/>
              <w:left w:w="0" w:type="dxa"/>
              <w:bottom w:w="0" w:type="dxa"/>
              <w:right w:w="0" w:type="dxa"/>
            </w:tcMar>
            <w:vAlign w:val="bottom"/>
            <w:hideMark/>
          </w:tcPr>
          <w:p w14:paraId="0FCBF34F" w14:textId="77777777" w:rsidR="00000000" w:rsidRDefault="00097612">
            <w:pPr>
              <w:pStyle w:val="a3"/>
              <w:spacing w:before="0" w:beforeAutospacing="0" w:after="0" w:afterAutospacing="0"/>
              <w:jc w:val="center"/>
              <w:rPr>
                <w:sz w:val="20"/>
                <w:szCs w:val="20"/>
              </w:rPr>
            </w:pPr>
            <w:r>
              <w:rPr>
                <w:sz w:val="16"/>
                <w:szCs w:val="16"/>
              </w:rPr>
              <w:t>​</w:t>
            </w:r>
          </w:p>
        </w:tc>
        <w:tc>
          <w:tcPr>
            <w:tcW w:w="97" w:type="pct"/>
            <w:shd w:val="clear" w:color="auto" w:fill="auto"/>
            <w:noWrap/>
            <w:tcMar>
              <w:top w:w="0" w:type="dxa"/>
              <w:left w:w="0" w:type="dxa"/>
              <w:bottom w:w="0" w:type="dxa"/>
              <w:right w:w="0" w:type="dxa"/>
            </w:tcMar>
            <w:vAlign w:val="bottom"/>
            <w:hideMark/>
          </w:tcPr>
          <w:p w14:paraId="1E41DE4A" w14:textId="77777777" w:rsidR="00000000" w:rsidRDefault="00097612">
            <w:pPr>
              <w:pStyle w:val="a3"/>
              <w:spacing w:before="0" w:beforeAutospacing="0" w:after="0" w:afterAutospacing="0"/>
              <w:jc w:val="center"/>
              <w:rPr>
                <w:sz w:val="20"/>
                <w:szCs w:val="20"/>
              </w:rPr>
            </w:pPr>
            <w:r>
              <w:rPr>
                <w:sz w:val="16"/>
                <w:szCs w:val="16"/>
              </w:rPr>
              <w:t>​</w:t>
            </w:r>
          </w:p>
        </w:tc>
        <w:tc>
          <w:tcPr>
            <w:tcW w:w="744" w:type="pct"/>
            <w:gridSpan w:val="5"/>
            <w:shd w:val="clear" w:color="auto" w:fill="auto"/>
            <w:noWrap/>
            <w:tcMar>
              <w:top w:w="0" w:type="dxa"/>
              <w:left w:w="0" w:type="dxa"/>
              <w:bottom w:w="0" w:type="dxa"/>
              <w:right w:w="0" w:type="dxa"/>
            </w:tcMar>
            <w:vAlign w:val="bottom"/>
            <w:hideMark/>
          </w:tcPr>
          <w:p w14:paraId="5FF98663"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97" w:type="pct"/>
            <w:shd w:val="clear" w:color="auto" w:fill="auto"/>
            <w:noWrap/>
            <w:tcMar>
              <w:top w:w="0" w:type="dxa"/>
              <w:left w:w="0" w:type="dxa"/>
              <w:bottom w:w="0" w:type="dxa"/>
              <w:right w:w="0" w:type="dxa"/>
            </w:tcMar>
            <w:vAlign w:val="bottom"/>
            <w:hideMark/>
          </w:tcPr>
          <w:p w14:paraId="02A56513" w14:textId="77777777" w:rsidR="00000000" w:rsidRDefault="00097612">
            <w:pPr>
              <w:pStyle w:val="a3"/>
              <w:spacing w:before="0" w:beforeAutospacing="0" w:after="0" w:afterAutospacing="0"/>
              <w:jc w:val="center"/>
              <w:rPr>
                <w:sz w:val="20"/>
                <w:szCs w:val="20"/>
              </w:rPr>
            </w:pPr>
            <w:r>
              <w:rPr>
                <w:b/>
                <w:bCs/>
                <w:sz w:val="16"/>
                <w:szCs w:val="16"/>
              </w:rPr>
              <w:t>​</w:t>
            </w:r>
          </w:p>
        </w:tc>
        <w:tc>
          <w:tcPr>
            <w:tcW w:w="48" w:type="pct"/>
            <w:shd w:val="clear" w:color="auto" w:fill="auto"/>
            <w:noWrap/>
            <w:tcMar>
              <w:top w:w="0" w:type="dxa"/>
              <w:left w:w="0" w:type="dxa"/>
              <w:bottom w:w="0" w:type="dxa"/>
              <w:right w:w="0" w:type="dxa"/>
            </w:tcMar>
            <w:vAlign w:val="bottom"/>
            <w:hideMark/>
          </w:tcPr>
          <w:p w14:paraId="1E234CF7" w14:textId="77777777" w:rsidR="00000000" w:rsidRDefault="00097612">
            <w:pPr>
              <w:pStyle w:val="a3"/>
              <w:spacing w:before="0" w:beforeAutospacing="0" w:after="0" w:afterAutospacing="0"/>
              <w:jc w:val="center"/>
              <w:rPr>
                <w:sz w:val="20"/>
                <w:szCs w:val="20"/>
              </w:rPr>
            </w:pPr>
            <w:r>
              <w:rPr>
                <w:sz w:val="16"/>
                <w:szCs w:val="16"/>
              </w:rPr>
              <w:t>​</w:t>
            </w:r>
          </w:p>
        </w:tc>
        <w:tc>
          <w:tcPr>
            <w:tcW w:w="274" w:type="pct"/>
            <w:shd w:val="clear" w:color="auto" w:fill="auto"/>
            <w:noWrap/>
            <w:tcMar>
              <w:top w:w="0" w:type="dxa"/>
              <w:left w:w="0" w:type="dxa"/>
              <w:bottom w:w="0" w:type="dxa"/>
              <w:right w:w="0" w:type="dxa"/>
            </w:tcMar>
            <w:vAlign w:val="bottom"/>
            <w:hideMark/>
          </w:tcPr>
          <w:p w14:paraId="4B4C6903" w14:textId="77777777" w:rsidR="00000000" w:rsidRDefault="00097612">
            <w:pPr>
              <w:pStyle w:val="a3"/>
              <w:spacing w:before="0" w:beforeAutospacing="0" w:after="0" w:afterAutospacing="0"/>
              <w:jc w:val="center"/>
              <w:rPr>
                <w:sz w:val="20"/>
                <w:szCs w:val="20"/>
              </w:rPr>
            </w:pPr>
            <w:r>
              <w:rPr>
                <w:sz w:val="16"/>
                <w:szCs w:val="16"/>
              </w:rPr>
              <w:t>​</w:t>
            </w:r>
          </w:p>
        </w:tc>
        <w:tc>
          <w:tcPr>
            <w:tcW w:w="97" w:type="pct"/>
            <w:shd w:val="clear" w:color="auto" w:fill="auto"/>
            <w:noWrap/>
            <w:tcMar>
              <w:top w:w="0" w:type="dxa"/>
              <w:left w:w="0" w:type="dxa"/>
              <w:bottom w:w="0" w:type="dxa"/>
              <w:right w:w="0" w:type="dxa"/>
            </w:tcMar>
            <w:vAlign w:val="bottom"/>
            <w:hideMark/>
          </w:tcPr>
          <w:p w14:paraId="4D657B4B" w14:textId="77777777" w:rsidR="00000000" w:rsidRDefault="00097612">
            <w:pPr>
              <w:pStyle w:val="a3"/>
              <w:spacing w:before="0" w:beforeAutospacing="0" w:after="0" w:afterAutospacing="0"/>
              <w:jc w:val="center"/>
              <w:rPr>
                <w:sz w:val="20"/>
                <w:szCs w:val="20"/>
              </w:rPr>
            </w:pPr>
            <w:r>
              <w:rPr>
                <w:sz w:val="16"/>
                <w:szCs w:val="16"/>
              </w:rPr>
              <w:t>​</w:t>
            </w:r>
          </w:p>
        </w:tc>
        <w:tc>
          <w:tcPr>
            <w:tcW w:w="151" w:type="pct"/>
            <w:shd w:val="clear" w:color="auto" w:fill="auto"/>
            <w:noWrap/>
            <w:tcMar>
              <w:top w:w="0" w:type="dxa"/>
              <w:left w:w="0" w:type="dxa"/>
              <w:bottom w:w="0" w:type="dxa"/>
              <w:right w:w="0" w:type="dxa"/>
            </w:tcMar>
            <w:vAlign w:val="bottom"/>
            <w:hideMark/>
          </w:tcPr>
          <w:p w14:paraId="4937D8F8" w14:textId="77777777" w:rsidR="00000000" w:rsidRDefault="00097612">
            <w:pPr>
              <w:pStyle w:val="a3"/>
              <w:spacing w:before="0" w:beforeAutospacing="0" w:after="0" w:afterAutospacing="0"/>
              <w:jc w:val="center"/>
              <w:rPr>
                <w:sz w:val="20"/>
                <w:szCs w:val="20"/>
              </w:rPr>
            </w:pPr>
            <w:r>
              <w:rPr>
                <w:sz w:val="16"/>
                <w:szCs w:val="16"/>
              </w:rPr>
              <w:t>​</w:t>
            </w:r>
          </w:p>
        </w:tc>
        <w:tc>
          <w:tcPr>
            <w:tcW w:w="111" w:type="pct"/>
            <w:shd w:val="clear" w:color="auto" w:fill="auto"/>
            <w:noWrap/>
            <w:tcMar>
              <w:top w:w="0" w:type="dxa"/>
              <w:left w:w="0" w:type="dxa"/>
              <w:bottom w:w="0" w:type="dxa"/>
              <w:right w:w="0" w:type="dxa"/>
            </w:tcMar>
            <w:vAlign w:val="bottom"/>
            <w:hideMark/>
          </w:tcPr>
          <w:p w14:paraId="7E8B6B12" w14:textId="77777777" w:rsidR="00000000" w:rsidRDefault="00097612">
            <w:pPr>
              <w:pStyle w:val="a3"/>
              <w:spacing w:before="0" w:beforeAutospacing="0" w:after="0" w:afterAutospacing="0"/>
              <w:jc w:val="center"/>
              <w:rPr>
                <w:sz w:val="20"/>
                <w:szCs w:val="20"/>
              </w:rPr>
            </w:pPr>
            <w:r>
              <w:rPr>
                <w:sz w:val="16"/>
                <w:szCs w:val="16"/>
              </w:rPr>
              <w:t>​</w:t>
            </w:r>
          </w:p>
        </w:tc>
      </w:tr>
      <w:tr w:rsidR="00000000" w14:paraId="07AC818A" w14:textId="77777777">
        <w:trPr>
          <w:divId w:val="2014919711"/>
        </w:trPr>
        <w:tc>
          <w:tcPr>
            <w:tcW w:w="1823" w:type="pct"/>
            <w:shd w:val="clear" w:color="auto" w:fill="auto"/>
            <w:tcMar>
              <w:top w:w="0" w:type="dxa"/>
              <w:left w:w="0" w:type="dxa"/>
              <w:bottom w:w="0" w:type="dxa"/>
              <w:right w:w="0" w:type="dxa"/>
            </w:tcMar>
            <w:vAlign w:val="bottom"/>
            <w:hideMark/>
          </w:tcPr>
          <w:p w14:paraId="62463D33" w14:textId="77777777" w:rsidR="00000000" w:rsidRDefault="00097612">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3BA6C184" w14:textId="77777777" w:rsidR="00000000" w:rsidRDefault="00097612">
            <w:pPr>
              <w:pStyle w:val="a3"/>
              <w:spacing w:before="0" w:beforeAutospacing="0" w:after="0" w:afterAutospacing="0"/>
              <w:jc w:val="center"/>
              <w:rPr>
                <w:sz w:val="20"/>
                <w:szCs w:val="20"/>
              </w:rPr>
            </w:pPr>
            <w:r>
              <w:rPr>
                <w:b/>
                <w:bCs/>
                <w:sz w:val="16"/>
                <w:szCs w:val="16"/>
              </w:rPr>
              <w:t>​</w:t>
            </w:r>
          </w:p>
        </w:tc>
        <w:tc>
          <w:tcPr>
            <w:tcW w:w="744" w:type="pct"/>
            <w:gridSpan w:val="5"/>
            <w:tcBorders>
              <w:bottom w:val="single" w:sz="6" w:space="0" w:color="000000"/>
            </w:tcBorders>
            <w:shd w:val="clear" w:color="auto" w:fill="auto"/>
            <w:noWrap/>
            <w:tcMar>
              <w:top w:w="0" w:type="dxa"/>
              <w:left w:w="0" w:type="dxa"/>
              <w:bottom w:w="0" w:type="dxa"/>
              <w:right w:w="0" w:type="dxa"/>
            </w:tcMar>
            <w:vAlign w:val="bottom"/>
            <w:hideMark/>
          </w:tcPr>
          <w:p w14:paraId="075AC5B0"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97" w:type="pct"/>
            <w:shd w:val="clear" w:color="auto" w:fill="auto"/>
            <w:noWrap/>
            <w:tcMar>
              <w:top w:w="0" w:type="dxa"/>
              <w:left w:w="0" w:type="dxa"/>
              <w:bottom w:w="0" w:type="dxa"/>
              <w:right w:w="0" w:type="dxa"/>
            </w:tcMar>
            <w:vAlign w:val="bottom"/>
            <w:hideMark/>
          </w:tcPr>
          <w:p w14:paraId="405EB785" w14:textId="77777777" w:rsidR="00000000" w:rsidRDefault="00097612">
            <w:pPr>
              <w:pStyle w:val="a3"/>
              <w:spacing w:before="0" w:beforeAutospacing="0" w:after="0" w:afterAutospacing="0"/>
              <w:jc w:val="center"/>
              <w:rPr>
                <w:sz w:val="20"/>
                <w:szCs w:val="20"/>
              </w:rPr>
            </w:pPr>
            <w:r>
              <w:rPr>
                <w:b/>
                <w:bCs/>
                <w:sz w:val="16"/>
                <w:szCs w:val="16"/>
              </w:rPr>
              <w:t>​</w:t>
            </w:r>
          </w:p>
        </w:tc>
        <w:tc>
          <w:tcPr>
            <w:tcW w:w="499" w:type="pct"/>
            <w:gridSpan w:val="4"/>
            <w:tcBorders>
              <w:bottom w:val="single" w:sz="6" w:space="0" w:color="000000"/>
            </w:tcBorders>
            <w:shd w:val="clear" w:color="auto" w:fill="auto"/>
            <w:noWrap/>
            <w:tcMar>
              <w:top w:w="0" w:type="dxa"/>
              <w:left w:w="0" w:type="dxa"/>
              <w:bottom w:w="0" w:type="dxa"/>
              <w:right w:w="0" w:type="dxa"/>
            </w:tcMar>
            <w:vAlign w:val="bottom"/>
            <w:hideMark/>
          </w:tcPr>
          <w:p w14:paraId="0CB34734" w14:textId="77777777" w:rsidR="00000000" w:rsidRDefault="00097612">
            <w:pPr>
              <w:pStyle w:val="a3"/>
              <w:spacing w:before="0" w:beforeAutospacing="0" w:after="0" w:afterAutospacing="0"/>
              <w:jc w:val="center"/>
              <w:rPr>
                <w:sz w:val="16"/>
                <w:szCs w:val="16"/>
              </w:rPr>
            </w:pPr>
            <w:r>
              <w:rPr>
                <w:b/>
                <w:bCs/>
                <w:sz w:val="16"/>
                <w:szCs w:val="16"/>
              </w:rPr>
              <w:t>Change</w:t>
            </w:r>
          </w:p>
        </w:tc>
        <w:tc>
          <w:tcPr>
            <w:tcW w:w="111" w:type="pct"/>
            <w:shd w:val="clear" w:color="auto" w:fill="auto"/>
            <w:noWrap/>
            <w:tcMar>
              <w:top w:w="0" w:type="dxa"/>
              <w:left w:w="0" w:type="dxa"/>
              <w:bottom w:w="0" w:type="dxa"/>
              <w:right w:w="0" w:type="dxa"/>
            </w:tcMar>
            <w:vAlign w:val="bottom"/>
            <w:hideMark/>
          </w:tcPr>
          <w:p w14:paraId="54BF6038" w14:textId="77777777" w:rsidR="00000000" w:rsidRDefault="00097612">
            <w:pPr>
              <w:pStyle w:val="a3"/>
              <w:spacing w:before="0" w:beforeAutospacing="0" w:after="0" w:afterAutospacing="0"/>
              <w:jc w:val="center"/>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4CDB2560" w14:textId="77777777" w:rsidR="00000000" w:rsidRDefault="00097612">
            <w:pPr>
              <w:pStyle w:val="a3"/>
              <w:spacing w:before="0" w:beforeAutospacing="0" w:after="0" w:afterAutospacing="0"/>
              <w:rPr>
                <w:sz w:val="20"/>
                <w:szCs w:val="20"/>
              </w:rPr>
            </w:pPr>
            <w:r>
              <w:rPr>
                <w:b/>
                <w:bCs/>
                <w:sz w:val="16"/>
                <w:szCs w:val="16"/>
              </w:rPr>
              <w:t>​</w:t>
            </w:r>
          </w:p>
        </w:tc>
        <w:tc>
          <w:tcPr>
            <w:tcW w:w="744" w:type="pct"/>
            <w:gridSpan w:val="5"/>
            <w:tcBorders>
              <w:bottom w:val="single" w:sz="6" w:space="0" w:color="000000"/>
            </w:tcBorders>
            <w:shd w:val="clear" w:color="auto" w:fill="auto"/>
            <w:noWrap/>
            <w:tcMar>
              <w:top w:w="0" w:type="dxa"/>
              <w:left w:w="0" w:type="dxa"/>
              <w:bottom w:w="0" w:type="dxa"/>
              <w:right w:w="0" w:type="dxa"/>
            </w:tcMar>
            <w:vAlign w:val="bottom"/>
            <w:hideMark/>
          </w:tcPr>
          <w:p w14:paraId="0E35B656"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97" w:type="pct"/>
            <w:shd w:val="clear" w:color="auto" w:fill="auto"/>
            <w:noWrap/>
            <w:tcMar>
              <w:top w:w="0" w:type="dxa"/>
              <w:left w:w="0" w:type="dxa"/>
              <w:bottom w:w="0" w:type="dxa"/>
              <w:right w:w="0" w:type="dxa"/>
            </w:tcMar>
            <w:vAlign w:val="bottom"/>
            <w:hideMark/>
          </w:tcPr>
          <w:p w14:paraId="3DA0A848" w14:textId="77777777" w:rsidR="00000000" w:rsidRDefault="00097612">
            <w:pPr>
              <w:pStyle w:val="a3"/>
              <w:spacing w:before="0" w:beforeAutospacing="0" w:after="0" w:afterAutospacing="0"/>
              <w:jc w:val="center"/>
              <w:rPr>
                <w:sz w:val="20"/>
                <w:szCs w:val="20"/>
              </w:rPr>
            </w:pPr>
            <w:r>
              <w:rPr>
                <w:b/>
                <w:bCs/>
                <w:sz w:val="16"/>
                <w:szCs w:val="16"/>
              </w:rPr>
              <w:t>​</w:t>
            </w:r>
          </w:p>
        </w:tc>
        <w:tc>
          <w:tcPr>
            <w:tcW w:w="573" w:type="pct"/>
            <w:gridSpan w:val="4"/>
            <w:tcBorders>
              <w:bottom w:val="single" w:sz="6" w:space="0" w:color="000000"/>
            </w:tcBorders>
            <w:shd w:val="clear" w:color="auto" w:fill="auto"/>
            <w:noWrap/>
            <w:tcMar>
              <w:top w:w="0" w:type="dxa"/>
              <w:left w:w="0" w:type="dxa"/>
              <w:bottom w:w="0" w:type="dxa"/>
              <w:right w:w="0" w:type="dxa"/>
            </w:tcMar>
            <w:vAlign w:val="bottom"/>
            <w:hideMark/>
          </w:tcPr>
          <w:p w14:paraId="57649DFC" w14:textId="77777777" w:rsidR="00000000" w:rsidRDefault="00097612">
            <w:pPr>
              <w:pStyle w:val="a3"/>
              <w:spacing w:before="0" w:beforeAutospacing="0" w:after="0" w:afterAutospacing="0"/>
              <w:jc w:val="center"/>
              <w:rPr>
                <w:sz w:val="16"/>
                <w:szCs w:val="16"/>
              </w:rPr>
            </w:pPr>
            <w:r>
              <w:rPr>
                <w:b/>
                <w:bCs/>
                <w:sz w:val="16"/>
                <w:szCs w:val="16"/>
              </w:rPr>
              <w:t>Change</w:t>
            </w:r>
          </w:p>
        </w:tc>
        <w:tc>
          <w:tcPr>
            <w:tcW w:w="111" w:type="pct"/>
            <w:shd w:val="clear" w:color="auto" w:fill="auto"/>
            <w:noWrap/>
            <w:tcMar>
              <w:top w:w="0" w:type="dxa"/>
              <w:left w:w="0" w:type="dxa"/>
              <w:bottom w:w="0" w:type="dxa"/>
              <w:right w:w="0" w:type="dxa"/>
            </w:tcMar>
            <w:vAlign w:val="bottom"/>
            <w:hideMark/>
          </w:tcPr>
          <w:p w14:paraId="4A0D9F7E" w14:textId="77777777" w:rsidR="00000000" w:rsidRDefault="00097612">
            <w:pPr>
              <w:pStyle w:val="a3"/>
              <w:spacing w:before="0" w:beforeAutospacing="0" w:after="0" w:afterAutospacing="0"/>
              <w:jc w:val="center"/>
              <w:rPr>
                <w:sz w:val="20"/>
                <w:szCs w:val="20"/>
              </w:rPr>
            </w:pPr>
            <w:r>
              <w:rPr>
                <w:b/>
                <w:bCs/>
                <w:sz w:val="16"/>
                <w:szCs w:val="16"/>
              </w:rPr>
              <w:t>​</w:t>
            </w:r>
          </w:p>
        </w:tc>
      </w:tr>
      <w:tr w:rsidR="00000000" w14:paraId="33D61B45" w14:textId="77777777">
        <w:trPr>
          <w:divId w:val="2014919711"/>
        </w:trPr>
        <w:tc>
          <w:tcPr>
            <w:tcW w:w="1823" w:type="pct"/>
            <w:tcBorders>
              <w:bottom w:val="single" w:sz="6" w:space="0" w:color="000000"/>
            </w:tcBorders>
            <w:shd w:val="clear" w:color="auto" w:fill="auto"/>
            <w:tcMar>
              <w:top w:w="0" w:type="dxa"/>
              <w:left w:w="0" w:type="dxa"/>
              <w:bottom w:w="0" w:type="dxa"/>
              <w:right w:w="0" w:type="dxa"/>
            </w:tcMar>
            <w:vAlign w:val="bottom"/>
            <w:hideMark/>
          </w:tcPr>
          <w:p w14:paraId="7FF239A9" w14:textId="77777777" w:rsidR="00000000" w:rsidRDefault="00097612">
            <w:pPr>
              <w:pStyle w:val="a3"/>
              <w:spacing w:before="0" w:beforeAutospacing="0" w:after="0" w:afterAutospacing="0"/>
              <w:rPr>
                <w:sz w:val="16"/>
                <w:szCs w:val="16"/>
              </w:rPr>
            </w:pPr>
            <w:r>
              <w:rPr>
                <w:b/>
                <w:bCs/>
                <w:sz w:val="16"/>
                <w:szCs w:val="16"/>
              </w:rPr>
              <w:t>(In thousands)</w:t>
            </w:r>
          </w:p>
        </w:tc>
        <w:tc>
          <w:tcPr>
            <w:tcW w:w="97" w:type="pct"/>
            <w:shd w:val="clear" w:color="auto" w:fill="auto"/>
            <w:noWrap/>
            <w:tcMar>
              <w:top w:w="0" w:type="dxa"/>
              <w:left w:w="0" w:type="dxa"/>
              <w:bottom w:w="0" w:type="dxa"/>
              <w:right w:w="0" w:type="dxa"/>
            </w:tcMar>
            <w:vAlign w:val="bottom"/>
            <w:hideMark/>
          </w:tcPr>
          <w:p w14:paraId="0A9B00E2" w14:textId="77777777" w:rsidR="00000000" w:rsidRDefault="00097612">
            <w:pPr>
              <w:pStyle w:val="a3"/>
              <w:spacing w:before="0" w:beforeAutospacing="0" w:after="0" w:afterAutospacing="0"/>
              <w:jc w:val="center"/>
              <w:rPr>
                <w:sz w:val="20"/>
                <w:szCs w:val="20"/>
              </w:rPr>
            </w:pPr>
            <w:r>
              <w:rPr>
                <w:b/>
                <w:bCs/>
                <w:sz w:val="20"/>
                <w:szCs w:val="20"/>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14:paraId="777D9492" w14:textId="77777777" w:rsidR="00000000" w:rsidRDefault="00097612">
            <w:pPr>
              <w:pStyle w:val="a3"/>
              <w:spacing w:before="0" w:beforeAutospacing="0" w:after="0" w:afterAutospacing="0"/>
              <w:jc w:val="center"/>
              <w:rPr>
                <w:sz w:val="16"/>
                <w:szCs w:val="16"/>
              </w:rPr>
            </w:pPr>
            <w:r>
              <w:rPr>
                <w:b/>
                <w:bCs/>
                <w:sz w:val="16"/>
                <w:szCs w:val="16"/>
              </w:rPr>
              <w:t>2019</w:t>
            </w:r>
          </w:p>
        </w:tc>
        <w:tc>
          <w:tcPr>
            <w:tcW w:w="97" w:type="pct"/>
            <w:shd w:val="clear" w:color="auto" w:fill="auto"/>
            <w:noWrap/>
            <w:tcMar>
              <w:top w:w="0" w:type="dxa"/>
              <w:left w:w="0" w:type="dxa"/>
              <w:bottom w:w="0" w:type="dxa"/>
              <w:right w:w="0" w:type="dxa"/>
            </w:tcMar>
            <w:vAlign w:val="bottom"/>
            <w:hideMark/>
          </w:tcPr>
          <w:p w14:paraId="27B9A744" w14:textId="77777777" w:rsidR="00000000" w:rsidRDefault="00097612">
            <w:pPr>
              <w:pStyle w:val="a3"/>
              <w:spacing w:before="0" w:beforeAutospacing="0" w:after="0" w:afterAutospacing="0"/>
              <w:jc w:val="center"/>
              <w:rPr>
                <w:sz w:val="20"/>
                <w:szCs w:val="20"/>
              </w:rPr>
            </w:pPr>
            <w:r>
              <w:rPr>
                <w:b/>
                <w:bCs/>
                <w:sz w:val="20"/>
                <w:szCs w:val="20"/>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14:paraId="1852A9DB" w14:textId="77777777" w:rsidR="00000000" w:rsidRDefault="00097612">
            <w:pPr>
              <w:pStyle w:val="a3"/>
              <w:spacing w:before="0" w:beforeAutospacing="0" w:after="0" w:afterAutospacing="0"/>
              <w:jc w:val="center"/>
              <w:rPr>
                <w:sz w:val="16"/>
                <w:szCs w:val="16"/>
              </w:rPr>
            </w:pPr>
            <w:r>
              <w:rPr>
                <w:b/>
                <w:bCs/>
                <w:sz w:val="16"/>
                <w:szCs w:val="16"/>
              </w:rPr>
              <w:t>2018</w:t>
            </w:r>
          </w:p>
        </w:tc>
        <w:tc>
          <w:tcPr>
            <w:tcW w:w="97" w:type="pct"/>
            <w:shd w:val="clear" w:color="auto" w:fill="auto"/>
            <w:noWrap/>
            <w:tcMar>
              <w:top w:w="0" w:type="dxa"/>
              <w:left w:w="0" w:type="dxa"/>
              <w:bottom w:w="0" w:type="dxa"/>
              <w:right w:w="0" w:type="dxa"/>
            </w:tcMar>
            <w:vAlign w:val="bottom"/>
            <w:hideMark/>
          </w:tcPr>
          <w:p w14:paraId="364AFB58" w14:textId="77777777" w:rsidR="00000000" w:rsidRDefault="00097612">
            <w:pPr>
              <w:pStyle w:val="a3"/>
              <w:spacing w:before="0" w:beforeAutospacing="0" w:after="0" w:afterAutospacing="0"/>
              <w:jc w:val="center"/>
              <w:rPr>
                <w:sz w:val="20"/>
                <w:szCs w:val="20"/>
              </w:rPr>
            </w:pPr>
            <w:r>
              <w:rPr>
                <w:b/>
                <w:bCs/>
                <w:sz w:val="20"/>
                <w:szCs w:val="20"/>
              </w:rPr>
              <w:t>    </w:t>
            </w:r>
          </w:p>
        </w:tc>
        <w:tc>
          <w:tcPr>
            <w:tcW w:w="249" w:type="pct"/>
            <w:gridSpan w:val="2"/>
            <w:tcBorders>
              <w:bottom w:val="single" w:sz="6" w:space="0" w:color="000000"/>
            </w:tcBorders>
            <w:shd w:val="clear" w:color="auto" w:fill="auto"/>
            <w:noWrap/>
            <w:tcMar>
              <w:top w:w="0" w:type="dxa"/>
              <w:left w:w="0" w:type="dxa"/>
              <w:bottom w:w="0" w:type="dxa"/>
              <w:right w:w="0" w:type="dxa"/>
            </w:tcMar>
            <w:vAlign w:val="bottom"/>
            <w:hideMark/>
          </w:tcPr>
          <w:p w14:paraId="75992F10" w14:textId="77777777" w:rsidR="00000000" w:rsidRDefault="00097612">
            <w:pPr>
              <w:pStyle w:val="a3"/>
              <w:spacing w:before="0" w:beforeAutospacing="0" w:after="0" w:afterAutospacing="0"/>
              <w:jc w:val="center"/>
              <w:rPr>
                <w:sz w:val="16"/>
                <w:szCs w:val="16"/>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10AF7FB0" w14:textId="77777777" w:rsidR="00000000" w:rsidRDefault="00097612">
            <w:pPr>
              <w:pStyle w:val="a3"/>
              <w:spacing w:before="0" w:beforeAutospacing="0" w:after="0" w:afterAutospacing="0"/>
              <w:jc w:val="center"/>
              <w:rPr>
                <w:sz w:val="20"/>
                <w:szCs w:val="20"/>
              </w:rPr>
            </w:pPr>
            <w:r>
              <w:rPr>
                <w:b/>
                <w:bCs/>
                <w:sz w:val="20"/>
                <w:szCs w:val="20"/>
              </w:rPr>
              <w:t>    </w:t>
            </w:r>
          </w:p>
        </w:tc>
        <w:tc>
          <w:tcPr>
            <w:tcW w:w="151" w:type="pct"/>
            <w:tcBorders>
              <w:bottom w:val="single" w:sz="6" w:space="0" w:color="000000"/>
            </w:tcBorders>
            <w:shd w:val="clear" w:color="auto" w:fill="auto"/>
            <w:noWrap/>
            <w:tcMar>
              <w:top w:w="0" w:type="dxa"/>
              <w:left w:w="0" w:type="dxa"/>
              <w:bottom w:w="0" w:type="dxa"/>
              <w:right w:w="0" w:type="dxa"/>
            </w:tcMar>
            <w:vAlign w:val="bottom"/>
            <w:hideMark/>
          </w:tcPr>
          <w:p w14:paraId="37C2349E" w14:textId="77777777" w:rsidR="00000000" w:rsidRDefault="00097612">
            <w:pPr>
              <w:pStyle w:val="a3"/>
              <w:spacing w:before="0" w:beforeAutospacing="0" w:after="0" w:afterAutospacing="0"/>
              <w:jc w:val="center"/>
              <w:rPr>
                <w:sz w:val="16"/>
                <w:szCs w:val="16"/>
              </w:rPr>
            </w:pPr>
            <w:r>
              <w:rPr>
                <w:b/>
                <w:bCs/>
                <w:sz w:val="16"/>
                <w:szCs w:val="16"/>
              </w:rPr>
              <w:t>%</w:t>
            </w:r>
          </w:p>
        </w:tc>
        <w:tc>
          <w:tcPr>
            <w:tcW w:w="111" w:type="pct"/>
            <w:shd w:val="clear" w:color="auto" w:fill="auto"/>
            <w:noWrap/>
            <w:tcMar>
              <w:top w:w="0" w:type="dxa"/>
              <w:left w:w="0" w:type="dxa"/>
              <w:bottom w:w="0" w:type="dxa"/>
              <w:right w:w="0" w:type="dxa"/>
            </w:tcMar>
            <w:vAlign w:val="bottom"/>
            <w:hideMark/>
          </w:tcPr>
          <w:p w14:paraId="30695549" w14:textId="77777777" w:rsidR="00000000" w:rsidRDefault="00097612">
            <w:pPr>
              <w:pStyle w:val="a3"/>
              <w:spacing w:before="0" w:beforeAutospacing="0" w:after="0" w:afterAutospacing="0"/>
              <w:jc w:val="center"/>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53F99AB9" w14:textId="77777777" w:rsidR="00000000" w:rsidRDefault="00097612">
            <w:pPr>
              <w:pStyle w:val="a3"/>
              <w:spacing w:before="0" w:beforeAutospacing="0" w:after="0" w:afterAutospacing="0"/>
              <w:jc w:val="center"/>
              <w:rPr>
                <w:sz w:val="20"/>
                <w:szCs w:val="20"/>
              </w:rPr>
            </w:pPr>
            <w:r>
              <w:rPr>
                <w:b/>
                <w:bCs/>
                <w:sz w:val="20"/>
                <w:szCs w:val="20"/>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14:paraId="29B196CE" w14:textId="77777777" w:rsidR="00000000" w:rsidRDefault="00097612">
            <w:pPr>
              <w:pStyle w:val="a3"/>
              <w:spacing w:before="0" w:beforeAutospacing="0" w:after="0" w:afterAutospacing="0"/>
              <w:jc w:val="center"/>
              <w:rPr>
                <w:sz w:val="16"/>
                <w:szCs w:val="16"/>
              </w:rPr>
            </w:pPr>
            <w:r>
              <w:rPr>
                <w:b/>
                <w:bCs/>
                <w:sz w:val="16"/>
                <w:szCs w:val="16"/>
              </w:rPr>
              <w:t>2019</w:t>
            </w:r>
          </w:p>
        </w:tc>
        <w:tc>
          <w:tcPr>
            <w:tcW w:w="97" w:type="pct"/>
            <w:shd w:val="clear" w:color="auto" w:fill="auto"/>
            <w:noWrap/>
            <w:tcMar>
              <w:top w:w="0" w:type="dxa"/>
              <w:left w:w="0" w:type="dxa"/>
              <w:bottom w:w="0" w:type="dxa"/>
              <w:right w:w="0" w:type="dxa"/>
            </w:tcMar>
            <w:vAlign w:val="bottom"/>
            <w:hideMark/>
          </w:tcPr>
          <w:p w14:paraId="1CF33062" w14:textId="77777777" w:rsidR="00000000" w:rsidRDefault="00097612">
            <w:pPr>
              <w:pStyle w:val="a3"/>
              <w:spacing w:before="0" w:beforeAutospacing="0" w:after="0" w:afterAutospacing="0"/>
              <w:jc w:val="center"/>
              <w:rPr>
                <w:sz w:val="20"/>
                <w:szCs w:val="20"/>
              </w:rPr>
            </w:pPr>
            <w:r>
              <w:rPr>
                <w:b/>
                <w:bCs/>
                <w:sz w:val="20"/>
                <w:szCs w:val="20"/>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14:paraId="3893E762" w14:textId="77777777" w:rsidR="00000000" w:rsidRDefault="00097612">
            <w:pPr>
              <w:pStyle w:val="a3"/>
              <w:spacing w:before="0" w:beforeAutospacing="0" w:after="0" w:afterAutospacing="0"/>
              <w:jc w:val="center"/>
              <w:rPr>
                <w:sz w:val="16"/>
                <w:szCs w:val="16"/>
              </w:rPr>
            </w:pPr>
            <w:r>
              <w:rPr>
                <w:b/>
                <w:bCs/>
                <w:sz w:val="16"/>
                <w:szCs w:val="16"/>
              </w:rPr>
              <w:t>2018</w:t>
            </w:r>
          </w:p>
        </w:tc>
        <w:tc>
          <w:tcPr>
            <w:tcW w:w="97" w:type="pct"/>
            <w:shd w:val="clear" w:color="auto" w:fill="auto"/>
            <w:noWrap/>
            <w:tcMar>
              <w:top w:w="0" w:type="dxa"/>
              <w:left w:w="0" w:type="dxa"/>
              <w:bottom w:w="0" w:type="dxa"/>
              <w:right w:w="0" w:type="dxa"/>
            </w:tcMar>
            <w:vAlign w:val="bottom"/>
            <w:hideMark/>
          </w:tcPr>
          <w:p w14:paraId="1D2074E5" w14:textId="77777777" w:rsidR="00000000" w:rsidRDefault="00097612">
            <w:pPr>
              <w:pStyle w:val="a3"/>
              <w:spacing w:before="0" w:beforeAutospacing="0" w:after="0" w:afterAutospacing="0"/>
              <w:jc w:val="center"/>
              <w:rPr>
                <w:sz w:val="20"/>
                <w:szCs w:val="20"/>
              </w:rPr>
            </w:pPr>
            <w:r>
              <w:rPr>
                <w:b/>
                <w:bCs/>
                <w:sz w:val="20"/>
                <w:szCs w:val="20"/>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14:paraId="013123F3" w14:textId="77777777" w:rsidR="00000000" w:rsidRDefault="00097612">
            <w:pPr>
              <w:pStyle w:val="a3"/>
              <w:spacing w:before="0" w:beforeAutospacing="0" w:after="0" w:afterAutospacing="0"/>
              <w:jc w:val="center"/>
              <w:rPr>
                <w:sz w:val="16"/>
                <w:szCs w:val="16"/>
              </w:rPr>
            </w:pPr>
            <w:r>
              <w:rPr>
                <w:b/>
                <w:bCs/>
                <w:sz w:val="16"/>
                <w:szCs w:val="16"/>
              </w:rPr>
              <w:t>$</w:t>
            </w:r>
          </w:p>
        </w:tc>
        <w:tc>
          <w:tcPr>
            <w:tcW w:w="97" w:type="pct"/>
            <w:shd w:val="clear" w:color="auto" w:fill="auto"/>
            <w:noWrap/>
            <w:tcMar>
              <w:top w:w="0" w:type="dxa"/>
              <w:left w:w="0" w:type="dxa"/>
              <w:bottom w:w="0" w:type="dxa"/>
              <w:right w:w="0" w:type="dxa"/>
            </w:tcMar>
            <w:vAlign w:val="bottom"/>
            <w:hideMark/>
          </w:tcPr>
          <w:p w14:paraId="553CE1F1" w14:textId="77777777" w:rsidR="00000000" w:rsidRDefault="00097612">
            <w:pPr>
              <w:pStyle w:val="a3"/>
              <w:spacing w:before="0" w:beforeAutospacing="0" w:after="0" w:afterAutospacing="0"/>
              <w:jc w:val="center"/>
              <w:rPr>
                <w:sz w:val="20"/>
                <w:szCs w:val="20"/>
              </w:rPr>
            </w:pPr>
            <w:r>
              <w:rPr>
                <w:b/>
                <w:bCs/>
                <w:sz w:val="20"/>
                <w:szCs w:val="20"/>
              </w:rPr>
              <w:t>    </w:t>
            </w:r>
          </w:p>
        </w:tc>
        <w:tc>
          <w:tcPr>
            <w:tcW w:w="151" w:type="pct"/>
            <w:tcBorders>
              <w:bottom w:val="single" w:sz="6" w:space="0" w:color="000000"/>
            </w:tcBorders>
            <w:shd w:val="clear" w:color="auto" w:fill="auto"/>
            <w:noWrap/>
            <w:tcMar>
              <w:top w:w="0" w:type="dxa"/>
              <w:left w:w="0" w:type="dxa"/>
              <w:bottom w:w="0" w:type="dxa"/>
              <w:right w:w="0" w:type="dxa"/>
            </w:tcMar>
            <w:vAlign w:val="bottom"/>
            <w:hideMark/>
          </w:tcPr>
          <w:p w14:paraId="1BB4AB07" w14:textId="77777777" w:rsidR="00000000" w:rsidRDefault="00097612">
            <w:pPr>
              <w:pStyle w:val="a3"/>
              <w:spacing w:before="0" w:beforeAutospacing="0" w:after="0" w:afterAutospacing="0"/>
              <w:jc w:val="center"/>
              <w:rPr>
                <w:sz w:val="16"/>
                <w:szCs w:val="16"/>
              </w:rPr>
            </w:pPr>
            <w:r>
              <w:rPr>
                <w:b/>
                <w:bCs/>
                <w:sz w:val="16"/>
                <w:szCs w:val="16"/>
              </w:rPr>
              <w:t>%</w:t>
            </w:r>
          </w:p>
        </w:tc>
        <w:tc>
          <w:tcPr>
            <w:tcW w:w="111" w:type="pct"/>
            <w:shd w:val="clear" w:color="auto" w:fill="auto"/>
            <w:noWrap/>
            <w:tcMar>
              <w:top w:w="0" w:type="dxa"/>
              <w:left w:w="0" w:type="dxa"/>
              <w:bottom w:w="0" w:type="dxa"/>
              <w:right w:w="0" w:type="dxa"/>
            </w:tcMar>
            <w:vAlign w:val="bottom"/>
            <w:hideMark/>
          </w:tcPr>
          <w:p w14:paraId="7D11EDA0" w14:textId="77777777" w:rsidR="00000000" w:rsidRDefault="00097612">
            <w:pPr>
              <w:pStyle w:val="a3"/>
              <w:spacing w:before="0" w:beforeAutospacing="0" w:after="0" w:afterAutospacing="0"/>
              <w:jc w:val="center"/>
              <w:rPr>
                <w:sz w:val="20"/>
                <w:szCs w:val="20"/>
              </w:rPr>
            </w:pPr>
            <w:r>
              <w:rPr>
                <w:b/>
                <w:bCs/>
                <w:sz w:val="20"/>
                <w:szCs w:val="20"/>
              </w:rPr>
              <w:t>​</w:t>
            </w:r>
          </w:p>
        </w:tc>
      </w:tr>
      <w:tr w:rsidR="00000000" w14:paraId="3F803929" w14:textId="77777777">
        <w:trPr>
          <w:divId w:val="2014919711"/>
        </w:trPr>
        <w:tc>
          <w:tcPr>
            <w:tcW w:w="1823" w:type="pct"/>
            <w:shd w:val="clear" w:color="auto" w:fill="CCEEFF"/>
            <w:tcMar>
              <w:top w:w="0" w:type="dxa"/>
              <w:left w:w="0" w:type="dxa"/>
              <w:bottom w:w="0" w:type="dxa"/>
              <w:right w:w="0" w:type="dxa"/>
            </w:tcMar>
            <w:vAlign w:val="bottom"/>
            <w:hideMark/>
          </w:tcPr>
          <w:p w14:paraId="37E1018E" w14:textId="77777777" w:rsidR="00000000" w:rsidRDefault="00097612">
            <w:pPr>
              <w:pStyle w:val="a3"/>
              <w:spacing w:before="0" w:beforeAutospacing="0" w:after="0" w:afterAutospacing="0"/>
              <w:rPr>
                <w:sz w:val="20"/>
                <w:szCs w:val="20"/>
              </w:rPr>
            </w:pPr>
            <w:r>
              <w:rPr>
                <w:sz w:val="20"/>
                <w:szCs w:val="20"/>
              </w:rPr>
              <w:t>Interest and other income, net</w:t>
            </w:r>
          </w:p>
        </w:tc>
        <w:tc>
          <w:tcPr>
            <w:tcW w:w="97" w:type="pct"/>
            <w:shd w:val="clear" w:color="auto" w:fill="CCEEFF"/>
            <w:noWrap/>
            <w:tcMar>
              <w:top w:w="0" w:type="dxa"/>
              <w:left w:w="0" w:type="dxa"/>
              <w:bottom w:w="0" w:type="dxa"/>
              <w:right w:w="0" w:type="dxa"/>
            </w:tcMar>
            <w:vAlign w:val="bottom"/>
            <w:hideMark/>
          </w:tcPr>
          <w:p w14:paraId="4E05761B" w14:textId="77777777" w:rsidR="00000000" w:rsidRDefault="00097612">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4290DBA0" w14:textId="77777777" w:rsidR="00000000" w:rsidRDefault="00097612">
            <w:pPr>
              <w:pStyle w:val="a3"/>
              <w:spacing w:before="0" w:beforeAutospacing="0" w:after="0" w:afterAutospacing="0"/>
              <w:jc w:val="center"/>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14:paraId="4A465F98" w14:textId="77777777" w:rsidR="00000000" w:rsidRDefault="00097612">
            <w:pPr>
              <w:pStyle w:val="a3"/>
              <w:spacing w:before="0" w:beforeAutospacing="0" w:after="0" w:afterAutospacing="0"/>
              <w:ind w:right="60"/>
              <w:jc w:val="right"/>
              <w:rPr>
                <w:sz w:val="20"/>
                <w:szCs w:val="20"/>
              </w:rPr>
            </w:pPr>
            <w:r>
              <w:rPr>
                <w:sz w:val="20"/>
                <w:szCs w:val="20"/>
              </w:rPr>
              <w:t>2,08</w:t>
            </w:r>
            <w:r>
              <w:rPr>
                <w:sz w:val="20"/>
                <w:szCs w:val="20"/>
              </w:rPr>
              <w:t>9</w:t>
            </w:r>
          </w:p>
        </w:tc>
        <w:tc>
          <w:tcPr>
            <w:tcW w:w="97" w:type="pct"/>
            <w:shd w:val="clear" w:color="auto" w:fill="CCEEFF"/>
            <w:noWrap/>
            <w:tcMar>
              <w:top w:w="0" w:type="dxa"/>
              <w:left w:w="0" w:type="dxa"/>
              <w:bottom w:w="0" w:type="dxa"/>
              <w:right w:w="0" w:type="dxa"/>
            </w:tcMar>
            <w:vAlign w:val="bottom"/>
            <w:hideMark/>
          </w:tcPr>
          <w:p w14:paraId="08CE153A" w14:textId="77777777" w:rsidR="00000000" w:rsidRDefault="00097612">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6510FEBA" w14:textId="77777777" w:rsidR="00000000" w:rsidRDefault="00097612">
            <w:pPr>
              <w:pStyle w:val="a3"/>
              <w:spacing w:before="0" w:beforeAutospacing="0" w:after="0" w:afterAutospacing="0"/>
              <w:jc w:val="center"/>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14:paraId="5809094C" w14:textId="77777777" w:rsidR="00000000" w:rsidRDefault="00097612">
            <w:pPr>
              <w:pStyle w:val="a3"/>
              <w:spacing w:before="0" w:beforeAutospacing="0" w:after="0" w:afterAutospacing="0"/>
              <w:ind w:right="60"/>
              <w:jc w:val="right"/>
              <w:rPr>
                <w:sz w:val="20"/>
                <w:szCs w:val="20"/>
              </w:rPr>
            </w:pPr>
            <w:r>
              <w:rPr>
                <w:sz w:val="20"/>
                <w:szCs w:val="20"/>
              </w:rPr>
              <w:t>1,37</w:t>
            </w:r>
            <w:r>
              <w:rPr>
                <w:sz w:val="20"/>
                <w:szCs w:val="20"/>
              </w:rPr>
              <w:t>6</w:t>
            </w:r>
          </w:p>
        </w:tc>
        <w:tc>
          <w:tcPr>
            <w:tcW w:w="97" w:type="pct"/>
            <w:shd w:val="clear" w:color="auto" w:fill="CCEEFF"/>
            <w:noWrap/>
            <w:tcMar>
              <w:top w:w="0" w:type="dxa"/>
              <w:left w:w="0" w:type="dxa"/>
              <w:bottom w:w="0" w:type="dxa"/>
              <w:right w:w="0" w:type="dxa"/>
            </w:tcMar>
            <w:vAlign w:val="bottom"/>
            <w:hideMark/>
          </w:tcPr>
          <w:p w14:paraId="6DB69FBE" w14:textId="77777777" w:rsidR="00000000" w:rsidRDefault="00097612">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121B34E3" w14:textId="77777777" w:rsidR="00000000" w:rsidRDefault="00097612">
            <w:pPr>
              <w:pStyle w:val="a3"/>
              <w:spacing w:before="0" w:beforeAutospacing="0" w:after="0" w:afterAutospacing="0"/>
              <w:jc w:val="center"/>
              <w:rPr>
                <w:sz w:val="20"/>
                <w:szCs w:val="20"/>
              </w:rPr>
            </w:pPr>
            <w:r>
              <w:rPr>
                <w:sz w:val="20"/>
                <w:szCs w:val="20"/>
              </w:rPr>
              <w:t>$</w:t>
            </w:r>
          </w:p>
        </w:tc>
        <w:tc>
          <w:tcPr>
            <w:tcW w:w="200" w:type="pct"/>
            <w:shd w:val="clear" w:color="auto" w:fill="CCEEFF"/>
            <w:noWrap/>
            <w:tcMar>
              <w:top w:w="0" w:type="dxa"/>
              <w:left w:w="0" w:type="dxa"/>
              <w:bottom w:w="0" w:type="dxa"/>
              <w:right w:w="0" w:type="dxa"/>
            </w:tcMar>
            <w:vAlign w:val="bottom"/>
            <w:hideMark/>
          </w:tcPr>
          <w:p w14:paraId="38C89B7E" w14:textId="77777777" w:rsidR="00000000" w:rsidRDefault="00097612">
            <w:pPr>
              <w:pStyle w:val="a3"/>
              <w:spacing w:before="0" w:beforeAutospacing="0" w:after="0" w:afterAutospacing="0"/>
              <w:ind w:right="60"/>
              <w:jc w:val="right"/>
              <w:rPr>
                <w:sz w:val="20"/>
                <w:szCs w:val="20"/>
              </w:rPr>
            </w:pPr>
            <w:r>
              <w:rPr>
                <w:sz w:val="20"/>
                <w:szCs w:val="20"/>
              </w:rPr>
              <w:t>71</w:t>
            </w:r>
            <w:r>
              <w:rPr>
                <w:sz w:val="20"/>
                <w:szCs w:val="20"/>
              </w:rPr>
              <w:t>3</w:t>
            </w:r>
          </w:p>
        </w:tc>
        <w:tc>
          <w:tcPr>
            <w:tcW w:w="97" w:type="pct"/>
            <w:shd w:val="clear" w:color="auto" w:fill="CCEEFF"/>
            <w:noWrap/>
            <w:tcMar>
              <w:top w:w="0" w:type="dxa"/>
              <w:left w:w="0" w:type="dxa"/>
              <w:bottom w:w="0" w:type="dxa"/>
              <w:right w:w="0" w:type="dxa"/>
            </w:tcMar>
            <w:vAlign w:val="bottom"/>
            <w:hideMark/>
          </w:tcPr>
          <w:p w14:paraId="0301FF01" w14:textId="77777777" w:rsidR="00000000" w:rsidRDefault="00097612">
            <w:pPr>
              <w:pStyle w:val="a3"/>
              <w:spacing w:before="0" w:beforeAutospacing="0" w:after="0" w:afterAutospacing="0"/>
              <w:rPr>
                <w:sz w:val="20"/>
                <w:szCs w:val="20"/>
              </w:rPr>
            </w:pPr>
            <w:r>
              <w:rPr>
                <w:sz w:val="20"/>
                <w:szCs w:val="20"/>
              </w:rPr>
              <w:t>​</w:t>
            </w:r>
          </w:p>
        </w:tc>
        <w:tc>
          <w:tcPr>
            <w:tcW w:w="151" w:type="pct"/>
            <w:shd w:val="clear" w:color="auto" w:fill="CCEEFF"/>
            <w:noWrap/>
            <w:tcMar>
              <w:top w:w="0" w:type="dxa"/>
              <w:left w:w="0" w:type="dxa"/>
              <w:bottom w:w="0" w:type="dxa"/>
              <w:right w:w="0" w:type="dxa"/>
            </w:tcMar>
            <w:vAlign w:val="bottom"/>
            <w:hideMark/>
          </w:tcPr>
          <w:p w14:paraId="7EA06EC0" w14:textId="77777777" w:rsidR="00000000" w:rsidRDefault="00097612">
            <w:pPr>
              <w:pStyle w:val="a3"/>
              <w:spacing w:before="0" w:beforeAutospacing="0" w:after="0" w:afterAutospacing="0"/>
              <w:ind w:right="60"/>
              <w:jc w:val="right"/>
              <w:rPr>
                <w:sz w:val="20"/>
                <w:szCs w:val="20"/>
              </w:rPr>
            </w:pPr>
            <w:r>
              <w:rPr>
                <w:sz w:val="20"/>
                <w:szCs w:val="20"/>
              </w:rPr>
              <w:t>5</w:t>
            </w:r>
            <w:r>
              <w:rPr>
                <w:sz w:val="20"/>
                <w:szCs w:val="20"/>
              </w:rPr>
              <w:t>2</w:t>
            </w:r>
          </w:p>
        </w:tc>
        <w:tc>
          <w:tcPr>
            <w:tcW w:w="111" w:type="pct"/>
            <w:shd w:val="clear" w:color="auto" w:fill="CCEEFF"/>
            <w:noWrap/>
            <w:tcMar>
              <w:top w:w="0" w:type="dxa"/>
              <w:left w:w="0" w:type="dxa"/>
              <w:bottom w:w="0" w:type="dxa"/>
              <w:right w:w="0" w:type="dxa"/>
            </w:tcMar>
            <w:vAlign w:val="bottom"/>
            <w:hideMark/>
          </w:tcPr>
          <w:p w14:paraId="6BC5AE17" w14:textId="77777777" w:rsidR="00000000" w:rsidRDefault="00097612">
            <w:pPr>
              <w:pStyle w:val="a3"/>
              <w:spacing w:before="0" w:beforeAutospacing="0" w:after="0" w:afterAutospacing="0"/>
              <w:ind w:right="60"/>
              <w:jc w:val="right"/>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14:paraId="19B4A051" w14:textId="77777777" w:rsidR="00000000" w:rsidRDefault="00097612">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417715EC" w14:textId="77777777" w:rsidR="00000000" w:rsidRDefault="00097612">
            <w:pPr>
              <w:pStyle w:val="a3"/>
              <w:spacing w:before="0" w:beforeAutospacing="0" w:after="0" w:afterAutospacing="0"/>
              <w:jc w:val="center"/>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14:paraId="1090D80D" w14:textId="77777777" w:rsidR="00000000" w:rsidRDefault="00097612">
            <w:pPr>
              <w:pStyle w:val="a3"/>
              <w:spacing w:before="0" w:beforeAutospacing="0" w:after="0" w:afterAutospacing="0"/>
              <w:ind w:right="60"/>
              <w:jc w:val="right"/>
              <w:rPr>
                <w:sz w:val="20"/>
                <w:szCs w:val="20"/>
              </w:rPr>
            </w:pPr>
            <w:r>
              <w:rPr>
                <w:sz w:val="20"/>
                <w:szCs w:val="20"/>
              </w:rPr>
              <w:t>7,25</w:t>
            </w:r>
            <w:r>
              <w:rPr>
                <w:sz w:val="20"/>
                <w:szCs w:val="20"/>
              </w:rPr>
              <w:t>8</w:t>
            </w:r>
          </w:p>
        </w:tc>
        <w:tc>
          <w:tcPr>
            <w:tcW w:w="97" w:type="pct"/>
            <w:shd w:val="clear" w:color="auto" w:fill="CCEEFF"/>
            <w:noWrap/>
            <w:tcMar>
              <w:top w:w="0" w:type="dxa"/>
              <w:left w:w="0" w:type="dxa"/>
              <w:bottom w:w="0" w:type="dxa"/>
              <w:right w:w="0" w:type="dxa"/>
            </w:tcMar>
            <w:vAlign w:val="bottom"/>
            <w:hideMark/>
          </w:tcPr>
          <w:p w14:paraId="1FBD31FB" w14:textId="77777777" w:rsidR="00000000" w:rsidRDefault="00097612">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38333A0F" w14:textId="77777777" w:rsidR="00000000" w:rsidRDefault="00097612">
            <w:pPr>
              <w:pStyle w:val="a3"/>
              <w:spacing w:before="0" w:beforeAutospacing="0" w:after="0" w:afterAutospacing="0"/>
              <w:jc w:val="center"/>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14:paraId="20471D0E" w14:textId="77777777" w:rsidR="00000000" w:rsidRDefault="00097612">
            <w:pPr>
              <w:pStyle w:val="a3"/>
              <w:spacing w:before="0" w:beforeAutospacing="0" w:after="0" w:afterAutospacing="0"/>
              <w:ind w:right="60"/>
              <w:jc w:val="right"/>
              <w:rPr>
                <w:sz w:val="20"/>
                <w:szCs w:val="20"/>
              </w:rPr>
            </w:pPr>
            <w:r>
              <w:rPr>
                <w:sz w:val="20"/>
                <w:szCs w:val="20"/>
              </w:rPr>
              <w:t>4,14</w:t>
            </w:r>
            <w:r>
              <w:rPr>
                <w:sz w:val="20"/>
                <w:szCs w:val="20"/>
              </w:rPr>
              <w:t>4</w:t>
            </w:r>
          </w:p>
        </w:tc>
        <w:tc>
          <w:tcPr>
            <w:tcW w:w="97" w:type="pct"/>
            <w:shd w:val="clear" w:color="auto" w:fill="CCEEFF"/>
            <w:noWrap/>
            <w:tcMar>
              <w:top w:w="0" w:type="dxa"/>
              <w:left w:w="0" w:type="dxa"/>
              <w:bottom w:w="0" w:type="dxa"/>
              <w:right w:w="0" w:type="dxa"/>
            </w:tcMar>
            <w:vAlign w:val="bottom"/>
            <w:hideMark/>
          </w:tcPr>
          <w:p w14:paraId="63326020" w14:textId="77777777" w:rsidR="00000000" w:rsidRDefault="00097612">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14:paraId="1E9E94C0" w14:textId="77777777" w:rsidR="00000000" w:rsidRDefault="00097612">
            <w:pPr>
              <w:pStyle w:val="a3"/>
              <w:spacing w:before="0" w:beforeAutospacing="0" w:after="0" w:afterAutospacing="0"/>
              <w:jc w:val="center"/>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14:paraId="44BD5D85" w14:textId="77777777" w:rsidR="00000000" w:rsidRDefault="00097612">
            <w:pPr>
              <w:pStyle w:val="a3"/>
              <w:spacing w:before="0" w:beforeAutospacing="0" w:after="0" w:afterAutospacing="0"/>
              <w:ind w:right="60"/>
              <w:jc w:val="right"/>
              <w:rPr>
                <w:sz w:val="20"/>
                <w:szCs w:val="20"/>
              </w:rPr>
            </w:pPr>
            <w:r>
              <w:rPr>
                <w:sz w:val="20"/>
                <w:szCs w:val="20"/>
              </w:rPr>
              <w:t>3,11</w:t>
            </w:r>
            <w:r>
              <w:rPr>
                <w:sz w:val="20"/>
                <w:szCs w:val="20"/>
              </w:rPr>
              <w:t>4</w:t>
            </w:r>
          </w:p>
        </w:tc>
        <w:tc>
          <w:tcPr>
            <w:tcW w:w="97" w:type="pct"/>
            <w:shd w:val="clear" w:color="auto" w:fill="CCEEFF"/>
            <w:noWrap/>
            <w:tcMar>
              <w:top w:w="0" w:type="dxa"/>
              <w:left w:w="0" w:type="dxa"/>
              <w:bottom w:w="0" w:type="dxa"/>
              <w:right w:w="0" w:type="dxa"/>
            </w:tcMar>
            <w:vAlign w:val="bottom"/>
            <w:hideMark/>
          </w:tcPr>
          <w:p w14:paraId="2FB99401" w14:textId="77777777" w:rsidR="00000000" w:rsidRDefault="00097612">
            <w:pPr>
              <w:pStyle w:val="a3"/>
              <w:spacing w:before="0" w:beforeAutospacing="0" w:after="0" w:afterAutospacing="0"/>
              <w:rPr>
                <w:sz w:val="20"/>
                <w:szCs w:val="20"/>
              </w:rPr>
            </w:pPr>
            <w:r>
              <w:rPr>
                <w:sz w:val="20"/>
                <w:szCs w:val="20"/>
              </w:rPr>
              <w:t>​</w:t>
            </w:r>
          </w:p>
        </w:tc>
        <w:tc>
          <w:tcPr>
            <w:tcW w:w="151" w:type="pct"/>
            <w:shd w:val="clear" w:color="auto" w:fill="CCEEFF"/>
            <w:noWrap/>
            <w:tcMar>
              <w:top w:w="0" w:type="dxa"/>
              <w:left w:w="0" w:type="dxa"/>
              <w:bottom w:w="0" w:type="dxa"/>
              <w:right w:w="0" w:type="dxa"/>
            </w:tcMar>
            <w:vAlign w:val="bottom"/>
            <w:hideMark/>
          </w:tcPr>
          <w:p w14:paraId="7D6FB849" w14:textId="77777777" w:rsidR="00000000" w:rsidRDefault="00097612">
            <w:pPr>
              <w:pStyle w:val="a3"/>
              <w:spacing w:before="0" w:beforeAutospacing="0" w:after="0" w:afterAutospacing="0"/>
              <w:ind w:right="60"/>
              <w:jc w:val="right"/>
              <w:rPr>
                <w:sz w:val="20"/>
                <w:szCs w:val="20"/>
              </w:rPr>
            </w:pPr>
            <w:r>
              <w:rPr>
                <w:sz w:val="20"/>
                <w:szCs w:val="20"/>
              </w:rPr>
              <w:t>7</w:t>
            </w:r>
            <w:r>
              <w:rPr>
                <w:sz w:val="20"/>
                <w:szCs w:val="20"/>
              </w:rPr>
              <w:t>5</w:t>
            </w:r>
          </w:p>
        </w:tc>
        <w:tc>
          <w:tcPr>
            <w:tcW w:w="111" w:type="pct"/>
            <w:shd w:val="clear" w:color="auto" w:fill="CCEEFF"/>
            <w:noWrap/>
            <w:tcMar>
              <w:top w:w="0" w:type="dxa"/>
              <w:left w:w="0" w:type="dxa"/>
              <w:bottom w:w="0" w:type="dxa"/>
              <w:right w:w="0" w:type="dxa"/>
            </w:tcMar>
            <w:vAlign w:val="bottom"/>
            <w:hideMark/>
          </w:tcPr>
          <w:p w14:paraId="41FDC520" w14:textId="77777777" w:rsidR="00000000" w:rsidRDefault="00097612">
            <w:pPr>
              <w:pStyle w:val="a3"/>
              <w:spacing w:before="0" w:beforeAutospacing="0" w:after="0" w:afterAutospacing="0"/>
              <w:ind w:right="60"/>
              <w:jc w:val="right"/>
              <w:rPr>
                <w:sz w:val="20"/>
                <w:szCs w:val="20"/>
              </w:rPr>
            </w:pPr>
            <w:r>
              <w:rPr>
                <w:sz w:val="20"/>
                <w:szCs w:val="20"/>
              </w:rPr>
              <w:t>%</w:t>
            </w:r>
          </w:p>
        </w:tc>
      </w:tr>
    </w:tbl>
    <w:p w14:paraId="351DC03F" w14:textId="77777777" w:rsidR="00000000" w:rsidRDefault="00097612">
      <w:pPr>
        <w:pStyle w:val="a3"/>
        <w:spacing w:before="0" w:beforeAutospacing="0" w:after="0" w:afterAutospacing="0"/>
        <w:divId w:val="2014919711"/>
        <w:rPr>
          <w:sz w:val="20"/>
          <w:szCs w:val="20"/>
        </w:rPr>
      </w:pPr>
      <w:r>
        <w:rPr>
          <w:sz w:val="20"/>
          <w:szCs w:val="20"/>
        </w:rPr>
        <w:t>​</w:t>
      </w:r>
    </w:p>
    <w:p w14:paraId="51650F5F" w14:textId="77777777" w:rsidR="00000000" w:rsidRDefault="00097612">
      <w:pPr>
        <w:pStyle w:val="a3"/>
        <w:spacing w:before="0" w:beforeAutospacing="0" w:after="0" w:afterAutospacing="0"/>
        <w:ind w:firstLine="720"/>
        <w:divId w:val="2014919711"/>
        <w:rPr>
          <w:sz w:val="20"/>
          <w:szCs w:val="20"/>
        </w:rPr>
      </w:pPr>
      <w:r>
        <w:rPr>
          <w:sz w:val="20"/>
          <w:szCs w:val="20"/>
        </w:rPr>
        <w:t>Interest and other income increased by $0.7 million and $3.1 million for the three and nine months ended September 30, 2019, respectively, compared to the same periods in 20</w:t>
      </w:r>
      <w:r>
        <w:rPr>
          <w:sz w:val="20"/>
          <w:szCs w:val="20"/>
        </w:rPr>
        <w:t>18 primarily due to the additional income earned from higher investment balances following the issuance of the Non-Recourse 2033 Notes in November 2018. We also recognized $0.2 million and $0.6 million for the three and nine months ended September 30, 2019</w:t>
      </w:r>
      <w:r>
        <w:rPr>
          <w:sz w:val="20"/>
          <w:szCs w:val="20"/>
        </w:rPr>
        <w:t>, respectively, as royalty income generated from sales of VIBATIV by Cumberland.</w:t>
      </w:r>
    </w:p>
    <w:p w14:paraId="2D0B8B3A" w14:textId="77777777" w:rsidR="00000000" w:rsidRDefault="00097612">
      <w:pPr>
        <w:pStyle w:val="a3"/>
        <w:spacing w:before="0" w:beforeAutospacing="0" w:after="0" w:afterAutospacing="0"/>
        <w:divId w:val="2014919711"/>
        <w:rPr>
          <w:sz w:val="20"/>
          <w:szCs w:val="20"/>
        </w:rPr>
      </w:pPr>
      <w:r>
        <w:rPr>
          <w:sz w:val="20"/>
          <w:szCs w:val="20"/>
        </w:rPr>
        <w:t>​</w:t>
      </w:r>
    </w:p>
    <w:p w14:paraId="2EE8F023" w14:textId="77777777" w:rsidR="00000000" w:rsidRDefault="00097612">
      <w:pPr>
        <w:pStyle w:val="a3"/>
        <w:spacing w:before="0" w:beforeAutospacing="0" w:after="0" w:afterAutospacing="0"/>
        <w:divId w:val="2014919711"/>
        <w:rPr>
          <w:sz w:val="20"/>
          <w:szCs w:val="20"/>
        </w:rPr>
      </w:pPr>
      <w:r>
        <w:rPr>
          <w:b/>
          <w:bCs/>
          <w:i/>
          <w:iCs/>
          <w:sz w:val="20"/>
          <w:szCs w:val="20"/>
        </w:rPr>
        <w:t>Provision for Income Tax Benefit</w:t>
      </w:r>
    </w:p>
    <w:p w14:paraId="39512DCE" w14:textId="77777777" w:rsidR="00000000" w:rsidRDefault="00097612">
      <w:pPr>
        <w:pStyle w:val="a3"/>
        <w:spacing w:before="0" w:beforeAutospacing="0" w:after="0" w:afterAutospacing="0"/>
        <w:divId w:val="2014919711"/>
        <w:rPr>
          <w:sz w:val="20"/>
          <w:szCs w:val="20"/>
        </w:rPr>
      </w:pPr>
      <w:r>
        <w:rPr>
          <w:sz w:val="10"/>
          <w:szCs w:val="10"/>
        </w:rPr>
        <w:t>​</w:t>
      </w:r>
    </w:p>
    <w:p w14:paraId="7A570F6D" w14:textId="77777777" w:rsidR="00000000" w:rsidRDefault="00097612">
      <w:pPr>
        <w:pStyle w:val="a3"/>
        <w:spacing w:before="0" w:beforeAutospacing="0" w:after="0" w:afterAutospacing="0"/>
        <w:ind w:firstLine="720"/>
        <w:divId w:val="2014919711"/>
        <w:rPr>
          <w:sz w:val="20"/>
          <w:szCs w:val="20"/>
        </w:rPr>
      </w:pPr>
      <w:r>
        <w:rPr>
          <w:sz w:val="20"/>
          <w:szCs w:val="20"/>
        </w:rPr>
        <w:t>The provision for income tax benefit, as compared to the comparable periods in the prior year, was as follows:</w:t>
      </w:r>
    </w:p>
    <w:p w14:paraId="78F7AF65" w14:textId="77777777" w:rsidR="00000000" w:rsidRDefault="00097612">
      <w:pPr>
        <w:pStyle w:val="a3"/>
        <w:spacing w:before="0" w:beforeAutospacing="0" w:after="0" w:afterAutospacing="0"/>
        <w:divId w:val="201491971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179"/>
        <w:gridCol w:w="160"/>
        <w:gridCol w:w="129"/>
        <w:gridCol w:w="540"/>
        <w:gridCol w:w="160"/>
        <w:gridCol w:w="126"/>
        <w:gridCol w:w="510"/>
        <w:gridCol w:w="160"/>
        <w:gridCol w:w="100"/>
        <w:gridCol w:w="510"/>
        <w:gridCol w:w="160"/>
        <w:gridCol w:w="360"/>
        <w:gridCol w:w="167"/>
        <w:gridCol w:w="160"/>
        <w:gridCol w:w="100"/>
        <w:gridCol w:w="510"/>
        <w:gridCol w:w="160"/>
        <w:gridCol w:w="100"/>
        <w:gridCol w:w="510"/>
        <w:gridCol w:w="160"/>
        <w:gridCol w:w="100"/>
        <w:gridCol w:w="584"/>
        <w:gridCol w:w="160"/>
        <w:gridCol w:w="334"/>
        <w:gridCol w:w="167"/>
      </w:tblGrid>
      <w:tr w:rsidR="00000000" w14:paraId="267017CF" w14:textId="77777777">
        <w:trPr>
          <w:divId w:val="2014919711"/>
          <w:trHeight w:val="20"/>
        </w:trPr>
        <w:tc>
          <w:tcPr>
            <w:tcW w:w="1786" w:type="pct"/>
            <w:tcMar>
              <w:top w:w="0" w:type="dxa"/>
              <w:left w:w="0" w:type="dxa"/>
              <w:bottom w:w="0" w:type="dxa"/>
              <w:right w:w="0" w:type="dxa"/>
            </w:tcMar>
            <w:vAlign w:val="bottom"/>
            <w:hideMark/>
          </w:tcPr>
          <w:p w14:paraId="5110BDFC" w14:textId="77777777" w:rsidR="00000000" w:rsidRDefault="00097612">
            <w:pPr>
              <w:pStyle w:val="a3"/>
              <w:spacing w:before="0" w:beforeAutospacing="0" w:after="0" w:afterAutospacing="0"/>
              <w:divId w:val="2047947110"/>
              <w:rPr>
                <w:sz w:val="20"/>
                <w:szCs w:val="20"/>
              </w:rPr>
            </w:pPr>
            <w:r>
              <w:rPr>
                <w:sz w:val="2"/>
                <w:szCs w:val="2"/>
              </w:rPr>
              <w:t>​</w:t>
            </w:r>
          </w:p>
        </w:tc>
        <w:tc>
          <w:tcPr>
            <w:tcW w:w="79" w:type="pct"/>
            <w:noWrap/>
            <w:tcMar>
              <w:top w:w="0" w:type="dxa"/>
              <w:left w:w="0" w:type="dxa"/>
              <w:bottom w:w="0" w:type="dxa"/>
              <w:right w:w="0" w:type="dxa"/>
            </w:tcMar>
            <w:vAlign w:val="bottom"/>
            <w:hideMark/>
          </w:tcPr>
          <w:p w14:paraId="0A5555F9" w14:textId="77777777" w:rsidR="00000000" w:rsidRDefault="00097612">
            <w:pPr>
              <w:pStyle w:val="a3"/>
              <w:spacing w:before="0" w:beforeAutospacing="0" w:after="0" w:afterAutospacing="0"/>
              <w:divId w:val="1185168732"/>
              <w:rPr>
                <w:sz w:val="20"/>
                <w:szCs w:val="20"/>
              </w:rPr>
            </w:pPr>
            <w:r>
              <w:rPr>
                <w:sz w:val="2"/>
                <w:szCs w:val="2"/>
              </w:rPr>
              <w:t>​</w:t>
            </w:r>
          </w:p>
        </w:tc>
        <w:tc>
          <w:tcPr>
            <w:tcW w:w="66" w:type="pct"/>
            <w:noWrap/>
            <w:tcMar>
              <w:top w:w="0" w:type="dxa"/>
              <w:left w:w="0" w:type="dxa"/>
              <w:bottom w:w="0" w:type="dxa"/>
              <w:right w:w="0" w:type="dxa"/>
            </w:tcMar>
            <w:vAlign w:val="bottom"/>
            <w:hideMark/>
          </w:tcPr>
          <w:p w14:paraId="06CFFABE" w14:textId="77777777" w:rsidR="00000000" w:rsidRDefault="00097612">
            <w:pPr>
              <w:pStyle w:val="a3"/>
              <w:spacing w:before="0" w:beforeAutospacing="0" w:after="0" w:afterAutospacing="0"/>
              <w:divId w:val="473331689"/>
              <w:rPr>
                <w:sz w:val="20"/>
                <w:szCs w:val="20"/>
              </w:rPr>
            </w:pPr>
            <w:r>
              <w:rPr>
                <w:sz w:val="2"/>
                <w:szCs w:val="2"/>
              </w:rPr>
              <w:t>​</w:t>
            </w:r>
          </w:p>
        </w:tc>
        <w:tc>
          <w:tcPr>
            <w:tcW w:w="277" w:type="pct"/>
            <w:noWrap/>
            <w:tcMar>
              <w:top w:w="0" w:type="dxa"/>
              <w:left w:w="0" w:type="dxa"/>
              <w:bottom w:w="0" w:type="dxa"/>
              <w:right w:w="0" w:type="dxa"/>
            </w:tcMar>
            <w:vAlign w:val="bottom"/>
            <w:hideMark/>
          </w:tcPr>
          <w:p w14:paraId="73D2F0DC" w14:textId="77777777" w:rsidR="00000000" w:rsidRDefault="00097612">
            <w:pPr>
              <w:pStyle w:val="a3"/>
              <w:spacing w:before="0" w:beforeAutospacing="0" w:after="0" w:afterAutospacing="0"/>
              <w:divId w:val="410549007"/>
              <w:rPr>
                <w:sz w:val="20"/>
                <w:szCs w:val="20"/>
              </w:rPr>
            </w:pPr>
            <w:r>
              <w:rPr>
                <w:sz w:val="2"/>
                <w:szCs w:val="2"/>
              </w:rPr>
              <w:t>​</w:t>
            </w:r>
          </w:p>
        </w:tc>
        <w:tc>
          <w:tcPr>
            <w:tcW w:w="79" w:type="pct"/>
            <w:noWrap/>
            <w:tcMar>
              <w:top w:w="0" w:type="dxa"/>
              <w:left w:w="0" w:type="dxa"/>
              <w:bottom w:w="0" w:type="dxa"/>
              <w:right w:w="0" w:type="dxa"/>
            </w:tcMar>
            <w:vAlign w:val="bottom"/>
            <w:hideMark/>
          </w:tcPr>
          <w:p w14:paraId="7E6F1DB5" w14:textId="77777777" w:rsidR="00000000" w:rsidRDefault="00097612">
            <w:pPr>
              <w:pStyle w:val="a3"/>
              <w:spacing w:before="0" w:beforeAutospacing="0" w:after="0" w:afterAutospacing="0"/>
              <w:divId w:val="454756936"/>
              <w:rPr>
                <w:sz w:val="20"/>
                <w:szCs w:val="20"/>
              </w:rPr>
            </w:pPr>
            <w:r>
              <w:rPr>
                <w:sz w:val="2"/>
                <w:szCs w:val="2"/>
              </w:rPr>
              <w:t>​</w:t>
            </w:r>
          </w:p>
        </w:tc>
        <w:tc>
          <w:tcPr>
            <w:tcW w:w="65" w:type="pct"/>
            <w:noWrap/>
            <w:tcMar>
              <w:top w:w="0" w:type="dxa"/>
              <w:left w:w="0" w:type="dxa"/>
              <w:bottom w:w="0" w:type="dxa"/>
              <w:right w:w="0" w:type="dxa"/>
            </w:tcMar>
            <w:vAlign w:val="bottom"/>
            <w:hideMark/>
          </w:tcPr>
          <w:p w14:paraId="07D39747" w14:textId="77777777" w:rsidR="00000000" w:rsidRDefault="00097612">
            <w:pPr>
              <w:pStyle w:val="a3"/>
              <w:spacing w:before="0" w:beforeAutospacing="0" w:after="0" w:afterAutospacing="0"/>
              <w:divId w:val="1802576679"/>
              <w:rPr>
                <w:sz w:val="20"/>
                <w:szCs w:val="20"/>
              </w:rPr>
            </w:pPr>
            <w:r>
              <w:rPr>
                <w:sz w:val="2"/>
                <w:szCs w:val="2"/>
              </w:rPr>
              <w:t>​</w:t>
            </w:r>
          </w:p>
        </w:tc>
        <w:tc>
          <w:tcPr>
            <w:tcW w:w="262" w:type="pct"/>
            <w:noWrap/>
            <w:tcMar>
              <w:top w:w="0" w:type="dxa"/>
              <w:left w:w="0" w:type="dxa"/>
              <w:bottom w:w="0" w:type="dxa"/>
              <w:right w:w="0" w:type="dxa"/>
            </w:tcMar>
            <w:vAlign w:val="bottom"/>
            <w:hideMark/>
          </w:tcPr>
          <w:p w14:paraId="5B5F2F45" w14:textId="77777777" w:rsidR="00000000" w:rsidRDefault="00097612">
            <w:pPr>
              <w:pStyle w:val="a3"/>
              <w:spacing w:before="0" w:beforeAutospacing="0" w:after="0" w:afterAutospacing="0"/>
              <w:divId w:val="305857378"/>
              <w:rPr>
                <w:sz w:val="20"/>
                <w:szCs w:val="20"/>
              </w:rPr>
            </w:pPr>
            <w:r>
              <w:rPr>
                <w:sz w:val="2"/>
                <w:szCs w:val="2"/>
              </w:rPr>
              <w:t>​</w:t>
            </w:r>
          </w:p>
        </w:tc>
        <w:tc>
          <w:tcPr>
            <w:tcW w:w="79" w:type="pct"/>
            <w:noWrap/>
            <w:tcMar>
              <w:top w:w="0" w:type="dxa"/>
              <w:left w:w="0" w:type="dxa"/>
              <w:bottom w:w="0" w:type="dxa"/>
              <w:right w:w="0" w:type="dxa"/>
            </w:tcMar>
            <w:vAlign w:val="bottom"/>
            <w:hideMark/>
          </w:tcPr>
          <w:p w14:paraId="6DA557E9" w14:textId="77777777" w:rsidR="00000000" w:rsidRDefault="00097612">
            <w:pPr>
              <w:pStyle w:val="a3"/>
              <w:spacing w:before="0" w:beforeAutospacing="0" w:after="0" w:afterAutospacing="0"/>
              <w:divId w:val="1596789188"/>
              <w:rPr>
                <w:sz w:val="20"/>
                <w:szCs w:val="20"/>
              </w:rPr>
            </w:pPr>
            <w:r>
              <w:rPr>
                <w:sz w:val="2"/>
                <w:szCs w:val="2"/>
              </w:rPr>
              <w:t>​</w:t>
            </w:r>
          </w:p>
        </w:tc>
        <w:tc>
          <w:tcPr>
            <w:tcW w:w="49" w:type="pct"/>
            <w:noWrap/>
            <w:tcMar>
              <w:top w:w="0" w:type="dxa"/>
              <w:left w:w="0" w:type="dxa"/>
              <w:bottom w:w="0" w:type="dxa"/>
              <w:right w:w="0" w:type="dxa"/>
            </w:tcMar>
            <w:vAlign w:val="bottom"/>
            <w:hideMark/>
          </w:tcPr>
          <w:p w14:paraId="7B2A6A6B" w14:textId="77777777" w:rsidR="00000000" w:rsidRDefault="00097612">
            <w:pPr>
              <w:pStyle w:val="a3"/>
              <w:spacing w:before="0" w:beforeAutospacing="0" w:after="0" w:afterAutospacing="0"/>
              <w:divId w:val="1608853330"/>
              <w:rPr>
                <w:sz w:val="20"/>
                <w:szCs w:val="20"/>
              </w:rPr>
            </w:pPr>
            <w:r>
              <w:rPr>
                <w:sz w:val="2"/>
                <w:szCs w:val="2"/>
              </w:rPr>
              <w:t>​</w:t>
            </w:r>
          </w:p>
        </w:tc>
        <w:tc>
          <w:tcPr>
            <w:tcW w:w="277" w:type="pct"/>
            <w:noWrap/>
            <w:tcMar>
              <w:top w:w="0" w:type="dxa"/>
              <w:left w:w="0" w:type="dxa"/>
              <w:bottom w:w="0" w:type="dxa"/>
              <w:right w:w="0" w:type="dxa"/>
            </w:tcMar>
            <w:vAlign w:val="bottom"/>
            <w:hideMark/>
          </w:tcPr>
          <w:p w14:paraId="254196EA" w14:textId="77777777" w:rsidR="00000000" w:rsidRDefault="00097612">
            <w:pPr>
              <w:pStyle w:val="a3"/>
              <w:spacing w:before="0" w:beforeAutospacing="0" w:after="0" w:afterAutospacing="0"/>
              <w:divId w:val="1068529150"/>
              <w:rPr>
                <w:sz w:val="20"/>
                <w:szCs w:val="20"/>
              </w:rPr>
            </w:pPr>
            <w:r>
              <w:rPr>
                <w:sz w:val="2"/>
                <w:szCs w:val="2"/>
              </w:rPr>
              <w:t>​</w:t>
            </w:r>
          </w:p>
        </w:tc>
        <w:tc>
          <w:tcPr>
            <w:tcW w:w="79" w:type="pct"/>
            <w:noWrap/>
            <w:tcMar>
              <w:top w:w="0" w:type="dxa"/>
              <w:left w:w="0" w:type="dxa"/>
              <w:bottom w:w="0" w:type="dxa"/>
              <w:right w:w="0" w:type="dxa"/>
            </w:tcMar>
            <w:vAlign w:val="bottom"/>
            <w:hideMark/>
          </w:tcPr>
          <w:p w14:paraId="60475537" w14:textId="77777777" w:rsidR="00000000" w:rsidRDefault="00097612">
            <w:pPr>
              <w:pStyle w:val="a3"/>
              <w:spacing w:before="0" w:beforeAutospacing="0" w:after="0" w:afterAutospacing="0"/>
              <w:divId w:val="1139884720"/>
              <w:rPr>
                <w:sz w:val="20"/>
                <w:szCs w:val="20"/>
              </w:rPr>
            </w:pPr>
            <w:r>
              <w:rPr>
                <w:sz w:val="2"/>
                <w:szCs w:val="2"/>
              </w:rPr>
              <w:t>​</w:t>
            </w:r>
          </w:p>
        </w:tc>
        <w:tc>
          <w:tcPr>
            <w:tcW w:w="203" w:type="pct"/>
            <w:noWrap/>
            <w:tcMar>
              <w:top w:w="0" w:type="dxa"/>
              <w:left w:w="0" w:type="dxa"/>
              <w:bottom w:w="0" w:type="dxa"/>
              <w:right w:w="0" w:type="dxa"/>
            </w:tcMar>
            <w:vAlign w:val="bottom"/>
            <w:hideMark/>
          </w:tcPr>
          <w:p w14:paraId="2B9D0064" w14:textId="77777777" w:rsidR="00000000" w:rsidRDefault="00097612">
            <w:pPr>
              <w:pStyle w:val="a3"/>
              <w:spacing w:before="0" w:beforeAutospacing="0" w:after="0" w:afterAutospacing="0"/>
              <w:divId w:val="1340423622"/>
              <w:rPr>
                <w:sz w:val="20"/>
                <w:szCs w:val="20"/>
              </w:rPr>
            </w:pPr>
            <w:r>
              <w:rPr>
                <w:sz w:val="2"/>
                <w:szCs w:val="2"/>
              </w:rPr>
              <w:t>​</w:t>
            </w:r>
          </w:p>
        </w:tc>
        <w:tc>
          <w:tcPr>
            <w:tcW w:w="82" w:type="pct"/>
            <w:noWrap/>
            <w:tcMar>
              <w:top w:w="0" w:type="dxa"/>
              <w:left w:w="0" w:type="dxa"/>
              <w:bottom w:w="0" w:type="dxa"/>
              <w:right w:w="0" w:type="dxa"/>
            </w:tcMar>
            <w:vAlign w:val="bottom"/>
            <w:hideMark/>
          </w:tcPr>
          <w:p w14:paraId="4124B4E6" w14:textId="77777777" w:rsidR="00000000" w:rsidRDefault="00097612">
            <w:pPr>
              <w:pStyle w:val="a3"/>
              <w:spacing w:before="0" w:beforeAutospacing="0" w:after="0" w:afterAutospacing="0"/>
              <w:divId w:val="1408696370"/>
              <w:rPr>
                <w:sz w:val="20"/>
                <w:szCs w:val="20"/>
              </w:rPr>
            </w:pPr>
            <w:r>
              <w:rPr>
                <w:sz w:val="2"/>
                <w:szCs w:val="2"/>
              </w:rPr>
              <w:t>​</w:t>
            </w:r>
          </w:p>
        </w:tc>
        <w:tc>
          <w:tcPr>
            <w:tcW w:w="79" w:type="pct"/>
            <w:noWrap/>
            <w:tcMar>
              <w:top w:w="0" w:type="dxa"/>
              <w:left w:w="0" w:type="dxa"/>
              <w:bottom w:w="0" w:type="dxa"/>
              <w:right w:w="0" w:type="dxa"/>
            </w:tcMar>
            <w:vAlign w:val="bottom"/>
            <w:hideMark/>
          </w:tcPr>
          <w:p w14:paraId="383CBAB7" w14:textId="77777777" w:rsidR="00000000" w:rsidRDefault="00097612">
            <w:pPr>
              <w:pStyle w:val="a3"/>
              <w:spacing w:before="0" w:beforeAutospacing="0" w:after="0" w:afterAutospacing="0"/>
              <w:divId w:val="1405764776"/>
              <w:rPr>
                <w:sz w:val="20"/>
                <w:szCs w:val="20"/>
              </w:rPr>
            </w:pPr>
            <w:r>
              <w:rPr>
                <w:sz w:val="2"/>
                <w:szCs w:val="2"/>
              </w:rPr>
              <w:t>​</w:t>
            </w:r>
          </w:p>
        </w:tc>
        <w:tc>
          <w:tcPr>
            <w:tcW w:w="49" w:type="pct"/>
            <w:noWrap/>
            <w:tcMar>
              <w:top w:w="0" w:type="dxa"/>
              <w:left w:w="0" w:type="dxa"/>
              <w:bottom w:w="0" w:type="dxa"/>
              <w:right w:w="0" w:type="dxa"/>
            </w:tcMar>
            <w:vAlign w:val="bottom"/>
            <w:hideMark/>
          </w:tcPr>
          <w:p w14:paraId="0CD3CC2F" w14:textId="77777777" w:rsidR="00000000" w:rsidRDefault="00097612">
            <w:pPr>
              <w:pStyle w:val="a3"/>
              <w:spacing w:before="0" w:beforeAutospacing="0" w:after="0" w:afterAutospacing="0"/>
              <w:divId w:val="2013801986"/>
              <w:rPr>
                <w:sz w:val="20"/>
                <w:szCs w:val="20"/>
              </w:rPr>
            </w:pPr>
            <w:r>
              <w:rPr>
                <w:sz w:val="2"/>
                <w:szCs w:val="2"/>
              </w:rPr>
              <w:t>​</w:t>
            </w:r>
          </w:p>
        </w:tc>
        <w:tc>
          <w:tcPr>
            <w:tcW w:w="277" w:type="pct"/>
            <w:noWrap/>
            <w:tcMar>
              <w:top w:w="0" w:type="dxa"/>
              <w:left w:w="0" w:type="dxa"/>
              <w:bottom w:w="0" w:type="dxa"/>
              <w:right w:w="0" w:type="dxa"/>
            </w:tcMar>
            <w:vAlign w:val="bottom"/>
            <w:hideMark/>
          </w:tcPr>
          <w:p w14:paraId="344CE86A" w14:textId="77777777" w:rsidR="00000000" w:rsidRDefault="00097612">
            <w:pPr>
              <w:pStyle w:val="a3"/>
              <w:spacing w:before="0" w:beforeAutospacing="0" w:after="0" w:afterAutospacing="0"/>
              <w:divId w:val="372920593"/>
              <w:rPr>
                <w:sz w:val="20"/>
                <w:szCs w:val="20"/>
              </w:rPr>
            </w:pPr>
            <w:r>
              <w:rPr>
                <w:sz w:val="2"/>
                <w:szCs w:val="2"/>
              </w:rPr>
              <w:t>​</w:t>
            </w:r>
          </w:p>
        </w:tc>
        <w:tc>
          <w:tcPr>
            <w:tcW w:w="79" w:type="pct"/>
            <w:noWrap/>
            <w:tcMar>
              <w:top w:w="0" w:type="dxa"/>
              <w:left w:w="0" w:type="dxa"/>
              <w:bottom w:w="0" w:type="dxa"/>
              <w:right w:w="0" w:type="dxa"/>
            </w:tcMar>
            <w:vAlign w:val="bottom"/>
            <w:hideMark/>
          </w:tcPr>
          <w:p w14:paraId="057CECF9" w14:textId="77777777" w:rsidR="00000000" w:rsidRDefault="00097612">
            <w:pPr>
              <w:pStyle w:val="a3"/>
              <w:spacing w:before="0" w:beforeAutospacing="0" w:after="0" w:afterAutospacing="0"/>
              <w:divId w:val="1329627009"/>
              <w:rPr>
                <w:sz w:val="20"/>
                <w:szCs w:val="20"/>
              </w:rPr>
            </w:pPr>
            <w:r>
              <w:rPr>
                <w:sz w:val="2"/>
                <w:szCs w:val="2"/>
              </w:rPr>
              <w:t>​</w:t>
            </w:r>
          </w:p>
        </w:tc>
        <w:tc>
          <w:tcPr>
            <w:tcW w:w="49" w:type="pct"/>
            <w:noWrap/>
            <w:tcMar>
              <w:top w:w="0" w:type="dxa"/>
              <w:left w:w="0" w:type="dxa"/>
              <w:bottom w:w="0" w:type="dxa"/>
              <w:right w:w="0" w:type="dxa"/>
            </w:tcMar>
            <w:vAlign w:val="bottom"/>
            <w:hideMark/>
          </w:tcPr>
          <w:p w14:paraId="249BC45B" w14:textId="77777777" w:rsidR="00000000" w:rsidRDefault="00097612">
            <w:pPr>
              <w:pStyle w:val="a3"/>
              <w:spacing w:before="0" w:beforeAutospacing="0" w:after="0" w:afterAutospacing="0"/>
              <w:divId w:val="1347950698"/>
              <w:rPr>
                <w:sz w:val="20"/>
                <w:szCs w:val="20"/>
              </w:rPr>
            </w:pPr>
            <w:r>
              <w:rPr>
                <w:sz w:val="2"/>
                <w:szCs w:val="2"/>
              </w:rPr>
              <w:t>​</w:t>
            </w:r>
          </w:p>
        </w:tc>
        <w:tc>
          <w:tcPr>
            <w:tcW w:w="277" w:type="pct"/>
            <w:noWrap/>
            <w:tcMar>
              <w:top w:w="0" w:type="dxa"/>
              <w:left w:w="0" w:type="dxa"/>
              <w:bottom w:w="0" w:type="dxa"/>
              <w:right w:w="0" w:type="dxa"/>
            </w:tcMar>
            <w:vAlign w:val="bottom"/>
            <w:hideMark/>
          </w:tcPr>
          <w:p w14:paraId="06C89DDF" w14:textId="77777777" w:rsidR="00000000" w:rsidRDefault="00097612">
            <w:pPr>
              <w:pStyle w:val="a3"/>
              <w:spacing w:before="0" w:beforeAutospacing="0" w:after="0" w:afterAutospacing="0"/>
              <w:divId w:val="633870722"/>
              <w:rPr>
                <w:sz w:val="20"/>
                <w:szCs w:val="20"/>
              </w:rPr>
            </w:pPr>
            <w:r>
              <w:rPr>
                <w:sz w:val="2"/>
                <w:szCs w:val="2"/>
              </w:rPr>
              <w:t>​</w:t>
            </w:r>
          </w:p>
        </w:tc>
        <w:tc>
          <w:tcPr>
            <w:tcW w:w="79" w:type="pct"/>
            <w:noWrap/>
            <w:tcMar>
              <w:top w:w="0" w:type="dxa"/>
              <w:left w:w="0" w:type="dxa"/>
              <w:bottom w:w="0" w:type="dxa"/>
              <w:right w:w="0" w:type="dxa"/>
            </w:tcMar>
            <w:vAlign w:val="bottom"/>
            <w:hideMark/>
          </w:tcPr>
          <w:p w14:paraId="595D1A13" w14:textId="77777777" w:rsidR="00000000" w:rsidRDefault="00097612">
            <w:pPr>
              <w:pStyle w:val="a3"/>
              <w:spacing w:before="0" w:beforeAutospacing="0" w:after="0" w:afterAutospacing="0"/>
              <w:divId w:val="1951468174"/>
              <w:rPr>
                <w:sz w:val="20"/>
                <w:szCs w:val="20"/>
              </w:rPr>
            </w:pPr>
            <w:r>
              <w:rPr>
                <w:sz w:val="2"/>
                <w:szCs w:val="2"/>
              </w:rPr>
              <w:t>​</w:t>
            </w:r>
          </w:p>
        </w:tc>
        <w:tc>
          <w:tcPr>
            <w:tcW w:w="49" w:type="pct"/>
            <w:noWrap/>
            <w:tcMar>
              <w:top w:w="0" w:type="dxa"/>
              <w:left w:w="0" w:type="dxa"/>
              <w:bottom w:w="0" w:type="dxa"/>
              <w:right w:w="0" w:type="dxa"/>
            </w:tcMar>
            <w:vAlign w:val="bottom"/>
            <w:hideMark/>
          </w:tcPr>
          <w:p w14:paraId="63BE2F3B" w14:textId="77777777" w:rsidR="00000000" w:rsidRDefault="00097612">
            <w:pPr>
              <w:pStyle w:val="a3"/>
              <w:spacing w:before="0" w:beforeAutospacing="0" w:after="0" w:afterAutospacing="0"/>
              <w:divId w:val="1408531810"/>
              <w:rPr>
                <w:sz w:val="20"/>
                <w:szCs w:val="20"/>
              </w:rPr>
            </w:pPr>
            <w:r>
              <w:rPr>
                <w:sz w:val="2"/>
                <w:szCs w:val="2"/>
              </w:rPr>
              <w:t>​</w:t>
            </w:r>
          </w:p>
        </w:tc>
        <w:tc>
          <w:tcPr>
            <w:tcW w:w="314" w:type="pct"/>
            <w:noWrap/>
            <w:tcMar>
              <w:top w:w="0" w:type="dxa"/>
              <w:left w:w="0" w:type="dxa"/>
              <w:bottom w:w="0" w:type="dxa"/>
              <w:right w:w="0" w:type="dxa"/>
            </w:tcMar>
            <w:vAlign w:val="bottom"/>
            <w:hideMark/>
          </w:tcPr>
          <w:p w14:paraId="1226CC98" w14:textId="77777777" w:rsidR="00000000" w:rsidRDefault="00097612">
            <w:pPr>
              <w:pStyle w:val="a3"/>
              <w:spacing w:before="0" w:beforeAutospacing="0" w:after="0" w:afterAutospacing="0"/>
              <w:divId w:val="382801694"/>
              <w:rPr>
                <w:sz w:val="20"/>
                <w:szCs w:val="20"/>
              </w:rPr>
            </w:pPr>
            <w:r>
              <w:rPr>
                <w:sz w:val="2"/>
                <w:szCs w:val="2"/>
              </w:rPr>
              <w:t>​</w:t>
            </w:r>
          </w:p>
        </w:tc>
        <w:tc>
          <w:tcPr>
            <w:tcW w:w="79" w:type="pct"/>
            <w:noWrap/>
            <w:tcMar>
              <w:top w:w="0" w:type="dxa"/>
              <w:left w:w="0" w:type="dxa"/>
              <w:bottom w:w="0" w:type="dxa"/>
              <w:right w:w="0" w:type="dxa"/>
            </w:tcMar>
            <w:vAlign w:val="bottom"/>
            <w:hideMark/>
          </w:tcPr>
          <w:p w14:paraId="758394BE" w14:textId="77777777" w:rsidR="00000000" w:rsidRDefault="00097612">
            <w:pPr>
              <w:pStyle w:val="a3"/>
              <w:spacing w:before="0" w:beforeAutospacing="0" w:after="0" w:afterAutospacing="0"/>
              <w:divId w:val="32727884"/>
              <w:rPr>
                <w:sz w:val="20"/>
                <w:szCs w:val="20"/>
              </w:rPr>
            </w:pPr>
            <w:r>
              <w:rPr>
                <w:sz w:val="2"/>
                <w:szCs w:val="2"/>
              </w:rPr>
              <w:t>​</w:t>
            </w:r>
          </w:p>
        </w:tc>
        <w:tc>
          <w:tcPr>
            <w:tcW w:w="190" w:type="pct"/>
            <w:noWrap/>
            <w:tcMar>
              <w:top w:w="0" w:type="dxa"/>
              <w:left w:w="0" w:type="dxa"/>
              <w:bottom w:w="0" w:type="dxa"/>
              <w:right w:w="0" w:type="dxa"/>
            </w:tcMar>
            <w:vAlign w:val="bottom"/>
            <w:hideMark/>
          </w:tcPr>
          <w:p w14:paraId="53EE3FB3" w14:textId="77777777" w:rsidR="00000000" w:rsidRDefault="00097612">
            <w:pPr>
              <w:pStyle w:val="a3"/>
              <w:spacing w:before="0" w:beforeAutospacing="0" w:after="0" w:afterAutospacing="0"/>
              <w:divId w:val="81220636"/>
              <w:rPr>
                <w:sz w:val="20"/>
                <w:szCs w:val="20"/>
              </w:rPr>
            </w:pPr>
            <w:r>
              <w:rPr>
                <w:sz w:val="2"/>
                <w:szCs w:val="2"/>
              </w:rPr>
              <w:t>​</w:t>
            </w:r>
          </w:p>
        </w:tc>
        <w:tc>
          <w:tcPr>
            <w:tcW w:w="82" w:type="pct"/>
            <w:noWrap/>
            <w:tcMar>
              <w:top w:w="0" w:type="dxa"/>
              <w:left w:w="0" w:type="dxa"/>
              <w:bottom w:w="0" w:type="dxa"/>
              <w:right w:w="0" w:type="dxa"/>
            </w:tcMar>
            <w:vAlign w:val="bottom"/>
            <w:hideMark/>
          </w:tcPr>
          <w:p w14:paraId="760E8779" w14:textId="77777777" w:rsidR="00000000" w:rsidRDefault="00097612">
            <w:pPr>
              <w:pStyle w:val="a3"/>
              <w:spacing w:before="0" w:beforeAutospacing="0" w:after="0" w:afterAutospacing="0"/>
              <w:divId w:val="193345565"/>
              <w:rPr>
                <w:sz w:val="20"/>
                <w:szCs w:val="20"/>
              </w:rPr>
            </w:pPr>
            <w:r>
              <w:rPr>
                <w:sz w:val="2"/>
                <w:szCs w:val="2"/>
              </w:rPr>
              <w:t>​</w:t>
            </w:r>
          </w:p>
        </w:tc>
      </w:tr>
      <w:tr w:rsidR="00000000" w14:paraId="3F73FED8" w14:textId="77777777">
        <w:trPr>
          <w:divId w:val="2014919711"/>
        </w:trPr>
        <w:tc>
          <w:tcPr>
            <w:tcW w:w="1786" w:type="pct"/>
            <w:shd w:val="clear" w:color="auto" w:fill="auto"/>
            <w:tcMar>
              <w:top w:w="0" w:type="dxa"/>
              <w:left w:w="0" w:type="dxa"/>
              <w:bottom w:w="0" w:type="dxa"/>
              <w:right w:w="0" w:type="dxa"/>
            </w:tcMar>
            <w:vAlign w:val="bottom"/>
            <w:hideMark/>
          </w:tcPr>
          <w:p w14:paraId="354E1493"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0F7823F9" w14:textId="77777777" w:rsidR="00000000" w:rsidRDefault="00097612">
            <w:pPr>
              <w:pStyle w:val="a3"/>
              <w:spacing w:before="0" w:beforeAutospacing="0" w:after="0" w:afterAutospacing="0"/>
              <w:rPr>
                <w:sz w:val="20"/>
                <w:szCs w:val="20"/>
              </w:rPr>
            </w:pPr>
            <w:r>
              <w:rPr>
                <w:b/>
                <w:bCs/>
                <w:sz w:val="16"/>
                <w:szCs w:val="16"/>
              </w:rPr>
              <w:t>​</w:t>
            </w:r>
          </w:p>
        </w:tc>
        <w:tc>
          <w:tcPr>
            <w:tcW w:w="751" w:type="pct"/>
            <w:gridSpan w:val="5"/>
            <w:shd w:val="clear" w:color="auto" w:fill="auto"/>
            <w:noWrap/>
            <w:tcMar>
              <w:top w:w="0" w:type="dxa"/>
              <w:left w:w="0" w:type="dxa"/>
              <w:bottom w:w="0" w:type="dxa"/>
              <w:right w:w="0" w:type="dxa"/>
            </w:tcMar>
            <w:vAlign w:val="bottom"/>
            <w:hideMark/>
          </w:tcPr>
          <w:p w14:paraId="0F08AF66" w14:textId="77777777" w:rsidR="00000000" w:rsidRDefault="00097612">
            <w:pPr>
              <w:pStyle w:val="a3"/>
              <w:spacing w:before="0" w:beforeAutospacing="0" w:after="0" w:afterAutospacing="0"/>
              <w:jc w:val="center"/>
              <w:rPr>
                <w:sz w:val="16"/>
                <w:szCs w:val="16"/>
              </w:rPr>
            </w:pPr>
            <w:r>
              <w:rPr>
                <w:b/>
                <w:bCs/>
                <w:sz w:val="16"/>
                <w:szCs w:val="16"/>
              </w:rPr>
              <w:t xml:space="preserve">Three Months Ended </w:t>
            </w:r>
          </w:p>
        </w:tc>
        <w:tc>
          <w:tcPr>
            <w:tcW w:w="79" w:type="pct"/>
            <w:shd w:val="clear" w:color="auto" w:fill="auto"/>
            <w:noWrap/>
            <w:tcMar>
              <w:top w:w="0" w:type="dxa"/>
              <w:left w:w="0" w:type="dxa"/>
              <w:bottom w:w="0" w:type="dxa"/>
              <w:right w:w="0" w:type="dxa"/>
            </w:tcMar>
            <w:vAlign w:val="bottom"/>
            <w:hideMark/>
          </w:tcPr>
          <w:p w14:paraId="5B3D8869" w14:textId="77777777" w:rsidR="00000000" w:rsidRDefault="00097612">
            <w:pPr>
              <w:pStyle w:val="a3"/>
              <w:spacing w:before="0" w:beforeAutospacing="0" w:after="0" w:afterAutospacing="0"/>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62A7125D" w14:textId="77777777" w:rsidR="00000000" w:rsidRDefault="00097612">
            <w:pPr>
              <w:pStyle w:val="a3"/>
              <w:spacing w:before="0" w:beforeAutospacing="0" w:after="0" w:afterAutospacing="0"/>
              <w:jc w:val="center"/>
              <w:rPr>
                <w:sz w:val="20"/>
                <w:szCs w:val="20"/>
              </w:rPr>
            </w:pPr>
            <w:r>
              <w:rPr>
                <w:sz w:val="16"/>
                <w:szCs w:val="16"/>
              </w:rPr>
              <w:t>​</w:t>
            </w:r>
          </w:p>
        </w:tc>
        <w:tc>
          <w:tcPr>
            <w:tcW w:w="277" w:type="pct"/>
            <w:shd w:val="clear" w:color="auto" w:fill="auto"/>
            <w:noWrap/>
            <w:tcMar>
              <w:top w:w="0" w:type="dxa"/>
              <w:left w:w="0" w:type="dxa"/>
              <w:bottom w:w="0" w:type="dxa"/>
              <w:right w:w="0" w:type="dxa"/>
            </w:tcMar>
            <w:vAlign w:val="bottom"/>
            <w:hideMark/>
          </w:tcPr>
          <w:p w14:paraId="3E785B0B"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2A4985FF" w14:textId="77777777" w:rsidR="00000000" w:rsidRDefault="00097612">
            <w:pPr>
              <w:pStyle w:val="a3"/>
              <w:spacing w:before="0" w:beforeAutospacing="0" w:after="0" w:afterAutospacing="0"/>
              <w:jc w:val="center"/>
              <w:rPr>
                <w:sz w:val="20"/>
                <w:szCs w:val="20"/>
              </w:rPr>
            </w:pPr>
            <w:r>
              <w:rPr>
                <w:sz w:val="16"/>
                <w:szCs w:val="16"/>
              </w:rPr>
              <w:t>​</w:t>
            </w:r>
          </w:p>
        </w:tc>
        <w:tc>
          <w:tcPr>
            <w:tcW w:w="203" w:type="pct"/>
            <w:shd w:val="clear" w:color="auto" w:fill="auto"/>
            <w:noWrap/>
            <w:tcMar>
              <w:top w:w="0" w:type="dxa"/>
              <w:left w:w="0" w:type="dxa"/>
              <w:bottom w:w="0" w:type="dxa"/>
              <w:right w:w="0" w:type="dxa"/>
            </w:tcMar>
            <w:vAlign w:val="bottom"/>
            <w:hideMark/>
          </w:tcPr>
          <w:p w14:paraId="61A648AC" w14:textId="77777777" w:rsidR="00000000" w:rsidRDefault="00097612">
            <w:pPr>
              <w:pStyle w:val="a3"/>
              <w:spacing w:before="0" w:beforeAutospacing="0" w:after="0" w:afterAutospacing="0"/>
              <w:jc w:val="center"/>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14:paraId="433EE1CD"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5E693DDA" w14:textId="77777777" w:rsidR="00000000" w:rsidRDefault="00097612">
            <w:pPr>
              <w:pStyle w:val="a3"/>
              <w:spacing w:before="0" w:beforeAutospacing="0" w:after="0" w:afterAutospacing="0"/>
              <w:jc w:val="center"/>
              <w:rPr>
                <w:sz w:val="20"/>
                <w:szCs w:val="20"/>
              </w:rPr>
            </w:pPr>
            <w:r>
              <w:rPr>
                <w:b/>
                <w:bCs/>
                <w:sz w:val="16"/>
                <w:szCs w:val="16"/>
              </w:rPr>
              <w:t>​</w:t>
            </w:r>
          </w:p>
        </w:tc>
        <w:tc>
          <w:tcPr>
            <w:tcW w:w="734" w:type="pct"/>
            <w:gridSpan w:val="5"/>
            <w:shd w:val="clear" w:color="auto" w:fill="auto"/>
            <w:noWrap/>
            <w:tcMar>
              <w:top w:w="0" w:type="dxa"/>
              <w:left w:w="0" w:type="dxa"/>
              <w:bottom w:w="0" w:type="dxa"/>
              <w:right w:w="0" w:type="dxa"/>
            </w:tcMar>
            <w:vAlign w:val="bottom"/>
            <w:hideMark/>
          </w:tcPr>
          <w:p w14:paraId="0676BFDF"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79" w:type="pct"/>
            <w:shd w:val="clear" w:color="auto" w:fill="auto"/>
            <w:noWrap/>
            <w:tcMar>
              <w:top w:w="0" w:type="dxa"/>
              <w:left w:w="0" w:type="dxa"/>
              <w:bottom w:w="0" w:type="dxa"/>
              <w:right w:w="0" w:type="dxa"/>
            </w:tcMar>
            <w:vAlign w:val="bottom"/>
            <w:hideMark/>
          </w:tcPr>
          <w:p w14:paraId="14AB822A" w14:textId="77777777" w:rsidR="00000000" w:rsidRDefault="00097612">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14:paraId="12AD48EC" w14:textId="77777777" w:rsidR="00000000" w:rsidRDefault="00097612">
            <w:pPr>
              <w:pStyle w:val="a3"/>
              <w:spacing w:before="0" w:beforeAutospacing="0" w:after="0" w:afterAutospacing="0"/>
              <w:jc w:val="center"/>
              <w:rPr>
                <w:sz w:val="20"/>
                <w:szCs w:val="20"/>
              </w:rPr>
            </w:pPr>
            <w:r>
              <w:rPr>
                <w:sz w:val="16"/>
                <w:szCs w:val="16"/>
              </w:rPr>
              <w:t>​</w:t>
            </w:r>
          </w:p>
        </w:tc>
        <w:tc>
          <w:tcPr>
            <w:tcW w:w="314" w:type="pct"/>
            <w:shd w:val="clear" w:color="auto" w:fill="auto"/>
            <w:noWrap/>
            <w:tcMar>
              <w:top w:w="0" w:type="dxa"/>
              <w:left w:w="0" w:type="dxa"/>
              <w:bottom w:w="0" w:type="dxa"/>
              <w:right w:w="0" w:type="dxa"/>
            </w:tcMar>
            <w:vAlign w:val="bottom"/>
            <w:hideMark/>
          </w:tcPr>
          <w:p w14:paraId="1CD33A09" w14:textId="77777777" w:rsidR="00000000" w:rsidRDefault="00097612">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14:paraId="6E663CDD" w14:textId="77777777" w:rsidR="00000000" w:rsidRDefault="00097612">
            <w:pPr>
              <w:pStyle w:val="a3"/>
              <w:spacing w:before="0" w:beforeAutospacing="0" w:after="0" w:afterAutospacing="0"/>
              <w:jc w:val="center"/>
              <w:rPr>
                <w:sz w:val="20"/>
                <w:szCs w:val="20"/>
              </w:rPr>
            </w:pPr>
            <w:r>
              <w:rPr>
                <w:sz w:val="16"/>
                <w:szCs w:val="16"/>
              </w:rPr>
              <w:t>​</w:t>
            </w:r>
          </w:p>
        </w:tc>
        <w:tc>
          <w:tcPr>
            <w:tcW w:w="190" w:type="pct"/>
            <w:shd w:val="clear" w:color="auto" w:fill="auto"/>
            <w:noWrap/>
            <w:tcMar>
              <w:top w:w="0" w:type="dxa"/>
              <w:left w:w="0" w:type="dxa"/>
              <w:bottom w:w="0" w:type="dxa"/>
              <w:right w:w="0" w:type="dxa"/>
            </w:tcMar>
            <w:vAlign w:val="bottom"/>
            <w:hideMark/>
          </w:tcPr>
          <w:p w14:paraId="6339E311" w14:textId="77777777" w:rsidR="00000000" w:rsidRDefault="00097612">
            <w:pPr>
              <w:pStyle w:val="a3"/>
              <w:spacing w:before="0" w:beforeAutospacing="0" w:after="0" w:afterAutospacing="0"/>
              <w:jc w:val="center"/>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14:paraId="3EC8FBE3" w14:textId="77777777" w:rsidR="00000000" w:rsidRDefault="00097612">
            <w:pPr>
              <w:pStyle w:val="a3"/>
              <w:spacing w:before="0" w:beforeAutospacing="0" w:after="0" w:afterAutospacing="0"/>
              <w:jc w:val="center"/>
              <w:rPr>
                <w:sz w:val="20"/>
                <w:szCs w:val="20"/>
              </w:rPr>
            </w:pPr>
            <w:r>
              <w:rPr>
                <w:sz w:val="16"/>
                <w:szCs w:val="16"/>
              </w:rPr>
              <w:t>​</w:t>
            </w:r>
          </w:p>
        </w:tc>
      </w:tr>
      <w:tr w:rsidR="00000000" w14:paraId="23501D52" w14:textId="77777777">
        <w:trPr>
          <w:divId w:val="2014919711"/>
        </w:trPr>
        <w:tc>
          <w:tcPr>
            <w:tcW w:w="1786" w:type="pct"/>
            <w:shd w:val="clear" w:color="auto" w:fill="auto"/>
            <w:tcMar>
              <w:top w:w="0" w:type="dxa"/>
              <w:left w:w="0" w:type="dxa"/>
              <w:bottom w:w="0" w:type="dxa"/>
              <w:right w:w="0" w:type="dxa"/>
            </w:tcMar>
            <w:vAlign w:val="bottom"/>
            <w:hideMark/>
          </w:tcPr>
          <w:p w14:paraId="600473F7"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25E1C038" w14:textId="77777777" w:rsidR="00000000" w:rsidRDefault="00097612">
            <w:pPr>
              <w:pStyle w:val="a3"/>
              <w:spacing w:before="0" w:beforeAutospacing="0" w:after="0" w:afterAutospacing="0"/>
              <w:rPr>
                <w:sz w:val="20"/>
                <w:szCs w:val="20"/>
              </w:rPr>
            </w:pPr>
            <w:r>
              <w:rPr>
                <w:b/>
                <w:bCs/>
                <w:sz w:val="16"/>
                <w:szCs w:val="16"/>
              </w:rPr>
              <w:t>​</w:t>
            </w:r>
          </w:p>
        </w:tc>
        <w:tc>
          <w:tcPr>
            <w:tcW w:w="751" w:type="pct"/>
            <w:gridSpan w:val="5"/>
            <w:tcBorders>
              <w:bottom w:val="single" w:sz="6" w:space="0" w:color="000000"/>
            </w:tcBorders>
            <w:shd w:val="clear" w:color="auto" w:fill="auto"/>
            <w:noWrap/>
            <w:tcMar>
              <w:top w:w="0" w:type="dxa"/>
              <w:left w:w="0" w:type="dxa"/>
              <w:bottom w:w="0" w:type="dxa"/>
              <w:right w:w="0" w:type="dxa"/>
            </w:tcMar>
            <w:vAlign w:val="bottom"/>
            <w:hideMark/>
          </w:tcPr>
          <w:p w14:paraId="6097F6FD"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40EB2F29" w14:textId="77777777" w:rsidR="00000000" w:rsidRDefault="00097612">
            <w:pPr>
              <w:pStyle w:val="a3"/>
              <w:spacing w:before="0" w:beforeAutospacing="0" w:after="0" w:afterAutospacing="0"/>
              <w:rPr>
                <w:sz w:val="20"/>
                <w:szCs w:val="20"/>
              </w:rPr>
            </w:pPr>
            <w:r>
              <w:rPr>
                <w:b/>
                <w:bCs/>
                <w:sz w:val="16"/>
                <w:szCs w:val="16"/>
              </w:rPr>
              <w:t>​</w:t>
            </w:r>
          </w:p>
        </w:tc>
        <w:tc>
          <w:tcPr>
            <w:tcW w:w="610" w:type="pct"/>
            <w:gridSpan w:val="4"/>
            <w:tcBorders>
              <w:bottom w:val="single" w:sz="6" w:space="0" w:color="000000"/>
            </w:tcBorders>
            <w:shd w:val="clear" w:color="auto" w:fill="auto"/>
            <w:noWrap/>
            <w:tcMar>
              <w:top w:w="0" w:type="dxa"/>
              <w:left w:w="0" w:type="dxa"/>
              <w:bottom w:w="0" w:type="dxa"/>
              <w:right w:w="0" w:type="dxa"/>
            </w:tcMar>
            <w:vAlign w:val="bottom"/>
            <w:hideMark/>
          </w:tcPr>
          <w:p w14:paraId="197D1D46" w14:textId="77777777" w:rsidR="00000000" w:rsidRDefault="00097612">
            <w:pPr>
              <w:pStyle w:val="a3"/>
              <w:spacing w:before="0" w:beforeAutospacing="0" w:after="0" w:afterAutospacing="0"/>
              <w:jc w:val="center"/>
              <w:rPr>
                <w:sz w:val="16"/>
                <w:szCs w:val="16"/>
              </w:rPr>
            </w:pPr>
            <w:r>
              <w:rPr>
                <w:b/>
                <w:bCs/>
                <w:sz w:val="16"/>
                <w:szCs w:val="16"/>
              </w:rPr>
              <w:t>Change</w:t>
            </w:r>
          </w:p>
        </w:tc>
        <w:tc>
          <w:tcPr>
            <w:tcW w:w="82" w:type="pct"/>
            <w:shd w:val="clear" w:color="auto" w:fill="auto"/>
            <w:noWrap/>
            <w:tcMar>
              <w:top w:w="0" w:type="dxa"/>
              <w:left w:w="0" w:type="dxa"/>
              <w:bottom w:w="0" w:type="dxa"/>
              <w:right w:w="0" w:type="dxa"/>
            </w:tcMar>
            <w:vAlign w:val="bottom"/>
            <w:hideMark/>
          </w:tcPr>
          <w:p w14:paraId="6FD8D70D" w14:textId="77777777" w:rsidR="00000000" w:rsidRDefault="00097612">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6CBEF8A5" w14:textId="77777777" w:rsidR="00000000" w:rsidRDefault="00097612">
            <w:pPr>
              <w:pStyle w:val="a3"/>
              <w:spacing w:before="0" w:beforeAutospacing="0" w:after="0" w:afterAutospacing="0"/>
              <w:jc w:val="center"/>
              <w:rPr>
                <w:sz w:val="20"/>
                <w:szCs w:val="20"/>
              </w:rPr>
            </w:pPr>
            <w:r>
              <w:rPr>
                <w:b/>
                <w:bCs/>
                <w:sz w:val="16"/>
                <w:szCs w:val="16"/>
              </w:rPr>
              <w:t>​</w:t>
            </w:r>
          </w:p>
        </w:tc>
        <w:tc>
          <w:tcPr>
            <w:tcW w:w="734" w:type="pct"/>
            <w:gridSpan w:val="5"/>
            <w:tcBorders>
              <w:bottom w:val="single" w:sz="6" w:space="0" w:color="000000"/>
            </w:tcBorders>
            <w:shd w:val="clear" w:color="auto" w:fill="auto"/>
            <w:noWrap/>
            <w:tcMar>
              <w:top w:w="0" w:type="dxa"/>
              <w:left w:w="0" w:type="dxa"/>
              <w:bottom w:w="0" w:type="dxa"/>
              <w:right w:w="0" w:type="dxa"/>
            </w:tcMar>
            <w:vAlign w:val="bottom"/>
            <w:hideMark/>
          </w:tcPr>
          <w:p w14:paraId="7555B392"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79" w:type="pct"/>
            <w:shd w:val="clear" w:color="auto" w:fill="auto"/>
            <w:noWrap/>
            <w:tcMar>
              <w:top w:w="0" w:type="dxa"/>
              <w:left w:w="0" w:type="dxa"/>
              <w:bottom w:w="0" w:type="dxa"/>
              <w:right w:w="0" w:type="dxa"/>
            </w:tcMar>
            <w:vAlign w:val="bottom"/>
            <w:hideMark/>
          </w:tcPr>
          <w:p w14:paraId="73D6DBF3" w14:textId="77777777" w:rsidR="00000000" w:rsidRDefault="00097612">
            <w:pPr>
              <w:pStyle w:val="a3"/>
              <w:spacing w:before="0" w:beforeAutospacing="0" w:after="0" w:afterAutospacing="0"/>
              <w:jc w:val="center"/>
              <w:rPr>
                <w:sz w:val="20"/>
                <w:szCs w:val="20"/>
              </w:rPr>
            </w:pPr>
            <w:r>
              <w:rPr>
                <w:b/>
                <w:bCs/>
                <w:sz w:val="16"/>
                <w:szCs w:val="16"/>
              </w:rPr>
              <w:t>​</w:t>
            </w:r>
          </w:p>
        </w:tc>
        <w:tc>
          <w:tcPr>
            <w:tcW w:w="633" w:type="pct"/>
            <w:gridSpan w:val="4"/>
            <w:tcBorders>
              <w:bottom w:val="single" w:sz="6" w:space="0" w:color="000000"/>
            </w:tcBorders>
            <w:shd w:val="clear" w:color="auto" w:fill="auto"/>
            <w:noWrap/>
            <w:tcMar>
              <w:top w:w="0" w:type="dxa"/>
              <w:left w:w="0" w:type="dxa"/>
              <w:bottom w:w="0" w:type="dxa"/>
              <w:right w:w="0" w:type="dxa"/>
            </w:tcMar>
            <w:vAlign w:val="bottom"/>
            <w:hideMark/>
          </w:tcPr>
          <w:p w14:paraId="14C0F97C" w14:textId="77777777" w:rsidR="00000000" w:rsidRDefault="00097612">
            <w:pPr>
              <w:pStyle w:val="a3"/>
              <w:spacing w:before="0" w:beforeAutospacing="0" w:after="0" w:afterAutospacing="0"/>
              <w:jc w:val="center"/>
              <w:rPr>
                <w:sz w:val="16"/>
                <w:szCs w:val="16"/>
              </w:rPr>
            </w:pPr>
            <w:r>
              <w:rPr>
                <w:b/>
                <w:bCs/>
                <w:sz w:val="16"/>
                <w:szCs w:val="16"/>
              </w:rPr>
              <w:t>Change</w:t>
            </w:r>
          </w:p>
        </w:tc>
        <w:tc>
          <w:tcPr>
            <w:tcW w:w="82" w:type="pct"/>
            <w:shd w:val="clear" w:color="auto" w:fill="auto"/>
            <w:noWrap/>
            <w:tcMar>
              <w:top w:w="0" w:type="dxa"/>
              <w:left w:w="0" w:type="dxa"/>
              <w:bottom w:w="0" w:type="dxa"/>
              <w:right w:w="0" w:type="dxa"/>
            </w:tcMar>
            <w:vAlign w:val="bottom"/>
            <w:hideMark/>
          </w:tcPr>
          <w:p w14:paraId="4A2FB56E" w14:textId="77777777" w:rsidR="00000000" w:rsidRDefault="00097612">
            <w:pPr>
              <w:pStyle w:val="a3"/>
              <w:spacing w:before="0" w:beforeAutospacing="0" w:after="0" w:afterAutospacing="0"/>
              <w:jc w:val="center"/>
              <w:rPr>
                <w:sz w:val="20"/>
                <w:szCs w:val="20"/>
              </w:rPr>
            </w:pPr>
            <w:r>
              <w:rPr>
                <w:b/>
                <w:bCs/>
                <w:sz w:val="16"/>
                <w:szCs w:val="16"/>
              </w:rPr>
              <w:t>​</w:t>
            </w:r>
          </w:p>
        </w:tc>
      </w:tr>
      <w:tr w:rsidR="00000000" w14:paraId="475E150B" w14:textId="77777777">
        <w:trPr>
          <w:divId w:val="2014919711"/>
        </w:trPr>
        <w:tc>
          <w:tcPr>
            <w:tcW w:w="1786" w:type="pct"/>
            <w:tcBorders>
              <w:bottom w:val="single" w:sz="6" w:space="0" w:color="000000"/>
            </w:tcBorders>
            <w:shd w:val="clear" w:color="auto" w:fill="auto"/>
            <w:tcMar>
              <w:top w:w="0" w:type="dxa"/>
              <w:left w:w="0" w:type="dxa"/>
              <w:bottom w:w="0" w:type="dxa"/>
              <w:right w:w="0" w:type="dxa"/>
            </w:tcMar>
            <w:vAlign w:val="bottom"/>
            <w:hideMark/>
          </w:tcPr>
          <w:p w14:paraId="53819CE4" w14:textId="77777777" w:rsidR="00000000" w:rsidRDefault="00097612">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14:paraId="2E6CC952" w14:textId="77777777" w:rsidR="00000000" w:rsidRDefault="00097612">
            <w:pPr>
              <w:pStyle w:val="a3"/>
              <w:spacing w:before="0" w:beforeAutospacing="0" w:after="0" w:afterAutospacing="0"/>
              <w:rPr>
                <w:sz w:val="16"/>
                <w:szCs w:val="16"/>
              </w:rPr>
            </w:pPr>
            <w:r>
              <w:rPr>
                <w:b/>
                <w:bCs/>
                <w:sz w:val="16"/>
                <w:szCs w:val="16"/>
              </w:rPr>
              <w:t>    </w:t>
            </w:r>
          </w:p>
        </w:tc>
        <w:tc>
          <w:tcPr>
            <w:tcW w:w="344" w:type="pct"/>
            <w:gridSpan w:val="2"/>
            <w:tcBorders>
              <w:bottom w:val="single" w:sz="6" w:space="0" w:color="000000"/>
            </w:tcBorders>
            <w:shd w:val="clear" w:color="auto" w:fill="auto"/>
            <w:noWrap/>
            <w:tcMar>
              <w:top w:w="0" w:type="dxa"/>
              <w:left w:w="0" w:type="dxa"/>
              <w:bottom w:w="0" w:type="dxa"/>
              <w:right w:w="0" w:type="dxa"/>
            </w:tcMar>
            <w:vAlign w:val="bottom"/>
            <w:hideMark/>
          </w:tcPr>
          <w:p w14:paraId="1E74173F" w14:textId="77777777" w:rsidR="00000000" w:rsidRDefault="00097612">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14:paraId="66AC9829" w14:textId="77777777" w:rsidR="00000000" w:rsidRDefault="00097612">
            <w:pPr>
              <w:pStyle w:val="a3"/>
              <w:spacing w:before="0" w:beforeAutospacing="0" w:after="0" w:afterAutospacing="0"/>
              <w:rPr>
                <w:sz w:val="16"/>
                <w:szCs w:val="16"/>
              </w:rPr>
            </w:pPr>
            <w:r>
              <w:rPr>
                <w:b/>
                <w:bCs/>
                <w:sz w:val="16"/>
                <w:szCs w:val="16"/>
              </w:rPr>
              <w:t>    </w:t>
            </w:r>
          </w:p>
        </w:tc>
        <w:tc>
          <w:tcPr>
            <w:tcW w:w="328" w:type="pct"/>
            <w:gridSpan w:val="2"/>
            <w:tcBorders>
              <w:bottom w:val="single" w:sz="6" w:space="0" w:color="000000"/>
            </w:tcBorders>
            <w:shd w:val="clear" w:color="auto" w:fill="auto"/>
            <w:noWrap/>
            <w:tcMar>
              <w:top w:w="0" w:type="dxa"/>
              <w:left w:w="0" w:type="dxa"/>
              <w:bottom w:w="0" w:type="dxa"/>
              <w:right w:w="0" w:type="dxa"/>
            </w:tcMar>
            <w:vAlign w:val="bottom"/>
            <w:hideMark/>
          </w:tcPr>
          <w:p w14:paraId="065659A7"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39BA1FB4" w14:textId="77777777" w:rsidR="00000000" w:rsidRDefault="00097612">
            <w:pPr>
              <w:pStyle w:val="a3"/>
              <w:spacing w:before="0" w:beforeAutospacing="0" w:after="0" w:afterAutospacing="0"/>
              <w:rPr>
                <w:sz w:val="16"/>
                <w:szCs w:val="16"/>
              </w:rPr>
            </w:pPr>
            <w:r>
              <w:rPr>
                <w:b/>
                <w:bCs/>
                <w:sz w:val="16"/>
                <w:szCs w:val="16"/>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14:paraId="345F1389" w14:textId="77777777" w:rsidR="00000000" w:rsidRDefault="00097612">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3E7D2BC3" w14:textId="77777777" w:rsidR="00000000" w:rsidRDefault="00097612">
            <w:pPr>
              <w:pStyle w:val="a3"/>
              <w:spacing w:before="0" w:beforeAutospacing="0" w:after="0" w:afterAutospacing="0"/>
              <w:rPr>
                <w:sz w:val="16"/>
                <w:szCs w:val="16"/>
              </w:rPr>
            </w:pPr>
            <w:r>
              <w:rPr>
                <w:b/>
                <w:bCs/>
                <w:sz w:val="16"/>
                <w:szCs w:val="16"/>
              </w:rPr>
              <w:t>    </w:t>
            </w:r>
          </w:p>
        </w:tc>
        <w:tc>
          <w:tcPr>
            <w:tcW w:w="203" w:type="pct"/>
            <w:tcBorders>
              <w:bottom w:val="single" w:sz="6" w:space="0" w:color="000000"/>
            </w:tcBorders>
            <w:shd w:val="clear" w:color="auto" w:fill="auto"/>
            <w:noWrap/>
            <w:tcMar>
              <w:top w:w="0" w:type="dxa"/>
              <w:left w:w="0" w:type="dxa"/>
              <w:bottom w:w="0" w:type="dxa"/>
              <w:right w:w="0" w:type="dxa"/>
            </w:tcMar>
            <w:vAlign w:val="bottom"/>
            <w:hideMark/>
          </w:tcPr>
          <w:p w14:paraId="6304AC22" w14:textId="77777777" w:rsidR="00000000" w:rsidRDefault="00097612">
            <w:pPr>
              <w:pStyle w:val="a3"/>
              <w:spacing w:before="0" w:beforeAutospacing="0" w:after="0" w:afterAutospacing="0"/>
              <w:jc w:val="center"/>
              <w:rPr>
                <w:sz w:val="16"/>
                <w:szCs w:val="16"/>
              </w:rPr>
            </w:pPr>
            <w:r>
              <w:rPr>
                <w:b/>
                <w:bCs/>
                <w:sz w:val="16"/>
                <w:szCs w:val="16"/>
              </w:rPr>
              <w:t>%</w:t>
            </w:r>
          </w:p>
        </w:tc>
        <w:tc>
          <w:tcPr>
            <w:tcW w:w="82" w:type="pct"/>
            <w:shd w:val="clear" w:color="auto" w:fill="auto"/>
            <w:noWrap/>
            <w:tcMar>
              <w:top w:w="0" w:type="dxa"/>
              <w:left w:w="0" w:type="dxa"/>
              <w:bottom w:w="0" w:type="dxa"/>
              <w:right w:w="0" w:type="dxa"/>
            </w:tcMar>
            <w:vAlign w:val="bottom"/>
            <w:hideMark/>
          </w:tcPr>
          <w:p w14:paraId="454C7B74" w14:textId="77777777" w:rsidR="00000000" w:rsidRDefault="00097612">
            <w:pPr>
              <w:pStyle w:val="a3"/>
              <w:spacing w:before="0" w:beforeAutospacing="0" w:after="0" w:afterAutospacing="0"/>
              <w:rPr>
                <w:sz w:val="16"/>
                <w:szCs w:val="16"/>
              </w:rPr>
            </w:pPr>
            <w:r>
              <w:rPr>
                <w:b/>
                <w:bCs/>
                <w:sz w:val="16"/>
                <w:szCs w:val="16"/>
              </w:rPr>
              <w:t>    </w:t>
            </w:r>
          </w:p>
        </w:tc>
        <w:tc>
          <w:tcPr>
            <w:tcW w:w="79" w:type="pct"/>
            <w:shd w:val="clear" w:color="auto" w:fill="auto"/>
            <w:noWrap/>
            <w:tcMar>
              <w:top w:w="0" w:type="dxa"/>
              <w:left w:w="0" w:type="dxa"/>
              <w:bottom w:w="0" w:type="dxa"/>
              <w:right w:w="0" w:type="dxa"/>
            </w:tcMar>
            <w:vAlign w:val="bottom"/>
            <w:hideMark/>
          </w:tcPr>
          <w:p w14:paraId="2228E896" w14:textId="77777777" w:rsidR="00000000" w:rsidRDefault="00097612">
            <w:pPr>
              <w:pStyle w:val="a3"/>
              <w:spacing w:before="0" w:beforeAutospacing="0" w:after="0" w:afterAutospacing="0"/>
              <w:jc w:val="center"/>
              <w:rPr>
                <w:sz w:val="16"/>
                <w:szCs w:val="16"/>
              </w:rPr>
            </w:pPr>
            <w:r>
              <w:rPr>
                <w:b/>
                <w:bCs/>
                <w:sz w:val="16"/>
                <w:szCs w:val="16"/>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14:paraId="166F74FF" w14:textId="77777777" w:rsidR="00000000" w:rsidRDefault="00097612">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14:paraId="4CE81E72" w14:textId="77777777" w:rsidR="00000000" w:rsidRDefault="00097612">
            <w:pPr>
              <w:pStyle w:val="a3"/>
              <w:spacing w:before="0" w:beforeAutospacing="0" w:after="0" w:afterAutospacing="0"/>
              <w:jc w:val="center"/>
              <w:rPr>
                <w:sz w:val="16"/>
                <w:szCs w:val="16"/>
              </w:rPr>
            </w:pPr>
            <w:r>
              <w:rPr>
                <w:b/>
                <w:bCs/>
                <w:sz w:val="16"/>
                <w:szCs w:val="16"/>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14:paraId="7FE4E403" w14:textId="77777777" w:rsidR="00000000" w:rsidRDefault="00097612">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14:paraId="0B0C36D0" w14:textId="77777777" w:rsidR="00000000" w:rsidRDefault="00097612">
            <w:pPr>
              <w:pStyle w:val="a3"/>
              <w:spacing w:before="0" w:beforeAutospacing="0" w:after="0" w:afterAutospacing="0"/>
              <w:jc w:val="center"/>
              <w:rPr>
                <w:sz w:val="16"/>
                <w:szCs w:val="16"/>
              </w:rPr>
            </w:pPr>
            <w:r>
              <w:rPr>
                <w:b/>
                <w:bCs/>
                <w:sz w:val="16"/>
                <w:szCs w:val="16"/>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14:paraId="6E9F7671" w14:textId="77777777" w:rsidR="00000000" w:rsidRDefault="00097612">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14:paraId="768FC5AF" w14:textId="77777777" w:rsidR="00000000" w:rsidRDefault="00097612">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shd w:val="clear" w:color="auto" w:fill="auto"/>
            <w:noWrap/>
            <w:tcMar>
              <w:top w:w="0" w:type="dxa"/>
              <w:left w:w="0" w:type="dxa"/>
              <w:bottom w:w="0" w:type="dxa"/>
              <w:right w:w="0" w:type="dxa"/>
            </w:tcMar>
            <w:vAlign w:val="bottom"/>
            <w:hideMark/>
          </w:tcPr>
          <w:p w14:paraId="049FB580" w14:textId="77777777" w:rsidR="00000000" w:rsidRDefault="00097612">
            <w:pPr>
              <w:pStyle w:val="a3"/>
              <w:spacing w:before="0" w:beforeAutospacing="0" w:after="0" w:afterAutospacing="0"/>
              <w:jc w:val="center"/>
              <w:rPr>
                <w:sz w:val="16"/>
                <w:szCs w:val="16"/>
              </w:rPr>
            </w:pPr>
            <w:r>
              <w:rPr>
                <w:b/>
                <w:bCs/>
                <w:sz w:val="16"/>
                <w:szCs w:val="16"/>
              </w:rPr>
              <w:t>%</w:t>
            </w:r>
          </w:p>
        </w:tc>
        <w:tc>
          <w:tcPr>
            <w:tcW w:w="82" w:type="pct"/>
            <w:shd w:val="clear" w:color="auto" w:fill="auto"/>
            <w:noWrap/>
            <w:tcMar>
              <w:top w:w="0" w:type="dxa"/>
              <w:left w:w="0" w:type="dxa"/>
              <w:bottom w:w="0" w:type="dxa"/>
              <w:right w:w="0" w:type="dxa"/>
            </w:tcMar>
            <w:vAlign w:val="bottom"/>
            <w:hideMark/>
          </w:tcPr>
          <w:p w14:paraId="7E02AAC4" w14:textId="77777777" w:rsidR="00000000" w:rsidRDefault="00097612">
            <w:pPr>
              <w:pStyle w:val="a3"/>
              <w:spacing w:before="0" w:beforeAutospacing="0" w:after="0" w:afterAutospacing="0"/>
              <w:jc w:val="center"/>
              <w:rPr>
                <w:sz w:val="16"/>
                <w:szCs w:val="16"/>
              </w:rPr>
            </w:pPr>
            <w:r>
              <w:rPr>
                <w:b/>
                <w:bCs/>
                <w:sz w:val="16"/>
                <w:szCs w:val="16"/>
              </w:rPr>
              <w:t>    </w:t>
            </w:r>
          </w:p>
        </w:tc>
      </w:tr>
      <w:tr w:rsidR="00000000" w14:paraId="1B465CAD" w14:textId="77777777">
        <w:trPr>
          <w:divId w:val="2014919711"/>
        </w:trPr>
        <w:tc>
          <w:tcPr>
            <w:tcW w:w="1786" w:type="pct"/>
            <w:shd w:val="clear" w:color="auto" w:fill="CCEEFF"/>
            <w:tcMar>
              <w:top w:w="0" w:type="dxa"/>
              <w:left w:w="0" w:type="dxa"/>
              <w:bottom w:w="0" w:type="dxa"/>
              <w:right w:w="0" w:type="dxa"/>
            </w:tcMar>
            <w:vAlign w:val="bottom"/>
            <w:hideMark/>
          </w:tcPr>
          <w:p w14:paraId="7F5A19F0" w14:textId="77777777" w:rsidR="00000000" w:rsidRDefault="00097612">
            <w:pPr>
              <w:pStyle w:val="a3"/>
              <w:spacing w:before="0" w:beforeAutospacing="0" w:after="0" w:afterAutospacing="0"/>
              <w:rPr>
                <w:sz w:val="20"/>
                <w:szCs w:val="20"/>
              </w:rPr>
            </w:pPr>
            <w:r>
              <w:rPr>
                <w:sz w:val="20"/>
                <w:szCs w:val="20"/>
              </w:rPr>
              <w:t>Provision for income tax benefit</w:t>
            </w:r>
          </w:p>
        </w:tc>
        <w:tc>
          <w:tcPr>
            <w:tcW w:w="79" w:type="pct"/>
            <w:shd w:val="clear" w:color="auto" w:fill="CCEEFF"/>
            <w:noWrap/>
            <w:tcMar>
              <w:top w:w="0" w:type="dxa"/>
              <w:left w:w="0" w:type="dxa"/>
              <w:bottom w:w="0" w:type="dxa"/>
              <w:right w:w="0" w:type="dxa"/>
            </w:tcMar>
            <w:vAlign w:val="bottom"/>
            <w:hideMark/>
          </w:tcPr>
          <w:p w14:paraId="3EA20F50" w14:textId="77777777" w:rsidR="00000000" w:rsidRDefault="00097612">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14:paraId="6A32451B" w14:textId="77777777" w:rsidR="00000000" w:rsidRDefault="00097612">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2591FCDE" w14:textId="77777777" w:rsidR="00000000" w:rsidRDefault="00097612">
            <w:pPr>
              <w:pStyle w:val="a3"/>
              <w:spacing w:before="0" w:beforeAutospacing="0" w:after="0" w:afterAutospacing="0"/>
              <w:ind w:right="60"/>
              <w:jc w:val="right"/>
              <w:rPr>
                <w:sz w:val="20"/>
                <w:szCs w:val="20"/>
              </w:rPr>
            </w:pPr>
            <w:r>
              <w:rPr>
                <w:sz w:val="20"/>
                <w:szCs w:val="20"/>
              </w:rPr>
              <w:t>5,55</w:t>
            </w:r>
            <w:r>
              <w:rPr>
                <w:sz w:val="20"/>
                <w:szCs w:val="20"/>
              </w:rPr>
              <w:t>2</w:t>
            </w:r>
          </w:p>
        </w:tc>
        <w:tc>
          <w:tcPr>
            <w:tcW w:w="79" w:type="pct"/>
            <w:shd w:val="clear" w:color="auto" w:fill="CCEEFF"/>
            <w:noWrap/>
            <w:tcMar>
              <w:top w:w="0" w:type="dxa"/>
              <w:left w:w="0" w:type="dxa"/>
              <w:bottom w:w="0" w:type="dxa"/>
              <w:right w:w="0" w:type="dxa"/>
            </w:tcMar>
            <w:vAlign w:val="bottom"/>
            <w:hideMark/>
          </w:tcPr>
          <w:p w14:paraId="6C9EA53D" w14:textId="77777777" w:rsidR="00000000" w:rsidRDefault="00097612">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14:paraId="1D361823" w14:textId="77777777" w:rsidR="00000000" w:rsidRDefault="00097612">
            <w:pPr>
              <w:pStyle w:val="a3"/>
              <w:spacing w:before="0" w:beforeAutospacing="0" w:after="0" w:afterAutospacing="0"/>
              <w:jc w:val="center"/>
              <w:rPr>
                <w:sz w:val="20"/>
                <w:szCs w:val="20"/>
              </w:rPr>
            </w:pPr>
            <w:r>
              <w:rPr>
                <w:sz w:val="20"/>
                <w:szCs w:val="20"/>
              </w:rPr>
              <w:t>$</w:t>
            </w:r>
          </w:p>
        </w:tc>
        <w:tc>
          <w:tcPr>
            <w:tcW w:w="262" w:type="pct"/>
            <w:shd w:val="clear" w:color="auto" w:fill="CCEEFF"/>
            <w:noWrap/>
            <w:tcMar>
              <w:top w:w="0" w:type="dxa"/>
              <w:left w:w="0" w:type="dxa"/>
              <w:bottom w:w="0" w:type="dxa"/>
              <w:right w:w="0" w:type="dxa"/>
            </w:tcMar>
            <w:vAlign w:val="bottom"/>
            <w:hideMark/>
          </w:tcPr>
          <w:p w14:paraId="3F48BDAC" w14:textId="77777777" w:rsidR="00000000" w:rsidRDefault="00097612">
            <w:pPr>
              <w:pStyle w:val="a3"/>
              <w:spacing w:before="0" w:beforeAutospacing="0" w:after="0" w:afterAutospacing="0"/>
              <w:ind w:right="60"/>
              <w:jc w:val="right"/>
              <w:rPr>
                <w:sz w:val="20"/>
                <w:szCs w:val="20"/>
              </w:rPr>
            </w:pPr>
            <w:r>
              <w:rPr>
                <w:sz w:val="20"/>
                <w:szCs w:val="20"/>
              </w:rPr>
              <w:t>65</w:t>
            </w:r>
            <w:r>
              <w:rPr>
                <w:sz w:val="20"/>
                <w:szCs w:val="20"/>
              </w:rPr>
              <w:t>9</w:t>
            </w:r>
          </w:p>
        </w:tc>
        <w:tc>
          <w:tcPr>
            <w:tcW w:w="79" w:type="pct"/>
            <w:shd w:val="clear" w:color="auto" w:fill="CCEEFF"/>
            <w:noWrap/>
            <w:tcMar>
              <w:top w:w="0" w:type="dxa"/>
              <w:left w:w="0" w:type="dxa"/>
              <w:bottom w:w="0" w:type="dxa"/>
              <w:right w:w="0" w:type="dxa"/>
            </w:tcMar>
            <w:vAlign w:val="bottom"/>
            <w:hideMark/>
          </w:tcPr>
          <w:p w14:paraId="64A149D9" w14:textId="77777777" w:rsidR="00000000" w:rsidRDefault="00097612">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1A9AE5EC" w14:textId="77777777" w:rsidR="00000000" w:rsidRDefault="00097612">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43734B47" w14:textId="77777777" w:rsidR="00000000" w:rsidRDefault="00097612">
            <w:pPr>
              <w:pStyle w:val="a3"/>
              <w:spacing w:before="0" w:beforeAutospacing="0" w:after="0" w:afterAutospacing="0"/>
              <w:ind w:right="60"/>
              <w:jc w:val="right"/>
              <w:rPr>
                <w:sz w:val="20"/>
                <w:szCs w:val="20"/>
              </w:rPr>
            </w:pPr>
            <w:r>
              <w:rPr>
                <w:sz w:val="20"/>
                <w:szCs w:val="20"/>
              </w:rPr>
              <w:t>4,89</w:t>
            </w:r>
            <w:r>
              <w:rPr>
                <w:sz w:val="20"/>
                <w:szCs w:val="20"/>
              </w:rPr>
              <w:t>3</w:t>
            </w:r>
          </w:p>
        </w:tc>
        <w:tc>
          <w:tcPr>
            <w:tcW w:w="79" w:type="pct"/>
            <w:shd w:val="clear" w:color="auto" w:fill="CCEEFF"/>
            <w:noWrap/>
            <w:tcMar>
              <w:top w:w="0" w:type="dxa"/>
              <w:left w:w="0" w:type="dxa"/>
              <w:bottom w:w="0" w:type="dxa"/>
              <w:right w:w="0" w:type="dxa"/>
            </w:tcMar>
            <w:vAlign w:val="bottom"/>
            <w:hideMark/>
          </w:tcPr>
          <w:p w14:paraId="391BB3A4" w14:textId="77777777" w:rsidR="00000000" w:rsidRDefault="00097612">
            <w:pPr>
              <w:pStyle w:val="a3"/>
              <w:spacing w:before="0" w:beforeAutospacing="0" w:after="0" w:afterAutospacing="0"/>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14:paraId="76C7740A" w14:textId="77777777" w:rsidR="00000000" w:rsidRDefault="00097612">
            <w:pPr>
              <w:pStyle w:val="a3"/>
              <w:spacing w:before="0" w:beforeAutospacing="0" w:after="0" w:afterAutospacing="0"/>
              <w:ind w:right="60"/>
              <w:jc w:val="right"/>
              <w:rPr>
                <w:sz w:val="20"/>
                <w:szCs w:val="20"/>
              </w:rPr>
            </w:pPr>
            <w:r>
              <w:rPr>
                <w:sz w:val="20"/>
                <w:szCs w:val="20"/>
              </w:rPr>
              <w:t>74</w:t>
            </w:r>
            <w:r>
              <w:rPr>
                <w:sz w:val="20"/>
                <w:szCs w:val="20"/>
              </w:rPr>
              <w:t>2</w:t>
            </w:r>
          </w:p>
        </w:tc>
        <w:tc>
          <w:tcPr>
            <w:tcW w:w="82" w:type="pct"/>
            <w:shd w:val="clear" w:color="auto" w:fill="CCEEFF"/>
            <w:noWrap/>
            <w:tcMar>
              <w:top w:w="0" w:type="dxa"/>
              <w:left w:w="0" w:type="dxa"/>
              <w:bottom w:w="0" w:type="dxa"/>
              <w:right w:w="0" w:type="dxa"/>
            </w:tcMar>
            <w:vAlign w:val="bottom"/>
            <w:hideMark/>
          </w:tcPr>
          <w:p w14:paraId="5CBB9F30" w14:textId="77777777" w:rsidR="00000000" w:rsidRDefault="00097612">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24D6E282"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2BC688C" w14:textId="77777777" w:rsidR="00000000" w:rsidRDefault="00097612">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71039C19" w14:textId="77777777" w:rsidR="00000000" w:rsidRDefault="00097612">
            <w:pPr>
              <w:pStyle w:val="a3"/>
              <w:spacing w:before="0" w:beforeAutospacing="0" w:after="0" w:afterAutospacing="0"/>
              <w:ind w:right="60"/>
              <w:jc w:val="right"/>
              <w:rPr>
                <w:sz w:val="20"/>
                <w:szCs w:val="20"/>
              </w:rPr>
            </w:pPr>
            <w:r>
              <w:rPr>
                <w:sz w:val="20"/>
                <w:szCs w:val="20"/>
              </w:rPr>
              <w:t>5,27</w:t>
            </w:r>
            <w:r>
              <w:rPr>
                <w:sz w:val="20"/>
                <w:szCs w:val="20"/>
              </w:rPr>
              <w:t>1</w:t>
            </w:r>
          </w:p>
        </w:tc>
        <w:tc>
          <w:tcPr>
            <w:tcW w:w="79" w:type="pct"/>
            <w:shd w:val="clear" w:color="auto" w:fill="CCEEFF"/>
            <w:noWrap/>
            <w:tcMar>
              <w:top w:w="0" w:type="dxa"/>
              <w:left w:w="0" w:type="dxa"/>
              <w:bottom w:w="0" w:type="dxa"/>
              <w:right w:w="0" w:type="dxa"/>
            </w:tcMar>
            <w:vAlign w:val="bottom"/>
            <w:hideMark/>
          </w:tcPr>
          <w:p w14:paraId="328851BC"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2B46D71" w14:textId="77777777" w:rsidR="00000000" w:rsidRDefault="00097612">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4ED76137" w14:textId="77777777" w:rsidR="00000000" w:rsidRDefault="00097612">
            <w:pPr>
              <w:pStyle w:val="a3"/>
              <w:spacing w:before="0" w:beforeAutospacing="0" w:after="0" w:afterAutospacing="0"/>
              <w:ind w:right="60"/>
              <w:jc w:val="right"/>
              <w:rPr>
                <w:sz w:val="20"/>
                <w:szCs w:val="20"/>
              </w:rPr>
            </w:pPr>
            <w:r>
              <w:rPr>
                <w:sz w:val="20"/>
                <w:szCs w:val="20"/>
              </w:rPr>
              <w:t>7,30</w:t>
            </w:r>
            <w:r>
              <w:rPr>
                <w:sz w:val="20"/>
                <w:szCs w:val="20"/>
              </w:rPr>
              <w:t>5</w:t>
            </w:r>
          </w:p>
        </w:tc>
        <w:tc>
          <w:tcPr>
            <w:tcW w:w="79" w:type="pct"/>
            <w:shd w:val="clear" w:color="auto" w:fill="CCEEFF"/>
            <w:noWrap/>
            <w:tcMar>
              <w:top w:w="0" w:type="dxa"/>
              <w:left w:w="0" w:type="dxa"/>
              <w:bottom w:w="0" w:type="dxa"/>
              <w:right w:w="0" w:type="dxa"/>
            </w:tcMar>
            <w:vAlign w:val="bottom"/>
            <w:hideMark/>
          </w:tcPr>
          <w:p w14:paraId="37B95AAA" w14:textId="77777777" w:rsidR="00000000" w:rsidRDefault="00097612">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CD803DF" w14:textId="77777777" w:rsidR="00000000" w:rsidRDefault="00097612">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6619733A" w14:textId="77777777" w:rsidR="00000000" w:rsidRDefault="00097612">
            <w:pPr>
              <w:pStyle w:val="a3"/>
              <w:spacing w:before="0" w:beforeAutospacing="0" w:after="0" w:afterAutospacing="0"/>
              <w:jc w:val="right"/>
              <w:rPr>
                <w:sz w:val="20"/>
                <w:szCs w:val="20"/>
              </w:rPr>
            </w:pPr>
            <w:r>
              <w:rPr>
                <w:sz w:val="20"/>
                <w:szCs w:val="20"/>
              </w:rPr>
              <w:t>(2,034</w:t>
            </w:r>
            <w:r>
              <w:rPr>
                <w:sz w:val="20"/>
                <w:szCs w:val="20"/>
              </w:rPr>
              <w:t>)</w:t>
            </w:r>
          </w:p>
        </w:tc>
        <w:tc>
          <w:tcPr>
            <w:tcW w:w="79" w:type="pct"/>
            <w:shd w:val="clear" w:color="auto" w:fill="CCEEFF"/>
            <w:noWrap/>
            <w:tcMar>
              <w:top w:w="0" w:type="dxa"/>
              <w:left w:w="0" w:type="dxa"/>
              <w:bottom w:w="0" w:type="dxa"/>
              <w:right w:w="0" w:type="dxa"/>
            </w:tcMar>
            <w:vAlign w:val="bottom"/>
            <w:hideMark/>
          </w:tcPr>
          <w:p w14:paraId="79666384" w14:textId="77777777" w:rsidR="00000000" w:rsidRDefault="00097612">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14:paraId="6804AAEC" w14:textId="77777777" w:rsidR="00000000" w:rsidRDefault="00097612">
            <w:pPr>
              <w:pStyle w:val="a3"/>
              <w:spacing w:before="0" w:beforeAutospacing="0" w:after="0" w:afterAutospacing="0"/>
              <w:jc w:val="right"/>
              <w:rPr>
                <w:sz w:val="20"/>
                <w:szCs w:val="20"/>
              </w:rPr>
            </w:pPr>
            <w:r>
              <w:rPr>
                <w:sz w:val="20"/>
                <w:szCs w:val="20"/>
              </w:rPr>
              <w:t>(28</w:t>
            </w:r>
            <w:r>
              <w:rPr>
                <w:sz w:val="20"/>
                <w:szCs w:val="20"/>
              </w:rPr>
              <w:t>)</w:t>
            </w:r>
          </w:p>
        </w:tc>
        <w:tc>
          <w:tcPr>
            <w:tcW w:w="82" w:type="pct"/>
            <w:shd w:val="clear" w:color="auto" w:fill="CCEEFF"/>
            <w:noWrap/>
            <w:tcMar>
              <w:top w:w="0" w:type="dxa"/>
              <w:left w:w="0" w:type="dxa"/>
              <w:bottom w:w="0" w:type="dxa"/>
              <w:right w:w="0" w:type="dxa"/>
            </w:tcMar>
            <w:vAlign w:val="bottom"/>
            <w:hideMark/>
          </w:tcPr>
          <w:p w14:paraId="161E1633" w14:textId="77777777" w:rsidR="00000000" w:rsidRDefault="00097612">
            <w:pPr>
              <w:pStyle w:val="a3"/>
              <w:spacing w:before="0" w:beforeAutospacing="0" w:after="0" w:afterAutospacing="0"/>
              <w:rPr>
                <w:sz w:val="20"/>
                <w:szCs w:val="20"/>
              </w:rPr>
            </w:pPr>
            <w:r>
              <w:rPr>
                <w:sz w:val="20"/>
                <w:szCs w:val="20"/>
              </w:rPr>
              <w:t>%</w:t>
            </w:r>
          </w:p>
        </w:tc>
      </w:tr>
    </w:tbl>
    <w:p w14:paraId="755E0A86" w14:textId="77777777" w:rsidR="00000000" w:rsidRDefault="00097612">
      <w:pPr>
        <w:pStyle w:val="a3"/>
        <w:spacing w:before="0" w:beforeAutospacing="0" w:after="0" w:afterAutospacing="0"/>
        <w:divId w:val="2014919711"/>
        <w:rPr>
          <w:sz w:val="20"/>
          <w:szCs w:val="20"/>
        </w:rPr>
      </w:pPr>
      <w:r>
        <w:rPr>
          <w:sz w:val="20"/>
          <w:szCs w:val="20"/>
        </w:rPr>
        <w:t>​</w:t>
      </w:r>
    </w:p>
    <w:p w14:paraId="33C6A0EE" w14:textId="77777777" w:rsidR="00000000" w:rsidRDefault="00097612">
      <w:pPr>
        <w:pStyle w:val="a3"/>
        <w:spacing w:before="0" w:beforeAutospacing="0" w:after="0" w:afterAutospacing="0"/>
        <w:ind w:firstLine="720"/>
        <w:divId w:val="2014919711"/>
        <w:rPr>
          <w:sz w:val="20"/>
          <w:szCs w:val="20"/>
        </w:rPr>
      </w:pPr>
      <w:r>
        <w:rPr>
          <w:sz w:val="20"/>
          <w:szCs w:val="20"/>
        </w:rPr>
        <w:t>For the three months ended September 30, 2019, the benefit for income taxes increased by $4.9 million compared to the same period in 2018. The increase was primarily attributed to a reversal of previously accrued contingent tax liabilities for uncertain ta</w:t>
      </w:r>
      <w:r>
        <w:rPr>
          <w:sz w:val="20"/>
          <w:szCs w:val="20"/>
        </w:rPr>
        <w:t xml:space="preserve">x positions due to a lapse of the statute of limitations and current year US research and development credits. </w:t>
      </w:r>
    </w:p>
    <w:p w14:paraId="661893D0" w14:textId="77777777" w:rsidR="00000000" w:rsidRDefault="00097612">
      <w:pPr>
        <w:pStyle w:val="a3"/>
        <w:spacing w:before="0" w:beforeAutospacing="0" w:after="0" w:afterAutospacing="0"/>
        <w:ind w:firstLine="720"/>
        <w:divId w:val="2014919711"/>
        <w:rPr>
          <w:sz w:val="20"/>
          <w:szCs w:val="20"/>
        </w:rPr>
      </w:pPr>
      <w:r>
        <w:rPr>
          <w:sz w:val="20"/>
          <w:szCs w:val="20"/>
        </w:rPr>
        <w:t>​</w:t>
      </w:r>
    </w:p>
    <w:p w14:paraId="57EB8C18" w14:textId="77777777" w:rsidR="00000000" w:rsidRDefault="00097612">
      <w:pPr>
        <w:pStyle w:val="a3"/>
        <w:spacing w:before="0" w:beforeAutospacing="0" w:after="0" w:afterAutospacing="0"/>
        <w:ind w:firstLine="720"/>
        <w:divId w:val="2014919711"/>
        <w:rPr>
          <w:sz w:val="20"/>
          <w:szCs w:val="20"/>
        </w:rPr>
      </w:pPr>
      <w:r>
        <w:rPr>
          <w:sz w:val="20"/>
          <w:szCs w:val="20"/>
        </w:rPr>
        <w:t xml:space="preserve">For the nine months ended September 30, 2019, the benefit for income taxes decreased by $2.0 million compared to the same period in 2018. The </w:t>
      </w:r>
      <w:r>
        <w:rPr>
          <w:sz w:val="20"/>
          <w:szCs w:val="20"/>
        </w:rPr>
        <w:t xml:space="preserve">decrease was primarily due to higher tax benefits recorded in 2018 resulting from the finalization of our transfer pricing policy included in the US tax return filed in 2018. Our effective tax rate for the nine months ended September 30, 2019 was 3.0%. </w:t>
      </w:r>
    </w:p>
    <w:p w14:paraId="026A6664" w14:textId="77777777" w:rsidR="00000000" w:rsidRDefault="00097612">
      <w:pPr>
        <w:pStyle w:val="a3"/>
        <w:spacing w:before="0" w:beforeAutospacing="0" w:after="0" w:afterAutospacing="0"/>
        <w:divId w:val="2014919711"/>
        <w:rPr>
          <w:sz w:val="20"/>
          <w:szCs w:val="20"/>
        </w:rPr>
      </w:pPr>
      <w:r>
        <w:rPr>
          <w:color w:val="FF0000"/>
          <w:sz w:val="20"/>
          <w:szCs w:val="20"/>
        </w:rPr>
        <w:t>​</w:t>
      </w:r>
    </w:p>
    <w:p w14:paraId="46E6AC7F" w14:textId="77777777" w:rsidR="00000000" w:rsidRDefault="00097612">
      <w:pPr>
        <w:pStyle w:val="a3"/>
        <w:spacing w:before="0" w:beforeAutospacing="0" w:after="0" w:afterAutospacing="0"/>
        <w:divId w:val="2014919711"/>
        <w:rPr>
          <w:sz w:val="20"/>
          <w:szCs w:val="20"/>
        </w:rPr>
      </w:pPr>
      <w:r>
        <w:rPr>
          <w:b/>
          <w:bCs/>
          <w:sz w:val="20"/>
          <w:szCs w:val="20"/>
        </w:rPr>
        <w:t>Liquidity and Capital Resources</w:t>
      </w:r>
    </w:p>
    <w:p w14:paraId="1A745763" w14:textId="77777777" w:rsidR="00000000" w:rsidRDefault="00097612">
      <w:pPr>
        <w:pStyle w:val="a3"/>
        <w:spacing w:before="0" w:beforeAutospacing="0" w:after="0" w:afterAutospacing="0"/>
        <w:divId w:val="2014919711"/>
        <w:rPr>
          <w:sz w:val="20"/>
          <w:szCs w:val="20"/>
        </w:rPr>
      </w:pPr>
      <w:r>
        <w:rPr>
          <w:sz w:val="10"/>
          <w:szCs w:val="10"/>
        </w:rPr>
        <w:t>​</w:t>
      </w:r>
    </w:p>
    <w:p w14:paraId="7C4933DF" w14:textId="77777777" w:rsidR="00000000" w:rsidRDefault="00097612">
      <w:pPr>
        <w:pStyle w:val="a3"/>
        <w:spacing w:before="0" w:beforeAutospacing="0" w:after="0" w:afterAutospacing="0"/>
        <w:ind w:firstLine="720"/>
        <w:divId w:val="2014919711"/>
        <w:rPr>
          <w:sz w:val="20"/>
          <w:szCs w:val="20"/>
        </w:rPr>
      </w:pPr>
      <w:r>
        <w:rPr>
          <w:sz w:val="20"/>
          <w:szCs w:val="20"/>
        </w:rPr>
        <w:t xml:space="preserve">We have financed our operations primarily through public offering of equity and debt securities, private placements of equity and debt, revenue from collaboration arrangements and, to a lesser extent, revenue from product </w:t>
      </w:r>
      <w:r>
        <w:rPr>
          <w:sz w:val="20"/>
          <w:szCs w:val="20"/>
        </w:rPr>
        <w:t>sales. As of September 30, 2019, we had approximately $344.6 million in cash, cash equivalents, and investments in marketable securities (excluding restricted cash). Also, as of September 30, 2019, we had outstanding (i) $230.0 million in aggregate princip</w:t>
      </w:r>
      <w:r>
        <w:rPr>
          <w:sz w:val="20"/>
          <w:szCs w:val="20"/>
        </w:rPr>
        <w:t xml:space="preserve">al Convertible Senior 2023 Notes and (ii) $237.5 million in net principal Non-Recourse 2033 Notes stated net of a 5.0% retention by us as discussed in the </w:t>
      </w:r>
      <w:r>
        <w:rPr>
          <w:i/>
          <w:iCs/>
          <w:sz w:val="20"/>
          <w:szCs w:val="20"/>
        </w:rPr>
        <w:t>Economic Interest in GSK-Partnered Respiratory Programs</w:t>
      </w:r>
      <w:r>
        <w:rPr>
          <w:sz w:val="20"/>
          <w:szCs w:val="20"/>
        </w:rPr>
        <w:t>—</w:t>
      </w:r>
      <w:r>
        <w:rPr>
          <w:i/>
          <w:iCs/>
          <w:sz w:val="20"/>
          <w:szCs w:val="20"/>
        </w:rPr>
        <w:t xml:space="preserve">Theravance Respiratory Company, LLC </w:t>
      </w:r>
      <w:r>
        <w:rPr>
          <w:sz w:val="20"/>
          <w:szCs w:val="20"/>
        </w:rPr>
        <w:t>section a</w:t>
      </w:r>
      <w:r>
        <w:rPr>
          <w:sz w:val="20"/>
          <w:szCs w:val="20"/>
        </w:rPr>
        <w:t>bove.</w:t>
      </w:r>
    </w:p>
    <w:p w14:paraId="1F57FA15" w14:textId="77777777" w:rsidR="00000000" w:rsidRDefault="00097612">
      <w:pPr>
        <w:pStyle w:val="a3"/>
        <w:spacing w:before="0" w:beforeAutospacing="0" w:after="0" w:afterAutospacing="0"/>
        <w:divId w:val="2014919711"/>
        <w:rPr>
          <w:sz w:val="20"/>
          <w:szCs w:val="20"/>
        </w:rPr>
      </w:pPr>
      <w:r>
        <w:rPr>
          <w:sz w:val="20"/>
          <w:szCs w:val="20"/>
        </w:rPr>
        <w:t>​</w:t>
      </w:r>
    </w:p>
    <w:p w14:paraId="0D21CC14" w14:textId="77777777" w:rsidR="00000000" w:rsidRDefault="00097612">
      <w:pPr>
        <w:pStyle w:val="a3"/>
        <w:spacing w:before="360" w:beforeAutospacing="0" w:after="0" w:afterAutospacing="0"/>
        <w:jc w:val="center"/>
        <w:divId w:val="364839236"/>
        <w:rPr>
          <w:sz w:val="20"/>
          <w:szCs w:val="20"/>
        </w:rPr>
      </w:pPr>
      <w:r>
        <w:rPr>
          <w:sz w:val="20"/>
          <w:szCs w:val="20"/>
        </w:rPr>
        <w:t>31</w:t>
      </w:r>
    </w:p>
    <w:p w14:paraId="649EC393" w14:textId="77777777" w:rsidR="00000000" w:rsidRDefault="00097612">
      <w:pPr>
        <w:pStyle w:val="a3"/>
        <w:spacing w:before="0" w:beforeAutospacing="0" w:after="600" w:afterAutospacing="0"/>
        <w:divId w:val="530070661"/>
        <w:rPr>
          <w:sz w:val="20"/>
          <w:szCs w:val="20"/>
        </w:rPr>
      </w:pPr>
      <w:hyperlink w:anchor="TOC" w:history="1">
        <w:r>
          <w:rPr>
            <w:rStyle w:val="a4"/>
            <w:sz w:val="20"/>
            <w:szCs w:val="20"/>
          </w:rPr>
          <w:t>Table of Contents</w:t>
        </w:r>
      </w:hyperlink>
    </w:p>
    <w:p w14:paraId="39C1D3F7" w14:textId="77777777" w:rsidR="00000000" w:rsidRDefault="00097612">
      <w:pPr>
        <w:pStyle w:val="a3"/>
        <w:spacing w:before="0" w:beforeAutospacing="0" w:after="0" w:afterAutospacing="0"/>
        <w:ind w:firstLine="720"/>
        <w:divId w:val="1755976402"/>
        <w:rPr>
          <w:sz w:val="20"/>
          <w:szCs w:val="20"/>
        </w:rPr>
      </w:pPr>
      <w:r>
        <w:rPr>
          <w:sz w:val="20"/>
          <w:szCs w:val="20"/>
        </w:rPr>
        <w:t>The Non-Recourse 2033 Notes are secured by all of the Issuer’s rights, title and interest as a holder of the Issuer Class C Units in TRC. The primary source of funds to make payments on the Non-Recours</w:t>
      </w:r>
      <w:r>
        <w:rPr>
          <w:sz w:val="20"/>
          <w:szCs w:val="20"/>
        </w:rPr>
        <w:t>e 2033 Notes will be the 63.75% economic interest of the issuer (evidenced by the Issuer Class C Units) in any future payments that may be made by GSK to TRC under the strategic alliance agreement and under the portion of the collaboration agreement assign</w:t>
      </w:r>
      <w:r>
        <w:rPr>
          <w:sz w:val="20"/>
          <w:szCs w:val="20"/>
        </w:rPr>
        <w:t xml:space="preserve">ed to TRC by Innoviva (net of TRC expenses paid and the amount of cash, if any, expected to be used by TRC pursuant to the TRC LLC Agreement over the next four fiscal quarters) relating to the GSK-Partnered Respiratory Programs, including the </w:t>
      </w:r>
      <w:r>
        <w:rPr>
          <w:caps/>
          <w:sz w:val="20"/>
          <w:szCs w:val="20"/>
        </w:rPr>
        <w:t>Trelegy Ellip</w:t>
      </w:r>
      <w:r>
        <w:rPr>
          <w:caps/>
          <w:sz w:val="20"/>
          <w:szCs w:val="20"/>
        </w:rPr>
        <w:t>ta</w:t>
      </w:r>
      <w:r>
        <w:rPr>
          <w:sz w:val="20"/>
          <w:szCs w:val="20"/>
        </w:rPr>
        <w:t xml:space="preserve"> program. As a result, the holders of the Non-Recourse 2033 Notes have no recourse against Theravance Biopharma even if the TRELEGY ELLIPTA payments are insufficient to cover the principal and interest payments for the Non-Recourse 2033 Notes.</w:t>
      </w:r>
    </w:p>
    <w:p w14:paraId="5BED8458" w14:textId="77777777" w:rsidR="00000000" w:rsidRDefault="00097612">
      <w:pPr>
        <w:pStyle w:val="a3"/>
        <w:spacing w:before="0" w:beforeAutospacing="0" w:after="0" w:afterAutospacing="0"/>
        <w:divId w:val="1755976402"/>
        <w:rPr>
          <w:sz w:val="20"/>
          <w:szCs w:val="20"/>
        </w:rPr>
      </w:pPr>
      <w:r>
        <w:rPr>
          <w:sz w:val="20"/>
          <w:szCs w:val="20"/>
        </w:rPr>
        <w:t>​</w:t>
      </w:r>
    </w:p>
    <w:p w14:paraId="41FB0719" w14:textId="77777777" w:rsidR="00000000" w:rsidRDefault="00097612">
      <w:pPr>
        <w:pStyle w:val="a3"/>
        <w:spacing w:before="0" w:beforeAutospacing="0" w:after="0" w:afterAutospacing="0"/>
        <w:ind w:firstLine="720"/>
        <w:divId w:val="1755976402"/>
        <w:rPr>
          <w:sz w:val="20"/>
          <w:szCs w:val="20"/>
        </w:rPr>
      </w:pPr>
      <w:r>
        <w:rPr>
          <w:sz w:val="20"/>
          <w:szCs w:val="20"/>
        </w:rPr>
        <w:t>We expec</w:t>
      </w:r>
      <w:r>
        <w:rPr>
          <w:sz w:val="20"/>
          <w:szCs w:val="20"/>
        </w:rPr>
        <w:t xml:space="preserve">t to continue to incur net losses over at least the next several years due to significant expenditures relating to our continuing drug discovery efforts, preclinical and clinical development of our current </w:t>
      </w:r>
      <w:r>
        <w:rPr>
          <w:rFonts w:ascii="Times" w:hAnsi="Times"/>
          <w:sz w:val="20"/>
          <w:szCs w:val="20"/>
        </w:rPr>
        <w:t>product candidates and</w:t>
      </w:r>
      <w:r>
        <w:rPr>
          <w:sz w:val="20"/>
          <w:szCs w:val="20"/>
        </w:rPr>
        <w:t xml:space="preserve"> commercialization costs rel</w:t>
      </w:r>
      <w:r>
        <w:rPr>
          <w:sz w:val="20"/>
          <w:szCs w:val="20"/>
        </w:rPr>
        <w:t>ating to YUPELRI. In particular, to the extent we advance our product candidates into and through later-stage clinical studies without a partner, we will incur substantial expenses. We expect the clinical development of our key development programs will re</w:t>
      </w:r>
      <w:r>
        <w:rPr>
          <w:sz w:val="20"/>
          <w:szCs w:val="20"/>
        </w:rPr>
        <w:t>quire significant investment in order to continue to advance in clinical development. In addition, we expect to invest strategically in our research efforts to continue to grow our development pipeline. In the past, we have received a number of significant</w:t>
      </w:r>
      <w:r>
        <w:rPr>
          <w:sz w:val="20"/>
          <w:szCs w:val="20"/>
        </w:rPr>
        <w:t xml:space="preserve"> payments from collaboration agreements and other significant transactions. In the future, we may continue to receive potential substantial payments from future collaboration transactions if the drug candidates in our pipeline achieve positive clinical or </w:t>
      </w:r>
      <w:r>
        <w:rPr>
          <w:sz w:val="20"/>
          <w:szCs w:val="20"/>
        </w:rPr>
        <w:t>regulatory outcomes or if our product candidates are approved and meet certain milestones. Our current business plan is subject to significant uncertainties and risks as a result of, among other factors, clinical program outcomes, whether, when and on what</w:t>
      </w:r>
      <w:r>
        <w:rPr>
          <w:sz w:val="20"/>
          <w:szCs w:val="20"/>
        </w:rPr>
        <w:t xml:space="preserve"> terms we are able to enter into new collaboration arrangements, expenses being higher than anticipated, the sales levels of any approved products, unplanned expenses, cash receipts being lower than anticipated, and the need to satisfy contingent liabiliti</w:t>
      </w:r>
      <w:r>
        <w:rPr>
          <w:sz w:val="20"/>
          <w:szCs w:val="20"/>
        </w:rPr>
        <w:t>es, including litigation matters and indemnification obligations.</w:t>
      </w:r>
    </w:p>
    <w:p w14:paraId="564C2FD5" w14:textId="77777777" w:rsidR="00000000" w:rsidRDefault="00097612">
      <w:pPr>
        <w:pStyle w:val="a3"/>
        <w:spacing w:before="0" w:beforeAutospacing="0" w:after="0" w:afterAutospacing="0"/>
        <w:divId w:val="1755976402"/>
        <w:rPr>
          <w:sz w:val="20"/>
          <w:szCs w:val="20"/>
        </w:rPr>
      </w:pPr>
      <w:r>
        <w:rPr>
          <w:sz w:val="20"/>
          <w:szCs w:val="20"/>
        </w:rPr>
        <w:t>​</w:t>
      </w:r>
    </w:p>
    <w:p w14:paraId="43D3F1D8" w14:textId="77777777" w:rsidR="00000000" w:rsidRDefault="00097612">
      <w:pPr>
        <w:pStyle w:val="a3"/>
        <w:spacing w:before="0" w:beforeAutospacing="0" w:after="0" w:afterAutospacing="0"/>
        <w:divId w:val="1755976402"/>
        <w:rPr>
          <w:sz w:val="20"/>
          <w:szCs w:val="20"/>
        </w:rPr>
      </w:pPr>
      <w:r>
        <w:rPr>
          <w:i/>
          <w:iCs/>
          <w:sz w:val="20"/>
          <w:szCs w:val="20"/>
        </w:rPr>
        <w:t>Adequacy of cash resources to meet future needs</w:t>
      </w:r>
    </w:p>
    <w:p w14:paraId="34F1C1CA" w14:textId="77777777" w:rsidR="00000000" w:rsidRDefault="00097612">
      <w:pPr>
        <w:pStyle w:val="a3"/>
        <w:spacing w:before="0" w:beforeAutospacing="0" w:after="0" w:afterAutospacing="0"/>
        <w:divId w:val="1755976402"/>
        <w:rPr>
          <w:sz w:val="20"/>
          <w:szCs w:val="20"/>
        </w:rPr>
      </w:pPr>
      <w:r>
        <w:rPr>
          <w:sz w:val="10"/>
          <w:szCs w:val="10"/>
        </w:rPr>
        <w:t>​</w:t>
      </w:r>
    </w:p>
    <w:p w14:paraId="39A41F73" w14:textId="77777777" w:rsidR="00000000" w:rsidRDefault="00097612">
      <w:pPr>
        <w:pStyle w:val="a3"/>
        <w:spacing w:before="0" w:beforeAutospacing="0" w:after="0" w:afterAutospacing="0"/>
        <w:ind w:firstLine="720"/>
        <w:divId w:val="1755976402"/>
        <w:rPr>
          <w:sz w:val="20"/>
          <w:szCs w:val="20"/>
        </w:rPr>
      </w:pPr>
      <w:r>
        <w:rPr>
          <w:sz w:val="20"/>
          <w:szCs w:val="20"/>
        </w:rPr>
        <w:t>We expect our cash and cash equivalents and marketable securities will be sufficient to fund our operations for at least the next 12 month</w:t>
      </w:r>
      <w:r>
        <w:rPr>
          <w:sz w:val="20"/>
          <w:szCs w:val="20"/>
        </w:rPr>
        <w:t>s from the issuance date of these condensed consolidated financial statements based on current operating plans and financial forecasts.</w:t>
      </w:r>
    </w:p>
    <w:p w14:paraId="68575A0A" w14:textId="77777777" w:rsidR="00000000" w:rsidRDefault="00097612">
      <w:pPr>
        <w:pStyle w:val="a3"/>
        <w:spacing w:before="0" w:beforeAutospacing="0" w:after="0" w:afterAutospacing="0"/>
        <w:ind w:firstLine="720"/>
        <w:divId w:val="1755976402"/>
        <w:rPr>
          <w:sz w:val="20"/>
          <w:szCs w:val="20"/>
        </w:rPr>
      </w:pPr>
      <w:r>
        <w:rPr>
          <w:sz w:val="20"/>
          <w:szCs w:val="20"/>
        </w:rPr>
        <w:t>​</w:t>
      </w:r>
    </w:p>
    <w:p w14:paraId="7A26149C" w14:textId="77777777" w:rsidR="00000000" w:rsidRDefault="00097612">
      <w:pPr>
        <w:pStyle w:val="a3"/>
        <w:spacing w:before="0" w:beforeAutospacing="0" w:after="0" w:afterAutospacing="0"/>
        <w:ind w:firstLine="720"/>
        <w:divId w:val="1755976402"/>
        <w:rPr>
          <w:sz w:val="20"/>
          <w:szCs w:val="20"/>
        </w:rPr>
      </w:pPr>
      <w:r>
        <w:rPr>
          <w:sz w:val="20"/>
          <w:szCs w:val="20"/>
        </w:rPr>
        <w:t>We may seek to obtain additional financing in the form of public or private equity offerings, debt financing or additi</w:t>
      </w:r>
      <w:r>
        <w:rPr>
          <w:sz w:val="20"/>
          <w:szCs w:val="20"/>
        </w:rPr>
        <w:t>onal collaborations and licensing arrangements. However, future financing may not be available in amounts or on terms acceptable to us, if at all.</w:t>
      </w:r>
    </w:p>
    <w:p w14:paraId="21F1A2DA" w14:textId="77777777" w:rsidR="00000000" w:rsidRDefault="00097612">
      <w:pPr>
        <w:pStyle w:val="a3"/>
        <w:spacing w:before="0" w:beforeAutospacing="0" w:after="0" w:afterAutospacing="0"/>
        <w:divId w:val="1755976402"/>
        <w:rPr>
          <w:sz w:val="20"/>
          <w:szCs w:val="20"/>
        </w:rPr>
      </w:pPr>
      <w:r>
        <w:rPr>
          <w:sz w:val="20"/>
          <w:szCs w:val="20"/>
        </w:rPr>
        <w:t>​</w:t>
      </w:r>
    </w:p>
    <w:p w14:paraId="4E015A8A" w14:textId="77777777" w:rsidR="00000000" w:rsidRDefault="00097612">
      <w:pPr>
        <w:pStyle w:val="a3"/>
        <w:spacing w:before="0" w:beforeAutospacing="0" w:after="0" w:afterAutospacing="0"/>
        <w:ind w:firstLine="720"/>
        <w:divId w:val="1755976402"/>
        <w:rPr>
          <w:sz w:val="20"/>
          <w:szCs w:val="20"/>
        </w:rPr>
      </w:pPr>
      <w:r>
        <w:rPr>
          <w:sz w:val="20"/>
          <w:szCs w:val="20"/>
        </w:rPr>
        <w:t>Without adequate financial resources to fund our operations as presently conducted, we may be required to r</w:t>
      </w:r>
      <w:r>
        <w:rPr>
          <w:sz w:val="20"/>
          <w:szCs w:val="20"/>
        </w:rPr>
        <w:t xml:space="preserve">elinquish rights to our technologies, product candidates or territories, or grant licenses on terms that are not favorable to us, in order to raise additional funds through collaborations or licensing arrangements. We may also have to sequence preclinical </w:t>
      </w:r>
      <w:r>
        <w:rPr>
          <w:sz w:val="20"/>
          <w:szCs w:val="20"/>
        </w:rPr>
        <w:t>and clinical studies as opposed to conducting them concomitantly in order to conserve resources, or delay, reduce or eliminate one or more of our research or development programs and reduce overall overhead expenses. In addition, we may have to make reduct</w:t>
      </w:r>
      <w:r>
        <w:rPr>
          <w:sz w:val="20"/>
          <w:szCs w:val="20"/>
        </w:rPr>
        <w:t>ions in our workforce and may be prevented from continuing our discovery, development and commercialization efforts and exploiting other corporate opportunities.</w:t>
      </w:r>
    </w:p>
    <w:p w14:paraId="24FB35B4" w14:textId="77777777" w:rsidR="00000000" w:rsidRDefault="00097612">
      <w:pPr>
        <w:pStyle w:val="a3"/>
        <w:spacing w:before="0" w:beforeAutospacing="0" w:after="0" w:afterAutospacing="0"/>
        <w:divId w:val="1755976402"/>
        <w:rPr>
          <w:sz w:val="20"/>
          <w:szCs w:val="20"/>
        </w:rPr>
      </w:pPr>
      <w:r>
        <w:rPr>
          <w:sz w:val="20"/>
          <w:szCs w:val="20"/>
        </w:rPr>
        <w:t>​</w:t>
      </w:r>
    </w:p>
    <w:p w14:paraId="5447FE80" w14:textId="77777777" w:rsidR="00000000" w:rsidRDefault="00097612">
      <w:pPr>
        <w:pStyle w:val="a3"/>
        <w:spacing w:before="0" w:beforeAutospacing="0" w:after="0" w:afterAutospacing="0"/>
        <w:divId w:val="1755976402"/>
        <w:rPr>
          <w:sz w:val="20"/>
          <w:szCs w:val="20"/>
        </w:rPr>
      </w:pPr>
      <w:r>
        <w:rPr>
          <w:b/>
          <w:bCs/>
          <w:i/>
          <w:iCs/>
          <w:sz w:val="20"/>
          <w:szCs w:val="20"/>
        </w:rPr>
        <w:t>Cash Flows</w:t>
      </w:r>
    </w:p>
    <w:p w14:paraId="68FB529C" w14:textId="77777777" w:rsidR="00000000" w:rsidRDefault="00097612">
      <w:pPr>
        <w:pStyle w:val="a3"/>
        <w:spacing w:before="0" w:beforeAutospacing="0" w:after="0" w:afterAutospacing="0"/>
        <w:divId w:val="1755976402"/>
        <w:rPr>
          <w:sz w:val="20"/>
          <w:szCs w:val="20"/>
        </w:rPr>
      </w:pPr>
      <w:r>
        <w:rPr>
          <w:sz w:val="10"/>
          <w:szCs w:val="10"/>
        </w:rPr>
        <w:t>​</w:t>
      </w:r>
    </w:p>
    <w:p w14:paraId="0C9D09E9" w14:textId="77777777" w:rsidR="00000000" w:rsidRDefault="00097612">
      <w:pPr>
        <w:pStyle w:val="a3"/>
        <w:spacing w:before="0" w:beforeAutospacing="0" w:after="0" w:afterAutospacing="0"/>
        <w:ind w:firstLine="720"/>
        <w:divId w:val="1755976402"/>
        <w:rPr>
          <w:sz w:val="20"/>
          <w:szCs w:val="20"/>
        </w:rPr>
      </w:pPr>
      <w:r>
        <w:rPr>
          <w:sz w:val="20"/>
          <w:szCs w:val="20"/>
        </w:rPr>
        <w:t>Cash flows, as compared to the comparable period in the prior year, were as follows:</w:t>
      </w:r>
    </w:p>
    <w:p w14:paraId="7F91DDF2" w14:textId="77777777" w:rsidR="00000000" w:rsidRDefault="00097612">
      <w:pPr>
        <w:pStyle w:val="a3"/>
        <w:spacing w:before="0" w:beforeAutospacing="0" w:after="0" w:afterAutospacing="0"/>
        <w:divId w:val="175597640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14"/>
        <w:gridCol w:w="160"/>
        <w:gridCol w:w="100"/>
        <w:gridCol w:w="784"/>
        <w:gridCol w:w="160"/>
        <w:gridCol w:w="100"/>
        <w:gridCol w:w="684"/>
        <w:gridCol w:w="160"/>
        <w:gridCol w:w="100"/>
        <w:gridCol w:w="784"/>
        <w:gridCol w:w="160"/>
      </w:tblGrid>
      <w:tr w:rsidR="00000000" w14:paraId="0F5F3740" w14:textId="77777777">
        <w:trPr>
          <w:divId w:val="1755976402"/>
          <w:trHeight w:val="20"/>
        </w:trPr>
        <w:tc>
          <w:tcPr>
            <w:tcW w:w="3132" w:type="pct"/>
            <w:tcMar>
              <w:top w:w="0" w:type="dxa"/>
              <w:left w:w="0" w:type="dxa"/>
              <w:bottom w:w="0" w:type="dxa"/>
              <w:right w:w="0" w:type="dxa"/>
            </w:tcMar>
            <w:vAlign w:val="bottom"/>
            <w:hideMark/>
          </w:tcPr>
          <w:p w14:paraId="19FC96DC" w14:textId="77777777" w:rsidR="00000000" w:rsidRDefault="00097612">
            <w:pPr>
              <w:pStyle w:val="a3"/>
              <w:spacing w:before="0" w:beforeAutospacing="0" w:after="0" w:afterAutospacing="0"/>
              <w:divId w:val="1272668659"/>
              <w:rPr>
                <w:sz w:val="20"/>
                <w:szCs w:val="20"/>
              </w:rPr>
            </w:pPr>
            <w:r>
              <w:rPr>
                <w:sz w:val="2"/>
                <w:szCs w:val="2"/>
              </w:rPr>
              <w:t>​</w:t>
            </w:r>
          </w:p>
        </w:tc>
        <w:tc>
          <w:tcPr>
            <w:tcW w:w="94" w:type="pct"/>
            <w:noWrap/>
            <w:tcMar>
              <w:top w:w="0" w:type="dxa"/>
              <w:left w:w="0" w:type="dxa"/>
              <w:bottom w:w="0" w:type="dxa"/>
              <w:right w:w="0" w:type="dxa"/>
            </w:tcMar>
            <w:vAlign w:val="bottom"/>
            <w:hideMark/>
          </w:tcPr>
          <w:p w14:paraId="0A3438D6" w14:textId="77777777" w:rsidR="00000000" w:rsidRDefault="00097612">
            <w:pPr>
              <w:pStyle w:val="a3"/>
              <w:spacing w:before="0" w:beforeAutospacing="0" w:after="0" w:afterAutospacing="0"/>
              <w:divId w:val="185485814"/>
              <w:rPr>
                <w:sz w:val="20"/>
                <w:szCs w:val="20"/>
              </w:rPr>
            </w:pPr>
            <w:r>
              <w:rPr>
                <w:sz w:val="2"/>
                <w:szCs w:val="2"/>
              </w:rPr>
              <w:t>​</w:t>
            </w:r>
          </w:p>
        </w:tc>
        <w:tc>
          <w:tcPr>
            <w:tcW w:w="94" w:type="pct"/>
            <w:noWrap/>
            <w:tcMar>
              <w:top w:w="0" w:type="dxa"/>
              <w:left w:w="0" w:type="dxa"/>
              <w:bottom w:w="0" w:type="dxa"/>
              <w:right w:w="0" w:type="dxa"/>
            </w:tcMar>
            <w:vAlign w:val="bottom"/>
            <w:hideMark/>
          </w:tcPr>
          <w:p w14:paraId="10752517" w14:textId="77777777" w:rsidR="00000000" w:rsidRDefault="00097612">
            <w:pPr>
              <w:pStyle w:val="a3"/>
              <w:spacing w:before="0" w:beforeAutospacing="0" w:after="0" w:afterAutospacing="0"/>
              <w:divId w:val="2077967831"/>
              <w:rPr>
                <w:sz w:val="20"/>
                <w:szCs w:val="20"/>
              </w:rPr>
            </w:pPr>
            <w:r>
              <w:rPr>
                <w:sz w:val="2"/>
                <w:szCs w:val="2"/>
              </w:rPr>
              <w:t>​</w:t>
            </w:r>
          </w:p>
        </w:tc>
        <w:tc>
          <w:tcPr>
            <w:tcW w:w="413" w:type="pct"/>
            <w:noWrap/>
            <w:tcMar>
              <w:top w:w="0" w:type="dxa"/>
              <w:left w:w="0" w:type="dxa"/>
              <w:bottom w:w="0" w:type="dxa"/>
              <w:right w:w="0" w:type="dxa"/>
            </w:tcMar>
            <w:vAlign w:val="bottom"/>
            <w:hideMark/>
          </w:tcPr>
          <w:p w14:paraId="791C916F" w14:textId="77777777" w:rsidR="00000000" w:rsidRDefault="00097612">
            <w:pPr>
              <w:pStyle w:val="a3"/>
              <w:spacing w:before="0" w:beforeAutospacing="0" w:after="0" w:afterAutospacing="0"/>
              <w:divId w:val="477189013"/>
              <w:rPr>
                <w:sz w:val="20"/>
                <w:szCs w:val="20"/>
              </w:rPr>
            </w:pPr>
            <w:r>
              <w:rPr>
                <w:sz w:val="2"/>
                <w:szCs w:val="2"/>
              </w:rPr>
              <w:t>​</w:t>
            </w:r>
          </w:p>
        </w:tc>
        <w:tc>
          <w:tcPr>
            <w:tcW w:w="94" w:type="pct"/>
            <w:noWrap/>
            <w:tcMar>
              <w:top w:w="0" w:type="dxa"/>
              <w:left w:w="0" w:type="dxa"/>
              <w:bottom w:w="0" w:type="dxa"/>
              <w:right w:w="0" w:type="dxa"/>
            </w:tcMar>
            <w:vAlign w:val="bottom"/>
            <w:hideMark/>
          </w:tcPr>
          <w:p w14:paraId="5804445C" w14:textId="77777777" w:rsidR="00000000" w:rsidRDefault="00097612">
            <w:pPr>
              <w:pStyle w:val="a3"/>
              <w:spacing w:before="0" w:beforeAutospacing="0" w:after="0" w:afterAutospacing="0"/>
              <w:divId w:val="1375541840"/>
              <w:rPr>
                <w:sz w:val="20"/>
                <w:szCs w:val="20"/>
              </w:rPr>
            </w:pPr>
            <w:r>
              <w:rPr>
                <w:sz w:val="2"/>
                <w:szCs w:val="2"/>
              </w:rPr>
              <w:t>​</w:t>
            </w:r>
          </w:p>
        </w:tc>
        <w:tc>
          <w:tcPr>
            <w:tcW w:w="94" w:type="pct"/>
            <w:noWrap/>
            <w:tcMar>
              <w:top w:w="0" w:type="dxa"/>
              <w:left w:w="0" w:type="dxa"/>
              <w:bottom w:w="0" w:type="dxa"/>
              <w:right w:w="0" w:type="dxa"/>
            </w:tcMar>
            <w:vAlign w:val="bottom"/>
            <w:hideMark/>
          </w:tcPr>
          <w:p w14:paraId="36BF7323" w14:textId="77777777" w:rsidR="00000000" w:rsidRDefault="00097612">
            <w:pPr>
              <w:pStyle w:val="a3"/>
              <w:spacing w:before="0" w:beforeAutospacing="0" w:after="0" w:afterAutospacing="0"/>
              <w:divId w:val="956910021"/>
              <w:rPr>
                <w:sz w:val="20"/>
                <w:szCs w:val="20"/>
              </w:rPr>
            </w:pPr>
            <w:r>
              <w:rPr>
                <w:sz w:val="2"/>
                <w:szCs w:val="2"/>
              </w:rPr>
              <w:t>​</w:t>
            </w:r>
          </w:p>
        </w:tc>
        <w:tc>
          <w:tcPr>
            <w:tcW w:w="388" w:type="pct"/>
            <w:noWrap/>
            <w:tcMar>
              <w:top w:w="0" w:type="dxa"/>
              <w:left w:w="0" w:type="dxa"/>
              <w:bottom w:w="0" w:type="dxa"/>
              <w:right w:w="0" w:type="dxa"/>
            </w:tcMar>
            <w:vAlign w:val="bottom"/>
            <w:hideMark/>
          </w:tcPr>
          <w:p w14:paraId="69B0C6E6" w14:textId="77777777" w:rsidR="00000000" w:rsidRDefault="00097612">
            <w:pPr>
              <w:pStyle w:val="a3"/>
              <w:spacing w:before="0" w:beforeAutospacing="0" w:after="0" w:afterAutospacing="0"/>
              <w:divId w:val="815608740"/>
              <w:rPr>
                <w:sz w:val="20"/>
                <w:szCs w:val="20"/>
              </w:rPr>
            </w:pPr>
            <w:r>
              <w:rPr>
                <w:sz w:val="2"/>
                <w:szCs w:val="2"/>
              </w:rPr>
              <w:t>​</w:t>
            </w:r>
          </w:p>
        </w:tc>
        <w:tc>
          <w:tcPr>
            <w:tcW w:w="94" w:type="pct"/>
            <w:noWrap/>
            <w:tcMar>
              <w:top w:w="0" w:type="dxa"/>
              <w:left w:w="0" w:type="dxa"/>
              <w:bottom w:w="0" w:type="dxa"/>
              <w:right w:w="0" w:type="dxa"/>
            </w:tcMar>
            <w:vAlign w:val="bottom"/>
            <w:hideMark/>
          </w:tcPr>
          <w:p w14:paraId="3DCB66CE" w14:textId="77777777" w:rsidR="00000000" w:rsidRDefault="00097612">
            <w:pPr>
              <w:pStyle w:val="a3"/>
              <w:spacing w:before="0" w:beforeAutospacing="0" w:after="0" w:afterAutospacing="0"/>
              <w:divId w:val="486020842"/>
              <w:rPr>
                <w:sz w:val="20"/>
                <w:szCs w:val="20"/>
              </w:rPr>
            </w:pPr>
            <w:r>
              <w:rPr>
                <w:sz w:val="2"/>
                <w:szCs w:val="2"/>
              </w:rPr>
              <w:t>​</w:t>
            </w:r>
          </w:p>
        </w:tc>
        <w:tc>
          <w:tcPr>
            <w:tcW w:w="94" w:type="pct"/>
            <w:noWrap/>
            <w:tcMar>
              <w:top w:w="0" w:type="dxa"/>
              <w:left w:w="0" w:type="dxa"/>
              <w:bottom w:w="0" w:type="dxa"/>
              <w:right w:w="0" w:type="dxa"/>
            </w:tcMar>
            <w:vAlign w:val="bottom"/>
            <w:hideMark/>
          </w:tcPr>
          <w:p w14:paraId="3F33D357" w14:textId="77777777" w:rsidR="00000000" w:rsidRDefault="00097612">
            <w:pPr>
              <w:pStyle w:val="a3"/>
              <w:spacing w:before="0" w:beforeAutospacing="0" w:after="0" w:afterAutospacing="0"/>
              <w:divId w:val="913248705"/>
              <w:rPr>
                <w:sz w:val="20"/>
                <w:szCs w:val="20"/>
              </w:rPr>
            </w:pPr>
            <w:r>
              <w:rPr>
                <w:sz w:val="2"/>
                <w:szCs w:val="2"/>
              </w:rPr>
              <w:t>​</w:t>
            </w:r>
          </w:p>
        </w:tc>
        <w:tc>
          <w:tcPr>
            <w:tcW w:w="413" w:type="pct"/>
            <w:noWrap/>
            <w:tcMar>
              <w:top w:w="0" w:type="dxa"/>
              <w:left w:w="0" w:type="dxa"/>
              <w:bottom w:w="0" w:type="dxa"/>
              <w:right w:w="0" w:type="dxa"/>
            </w:tcMar>
            <w:vAlign w:val="bottom"/>
            <w:hideMark/>
          </w:tcPr>
          <w:p w14:paraId="423F76AA" w14:textId="77777777" w:rsidR="00000000" w:rsidRDefault="00097612">
            <w:pPr>
              <w:pStyle w:val="a3"/>
              <w:spacing w:before="0" w:beforeAutospacing="0" w:after="0" w:afterAutospacing="0"/>
              <w:divId w:val="1454328118"/>
              <w:rPr>
                <w:sz w:val="20"/>
                <w:szCs w:val="20"/>
              </w:rPr>
            </w:pPr>
            <w:r>
              <w:rPr>
                <w:sz w:val="2"/>
                <w:szCs w:val="2"/>
              </w:rPr>
              <w:t>​</w:t>
            </w:r>
          </w:p>
        </w:tc>
        <w:tc>
          <w:tcPr>
            <w:tcW w:w="84" w:type="pct"/>
            <w:noWrap/>
            <w:tcMar>
              <w:top w:w="0" w:type="dxa"/>
              <w:left w:w="0" w:type="dxa"/>
              <w:bottom w:w="0" w:type="dxa"/>
              <w:right w:w="0" w:type="dxa"/>
            </w:tcMar>
            <w:vAlign w:val="bottom"/>
            <w:hideMark/>
          </w:tcPr>
          <w:p w14:paraId="17B82B3B" w14:textId="77777777" w:rsidR="00000000" w:rsidRDefault="00097612">
            <w:pPr>
              <w:pStyle w:val="a3"/>
              <w:spacing w:before="0" w:beforeAutospacing="0" w:after="0" w:afterAutospacing="0"/>
              <w:divId w:val="508300873"/>
              <w:rPr>
                <w:sz w:val="20"/>
                <w:szCs w:val="20"/>
              </w:rPr>
            </w:pPr>
            <w:r>
              <w:rPr>
                <w:sz w:val="2"/>
                <w:szCs w:val="2"/>
              </w:rPr>
              <w:t>​</w:t>
            </w:r>
          </w:p>
        </w:tc>
      </w:tr>
      <w:tr w:rsidR="00000000" w14:paraId="1DDC5FD9" w14:textId="77777777">
        <w:trPr>
          <w:divId w:val="1755976402"/>
        </w:trPr>
        <w:tc>
          <w:tcPr>
            <w:tcW w:w="3132" w:type="pct"/>
            <w:shd w:val="clear" w:color="auto" w:fill="auto"/>
            <w:tcMar>
              <w:top w:w="0" w:type="dxa"/>
              <w:left w:w="0" w:type="dxa"/>
              <w:bottom w:w="0" w:type="dxa"/>
              <w:right w:w="0" w:type="dxa"/>
            </w:tcMar>
            <w:vAlign w:val="bottom"/>
            <w:hideMark/>
          </w:tcPr>
          <w:p w14:paraId="52D74A4C" w14:textId="77777777" w:rsidR="00000000" w:rsidRDefault="00097612">
            <w:pPr>
              <w:pStyle w:val="a3"/>
              <w:spacing w:before="0" w:beforeAutospacing="0" w:after="0" w:afterAutospacing="0"/>
              <w:rPr>
                <w:sz w:val="20"/>
                <w:szCs w:val="20"/>
              </w:rPr>
            </w:pPr>
            <w:r>
              <w:rPr>
                <w:b/>
                <w:bCs/>
                <w:sz w:val="16"/>
                <w:szCs w:val="16"/>
              </w:rPr>
              <w:t>​</w:t>
            </w:r>
          </w:p>
        </w:tc>
        <w:tc>
          <w:tcPr>
            <w:tcW w:w="94" w:type="pct"/>
            <w:shd w:val="clear" w:color="auto" w:fill="auto"/>
            <w:noWrap/>
            <w:tcMar>
              <w:top w:w="0" w:type="dxa"/>
              <w:left w:w="0" w:type="dxa"/>
              <w:bottom w:w="0" w:type="dxa"/>
              <w:right w:w="0" w:type="dxa"/>
            </w:tcMar>
            <w:vAlign w:val="bottom"/>
            <w:hideMark/>
          </w:tcPr>
          <w:p w14:paraId="284A1A5B" w14:textId="77777777" w:rsidR="00000000" w:rsidRDefault="00097612">
            <w:pPr>
              <w:pStyle w:val="a3"/>
              <w:spacing w:before="0" w:beforeAutospacing="0" w:after="0" w:afterAutospacing="0"/>
              <w:jc w:val="center"/>
              <w:rPr>
                <w:sz w:val="20"/>
                <w:szCs w:val="20"/>
              </w:rPr>
            </w:pPr>
            <w:r>
              <w:rPr>
                <w:b/>
                <w:bCs/>
                <w:sz w:val="16"/>
                <w:szCs w:val="16"/>
              </w:rPr>
              <w:t>​</w:t>
            </w:r>
          </w:p>
        </w:tc>
        <w:tc>
          <w:tcPr>
            <w:tcW w:w="1085" w:type="pct"/>
            <w:gridSpan w:val="5"/>
            <w:shd w:val="clear" w:color="auto" w:fill="auto"/>
            <w:noWrap/>
            <w:tcMar>
              <w:top w:w="0" w:type="dxa"/>
              <w:left w:w="0" w:type="dxa"/>
              <w:bottom w:w="0" w:type="dxa"/>
              <w:right w:w="0" w:type="dxa"/>
            </w:tcMar>
            <w:vAlign w:val="bottom"/>
            <w:hideMark/>
          </w:tcPr>
          <w:p w14:paraId="3DE1D93E" w14:textId="77777777" w:rsidR="00000000" w:rsidRDefault="00097612">
            <w:pPr>
              <w:pStyle w:val="a3"/>
              <w:spacing w:before="0" w:beforeAutospacing="0" w:after="0" w:afterAutospacing="0"/>
              <w:jc w:val="center"/>
              <w:rPr>
                <w:sz w:val="16"/>
                <w:szCs w:val="16"/>
              </w:rPr>
            </w:pPr>
            <w:r>
              <w:rPr>
                <w:b/>
                <w:bCs/>
                <w:sz w:val="16"/>
                <w:szCs w:val="16"/>
              </w:rPr>
              <w:t xml:space="preserve">Nine Months Ended </w:t>
            </w:r>
          </w:p>
        </w:tc>
        <w:tc>
          <w:tcPr>
            <w:tcW w:w="94" w:type="pct"/>
            <w:shd w:val="clear" w:color="auto" w:fill="auto"/>
            <w:noWrap/>
            <w:tcMar>
              <w:top w:w="0" w:type="dxa"/>
              <w:left w:w="0" w:type="dxa"/>
              <w:bottom w:w="0" w:type="dxa"/>
              <w:right w:w="0" w:type="dxa"/>
            </w:tcMar>
            <w:vAlign w:val="bottom"/>
            <w:hideMark/>
          </w:tcPr>
          <w:p w14:paraId="1C58049B" w14:textId="77777777" w:rsidR="00000000" w:rsidRDefault="00097612">
            <w:pPr>
              <w:pStyle w:val="a3"/>
              <w:spacing w:before="0" w:beforeAutospacing="0" w:after="0" w:afterAutospacing="0"/>
              <w:jc w:val="center"/>
              <w:rPr>
                <w:sz w:val="20"/>
                <w:szCs w:val="20"/>
              </w:rPr>
            </w:pPr>
            <w:r>
              <w:rPr>
                <w:b/>
                <w:bCs/>
                <w:sz w:val="16"/>
                <w:szCs w:val="16"/>
              </w:rPr>
              <w:t>​</w:t>
            </w:r>
          </w:p>
        </w:tc>
        <w:tc>
          <w:tcPr>
            <w:tcW w:w="94" w:type="pct"/>
            <w:shd w:val="clear" w:color="auto" w:fill="auto"/>
            <w:noWrap/>
            <w:tcMar>
              <w:top w:w="0" w:type="dxa"/>
              <w:left w:w="0" w:type="dxa"/>
              <w:bottom w:w="0" w:type="dxa"/>
              <w:right w:w="0" w:type="dxa"/>
            </w:tcMar>
            <w:vAlign w:val="bottom"/>
            <w:hideMark/>
          </w:tcPr>
          <w:p w14:paraId="77B5630E" w14:textId="77777777" w:rsidR="00000000" w:rsidRDefault="00097612">
            <w:pPr>
              <w:pStyle w:val="a3"/>
              <w:spacing w:before="0" w:beforeAutospacing="0" w:after="0" w:afterAutospacing="0"/>
              <w:jc w:val="center"/>
              <w:rPr>
                <w:sz w:val="20"/>
                <w:szCs w:val="20"/>
              </w:rPr>
            </w:pPr>
            <w:r>
              <w:rPr>
                <w:b/>
                <w:bCs/>
                <w:sz w:val="16"/>
                <w:szCs w:val="16"/>
              </w:rPr>
              <w:t>​</w:t>
            </w:r>
          </w:p>
        </w:tc>
        <w:tc>
          <w:tcPr>
            <w:tcW w:w="413" w:type="pct"/>
            <w:shd w:val="clear" w:color="auto" w:fill="auto"/>
            <w:noWrap/>
            <w:tcMar>
              <w:top w:w="0" w:type="dxa"/>
              <w:left w:w="0" w:type="dxa"/>
              <w:bottom w:w="0" w:type="dxa"/>
              <w:right w:w="0" w:type="dxa"/>
            </w:tcMar>
            <w:vAlign w:val="bottom"/>
            <w:hideMark/>
          </w:tcPr>
          <w:p w14:paraId="04A60B7F" w14:textId="77777777" w:rsidR="00000000" w:rsidRDefault="00097612">
            <w:pPr>
              <w:pStyle w:val="a3"/>
              <w:spacing w:before="0" w:beforeAutospacing="0" w:after="0" w:afterAutospacing="0"/>
              <w:rPr>
                <w:sz w:val="20"/>
                <w:szCs w:val="20"/>
              </w:rPr>
            </w:pPr>
            <w:r>
              <w:rPr>
                <w:b/>
                <w:bCs/>
                <w:sz w:val="16"/>
                <w:szCs w:val="16"/>
              </w:rPr>
              <w:t>​</w:t>
            </w:r>
          </w:p>
        </w:tc>
        <w:tc>
          <w:tcPr>
            <w:tcW w:w="84" w:type="pct"/>
            <w:shd w:val="clear" w:color="auto" w:fill="auto"/>
            <w:noWrap/>
            <w:tcMar>
              <w:top w:w="0" w:type="dxa"/>
              <w:left w:w="0" w:type="dxa"/>
              <w:bottom w:w="0" w:type="dxa"/>
              <w:right w:w="0" w:type="dxa"/>
            </w:tcMar>
            <w:vAlign w:val="bottom"/>
            <w:hideMark/>
          </w:tcPr>
          <w:p w14:paraId="7113C0E7" w14:textId="77777777" w:rsidR="00000000" w:rsidRDefault="00097612">
            <w:pPr>
              <w:pStyle w:val="a3"/>
              <w:spacing w:before="0" w:beforeAutospacing="0" w:after="0" w:afterAutospacing="0"/>
              <w:rPr>
                <w:sz w:val="20"/>
                <w:szCs w:val="20"/>
              </w:rPr>
            </w:pPr>
            <w:r>
              <w:rPr>
                <w:b/>
                <w:bCs/>
                <w:sz w:val="16"/>
                <w:szCs w:val="16"/>
              </w:rPr>
              <w:t>​</w:t>
            </w:r>
          </w:p>
        </w:tc>
      </w:tr>
      <w:tr w:rsidR="00000000" w14:paraId="654B1D1D" w14:textId="77777777">
        <w:trPr>
          <w:divId w:val="1755976402"/>
        </w:trPr>
        <w:tc>
          <w:tcPr>
            <w:tcW w:w="3132" w:type="pct"/>
            <w:shd w:val="clear" w:color="auto" w:fill="auto"/>
            <w:tcMar>
              <w:top w:w="0" w:type="dxa"/>
              <w:left w:w="0" w:type="dxa"/>
              <w:bottom w:w="0" w:type="dxa"/>
              <w:right w:w="0" w:type="dxa"/>
            </w:tcMar>
            <w:vAlign w:val="bottom"/>
            <w:hideMark/>
          </w:tcPr>
          <w:p w14:paraId="2A55BA1C" w14:textId="77777777" w:rsidR="00000000" w:rsidRDefault="00097612">
            <w:pPr>
              <w:pStyle w:val="a3"/>
              <w:spacing w:before="0" w:beforeAutospacing="0" w:after="0" w:afterAutospacing="0"/>
              <w:rPr>
                <w:sz w:val="20"/>
                <w:szCs w:val="20"/>
              </w:rPr>
            </w:pPr>
            <w:r>
              <w:rPr>
                <w:b/>
                <w:bCs/>
                <w:sz w:val="16"/>
                <w:szCs w:val="16"/>
              </w:rPr>
              <w:t>​</w:t>
            </w:r>
          </w:p>
        </w:tc>
        <w:tc>
          <w:tcPr>
            <w:tcW w:w="94" w:type="pct"/>
            <w:shd w:val="clear" w:color="auto" w:fill="auto"/>
            <w:noWrap/>
            <w:tcMar>
              <w:top w:w="0" w:type="dxa"/>
              <w:left w:w="0" w:type="dxa"/>
              <w:bottom w:w="0" w:type="dxa"/>
              <w:right w:w="0" w:type="dxa"/>
            </w:tcMar>
            <w:vAlign w:val="bottom"/>
            <w:hideMark/>
          </w:tcPr>
          <w:p w14:paraId="35D19971" w14:textId="77777777" w:rsidR="00000000" w:rsidRDefault="00097612">
            <w:pPr>
              <w:pStyle w:val="a3"/>
              <w:spacing w:before="0" w:beforeAutospacing="0" w:after="0" w:afterAutospacing="0"/>
              <w:jc w:val="center"/>
              <w:rPr>
                <w:sz w:val="20"/>
                <w:szCs w:val="20"/>
              </w:rPr>
            </w:pPr>
            <w:r>
              <w:rPr>
                <w:b/>
                <w:bCs/>
                <w:sz w:val="16"/>
                <w:szCs w:val="16"/>
              </w:rPr>
              <w:t>​</w:t>
            </w:r>
          </w:p>
        </w:tc>
        <w:tc>
          <w:tcPr>
            <w:tcW w:w="1085" w:type="pct"/>
            <w:gridSpan w:val="5"/>
            <w:tcBorders>
              <w:bottom w:val="single" w:sz="6" w:space="0" w:color="000000"/>
            </w:tcBorders>
            <w:shd w:val="clear" w:color="auto" w:fill="auto"/>
            <w:noWrap/>
            <w:tcMar>
              <w:top w:w="0" w:type="dxa"/>
              <w:left w:w="0" w:type="dxa"/>
              <w:bottom w:w="0" w:type="dxa"/>
              <w:right w:w="0" w:type="dxa"/>
            </w:tcMar>
            <w:vAlign w:val="bottom"/>
            <w:hideMark/>
          </w:tcPr>
          <w:p w14:paraId="44F852A7" w14:textId="77777777" w:rsidR="00000000" w:rsidRDefault="00097612">
            <w:pPr>
              <w:pStyle w:val="a3"/>
              <w:spacing w:before="0" w:beforeAutospacing="0" w:after="0" w:afterAutospacing="0"/>
              <w:jc w:val="center"/>
              <w:rPr>
                <w:sz w:val="16"/>
                <w:szCs w:val="16"/>
              </w:rPr>
            </w:pPr>
            <w:r>
              <w:rPr>
                <w:b/>
                <w:bCs/>
                <w:sz w:val="16"/>
                <w:szCs w:val="16"/>
              </w:rPr>
              <w:t>September 30, </w:t>
            </w:r>
          </w:p>
        </w:tc>
        <w:tc>
          <w:tcPr>
            <w:tcW w:w="94" w:type="pct"/>
            <w:shd w:val="clear" w:color="auto" w:fill="auto"/>
            <w:noWrap/>
            <w:tcMar>
              <w:top w:w="0" w:type="dxa"/>
              <w:left w:w="0" w:type="dxa"/>
              <w:bottom w:w="0" w:type="dxa"/>
              <w:right w:w="0" w:type="dxa"/>
            </w:tcMar>
            <w:vAlign w:val="bottom"/>
            <w:hideMark/>
          </w:tcPr>
          <w:p w14:paraId="058798E7" w14:textId="77777777" w:rsidR="00000000" w:rsidRDefault="00097612">
            <w:pPr>
              <w:pStyle w:val="a3"/>
              <w:spacing w:before="0" w:beforeAutospacing="0" w:after="0" w:afterAutospacing="0"/>
              <w:jc w:val="center"/>
              <w:rPr>
                <w:sz w:val="20"/>
                <w:szCs w:val="20"/>
              </w:rPr>
            </w:pPr>
            <w:r>
              <w:rPr>
                <w:b/>
                <w:bCs/>
                <w:sz w:val="16"/>
                <w:szCs w:val="16"/>
              </w:rPr>
              <w:t>​</w:t>
            </w:r>
          </w:p>
        </w:tc>
        <w:tc>
          <w:tcPr>
            <w:tcW w:w="94" w:type="pct"/>
            <w:shd w:val="clear" w:color="auto" w:fill="auto"/>
            <w:noWrap/>
            <w:tcMar>
              <w:top w:w="0" w:type="dxa"/>
              <w:left w:w="0" w:type="dxa"/>
              <w:bottom w:w="0" w:type="dxa"/>
              <w:right w:w="0" w:type="dxa"/>
            </w:tcMar>
            <w:vAlign w:val="bottom"/>
            <w:hideMark/>
          </w:tcPr>
          <w:p w14:paraId="3E018D4A" w14:textId="77777777" w:rsidR="00000000" w:rsidRDefault="00097612">
            <w:pPr>
              <w:pStyle w:val="a3"/>
              <w:spacing w:before="0" w:beforeAutospacing="0" w:after="0" w:afterAutospacing="0"/>
              <w:jc w:val="center"/>
              <w:rPr>
                <w:sz w:val="20"/>
                <w:szCs w:val="20"/>
              </w:rPr>
            </w:pPr>
            <w:r>
              <w:rPr>
                <w:b/>
                <w:bCs/>
                <w:sz w:val="16"/>
                <w:szCs w:val="16"/>
              </w:rPr>
              <w:t>​</w:t>
            </w:r>
          </w:p>
        </w:tc>
        <w:tc>
          <w:tcPr>
            <w:tcW w:w="413" w:type="pct"/>
            <w:shd w:val="clear" w:color="auto" w:fill="auto"/>
            <w:noWrap/>
            <w:tcMar>
              <w:top w:w="0" w:type="dxa"/>
              <w:left w:w="0" w:type="dxa"/>
              <w:bottom w:w="0" w:type="dxa"/>
              <w:right w:w="0" w:type="dxa"/>
            </w:tcMar>
            <w:vAlign w:val="bottom"/>
            <w:hideMark/>
          </w:tcPr>
          <w:p w14:paraId="5C9632A3" w14:textId="77777777" w:rsidR="00000000" w:rsidRDefault="00097612">
            <w:pPr>
              <w:pStyle w:val="a3"/>
              <w:spacing w:before="0" w:beforeAutospacing="0" w:after="0" w:afterAutospacing="0"/>
              <w:jc w:val="center"/>
              <w:rPr>
                <w:sz w:val="20"/>
                <w:szCs w:val="20"/>
              </w:rPr>
            </w:pPr>
            <w:r>
              <w:rPr>
                <w:b/>
                <w:bCs/>
                <w:sz w:val="16"/>
                <w:szCs w:val="16"/>
              </w:rPr>
              <w:t>​</w:t>
            </w:r>
          </w:p>
        </w:tc>
        <w:tc>
          <w:tcPr>
            <w:tcW w:w="84" w:type="pct"/>
            <w:shd w:val="clear" w:color="auto" w:fill="auto"/>
            <w:noWrap/>
            <w:tcMar>
              <w:top w:w="0" w:type="dxa"/>
              <w:left w:w="0" w:type="dxa"/>
              <w:bottom w:w="0" w:type="dxa"/>
              <w:right w:w="0" w:type="dxa"/>
            </w:tcMar>
            <w:vAlign w:val="bottom"/>
            <w:hideMark/>
          </w:tcPr>
          <w:p w14:paraId="0921807E" w14:textId="77777777" w:rsidR="00000000" w:rsidRDefault="00097612">
            <w:pPr>
              <w:pStyle w:val="a3"/>
              <w:spacing w:before="0" w:beforeAutospacing="0" w:after="0" w:afterAutospacing="0"/>
              <w:rPr>
                <w:sz w:val="20"/>
                <w:szCs w:val="20"/>
              </w:rPr>
            </w:pPr>
            <w:r>
              <w:rPr>
                <w:b/>
                <w:bCs/>
                <w:sz w:val="16"/>
                <w:szCs w:val="16"/>
              </w:rPr>
              <w:t>​</w:t>
            </w:r>
          </w:p>
        </w:tc>
      </w:tr>
      <w:tr w:rsidR="00000000" w14:paraId="074C92D9" w14:textId="77777777">
        <w:trPr>
          <w:divId w:val="1755976402"/>
        </w:trPr>
        <w:tc>
          <w:tcPr>
            <w:tcW w:w="3132" w:type="pct"/>
            <w:tcBorders>
              <w:bottom w:val="single" w:sz="6" w:space="0" w:color="000000"/>
            </w:tcBorders>
            <w:shd w:val="clear" w:color="auto" w:fill="auto"/>
            <w:tcMar>
              <w:top w:w="0" w:type="dxa"/>
              <w:left w:w="0" w:type="dxa"/>
              <w:bottom w:w="0" w:type="dxa"/>
              <w:right w:w="0" w:type="dxa"/>
            </w:tcMar>
            <w:vAlign w:val="bottom"/>
            <w:hideMark/>
          </w:tcPr>
          <w:p w14:paraId="0DA8DC59" w14:textId="77777777" w:rsidR="00000000" w:rsidRDefault="00097612">
            <w:pPr>
              <w:pStyle w:val="a3"/>
              <w:spacing w:before="0" w:beforeAutospacing="0" w:after="0" w:afterAutospacing="0"/>
              <w:rPr>
                <w:sz w:val="16"/>
                <w:szCs w:val="16"/>
              </w:rPr>
            </w:pPr>
            <w:r>
              <w:rPr>
                <w:b/>
                <w:bCs/>
                <w:sz w:val="16"/>
                <w:szCs w:val="16"/>
              </w:rPr>
              <w:t>(In thousands)</w:t>
            </w:r>
          </w:p>
        </w:tc>
        <w:tc>
          <w:tcPr>
            <w:tcW w:w="94" w:type="pct"/>
            <w:shd w:val="clear" w:color="auto" w:fill="auto"/>
            <w:noWrap/>
            <w:tcMar>
              <w:top w:w="0" w:type="dxa"/>
              <w:left w:w="0" w:type="dxa"/>
              <w:bottom w:w="0" w:type="dxa"/>
              <w:right w:w="0" w:type="dxa"/>
            </w:tcMar>
            <w:vAlign w:val="bottom"/>
            <w:hideMark/>
          </w:tcPr>
          <w:p w14:paraId="2219EAA5" w14:textId="77777777" w:rsidR="00000000" w:rsidRDefault="00097612">
            <w:pPr>
              <w:pStyle w:val="a3"/>
              <w:spacing w:before="0" w:beforeAutospacing="0" w:after="0" w:afterAutospacing="0"/>
              <w:jc w:val="center"/>
              <w:rPr>
                <w:sz w:val="16"/>
                <w:szCs w:val="16"/>
              </w:rPr>
            </w:pPr>
            <w:r>
              <w:rPr>
                <w:b/>
                <w:bCs/>
                <w:sz w:val="16"/>
                <w:szCs w:val="16"/>
              </w:rPr>
              <w:t>    </w:t>
            </w:r>
          </w:p>
        </w:tc>
        <w:tc>
          <w:tcPr>
            <w:tcW w:w="507" w:type="pct"/>
            <w:gridSpan w:val="2"/>
            <w:tcBorders>
              <w:bottom w:val="single" w:sz="6" w:space="0" w:color="000000"/>
            </w:tcBorders>
            <w:shd w:val="clear" w:color="auto" w:fill="auto"/>
            <w:noWrap/>
            <w:tcMar>
              <w:top w:w="0" w:type="dxa"/>
              <w:left w:w="0" w:type="dxa"/>
              <w:bottom w:w="0" w:type="dxa"/>
              <w:right w:w="0" w:type="dxa"/>
            </w:tcMar>
            <w:vAlign w:val="bottom"/>
            <w:hideMark/>
          </w:tcPr>
          <w:p w14:paraId="574B8B24" w14:textId="77777777" w:rsidR="00000000" w:rsidRDefault="00097612">
            <w:pPr>
              <w:pStyle w:val="a3"/>
              <w:spacing w:before="0" w:beforeAutospacing="0" w:after="0" w:afterAutospacing="0"/>
              <w:jc w:val="center"/>
              <w:rPr>
                <w:sz w:val="16"/>
                <w:szCs w:val="16"/>
              </w:rPr>
            </w:pPr>
            <w:r>
              <w:rPr>
                <w:b/>
                <w:bCs/>
                <w:sz w:val="16"/>
                <w:szCs w:val="16"/>
              </w:rPr>
              <w:t>2019</w:t>
            </w:r>
          </w:p>
        </w:tc>
        <w:tc>
          <w:tcPr>
            <w:tcW w:w="94" w:type="pct"/>
            <w:shd w:val="clear" w:color="auto" w:fill="auto"/>
            <w:noWrap/>
            <w:tcMar>
              <w:top w:w="0" w:type="dxa"/>
              <w:left w:w="0" w:type="dxa"/>
              <w:bottom w:w="0" w:type="dxa"/>
              <w:right w:w="0" w:type="dxa"/>
            </w:tcMar>
            <w:vAlign w:val="bottom"/>
            <w:hideMark/>
          </w:tcPr>
          <w:p w14:paraId="0825BDB2" w14:textId="77777777" w:rsidR="00000000" w:rsidRDefault="00097612">
            <w:pPr>
              <w:pStyle w:val="a3"/>
              <w:spacing w:before="0" w:beforeAutospacing="0" w:after="0" w:afterAutospacing="0"/>
              <w:jc w:val="center"/>
              <w:rPr>
                <w:sz w:val="16"/>
                <w:szCs w:val="16"/>
              </w:rPr>
            </w:pPr>
            <w:r>
              <w:rPr>
                <w:b/>
                <w:bCs/>
                <w:sz w:val="16"/>
                <w:szCs w:val="16"/>
              </w:rPr>
              <w:t>    </w:t>
            </w:r>
          </w:p>
        </w:tc>
        <w:tc>
          <w:tcPr>
            <w:tcW w:w="483" w:type="pct"/>
            <w:gridSpan w:val="2"/>
            <w:tcBorders>
              <w:bottom w:val="single" w:sz="6" w:space="0" w:color="000000"/>
            </w:tcBorders>
            <w:shd w:val="clear" w:color="auto" w:fill="auto"/>
            <w:noWrap/>
            <w:tcMar>
              <w:top w:w="0" w:type="dxa"/>
              <w:left w:w="0" w:type="dxa"/>
              <w:bottom w:w="0" w:type="dxa"/>
              <w:right w:w="0" w:type="dxa"/>
            </w:tcMar>
            <w:vAlign w:val="bottom"/>
            <w:hideMark/>
          </w:tcPr>
          <w:p w14:paraId="2AEB126F" w14:textId="77777777" w:rsidR="00000000" w:rsidRDefault="00097612">
            <w:pPr>
              <w:pStyle w:val="a3"/>
              <w:spacing w:before="0" w:beforeAutospacing="0" w:after="0" w:afterAutospacing="0"/>
              <w:jc w:val="center"/>
              <w:rPr>
                <w:sz w:val="16"/>
                <w:szCs w:val="16"/>
              </w:rPr>
            </w:pPr>
            <w:r>
              <w:rPr>
                <w:b/>
                <w:bCs/>
                <w:sz w:val="16"/>
                <w:szCs w:val="16"/>
              </w:rPr>
              <w:t>2018</w:t>
            </w:r>
          </w:p>
        </w:tc>
        <w:tc>
          <w:tcPr>
            <w:tcW w:w="94" w:type="pct"/>
            <w:shd w:val="clear" w:color="auto" w:fill="auto"/>
            <w:noWrap/>
            <w:tcMar>
              <w:top w:w="0" w:type="dxa"/>
              <w:left w:w="0" w:type="dxa"/>
              <w:bottom w:w="0" w:type="dxa"/>
              <w:right w:w="0" w:type="dxa"/>
            </w:tcMar>
            <w:vAlign w:val="bottom"/>
            <w:hideMark/>
          </w:tcPr>
          <w:p w14:paraId="172EEBB7" w14:textId="77777777" w:rsidR="00000000" w:rsidRDefault="00097612">
            <w:pPr>
              <w:pStyle w:val="a3"/>
              <w:spacing w:before="0" w:beforeAutospacing="0" w:after="0" w:afterAutospacing="0"/>
              <w:jc w:val="center"/>
              <w:rPr>
                <w:sz w:val="16"/>
                <w:szCs w:val="16"/>
              </w:rPr>
            </w:pPr>
            <w:r>
              <w:rPr>
                <w:b/>
                <w:bCs/>
                <w:sz w:val="16"/>
                <w:szCs w:val="16"/>
              </w:rPr>
              <w:t>    </w:t>
            </w:r>
          </w:p>
        </w:tc>
        <w:tc>
          <w:tcPr>
            <w:tcW w:w="508" w:type="pct"/>
            <w:gridSpan w:val="2"/>
            <w:tcBorders>
              <w:bottom w:val="single" w:sz="6" w:space="0" w:color="000000"/>
            </w:tcBorders>
            <w:shd w:val="clear" w:color="auto" w:fill="auto"/>
            <w:noWrap/>
            <w:tcMar>
              <w:top w:w="0" w:type="dxa"/>
              <w:left w:w="0" w:type="dxa"/>
              <w:bottom w:w="0" w:type="dxa"/>
              <w:right w:w="0" w:type="dxa"/>
            </w:tcMar>
            <w:vAlign w:val="bottom"/>
            <w:hideMark/>
          </w:tcPr>
          <w:p w14:paraId="7E159894" w14:textId="77777777" w:rsidR="00000000" w:rsidRDefault="00097612">
            <w:pPr>
              <w:pStyle w:val="a3"/>
              <w:spacing w:before="0" w:beforeAutospacing="0" w:after="0" w:afterAutospacing="0"/>
              <w:jc w:val="center"/>
              <w:rPr>
                <w:sz w:val="16"/>
                <w:szCs w:val="16"/>
              </w:rPr>
            </w:pPr>
            <w:r>
              <w:rPr>
                <w:b/>
                <w:bCs/>
                <w:sz w:val="16"/>
                <w:szCs w:val="16"/>
              </w:rPr>
              <w:t>Change</w:t>
            </w:r>
          </w:p>
        </w:tc>
        <w:tc>
          <w:tcPr>
            <w:tcW w:w="84" w:type="pct"/>
            <w:shd w:val="clear" w:color="auto" w:fill="auto"/>
            <w:noWrap/>
            <w:tcMar>
              <w:top w:w="0" w:type="dxa"/>
              <w:left w:w="0" w:type="dxa"/>
              <w:bottom w:w="0" w:type="dxa"/>
              <w:right w:w="0" w:type="dxa"/>
            </w:tcMar>
            <w:vAlign w:val="bottom"/>
            <w:hideMark/>
          </w:tcPr>
          <w:p w14:paraId="1D8B6273" w14:textId="77777777" w:rsidR="00000000" w:rsidRDefault="00097612">
            <w:pPr>
              <w:pStyle w:val="a3"/>
              <w:spacing w:before="0" w:beforeAutospacing="0" w:after="0" w:afterAutospacing="0"/>
              <w:rPr>
                <w:sz w:val="16"/>
                <w:szCs w:val="16"/>
              </w:rPr>
            </w:pPr>
            <w:r>
              <w:rPr>
                <w:b/>
                <w:bCs/>
                <w:sz w:val="16"/>
                <w:szCs w:val="16"/>
              </w:rPr>
              <w:t>    </w:t>
            </w:r>
          </w:p>
        </w:tc>
      </w:tr>
      <w:tr w:rsidR="00000000" w14:paraId="0B3FFEAC" w14:textId="77777777">
        <w:trPr>
          <w:divId w:val="1755976402"/>
        </w:trPr>
        <w:tc>
          <w:tcPr>
            <w:tcW w:w="3132" w:type="pct"/>
            <w:shd w:val="clear" w:color="auto" w:fill="CCEEFF"/>
            <w:tcMar>
              <w:top w:w="0" w:type="dxa"/>
              <w:left w:w="0" w:type="dxa"/>
              <w:bottom w:w="0" w:type="dxa"/>
              <w:right w:w="0" w:type="dxa"/>
            </w:tcMar>
            <w:vAlign w:val="bottom"/>
            <w:hideMark/>
          </w:tcPr>
          <w:p w14:paraId="1FAA43BC" w14:textId="77777777" w:rsidR="00000000" w:rsidRDefault="00097612">
            <w:pPr>
              <w:pStyle w:val="a3"/>
              <w:spacing w:before="0" w:beforeAutospacing="0" w:after="0" w:afterAutospacing="0"/>
              <w:rPr>
                <w:sz w:val="20"/>
                <w:szCs w:val="20"/>
              </w:rPr>
            </w:pPr>
            <w:r>
              <w:rPr>
                <w:sz w:val="20"/>
                <w:szCs w:val="20"/>
              </w:rPr>
              <w:t>Net cash used in operating activities</w:t>
            </w:r>
          </w:p>
        </w:tc>
        <w:tc>
          <w:tcPr>
            <w:tcW w:w="94" w:type="pct"/>
            <w:shd w:val="clear" w:color="auto" w:fill="CCEEFF"/>
            <w:noWrap/>
            <w:tcMar>
              <w:top w:w="0" w:type="dxa"/>
              <w:left w:w="0" w:type="dxa"/>
              <w:bottom w:w="0" w:type="dxa"/>
              <w:right w:w="0" w:type="dxa"/>
            </w:tcMar>
            <w:vAlign w:val="bottom"/>
            <w:hideMark/>
          </w:tcPr>
          <w:p w14:paraId="61F53FEA" w14:textId="77777777" w:rsidR="00000000" w:rsidRDefault="00097612">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14:paraId="18A1CBD4" w14:textId="77777777" w:rsidR="00000000" w:rsidRDefault="00097612">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12153300" w14:textId="77777777" w:rsidR="00000000" w:rsidRDefault="00097612">
            <w:pPr>
              <w:pStyle w:val="a3"/>
              <w:spacing w:before="0" w:beforeAutospacing="0" w:after="0" w:afterAutospacing="0"/>
              <w:jc w:val="right"/>
              <w:rPr>
                <w:sz w:val="20"/>
                <w:szCs w:val="20"/>
              </w:rPr>
            </w:pPr>
            <w:r>
              <w:rPr>
                <w:sz w:val="20"/>
                <w:szCs w:val="20"/>
              </w:rPr>
              <w:t>(173,845</w:t>
            </w:r>
            <w:r>
              <w:rPr>
                <w:sz w:val="20"/>
                <w:szCs w:val="20"/>
              </w:rPr>
              <w:t>)</w:t>
            </w:r>
          </w:p>
        </w:tc>
        <w:tc>
          <w:tcPr>
            <w:tcW w:w="94" w:type="pct"/>
            <w:shd w:val="clear" w:color="auto" w:fill="CCEEFF"/>
            <w:noWrap/>
            <w:tcMar>
              <w:top w:w="0" w:type="dxa"/>
              <w:left w:w="0" w:type="dxa"/>
              <w:bottom w:w="0" w:type="dxa"/>
              <w:right w:w="0" w:type="dxa"/>
            </w:tcMar>
            <w:vAlign w:val="bottom"/>
            <w:hideMark/>
          </w:tcPr>
          <w:p w14:paraId="52523634" w14:textId="77777777" w:rsidR="00000000" w:rsidRDefault="00097612">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14:paraId="36F6535D" w14:textId="77777777" w:rsidR="00000000" w:rsidRDefault="00097612">
            <w:pPr>
              <w:pStyle w:val="a3"/>
              <w:spacing w:before="0" w:beforeAutospacing="0" w:after="0" w:afterAutospacing="0"/>
              <w:jc w:val="center"/>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14:paraId="22E8F4E6" w14:textId="77777777" w:rsidR="00000000" w:rsidRDefault="00097612">
            <w:pPr>
              <w:pStyle w:val="a3"/>
              <w:spacing w:before="0" w:beforeAutospacing="0" w:after="0" w:afterAutospacing="0"/>
              <w:jc w:val="right"/>
              <w:rPr>
                <w:sz w:val="20"/>
                <w:szCs w:val="20"/>
              </w:rPr>
            </w:pPr>
            <w:r>
              <w:rPr>
                <w:sz w:val="20"/>
                <w:szCs w:val="20"/>
              </w:rPr>
              <w:t>(60,689</w:t>
            </w:r>
            <w:r>
              <w:rPr>
                <w:sz w:val="20"/>
                <w:szCs w:val="20"/>
              </w:rPr>
              <w:t>)</w:t>
            </w:r>
          </w:p>
        </w:tc>
        <w:tc>
          <w:tcPr>
            <w:tcW w:w="94" w:type="pct"/>
            <w:shd w:val="clear" w:color="auto" w:fill="CCEEFF"/>
            <w:noWrap/>
            <w:tcMar>
              <w:top w:w="0" w:type="dxa"/>
              <w:left w:w="0" w:type="dxa"/>
              <w:bottom w:w="0" w:type="dxa"/>
              <w:right w:w="0" w:type="dxa"/>
            </w:tcMar>
            <w:vAlign w:val="bottom"/>
            <w:hideMark/>
          </w:tcPr>
          <w:p w14:paraId="5E07D46C" w14:textId="77777777" w:rsidR="00000000" w:rsidRDefault="00097612">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14:paraId="6D6D2E44" w14:textId="77777777" w:rsidR="00000000" w:rsidRDefault="00097612">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1094CA49" w14:textId="77777777" w:rsidR="00000000" w:rsidRDefault="00097612">
            <w:pPr>
              <w:pStyle w:val="a3"/>
              <w:spacing w:before="0" w:beforeAutospacing="0" w:after="0" w:afterAutospacing="0"/>
              <w:jc w:val="right"/>
              <w:rPr>
                <w:sz w:val="20"/>
                <w:szCs w:val="20"/>
              </w:rPr>
            </w:pPr>
            <w:r>
              <w:rPr>
                <w:sz w:val="20"/>
                <w:szCs w:val="20"/>
              </w:rPr>
              <w:t>(113,156</w:t>
            </w:r>
            <w:r>
              <w:rPr>
                <w:sz w:val="20"/>
                <w:szCs w:val="20"/>
              </w:rPr>
              <w:t>)</w:t>
            </w:r>
          </w:p>
        </w:tc>
        <w:tc>
          <w:tcPr>
            <w:tcW w:w="84" w:type="pct"/>
            <w:shd w:val="clear" w:color="auto" w:fill="CCEEFF"/>
            <w:noWrap/>
            <w:tcMar>
              <w:top w:w="0" w:type="dxa"/>
              <w:left w:w="0" w:type="dxa"/>
              <w:bottom w:w="0" w:type="dxa"/>
              <w:right w:w="0" w:type="dxa"/>
            </w:tcMar>
            <w:vAlign w:val="bottom"/>
            <w:hideMark/>
          </w:tcPr>
          <w:p w14:paraId="3721156E" w14:textId="77777777" w:rsidR="00000000" w:rsidRDefault="00097612">
            <w:pPr>
              <w:pStyle w:val="a3"/>
              <w:spacing w:before="0" w:beforeAutospacing="0" w:after="0" w:afterAutospacing="0"/>
              <w:rPr>
                <w:sz w:val="20"/>
                <w:szCs w:val="20"/>
              </w:rPr>
            </w:pPr>
            <w:r>
              <w:rPr>
                <w:sz w:val="20"/>
                <w:szCs w:val="20"/>
              </w:rPr>
              <w:t>​</w:t>
            </w:r>
          </w:p>
        </w:tc>
      </w:tr>
      <w:tr w:rsidR="00000000" w14:paraId="442E9510" w14:textId="77777777">
        <w:trPr>
          <w:divId w:val="1755976402"/>
        </w:trPr>
        <w:tc>
          <w:tcPr>
            <w:tcW w:w="3132" w:type="pct"/>
            <w:tcMar>
              <w:top w:w="0" w:type="dxa"/>
              <w:left w:w="0" w:type="dxa"/>
              <w:bottom w:w="0" w:type="dxa"/>
              <w:right w:w="0" w:type="dxa"/>
            </w:tcMar>
            <w:vAlign w:val="bottom"/>
            <w:hideMark/>
          </w:tcPr>
          <w:p w14:paraId="3119BA91" w14:textId="77777777" w:rsidR="00000000" w:rsidRDefault="00097612">
            <w:pPr>
              <w:pStyle w:val="a3"/>
              <w:spacing w:before="0" w:beforeAutospacing="0" w:after="0" w:afterAutospacing="0"/>
              <w:rPr>
                <w:sz w:val="20"/>
                <w:szCs w:val="20"/>
              </w:rPr>
            </w:pPr>
            <w:r>
              <w:rPr>
                <w:sz w:val="20"/>
                <w:szCs w:val="20"/>
              </w:rPr>
              <w:t>Net cash (used in) provided by investing activities</w:t>
            </w:r>
          </w:p>
        </w:tc>
        <w:tc>
          <w:tcPr>
            <w:tcW w:w="94" w:type="pct"/>
            <w:noWrap/>
            <w:tcMar>
              <w:top w:w="0" w:type="dxa"/>
              <w:left w:w="0" w:type="dxa"/>
              <w:bottom w:w="0" w:type="dxa"/>
              <w:right w:w="0" w:type="dxa"/>
            </w:tcMar>
            <w:vAlign w:val="bottom"/>
            <w:hideMark/>
          </w:tcPr>
          <w:p w14:paraId="43171B5A" w14:textId="77777777" w:rsidR="00000000" w:rsidRDefault="00097612">
            <w:pPr>
              <w:pStyle w:val="a3"/>
              <w:spacing w:before="0" w:beforeAutospacing="0" w:after="0" w:afterAutospacing="0"/>
              <w:jc w:val="center"/>
              <w:rPr>
                <w:sz w:val="20"/>
                <w:szCs w:val="20"/>
              </w:rPr>
            </w:pPr>
            <w:r>
              <w:rPr>
                <w:sz w:val="20"/>
                <w:szCs w:val="20"/>
              </w:rPr>
              <w:t>​</w:t>
            </w:r>
          </w:p>
        </w:tc>
        <w:tc>
          <w:tcPr>
            <w:tcW w:w="94" w:type="pct"/>
            <w:noWrap/>
            <w:tcMar>
              <w:top w:w="0" w:type="dxa"/>
              <w:left w:w="0" w:type="dxa"/>
              <w:bottom w:w="0" w:type="dxa"/>
              <w:right w:w="0" w:type="dxa"/>
            </w:tcMar>
            <w:vAlign w:val="bottom"/>
            <w:hideMark/>
          </w:tcPr>
          <w:p w14:paraId="68811AE4" w14:textId="77777777" w:rsidR="00000000" w:rsidRDefault="00097612">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14:paraId="3BF19CCE" w14:textId="77777777" w:rsidR="00000000" w:rsidRDefault="00097612">
            <w:pPr>
              <w:pStyle w:val="a3"/>
              <w:spacing w:before="0" w:beforeAutospacing="0" w:after="0" w:afterAutospacing="0"/>
              <w:jc w:val="right"/>
              <w:rPr>
                <w:sz w:val="20"/>
                <w:szCs w:val="20"/>
              </w:rPr>
            </w:pPr>
            <w:r>
              <w:rPr>
                <w:sz w:val="20"/>
                <w:szCs w:val="20"/>
              </w:rPr>
              <w:t>(97,112</w:t>
            </w:r>
            <w:r>
              <w:rPr>
                <w:sz w:val="20"/>
                <w:szCs w:val="20"/>
              </w:rPr>
              <w:t>)</w:t>
            </w:r>
          </w:p>
        </w:tc>
        <w:tc>
          <w:tcPr>
            <w:tcW w:w="94" w:type="pct"/>
            <w:noWrap/>
            <w:tcMar>
              <w:top w:w="0" w:type="dxa"/>
              <w:left w:w="0" w:type="dxa"/>
              <w:bottom w:w="0" w:type="dxa"/>
              <w:right w:w="0" w:type="dxa"/>
            </w:tcMar>
            <w:vAlign w:val="bottom"/>
            <w:hideMark/>
          </w:tcPr>
          <w:p w14:paraId="3F196DF7" w14:textId="77777777" w:rsidR="00000000" w:rsidRDefault="00097612">
            <w:pPr>
              <w:pStyle w:val="a3"/>
              <w:spacing w:before="0" w:beforeAutospacing="0" w:after="0" w:afterAutospacing="0"/>
              <w:jc w:val="center"/>
              <w:rPr>
                <w:sz w:val="20"/>
                <w:szCs w:val="20"/>
              </w:rPr>
            </w:pPr>
            <w:r>
              <w:rPr>
                <w:sz w:val="20"/>
                <w:szCs w:val="20"/>
              </w:rPr>
              <w:t>​</w:t>
            </w:r>
          </w:p>
        </w:tc>
        <w:tc>
          <w:tcPr>
            <w:tcW w:w="94" w:type="pct"/>
            <w:noWrap/>
            <w:tcMar>
              <w:top w:w="0" w:type="dxa"/>
              <w:left w:w="0" w:type="dxa"/>
              <w:bottom w:w="0" w:type="dxa"/>
              <w:right w:w="0" w:type="dxa"/>
            </w:tcMar>
            <w:vAlign w:val="bottom"/>
            <w:hideMark/>
          </w:tcPr>
          <w:p w14:paraId="4D9C827C" w14:textId="77777777" w:rsidR="00000000" w:rsidRDefault="00097612">
            <w:pPr>
              <w:pStyle w:val="a3"/>
              <w:spacing w:before="0" w:beforeAutospacing="0" w:after="0" w:afterAutospacing="0"/>
              <w:jc w:val="center"/>
              <w:rPr>
                <w:sz w:val="20"/>
                <w:szCs w:val="20"/>
              </w:rPr>
            </w:pPr>
            <w:r>
              <w:rPr>
                <w:sz w:val="20"/>
                <w:szCs w:val="20"/>
              </w:rPr>
              <w:t> </w:t>
            </w:r>
          </w:p>
        </w:tc>
        <w:tc>
          <w:tcPr>
            <w:tcW w:w="388" w:type="pct"/>
            <w:noWrap/>
            <w:tcMar>
              <w:top w:w="0" w:type="dxa"/>
              <w:left w:w="0" w:type="dxa"/>
              <w:bottom w:w="0" w:type="dxa"/>
              <w:right w:w="0" w:type="dxa"/>
            </w:tcMar>
            <w:vAlign w:val="bottom"/>
            <w:hideMark/>
          </w:tcPr>
          <w:p w14:paraId="08469C27" w14:textId="77777777" w:rsidR="00000000" w:rsidRDefault="00097612">
            <w:pPr>
              <w:pStyle w:val="a3"/>
              <w:spacing w:before="0" w:beforeAutospacing="0" w:after="0" w:afterAutospacing="0"/>
              <w:ind w:right="60"/>
              <w:jc w:val="right"/>
              <w:rPr>
                <w:sz w:val="20"/>
                <w:szCs w:val="20"/>
              </w:rPr>
            </w:pPr>
            <w:r>
              <w:rPr>
                <w:sz w:val="20"/>
                <w:szCs w:val="20"/>
              </w:rPr>
              <w:t>77,31</w:t>
            </w:r>
            <w:r>
              <w:rPr>
                <w:sz w:val="20"/>
                <w:szCs w:val="20"/>
              </w:rPr>
              <w:t>5</w:t>
            </w:r>
          </w:p>
        </w:tc>
        <w:tc>
          <w:tcPr>
            <w:tcW w:w="94" w:type="pct"/>
            <w:noWrap/>
            <w:tcMar>
              <w:top w:w="0" w:type="dxa"/>
              <w:left w:w="0" w:type="dxa"/>
              <w:bottom w:w="0" w:type="dxa"/>
              <w:right w:w="0" w:type="dxa"/>
            </w:tcMar>
            <w:vAlign w:val="bottom"/>
            <w:hideMark/>
          </w:tcPr>
          <w:p w14:paraId="17E13420" w14:textId="77777777" w:rsidR="00000000" w:rsidRDefault="00097612">
            <w:pPr>
              <w:pStyle w:val="a3"/>
              <w:spacing w:before="0" w:beforeAutospacing="0" w:after="0" w:afterAutospacing="0"/>
              <w:jc w:val="center"/>
              <w:rPr>
                <w:sz w:val="20"/>
                <w:szCs w:val="20"/>
              </w:rPr>
            </w:pPr>
            <w:r>
              <w:rPr>
                <w:sz w:val="20"/>
                <w:szCs w:val="20"/>
              </w:rPr>
              <w:t>​</w:t>
            </w:r>
          </w:p>
        </w:tc>
        <w:tc>
          <w:tcPr>
            <w:tcW w:w="94" w:type="pct"/>
            <w:noWrap/>
            <w:tcMar>
              <w:top w:w="0" w:type="dxa"/>
              <w:left w:w="0" w:type="dxa"/>
              <w:bottom w:w="0" w:type="dxa"/>
              <w:right w:w="0" w:type="dxa"/>
            </w:tcMar>
            <w:vAlign w:val="bottom"/>
            <w:hideMark/>
          </w:tcPr>
          <w:p w14:paraId="35996CB1" w14:textId="77777777" w:rsidR="00000000" w:rsidRDefault="00097612">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14:paraId="59EB9D90" w14:textId="77777777" w:rsidR="00000000" w:rsidRDefault="00097612">
            <w:pPr>
              <w:pStyle w:val="a3"/>
              <w:spacing w:before="0" w:beforeAutospacing="0" w:after="0" w:afterAutospacing="0"/>
              <w:jc w:val="right"/>
              <w:rPr>
                <w:sz w:val="20"/>
                <w:szCs w:val="20"/>
              </w:rPr>
            </w:pPr>
            <w:r>
              <w:rPr>
                <w:sz w:val="20"/>
                <w:szCs w:val="20"/>
              </w:rPr>
              <w:t>(174,427</w:t>
            </w:r>
            <w:r>
              <w:rPr>
                <w:sz w:val="20"/>
                <w:szCs w:val="20"/>
              </w:rPr>
              <w:t>)</w:t>
            </w:r>
          </w:p>
        </w:tc>
        <w:tc>
          <w:tcPr>
            <w:tcW w:w="84" w:type="pct"/>
            <w:noWrap/>
            <w:tcMar>
              <w:top w:w="0" w:type="dxa"/>
              <w:left w:w="0" w:type="dxa"/>
              <w:bottom w:w="0" w:type="dxa"/>
              <w:right w:w="0" w:type="dxa"/>
            </w:tcMar>
            <w:vAlign w:val="bottom"/>
            <w:hideMark/>
          </w:tcPr>
          <w:p w14:paraId="3F08804B" w14:textId="77777777" w:rsidR="00000000" w:rsidRDefault="00097612">
            <w:pPr>
              <w:pStyle w:val="a3"/>
              <w:spacing w:before="0" w:beforeAutospacing="0" w:after="0" w:afterAutospacing="0"/>
              <w:rPr>
                <w:sz w:val="20"/>
                <w:szCs w:val="20"/>
              </w:rPr>
            </w:pPr>
            <w:r>
              <w:rPr>
                <w:sz w:val="20"/>
                <w:szCs w:val="20"/>
              </w:rPr>
              <w:t>​</w:t>
            </w:r>
          </w:p>
        </w:tc>
      </w:tr>
      <w:tr w:rsidR="00000000" w14:paraId="7B77B173" w14:textId="77777777">
        <w:trPr>
          <w:divId w:val="1755976402"/>
        </w:trPr>
        <w:tc>
          <w:tcPr>
            <w:tcW w:w="3132" w:type="pct"/>
            <w:shd w:val="clear" w:color="auto" w:fill="CCEEFF"/>
            <w:tcMar>
              <w:top w:w="0" w:type="dxa"/>
              <w:left w:w="0" w:type="dxa"/>
              <w:bottom w:w="0" w:type="dxa"/>
              <w:right w:w="0" w:type="dxa"/>
            </w:tcMar>
            <w:vAlign w:val="bottom"/>
            <w:hideMark/>
          </w:tcPr>
          <w:p w14:paraId="4A195C28" w14:textId="77777777" w:rsidR="00000000" w:rsidRDefault="00097612">
            <w:pPr>
              <w:pStyle w:val="a3"/>
              <w:spacing w:before="0" w:beforeAutospacing="0" w:after="0" w:afterAutospacing="0"/>
              <w:rPr>
                <w:sz w:val="20"/>
                <w:szCs w:val="20"/>
              </w:rPr>
            </w:pPr>
            <w:r>
              <w:rPr>
                <w:sz w:val="20"/>
                <w:szCs w:val="20"/>
              </w:rPr>
              <w:t>Net cash provided by (used in) financing activities</w:t>
            </w:r>
          </w:p>
        </w:tc>
        <w:tc>
          <w:tcPr>
            <w:tcW w:w="94" w:type="pct"/>
            <w:shd w:val="clear" w:color="auto" w:fill="CCEEFF"/>
            <w:noWrap/>
            <w:tcMar>
              <w:top w:w="0" w:type="dxa"/>
              <w:left w:w="0" w:type="dxa"/>
              <w:bottom w:w="0" w:type="dxa"/>
              <w:right w:w="0" w:type="dxa"/>
            </w:tcMar>
            <w:vAlign w:val="bottom"/>
            <w:hideMark/>
          </w:tcPr>
          <w:p w14:paraId="49F14019" w14:textId="77777777" w:rsidR="00000000" w:rsidRDefault="00097612">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14:paraId="4734E98E" w14:textId="77777777" w:rsidR="00000000" w:rsidRDefault="00097612">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53F0CAB2" w14:textId="77777777" w:rsidR="00000000" w:rsidRDefault="00097612">
            <w:pPr>
              <w:pStyle w:val="a3"/>
              <w:spacing w:before="0" w:beforeAutospacing="0" w:after="0" w:afterAutospacing="0"/>
              <w:ind w:right="60"/>
              <w:jc w:val="right"/>
              <w:rPr>
                <w:sz w:val="20"/>
                <w:szCs w:val="20"/>
              </w:rPr>
            </w:pPr>
            <w:r>
              <w:rPr>
                <w:sz w:val="20"/>
                <w:szCs w:val="20"/>
              </w:rPr>
              <w:t>2,83</w:t>
            </w:r>
            <w:r>
              <w:rPr>
                <w:sz w:val="20"/>
                <w:szCs w:val="20"/>
              </w:rPr>
              <w:t>5</w:t>
            </w:r>
          </w:p>
        </w:tc>
        <w:tc>
          <w:tcPr>
            <w:tcW w:w="94" w:type="pct"/>
            <w:shd w:val="clear" w:color="auto" w:fill="CCEEFF"/>
            <w:noWrap/>
            <w:tcMar>
              <w:top w:w="0" w:type="dxa"/>
              <w:left w:w="0" w:type="dxa"/>
              <w:bottom w:w="0" w:type="dxa"/>
              <w:right w:w="0" w:type="dxa"/>
            </w:tcMar>
            <w:vAlign w:val="bottom"/>
            <w:hideMark/>
          </w:tcPr>
          <w:p w14:paraId="579CEDE6" w14:textId="77777777" w:rsidR="00000000" w:rsidRDefault="00097612">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14:paraId="3A5F6539" w14:textId="77777777" w:rsidR="00000000" w:rsidRDefault="00097612">
            <w:pPr>
              <w:pStyle w:val="a3"/>
              <w:spacing w:before="0" w:beforeAutospacing="0" w:after="0" w:afterAutospacing="0"/>
              <w:jc w:val="center"/>
              <w:rPr>
                <w:sz w:val="20"/>
                <w:szCs w:val="20"/>
              </w:rPr>
            </w:pPr>
            <w:r>
              <w:rPr>
                <w:sz w:val="20"/>
                <w:szCs w:val="20"/>
              </w:rPr>
              <w:t> </w:t>
            </w:r>
          </w:p>
        </w:tc>
        <w:tc>
          <w:tcPr>
            <w:tcW w:w="388" w:type="pct"/>
            <w:shd w:val="clear" w:color="auto" w:fill="CCEEFF"/>
            <w:noWrap/>
            <w:tcMar>
              <w:top w:w="0" w:type="dxa"/>
              <w:left w:w="0" w:type="dxa"/>
              <w:bottom w:w="0" w:type="dxa"/>
              <w:right w:w="0" w:type="dxa"/>
            </w:tcMar>
            <w:vAlign w:val="bottom"/>
            <w:hideMark/>
          </w:tcPr>
          <w:p w14:paraId="78BB1F49" w14:textId="77777777" w:rsidR="00000000" w:rsidRDefault="00097612">
            <w:pPr>
              <w:pStyle w:val="a3"/>
              <w:spacing w:before="0" w:beforeAutospacing="0" w:after="0" w:afterAutospacing="0"/>
              <w:jc w:val="right"/>
              <w:rPr>
                <w:sz w:val="20"/>
                <w:szCs w:val="20"/>
              </w:rPr>
            </w:pPr>
            <w:r>
              <w:rPr>
                <w:sz w:val="20"/>
                <w:szCs w:val="20"/>
              </w:rPr>
              <w:t>(4,404</w:t>
            </w:r>
            <w:r>
              <w:rPr>
                <w:sz w:val="20"/>
                <w:szCs w:val="20"/>
              </w:rPr>
              <w:t>)</w:t>
            </w:r>
          </w:p>
        </w:tc>
        <w:tc>
          <w:tcPr>
            <w:tcW w:w="94" w:type="pct"/>
            <w:shd w:val="clear" w:color="auto" w:fill="CCEEFF"/>
            <w:noWrap/>
            <w:tcMar>
              <w:top w:w="0" w:type="dxa"/>
              <w:left w:w="0" w:type="dxa"/>
              <w:bottom w:w="0" w:type="dxa"/>
              <w:right w:w="0" w:type="dxa"/>
            </w:tcMar>
            <w:vAlign w:val="bottom"/>
            <w:hideMark/>
          </w:tcPr>
          <w:p w14:paraId="3DAC1CB8" w14:textId="77777777" w:rsidR="00000000" w:rsidRDefault="00097612">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14:paraId="0ED69996" w14:textId="77777777" w:rsidR="00000000" w:rsidRDefault="00097612">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59CEC1B1" w14:textId="77777777" w:rsidR="00000000" w:rsidRDefault="00097612">
            <w:pPr>
              <w:pStyle w:val="a3"/>
              <w:spacing w:before="0" w:beforeAutospacing="0" w:after="0" w:afterAutospacing="0"/>
              <w:ind w:right="60"/>
              <w:jc w:val="right"/>
              <w:rPr>
                <w:sz w:val="20"/>
                <w:szCs w:val="20"/>
              </w:rPr>
            </w:pPr>
            <w:r>
              <w:rPr>
                <w:sz w:val="20"/>
                <w:szCs w:val="20"/>
              </w:rPr>
              <w:t>7,23</w:t>
            </w:r>
            <w:r>
              <w:rPr>
                <w:sz w:val="20"/>
                <w:szCs w:val="20"/>
              </w:rPr>
              <w:t>9</w:t>
            </w:r>
          </w:p>
        </w:tc>
        <w:tc>
          <w:tcPr>
            <w:tcW w:w="84" w:type="pct"/>
            <w:shd w:val="clear" w:color="auto" w:fill="CCEEFF"/>
            <w:noWrap/>
            <w:tcMar>
              <w:top w:w="0" w:type="dxa"/>
              <w:left w:w="0" w:type="dxa"/>
              <w:bottom w:w="0" w:type="dxa"/>
              <w:right w:w="0" w:type="dxa"/>
            </w:tcMar>
            <w:vAlign w:val="bottom"/>
            <w:hideMark/>
          </w:tcPr>
          <w:p w14:paraId="6BE997F6" w14:textId="77777777" w:rsidR="00000000" w:rsidRDefault="00097612">
            <w:pPr>
              <w:pStyle w:val="a3"/>
              <w:spacing w:before="0" w:beforeAutospacing="0" w:after="0" w:afterAutospacing="0"/>
              <w:rPr>
                <w:sz w:val="20"/>
                <w:szCs w:val="20"/>
              </w:rPr>
            </w:pPr>
            <w:r>
              <w:rPr>
                <w:sz w:val="20"/>
                <w:szCs w:val="20"/>
              </w:rPr>
              <w:t>​</w:t>
            </w:r>
          </w:p>
        </w:tc>
      </w:tr>
    </w:tbl>
    <w:p w14:paraId="39DF76FF" w14:textId="77777777" w:rsidR="00000000" w:rsidRDefault="00097612">
      <w:pPr>
        <w:pStyle w:val="a3"/>
        <w:spacing w:before="0" w:beforeAutospacing="0" w:after="0" w:afterAutospacing="0"/>
        <w:divId w:val="1755976402"/>
        <w:rPr>
          <w:sz w:val="20"/>
          <w:szCs w:val="20"/>
        </w:rPr>
      </w:pPr>
      <w:r>
        <w:rPr>
          <w:sz w:val="20"/>
          <w:szCs w:val="20"/>
        </w:rPr>
        <w:t>​</w:t>
      </w:r>
    </w:p>
    <w:p w14:paraId="4CE4F5F8" w14:textId="77777777" w:rsidR="00000000" w:rsidRDefault="00097612">
      <w:pPr>
        <w:pStyle w:val="a3"/>
        <w:spacing w:before="360" w:beforeAutospacing="0" w:after="0" w:afterAutospacing="0"/>
        <w:jc w:val="center"/>
        <w:divId w:val="243302128"/>
        <w:rPr>
          <w:sz w:val="20"/>
          <w:szCs w:val="20"/>
        </w:rPr>
      </w:pPr>
      <w:r>
        <w:rPr>
          <w:sz w:val="20"/>
          <w:szCs w:val="20"/>
        </w:rPr>
        <w:t>32</w:t>
      </w:r>
    </w:p>
    <w:p w14:paraId="06BD0310" w14:textId="77777777" w:rsidR="00000000" w:rsidRDefault="00097612">
      <w:pPr>
        <w:pStyle w:val="a3"/>
        <w:spacing w:before="0" w:beforeAutospacing="0" w:after="600" w:afterAutospacing="0"/>
        <w:divId w:val="1064372224"/>
        <w:rPr>
          <w:sz w:val="20"/>
          <w:szCs w:val="20"/>
        </w:rPr>
      </w:pPr>
      <w:hyperlink w:anchor="TOC" w:history="1">
        <w:r>
          <w:rPr>
            <w:rStyle w:val="a4"/>
            <w:sz w:val="20"/>
            <w:szCs w:val="20"/>
          </w:rPr>
          <w:t>Table of Contents</w:t>
        </w:r>
      </w:hyperlink>
    </w:p>
    <w:p w14:paraId="1C2B39BB" w14:textId="77777777" w:rsidR="00000000" w:rsidRDefault="00097612">
      <w:pPr>
        <w:pStyle w:val="a3"/>
        <w:spacing w:before="0" w:beforeAutospacing="0" w:after="0" w:afterAutospacing="0"/>
        <w:divId w:val="1961372527"/>
        <w:rPr>
          <w:sz w:val="20"/>
          <w:szCs w:val="20"/>
        </w:rPr>
      </w:pPr>
      <w:r>
        <w:rPr>
          <w:i/>
          <w:iCs/>
          <w:sz w:val="20"/>
          <w:szCs w:val="20"/>
        </w:rPr>
        <w:t>Cash flows used in operating activities</w:t>
      </w:r>
    </w:p>
    <w:p w14:paraId="41528843" w14:textId="77777777" w:rsidR="00000000" w:rsidRDefault="00097612">
      <w:pPr>
        <w:pStyle w:val="a3"/>
        <w:spacing w:before="0" w:beforeAutospacing="0" w:after="0" w:afterAutospacing="0"/>
        <w:divId w:val="1961372527"/>
        <w:rPr>
          <w:sz w:val="20"/>
          <w:szCs w:val="20"/>
        </w:rPr>
      </w:pPr>
      <w:r>
        <w:rPr>
          <w:sz w:val="10"/>
          <w:szCs w:val="10"/>
        </w:rPr>
        <w:t>​</w:t>
      </w:r>
    </w:p>
    <w:p w14:paraId="16423734" w14:textId="77777777" w:rsidR="00000000" w:rsidRDefault="00097612">
      <w:pPr>
        <w:pStyle w:val="a3"/>
        <w:spacing w:before="0" w:beforeAutospacing="0" w:after="0" w:afterAutospacing="0"/>
        <w:ind w:firstLine="720"/>
        <w:divId w:val="1961372527"/>
        <w:rPr>
          <w:sz w:val="20"/>
          <w:szCs w:val="20"/>
        </w:rPr>
      </w:pPr>
      <w:r>
        <w:rPr>
          <w:sz w:val="20"/>
          <w:szCs w:val="20"/>
        </w:rPr>
        <w:t xml:space="preserve">Net cash used in operating activities was $173.8 million for the nine months ended September 30, 2019. The $173.8 million used in operating activities consisted primarily of net loss of $170.8 million, adjusted for non-cash items such as $36.5 million for </w:t>
      </w:r>
      <w:r>
        <w:rPr>
          <w:sz w:val="20"/>
          <w:szCs w:val="20"/>
        </w:rPr>
        <w:t>share-based compensation expense and $33.5 million of net cash outflow related to changes in operating assets and liabilities. Overall, net cash used in operating activities increased by $113.2 million, compared to the same period in 2018, primarily driven</w:t>
      </w:r>
      <w:r>
        <w:rPr>
          <w:sz w:val="20"/>
          <w:szCs w:val="20"/>
        </w:rPr>
        <w:t xml:space="preserve"> by our receipt of the $100.0 million upfront payment from our collaborative arrangement from Janssen in February 2018.</w:t>
      </w:r>
    </w:p>
    <w:p w14:paraId="054C7699" w14:textId="77777777" w:rsidR="00000000" w:rsidRDefault="00097612">
      <w:pPr>
        <w:pStyle w:val="a3"/>
        <w:spacing w:before="0" w:beforeAutospacing="0" w:after="0" w:afterAutospacing="0"/>
        <w:divId w:val="1961372527"/>
        <w:rPr>
          <w:sz w:val="20"/>
          <w:szCs w:val="20"/>
        </w:rPr>
      </w:pPr>
      <w:r>
        <w:rPr>
          <w:sz w:val="20"/>
          <w:szCs w:val="20"/>
        </w:rPr>
        <w:t>​</w:t>
      </w:r>
    </w:p>
    <w:p w14:paraId="616E819B" w14:textId="77777777" w:rsidR="00000000" w:rsidRDefault="00097612">
      <w:pPr>
        <w:pStyle w:val="a3"/>
        <w:spacing w:before="0" w:beforeAutospacing="0" w:after="0" w:afterAutospacing="0"/>
        <w:ind w:firstLine="720"/>
        <w:divId w:val="1961372527"/>
        <w:rPr>
          <w:sz w:val="20"/>
          <w:szCs w:val="20"/>
        </w:rPr>
      </w:pPr>
      <w:r>
        <w:rPr>
          <w:sz w:val="20"/>
          <w:szCs w:val="20"/>
        </w:rPr>
        <w:t>Net cash used in operating activities was $60.7 million for the nine months ended September 30, 2018. The $60.7 million used in operating activities consisted primarily of net loss of $165.3 million, adjusted for non-cash items such as $39.6 million for sh</w:t>
      </w:r>
      <w:r>
        <w:rPr>
          <w:sz w:val="20"/>
          <w:szCs w:val="20"/>
        </w:rPr>
        <w:t xml:space="preserve">are-based compensation expense, and $67.9 million of net cash inflow related to changes in operating assets and liabilities primarily driven by the $100.0 million upfront payment in February 2018 from the Janssen collaborative agreement. </w:t>
      </w:r>
    </w:p>
    <w:p w14:paraId="676EEFB9" w14:textId="77777777" w:rsidR="00000000" w:rsidRDefault="00097612">
      <w:pPr>
        <w:pStyle w:val="a3"/>
        <w:spacing w:before="0" w:beforeAutospacing="0" w:after="0" w:afterAutospacing="0"/>
        <w:ind w:firstLine="720"/>
        <w:divId w:val="1961372527"/>
        <w:rPr>
          <w:sz w:val="20"/>
          <w:szCs w:val="20"/>
        </w:rPr>
      </w:pPr>
      <w:r>
        <w:rPr>
          <w:sz w:val="20"/>
          <w:szCs w:val="20"/>
        </w:rPr>
        <w:t>​</w:t>
      </w:r>
    </w:p>
    <w:p w14:paraId="25EF72F0" w14:textId="77777777" w:rsidR="00000000" w:rsidRDefault="00097612">
      <w:pPr>
        <w:pStyle w:val="a3"/>
        <w:spacing w:before="0" w:beforeAutospacing="0" w:after="0" w:afterAutospacing="0"/>
        <w:divId w:val="1961372527"/>
        <w:rPr>
          <w:sz w:val="20"/>
          <w:szCs w:val="20"/>
        </w:rPr>
      </w:pPr>
      <w:r>
        <w:rPr>
          <w:i/>
          <w:iCs/>
          <w:sz w:val="20"/>
          <w:szCs w:val="20"/>
        </w:rPr>
        <w:t>Cash flows (used in) provided by investing activities</w:t>
      </w:r>
    </w:p>
    <w:p w14:paraId="6E1915C9" w14:textId="77777777" w:rsidR="00000000" w:rsidRDefault="00097612">
      <w:pPr>
        <w:pStyle w:val="a3"/>
        <w:spacing w:before="0" w:beforeAutospacing="0" w:after="0" w:afterAutospacing="0"/>
        <w:divId w:val="1961372527"/>
        <w:rPr>
          <w:sz w:val="20"/>
          <w:szCs w:val="20"/>
        </w:rPr>
      </w:pPr>
      <w:r>
        <w:rPr>
          <w:sz w:val="10"/>
          <w:szCs w:val="10"/>
        </w:rPr>
        <w:t>​</w:t>
      </w:r>
    </w:p>
    <w:p w14:paraId="5365AD7D" w14:textId="77777777" w:rsidR="00000000" w:rsidRDefault="00097612">
      <w:pPr>
        <w:pStyle w:val="a3"/>
        <w:spacing w:before="0" w:beforeAutospacing="0" w:after="0" w:afterAutospacing="0"/>
        <w:ind w:firstLine="720"/>
        <w:divId w:val="1961372527"/>
        <w:rPr>
          <w:sz w:val="20"/>
          <w:szCs w:val="20"/>
        </w:rPr>
      </w:pPr>
      <w:r>
        <w:rPr>
          <w:sz w:val="20"/>
          <w:szCs w:val="20"/>
        </w:rPr>
        <w:t>Net cash used in investing activities was $97.1 million for the nine months ended September 30, 2019, consisting primarily of net cash outflows resulting from net purchases and maturities of marketabl</w:t>
      </w:r>
      <w:r>
        <w:rPr>
          <w:sz w:val="20"/>
          <w:szCs w:val="20"/>
        </w:rPr>
        <w:t>e securities of $100.2 million which was partially offset by $5.0 million in cash inflows related to final installment proceeds from the sale of the VIBATIV product to Cumberland in November 2018.</w:t>
      </w:r>
    </w:p>
    <w:p w14:paraId="7EBD7CC8" w14:textId="77777777" w:rsidR="00000000" w:rsidRDefault="00097612">
      <w:pPr>
        <w:pStyle w:val="a3"/>
        <w:spacing w:before="0" w:beforeAutospacing="0" w:after="0" w:afterAutospacing="0"/>
        <w:divId w:val="1961372527"/>
        <w:rPr>
          <w:sz w:val="20"/>
          <w:szCs w:val="20"/>
        </w:rPr>
      </w:pPr>
      <w:r>
        <w:rPr>
          <w:sz w:val="20"/>
          <w:szCs w:val="20"/>
        </w:rPr>
        <w:t>​</w:t>
      </w:r>
    </w:p>
    <w:p w14:paraId="466905D5" w14:textId="77777777" w:rsidR="00000000" w:rsidRDefault="00097612">
      <w:pPr>
        <w:pStyle w:val="a3"/>
        <w:spacing w:before="0" w:beforeAutospacing="0" w:after="0" w:afterAutospacing="0"/>
        <w:ind w:firstLine="720"/>
        <w:divId w:val="1961372527"/>
        <w:rPr>
          <w:sz w:val="20"/>
          <w:szCs w:val="20"/>
        </w:rPr>
      </w:pPr>
      <w:r>
        <w:rPr>
          <w:sz w:val="20"/>
          <w:szCs w:val="20"/>
        </w:rPr>
        <w:t>Net cash provided by investing activities was $77.3 milli</w:t>
      </w:r>
      <w:r>
        <w:rPr>
          <w:sz w:val="20"/>
          <w:szCs w:val="20"/>
        </w:rPr>
        <w:t>on for the nine months ended September 30, 2018, consisting primarily of net cash inflow resulting from net purchases and maturities of marketable securities of $83.0 million which was partially offset by $5.7 million in cash outflow related to the acquisi</w:t>
      </w:r>
      <w:r>
        <w:rPr>
          <w:sz w:val="20"/>
          <w:szCs w:val="20"/>
        </w:rPr>
        <w:t xml:space="preserve">tion of property and equipment. </w:t>
      </w:r>
    </w:p>
    <w:p w14:paraId="46119BEA" w14:textId="77777777" w:rsidR="00000000" w:rsidRDefault="00097612">
      <w:pPr>
        <w:pStyle w:val="a3"/>
        <w:spacing w:before="0" w:beforeAutospacing="0" w:after="0" w:afterAutospacing="0"/>
        <w:divId w:val="1961372527"/>
        <w:rPr>
          <w:sz w:val="20"/>
          <w:szCs w:val="20"/>
        </w:rPr>
      </w:pPr>
      <w:r>
        <w:rPr>
          <w:sz w:val="20"/>
          <w:szCs w:val="20"/>
        </w:rPr>
        <w:t>​</w:t>
      </w:r>
    </w:p>
    <w:p w14:paraId="2C972A30" w14:textId="77777777" w:rsidR="00000000" w:rsidRDefault="00097612">
      <w:pPr>
        <w:pStyle w:val="a3"/>
        <w:spacing w:before="0" w:beforeAutospacing="0" w:after="0" w:afterAutospacing="0"/>
        <w:divId w:val="1961372527"/>
        <w:rPr>
          <w:sz w:val="20"/>
          <w:szCs w:val="20"/>
        </w:rPr>
      </w:pPr>
      <w:r>
        <w:rPr>
          <w:i/>
          <w:iCs/>
          <w:sz w:val="20"/>
          <w:szCs w:val="20"/>
        </w:rPr>
        <w:t>Cash flows provided by (used in) financing activities</w:t>
      </w:r>
    </w:p>
    <w:p w14:paraId="3E3A4689" w14:textId="77777777" w:rsidR="00000000" w:rsidRDefault="00097612">
      <w:pPr>
        <w:pStyle w:val="a3"/>
        <w:spacing w:before="0" w:beforeAutospacing="0" w:after="0" w:afterAutospacing="0"/>
        <w:divId w:val="1961372527"/>
        <w:rPr>
          <w:sz w:val="20"/>
          <w:szCs w:val="20"/>
        </w:rPr>
      </w:pPr>
      <w:r>
        <w:rPr>
          <w:sz w:val="10"/>
          <w:szCs w:val="10"/>
        </w:rPr>
        <w:t>​</w:t>
      </w:r>
    </w:p>
    <w:p w14:paraId="5CB0BA1A" w14:textId="77777777" w:rsidR="00000000" w:rsidRDefault="00097612">
      <w:pPr>
        <w:pStyle w:val="a3"/>
        <w:spacing w:before="0" w:beforeAutospacing="0" w:after="0" w:afterAutospacing="0"/>
        <w:ind w:firstLine="720"/>
        <w:divId w:val="1961372527"/>
        <w:rPr>
          <w:sz w:val="20"/>
          <w:szCs w:val="20"/>
        </w:rPr>
      </w:pPr>
      <w:r>
        <w:rPr>
          <w:sz w:val="20"/>
          <w:szCs w:val="20"/>
        </w:rPr>
        <w:t>Net cash provided by financing activities was $2.8 million for the nine months ended September 30, 2019, consisting of $5.6 million of cash inflows from employee sha</w:t>
      </w:r>
      <w:r>
        <w:rPr>
          <w:sz w:val="20"/>
          <w:szCs w:val="20"/>
        </w:rPr>
        <w:t>re plan purchase proceeds and share option exercises which was partially offset by $2.7 million of net cash outflows related to the repurchase of shares to satisfy tax withholding obligations.</w:t>
      </w:r>
    </w:p>
    <w:p w14:paraId="02E06A77" w14:textId="77777777" w:rsidR="00000000" w:rsidRDefault="00097612">
      <w:pPr>
        <w:pStyle w:val="a3"/>
        <w:spacing w:before="0" w:beforeAutospacing="0" w:after="0" w:afterAutospacing="0"/>
        <w:divId w:val="1961372527"/>
        <w:rPr>
          <w:sz w:val="20"/>
          <w:szCs w:val="20"/>
        </w:rPr>
      </w:pPr>
      <w:r>
        <w:rPr>
          <w:sz w:val="20"/>
          <w:szCs w:val="20"/>
        </w:rPr>
        <w:t>​</w:t>
      </w:r>
    </w:p>
    <w:p w14:paraId="766103BC" w14:textId="77777777" w:rsidR="00000000" w:rsidRDefault="00097612">
      <w:pPr>
        <w:pStyle w:val="a3"/>
        <w:spacing w:before="0" w:beforeAutospacing="0" w:after="0" w:afterAutospacing="0"/>
        <w:ind w:firstLine="720"/>
        <w:divId w:val="1961372527"/>
        <w:rPr>
          <w:sz w:val="20"/>
          <w:szCs w:val="20"/>
        </w:rPr>
      </w:pPr>
      <w:r>
        <w:rPr>
          <w:sz w:val="20"/>
          <w:szCs w:val="20"/>
        </w:rPr>
        <w:t>Net cash used in financing activities was $4.4 million for th</w:t>
      </w:r>
      <w:r>
        <w:rPr>
          <w:sz w:val="20"/>
          <w:szCs w:val="20"/>
        </w:rPr>
        <w:t>e nine months ended September 30, 2018, primarily consisting of $8.5 million of cash outflow for the repurchase of shares to satisfy tax withholding obligations which was partially offset by $4.0 million of cash inflow from employee share plan purchases an</w:t>
      </w:r>
      <w:r>
        <w:rPr>
          <w:sz w:val="20"/>
          <w:szCs w:val="20"/>
        </w:rPr>
        <w:t xml:space="preserve">d share option exercises. </w:t>
      </w:r>
    </w:p>
    <w:p w14:paraId="02D93F76" w14:textId="77777777" w:rsidR="00000000" w:rsidRDefault="00097612">
      <w:pPr>
        <w:pStyle w:val="a3"/>
        <w:spacing w:before="0" w:beforeAutospacing="0" w:after="0" w:afterAutospacing="0"/>
        <w:divId w:val="1961372527"/>
        <w:rPr>
          <w:sz w:val="20"/>
          <w:szCs w:val="20"/>
        </w:rPr>
      </w:pPr>
      <w:r>
        <w:rPr>
          <w:sz w:val="20"/>
          <w:szCs w:val="20"/>
        </w:rPr>
        <w:t>​</w:t>
      </w:r>
    </w:p>
    <w:p w14:paraId="63643528" w14:textId="77777777" w:rsidR="00000000" w:rsidRDefault="00097612">
      <w:pPr>
        <w:pStyle w:val="a3"/>
        <w:spacing w:before="0" w:beforeAutospacing="0" w:after="0" w:afterAutospacing="0"/>
        <w:divId w:val="1961372527"/>
        <w:rPr>
          <w:sz w:val="20"/>
          <w:szCs w:val="20"/>
        </w:rPr>
      </w:pPr>
      <w:r>
        <w:rPr>
          <w:b/>
          <w:bCs/>
          <w:i/>
          <w:iCs/>
          <w:sz w:val="20"/>
          <w:szCs w:val="20"/>
        </w:rPr>
        <w:t>Commitments and Contingencies</w:t>
      </w:r>
    </w:p>
    <w:p w14:paraId="16582E95" w14:textId="77777777" w:rsidR="00000000" w:rsidRDefault="00097612">
      <w:pPr>
        <w:pStyle w:val="a3"/>
        <w:spacing w:before="0" w:beforeAutospacing="0" w:after="0" w:afterAutospacing="0"/>
        <w:divId w:val="1961372527"/>
        <w:rPr>
          <w:sz w:val="20"/>
          <w:szCs w:val="20"/>
        </w:rPr>
      </w:pPr>
      <w:r>
        <w:rPr>
          <w:sz w:val="10"/>
          <w:szCs w:val="10"/>
        </w:rPr>
        <w:t>​</w:t>
      </w:r>
    </w:p>
    <w:p w14:paraId="4FFFB596" w14:textId="77777777" w:rsidR="00000000" w:rsidRDefault="00097612">
      <w:pPr>
        <w:pStyle w:val="a3"/>
        <w:spacing w:before="0" w:beforeAutospacing="0" w:after="0" w:afterAutospacing="0"/>
        <w:ind w:firstLine="720"/>
        <w:divId w:val="1961372527"/>
        <w:rPr>
          <w:sz w:val="20"/>
          <w:szCs w:val="20"/>
        </w:rPr>
      </w:pPr>
      <w:r>
        <w:rPr>
          <w:sz w:val="20"/>
          <w:szCs w:val="20"/>
        </w:rPr>
        <w:t>We indemnify our officers and directors for certain events or occurrences, subject to certain limits. We believe the fair value of these indemnification agreements is minimal. Accordingly, we hav</w:t>
      </w:r>
      <w:r>
        <w:rPr>
          <w:sz w:val="20"/>
          <w:szCs w:val="20"/>
        </w:rPr>
        <w:t>e not recognized any liabilities relating to these agreements as of September 30, 2019.</w:t>
      </w:r>
    </w:p>
    <w:p w14:paraId="1FE622D2" w14:textId="77777777" w:rsidR="00000000" w:rsidRDefault="00097612">
      <w:pPr>
        <w:pStyle w:val="a3"/>
        <w:spacing w:before="0" w:beforeAutospacing="0" w:after="0" w:afterAutospacing="0"/>
        <w:ind w:firstLine="720"/>
        <w:divId w:val="1961372527"/>
        <w:rPr>
          <w:sz w:val="20"/>
          <w:szCs w:val="20"/>
        </w:rPr>
      </w:pPr>
      <w:r>
        <w:rPr>
          <w:sz w:val="20"/>
          <w:szCs w:val="20"/>
        </w:rPr>
        <w:t>​</w:t>
      </w:r>
    </w:p>
    <w:p w14:paraId="5AD29845" w14:textId="77777777" w:rsidR="00000000" w:rsidRDefault="00097612">
      <w:pPr>
        <w:pStyle w:val="a3"/>
        <w:spacing w:before="0" w:beforeAutospacing="0" w:after="0" w:afterAutospacing="0"/>
        <w:divId w:val="1961372527"/>
        <w:rPr>
          <w:sz w:val="20"/>
          <w:szCs w:val="20"/>
        </w:rPr>
      </w:pPr>
      <w:r>
        <w:rPr>
          <w:i/>
          <w:iCs/>
          <w:sz w:val="20"/>
          <w:szCs w:val="20"/>
        </w:rPr>
        <w:t>Performance-Contingent Awards</w:t>
      </w:r>
    </w:p>
    <w:p w14:paraId="5C2881EE" w14:textId="77777777" w:rsidR="00000000" w:rsidRDefault="00097612">
      <w:pPr>
        <w:pStyle w:val="a3"/>
        <w:spacing w:before="0" w:beforeAutospacing="0" w:after="0" w:afterAutospacing="0"/>
        <w:divId w:val="1961372527"/>
        <w:rPr>
          <w:sz w:val="20"/>
          <w:szCs w:val="20"/>
        </w:rPr>
      </w:pPr>
      <w:r>
        <w:rPr>
          <w:sz w:val="12"/>
          <w:szCs w:val="12"/>
        </w:rPr>
        <w:t>​</w:t>
      </w:r>
    </w:p>
    <w:p w14:paraId="190D72C3" w14:textId="77777777" w:rsidR="00000000" w:rsidRDefault="00097612">
      <w:pPr>
        <w:pStyle w:val="a3"/>
        <w:spacing w:before="0" w:beforeAutospacing="0" w:after="0" w:afterAutospacing="0"/>
        <w:ind w:firstLine="720"/>
        <w:divId w:val="1961372527"/>
        <w:rPr>
          <w:sz w:val="20"/>
          <w:szCs w:val="20"/>
        </w:rPr>
      </w:pPr>
      <w:r>
        <w:rPr>
          <w:sz w:val="20"/>
          <w:szCs w:val="20"/>
        </w:rPr>
        <w:t xml:space="preserve">In 2016, we granted long-term retention and incentive restricted share awards (“RSAs”) and restricted share units (“RSUs”) to members </w:t>
      </w:r>
      <w:r>
        <w:rPr>
          <w:sz w:val="20"/>
          <w:szCs w:val="20"/>
        </w:rPr>
        <w:t>of senior management and long-term retention and incentive cash bonus awards to certain employees. The vesting and payout of such awards is dependent on meeting certain operating goals and objectives during the five-year period from 2016 to December 31, 20</w:t>
      </w:r>
      <w:r>
        <w:rPr>
          <w:sz w:val="20"/>
          <w:szCs w:val="20"/>
        </w:rPr>
        <w:t>20. These goals are strategically important for us, and we believe the goals, if achieved, will increase shareholder value. The awards have dual triggers of vesting based upon the achievement of these goals and continued employment, and they are broken int</w:t>
      </w:r>
      <w:r>
        <w:rPr>
          <w:sz w:val="20"/>
          <w:szCs w:val="20"/>
        </w:rPr>
        <w:t>o three separate tranches. We recognize compensation expense relating to awards subject to performance conditions if it is considered probable that the performance goals will be achieved. The probability of achievement is reassessed at each quarter-end rep</w:t>
      </w:r>
      <w:r>
        <w:rPr>
          <w:sz w:val="20"/>
          <w:szCs w:val="20"/>
        </w:rPr>
        <w:t>orting period. Previously recognized expense is reversed in the period in which it becomes probable that the requisite service period will not be rendered.</w:t>
      </w:r>
    </w:p>
    <w:p w14:paraId="33F85A83" w14:textId="77777777" w:rsidR="00000000" w:rsidRDefault="00097612">
      <w:pPr>
        <w:pStyle w:val="a3"/>
        <w:spacing w:before="0" w:beforeAutospacing="0" w:after="0" w:afterAutospacing="0"/>
        <w:divId w:val="1961372527"/>
        <w:rPr>
          <w:sz w:val="20"/>
          <w:szCs w:val="20"/>
        </w:rPr>
      </w:pPr>
      <w:r>
        <w:rPr>
          <w:sz w:val="20"/>
          <w:szCs w:val="20"/>
        </w:rPr>
        <w:t>​</w:t>
      </w:r>
    </w:p>
    <w:p w14:paraId="59B52BDB" w14:textId="77777777" w:rsidR="00000000" w:rsidRDefault="00097612">
      <w:pPr>
        <w:pStyle w:val="a3"/>
        <w:spacing w:before="0" w:beforeAutospacing="0" w:after="0" w:afterAutospacing="0"/>
        <w:ind w:firstLine="720"/>
        <w:divId w:val="1961372527"/>
        <w:rPr>
          <w:sz w:val="20"/>
          <w:szCs w:val="20"/>
        </w:rPr>
      </w:pPr>
      <w:r>
        <w:rPr>
          <w:sz w:val="20"/>
          <w:szCs w:val="20"/>
        </w:rPr>
        <w:t xml:space="preserve">We determined that achievement of the requisite performance conditions for the first tranche were </w:t>
      </w:r>
      <w:r>
        <w:rPr>
          <w:sz w:val="20"/>
          <w:szCs w:val="20"/>
        </w:rPr>
        <w:t>completed as of June 2018, and the expense associated with this first tranche has been fully recognized. We determined that achievement of the requisite performance conditions for the second tranche were completed as of February 2019. For the nine months e</w:t>
      </w:r>
      <w:r>
        <w:rPr>
          <w:sz w:val="20"/>
          <w:szCs w:val="20"/>
        </w:rPr>
        <w:t xml:space="preserve">nded </w:t>
      </w:r>
    </w:p>
    <w:p w14:paraId="1660495A" w14:textId="77777777" w:rsidR="00000000" w:rsidRDefault="00097612">
      <w:pPr>
        <w:pStyle w:val="a3"/>
        <w:spacing w:before="360" w:beforeAutospacing="0" w:after="0" w:afterAutospacing="0"/>
        <w:jc w:val="center"/>
        <w:divId w:val="1718813985"/>
        <w:rPr>
          <w:sz w:val="20"/>
          <w:szCs w:val="20"/>
        </w:rPr>
      </w:pPr>
      <w:r>
        <w:rPr>
          <w:sz w:val="20"/>
          <w:szCs w:val="20"/>
        </w:rPr>
        <w:t>33</w:t>
      </w:r>
    </w:p>
    <w:p w14:paraId="06EABE8A" w14:textId="77777777" w:rsidR="00000000" w:rsidRDefault="00097612">
      <w:pPr>
        <w:pStyle w:val="a3"/>
        <w:spacing w:before="0" w:beforeAutospacing="0" w:after="600" w:afterAutospacing="0"/>
        <w:divId w:val="1713919593"/>
        <w:rPr>
          <w:sz w:val="20"/>
          <w:szCs w:val="20"/>
        </w:rPr>
      </w:pPr>
      <w:hyperlink w:anchor="TOC" w:history="1">
        <w:r>
          <w:rPr>
            <w:rStyle w:val="a4"/>
            <w:sz w:val="20"/>
            <w:szCs w:val="20"/>
          </w:rPr>
          <w:t>Table of Contents</w:t>
        </w:r>
      </w:hyperlink>
    </w:p>
    <w:p w14:paraId="769C7A7D" w14:textId="77777777" w:rsidR="00000000" w:rsidRDefault="00097612">
      <w:pPr>
        <w:pStyle w:val="a3"/>
        <w:spacing w:before="0" w:beforeAutospacing="0" w:after="0" w:afterAutospacing="0"/>
        <w:divId w:val="308022163"/>
        <w:rPr>
          <w:sz w:val="20"/>
          <w:szCs w:val="20"/>
        </w:rPr>
      </w:pPr>
      <w:r>
        <w:rPr>
          <w:sz w:val="20"/>
          <w:szCs w:val="20"/>
        </w:rPr>
        <w:t>September 30, 2019, we recognized $1.2</w:t>
      </w:r>
      <w:r>
        <w:rPr>
          <w:color w:val="FF0000"/>
          <w:sz w:val="20"/>
          <w:szCs w:val="20"/>
        </w:rPr>
        <w:t xml:space="preserve"> </w:t>
      </w:r>
      <w:r>
        <w:rPr>
          <w:sz w:val="20"/>
          <w:szCs w:val="20"/>
        </w:rPr>
        <w:t>million and $1.9 million of share-based compensation expense and cash bonus expense, respectively, related to the second tranche of these awards. The maximum remaining share-based compensation expense and cash bonus expense associated with the second tranc</w:t>
      </w:r>
      <w:r>
        <w:rPr>
          <w:sz w:val="20"/>
          <w:szCs w:val="20"/>
        </w:rPr>
        <w:t>he is $1.1</w:t>
      </w:r>
      <w:r>
        <w:rPr>
          <w:color w:val="FF0000"/>
          <w:sz w:val="20"/>
          <w:szCs w:val="20"/>
        </w:rPr>
        <w:t> </w:t>
      </w:r>
      <w:r>
        <w:rPr>
          <w:sz w:val="20"/>
          <w:szCs w:val="20"/>
        </w:rPr>
        <w:t>million and $1.3 million, respectively.</w:t>
      </w:r>
    </w:p>
    <w:p w14:paraId="6C13FCC0" w14:textId="77777777" w:rsidR="00000000" w:rsidRDefault="00097612">
      <w:pPr>
        <w:pStyle w:val="a3"/>
        <w:spacing w:before="0" w:beforeAutospacing="0" w:after="0" w:afterAutospacing="0"/>
        <w:divId w:val="308022163"/>
        <w:rPr>
          <w:sz w:val="20"/>
          <w:szCs w:val="20"/>
        </w:rPr>
      </w:pPr>
      <w:r>
        <w:rPr>
          <w:sz w:val="20"/>
          <w:szCs w:val="20"/>
        </w:rPr>
        <w:t>​</w:t>
      </w:r>
    </w:p>
    <w:p w14:paraId="55D44EF4" w14:textId="77777777" w:rsidR="00000000" w:rsidRDefault="00097612">
      <w:pPr>
        <w:pStyle w:val="a3"/>
        <w:spacing w:before="0" w:beforeAutospacing="0" w:after="0" w:afterAutospacing="0"/>
        <w:ind w:firstLine="720"/>
        <w:divId w:val="308022163"/>
        <w:rPr>
          <w:sz w:val="20"/>
          <w:szCs w:val="20"/>
        </w:rPr>
      </w:pPr>
      <w:r>
        <w:rPr>
          <w:sz w:val="20"/>
          <w:szCs w:val="20"/>
        </w:rPr>
        <w:t>The maximum potential remaining expense associated with the third tranche of this program is $12.8 million related to share-based compensation expense and $15.7 million related to cash bonus expense, whi</w:t>
      </w:r>
      <w:r>
        <w:rPr>
          <w:sz w:val="20"/>
          <w:szCs w:val="20"/>
        </w:rPr>
        <w:t xml:space="preserve">ch would be recognized in increments based on achievement of the performance conditions. </w:t>
      </w:r>
      <w:r>
        <w:rPr>
          <w:rFonts w:ascii="Times" w:hAnsi="Times"/>
          <w:sz w:val="20"/>
          <w:szCs w:val="20"/>
          <w:shd w:val="clear" w:color="auto" w:fill="FFFFFF"/>
        </w:rPr>
        <w:t>We determined that the remaining third tranche was not probable of vesting and, as a result, no compensation expense related to this tranche has been recognized to dat</w:t>
      </w:r>
      <w:r>
        <w:rPr>
          <w:rFonts w:ascii="Times" w:hAnsi="Times"/>
          <w:sz w:val="20"/>
          <w:szCs w:val="20"/>
          <w:shd w:val="clear" w:color="auto" w:fill="FFFFFF"/>
        </w:rPr>
        <w:t>e.</w:t>
      </w:r>
    </w:p>
    <w:p w14:paraId="4CE5D48F" w14:textId="77777777" w:rsidR="00000000" w:rsidRDefault="00097612">
      <w:pPr>
        <w:pStyle w:val="a3"/>
        <w:spacing w:before="0" w:beforeAutospacing="0" w:after="0" w:afterAutospacing="0"/>
        <w:ind w:firstLine="720"/>
        <w:divId w:val="308022163"/>
        <w:rPr>
          <w:sz w:val="20"/>
          <w:szCs w:val="20"/>
        </w:rPr>
      </w:pPr>
      <w:r>
        <w:rPr>
          <w:rFonts w:ascii="Times" w:hAnsi="Times"/>
          <w:sz w:val="20"/>
          <w:szCs w:val="20"/>
          <w:shd w:val="clear" w:color="auto" w:fill="FFFFFF"/>
        </w:rPr>
        <w:t>​</w:t>
      </w:r>
    </w:p>
    <w:p w14:paraId="28185DB3" w14:textId="77777777" w:rsidR="00000000" w:rsidRDefault="00097612">
      <w:pPr>
        <w:pStyle w:val="a3"/>
        <w:spacing w:before="0" w:beforeAutospacing="0" w:after="0" w:afterAutospacing="0"/>
        <w:ind w:firstLine="720"/>
        <w:divId w:val="308022163"/>
        <w:rPr>
          <w:sz w:val="20"/>
          <w:szCs w:val="20"/>
        </w:rPr>
      </w:pPr>
      <w:r>
        <w:rPr>
          <w:sz w:val="20"/>
          <w:szCs w:val="20"/>
        </w:rPr>
        <w:t>In the fourth quarter of 2018, we granted 3,000 performance-contingent RSUs to an employee. These RSUs expire by December 31, 2020 and have a maximum share-based compensation expense of $75,000 which will be recognized when its single performance mile</w:t>
      </w:r>
      <w:r>
        <w:rPr>
          <w:sz w:val="20"/>
          <w:szCs w:val="20"/>
        </w:rPr>
        <w:t>stone is deemed to be probable of achievement.</w:t>
      </w:r>
    </w:p>
    <w:p w14:paraId="49CF5725" w14:textId="77777777" w:rsidR="00000000" w:rsidRDefault="00097612">
      <w:pPr>
        <w:pStyle w:val="a3"/>
        <w:spacing w:before="0" w:beforeAutospacing="0" w:after="0" w:afterAutospacing="0"/>
        <w:ind w:firstLine="720"/>
        <w:divId w:val="308022163"/>
        <w:rPr>
          <w:sz w:val="20"/>
          <w:szCs w:val="20"/>
        </w:rPr>
      </w:pPr>
      <w:r>
        <w:rPr>
          <w:sz w:val="20"/>
          <w:szCs w:val="20"/>
        </w:rPr>
        <w:t>​</w:t>
      </w:r>
    </w:p>
    <w:p w14:paraId="324F0C58" w14:textId="77777777" w:rsidR="00000000" w:rsidRDefault="00097612">
      <w:pPr>
        <w:pStyle w:val="a3"/>
        <w:spacing w:before="0" w:beforeAutospacing="0" w:after="0" w:afterAutospacing="0"/>
        <w:ind w:firstLine="720"/>
        <w:divId w:val="308022163"/>
        <w:rPr>
          <w:sz w:val="20"/>
          <w:szCs w:val="20"/>
        </w:rPr>
      </w:pPr>
      <w:r>
        <w:rPr>
          <w:sz w:val="20"/>
          <w:szCs w:val="20"/>
        </w:rPr>
        <w:t xml:space="preserve">In the first quarter of 2019, we granted 60,000 performance-contingent RSUs to an employee. These RSUs have dual triggers of vesting based upon the achievement of certain performance milestones in specified </w:t>
      </w:r>
      <w:r>
        <w:rPr>
          <w:sz w:val="20"/>
          <w:szCs w:val="20"/>
        </w:rPr>
        <w:t>timeframes, as well as a requirement for continued employment. The compensation expense related to these awards is broken into two separate performance milestones and recognized when the associated performance milestones are deemed to be probable of achiev</w:t>
      </w:r>
      <w:r>
        <w:rPr>
          <w:sz w:val="20"/>
          <w:szCs w:val="20"/>
        </w:rPr>
        <w:t>ement. The maximum share-based compensation expense associated with the 60,000 performance-contingent RSUs’ first and second performance milestones are $0.8 million each for a total of $1.6 million, and the RSUs expire by December 31, 2021. In the third qu</w:t>
      </w:r>
      <w:r>
        <w:rPr>
          <w:sz w:val="20"/>
          <w:szCs w:val="20"/>
        </w:rPr>
        <w:t>arter of 2019, we determined that a portion of the performance milestone associated with the first tranche was probable of achievement and recognized $0.3 million of share-based compensation expense. We determined that the second tranche was not probable a</w:t>
      </w:r>
      <w:r>
        <w:rPr>
          <w:sz w:val="20"/>
          <w:szCs w:val="20"/>
        </w:rPr>
        <w:t>s of September 30, 2019, and, as a result, no compensation expense related to these RSUs has been recognized to date.</w:t>
      </w:r>
      <w:r>
        <w:rPr>
          <w:sz w:val="20"/>
          <w:szCs w:val="20"/>
        </w:rPr>
        <w:t xml:space="preserve"> </w:t>
      </w:r>
    </w:p>
    <w:p w14:paraId="1D996702" w14:textId="77777777" w:rsidR="00000000" w:rsidRDefault="00097612">
      <w:pPr>
        <w:pStyle w:val="a3"/>
        <w:spacing w:before="0" w:beforeAutospacing="0" w:after="0" w:afterAutospacing="0"/>
        <w:ind w:firstLine="720"/>
        <w:divId w:val="308022163"/>
        <w:rPr>
          <w:sz w:val="20"/>
          <w:szCs w:val="20"/>
        </w:rPr>
      </w:pPr>
      <w:r>
        <w:rPr>
          <w:sz w:val="20"/>
          <w:szCs w:val="20"/>
        </w:rPr>
        <w:t>​</w:t>
      </w:r>
    </w:p>
    <w:p w14:paraId="211185CE" w14:textId="77777777" w:rsidR="00000000" w:rsidRDefault="00097612">
      <w:pPr>
        <w:pStyle w:val="a3"/>
        <w:spacing w:before="0" w:beforeAutospacing="0" w:after="0" w:afterAutospacing="0"/>
        <w:ind w:firstLine="720"/>
        <w:divId w:val="308022163"/>
        <w:rPr>
          <w:sz w:val="20"/>
          <w:szCs w:val="20"/>
        </w:rPr>
      </w:pPr>
      <w:r>
        <w:rPr>
          <w:sz w:val="20"/>
          <w:szCs w:val="20"/>
        </w:rPr>
        <w:t>In the third quarter of 2019, we granted 60,000 performance-contingent RSUs to an employee. These RSUs have dual triggers of vesting ba</w:t>
      </w:r>
      <w:r>
        <w:rPr>
          <w:sz w:val="20"/>
          <w:szCs w:val="20"/>
        </w:rPr>
        <w:t>sed upon the achievement of certain performance milestones in specified timeframes, as well as a requirement for continued employment. The compensation expense related to these RSUs is broken into three separate performance milestones and will be recognize</w:t>
      </w:r>
      <w:r>
        <w:rPr>
          <w:sz w:val="20"/>
          <w:szCs w:val="20"/>
        </w:rPr>
        <w:t>d when the associated performance milestones are deemed to be probable of achievement. The maximum share-based compensation expense associated with the 60,000 performance-contingent RSUs’ three performance milestones are approximately $0.3 million each for</w:t>
      </w:r>
      <w:r>
        <w:rPr>
          <w:sz w:val="20"/>
          <w:szCs w:val="20"/>
        </w:rPr>
        <w:t xml:space="preserve"> a total of $1.0 million. The 60,000 performance-contingent RSUs expire by June 30, 2022. As of September 30, 2019, we determined that the performance milestones were not probable of achievement and, as a result, no compensation expense related to these RS</w:t>
      </w:r>
      <w:r>
        <w:rPr>
          <w:sz w:val="20"/>
          <w:szCs w:val="20"/>
        </w:rPr>
        <w:t>Us has been recognized to date.</w:t>
      </w:r>
    </w:p>
    <w:p w14:paraId="3846EDA7" w14:textId="77777777" w:rsidR="00000000" w:rsidRDefault="00097612">
      <w:pPr>
        <w:pStyle w:val="a3"/>
        <w:spacing w:before="0" w:beforeAutospacing="0" w:after="0" w:afterAutospacing="0"/>
        <w:divId w:val="308022163"/>
        <w:rPr>
          <w:sz w:val="20"/>
          <w:szCs w:val="20"/>
        </w:rPr>
      </w:pPr>
      <w:r>
        <w:rPr>
          <w:sz w:val="20"/>
          <w:szCs w:val="20"/>
        </w:rPr>
        <w:t>​</w:t>
      </w:r>
    </w:p>
    <w:p w14:paraId="1417F3E4" w14:textId="77777777" w:rsidR="00000000" w:rsidRDefault="00097612">
      <w:pPr>
        <w:pStyle w:val="a3"/>
        <w:spacing w:before="0" w:beforeAutospacing="0" w:after="0" w:afterAutospacing="0"/>
        <w:divId w:val="308022163"/>
        <w:rPr>
          <w:sz w:val="20"/>
          <w:szCs w:val="20"/>
        </w:rPr>
      </w:pPr>
      <w:r>
        <w:rPr>
          <w:b/>
          <w:bCs/>
          <w:i/>
          <w:iCs/>
          <w:sz w:val="20"/>
          <w:szCs w:val="20"/>
        </w:rPr>
        <w:t>Equity Compensation Plans</w:t>
      </w:r>
    </w:p>
    <w:p w14:paraId="75F42B98" w14:textId="77777777" w:rsidR="00000000" w:rsidRDefault="00097612">
      <w:pPr>
        <w:pStyle w:val="a3"/>
        <w:spacing w:before="0" w:beforeAutospacing="0" w:after="0" w:afterAutospacing="0"/>
        <w:divId w:val="308022163"/>
        <w:rPr>
          <w:sz w:val="20"/>
          <w:szCs w:val="20"/>
        </w:rPr>
      </w:pPr>
      <w:r>
        <w:rPr>
          <w:b/>
          <w:bCs/>
          <w:i/>
          <w:iCs/>
          <w:sz w:val="10"/>
          <w:szCs w:val="10"/>
        </w:rPr>
        <w:t>​</w:t>
      </w:r>
    </w:p>
    <w:p w14:paraId="33396825" w14:textId="77777777" w:rsidR="00000000" w:rsidRDefault="00097612">
      <w:pPr>
        <w:pStyle w:val="a3"/>
        <w:spacing w:before="0" w:beforeAutospacing="0" w:after="0" w:afterAutospacing="0"/>
        <w:ind w:firstLine="720"/>
        <w:divId w:val="308022163"/>
        <w:rPr>
          <w:sz w:val="20"/>
          <w:szCs w:val="20"/>
        </w:rPr>
      </w:pPr>
      <w:r>
        <w:rPr>
          <w:sz w:val="20"/>
          <w:szCs w:val="20"/>
        </w:rPr>
        <w:t>We have three equity compensation plans — our 2013 Equity Incentive Plan (the “2013 EIP”), our 2013 Employee Share Purchase Plan (the “2013 ESPP”), and our 2014 New Employee Equity Incentive Pla</w:t>
      </w:r>
      <w:r>
        <w:rPr>
          <w:sz w:val="20"/>
          <w:szCs w:val="20"/>
        </w:rPr>
        <w:t>n (the “2014 NEEIP”). As of December 31, 2018, (i) 5,324,287 securities remained available for future issuance under our shareholder approved equity compensation plans, consisting of 3,642,602 ordinary shares available under the 2013 EIP and 1,681,685 ordi</w:t>
      </w:r>
      <w:r>
        <w:rPr>
          <w:sz w:val="20"/>
          <w:szCs w:val="20"/>
        </w:rPr>
        <w:t>nary shares available under the 2013 ESPP, and (ii) 132,415 securities remained available for future issuance under the 2014 NEEIP, an equity compensation plan not approved by shareholders.</w:t>
      </w:r>
    </w:p>
    <w:p w14:paraId="3C5D2C15" w14:textId="77777777" w:rsidR="00000000" w:rsidRDefault="00097612">
      <w:pPr>
        <w:pStyle w:val="a3"/>
        <w:spacing w:before="0" w:beforeAutospacing="0" w:after="0" w:afterAutospacing="0"/>
        <w:divId w:val="308022163"/>
        <w:rPr>
          <w:sz w:val="20"/>
          <w:szCs w:val="20"/>
        </w:rPr>
      </w:pPr>
      <w:r>
        <w:rPr>
          <w:sz w:val="20"/>
          <w:szCs w:val="20"/>
        </w:rPr>
        <w:t>​</w:t>
      </w:r>
    </w:p>
    <w:p w14:paraId="5D70F6E5" w14:textId="77777777" w:rsidR="00000000" w:rsidRDefault="00097612">
      <w:pPr>
        <w:pStyle w:val="a3"/>
        <w:spacing w:before="0" w:beforeAutospacing="0" w:after="0" w:afterAutospacing="0"/>
        <w:divId w:val="308022163"/>
        <w:rPr>
          <w:sz w:val="20"/>
          <w:szCs w:val="20"/>
        </w:rPr>
      </w:pPr>
      <w:r>
        <w:rPr>
          <w:b/>
          <w:bCs/>
          <w:i/>
          <w:iCs/>
          <w:sz w:val="20"/>
          <w:szCs w:val="20"/>
        </w:rPr>
        <w:t>Off-Balance Sheet Arrangements</w:t>
      </w:r>
    </w:p>
    <w:p w14:paraId="51BCA427" w14:textId="77777777" w:rsidR="00000000" w:rsidRDefault="00097612">
      <w:pPr>
        <w:pStyle w:val="a3"/>
        <w:spacing w:before="0" w:beforeAutospacing="0" w:after="0" w:afterAutospacing="0"/>
        <w:divId w:val="308022163"/>
        <w:rPr>
          <w:sz w:val="20"/>
          <w:szCs w:val="20"/>
        </w:rPr>
      </w:pPr>
      <w:r>
        <w:rPr>
          <w:sz w:val="10"/>
          <w:szCs w:val="10"/>
        </w:rPr>
        <w:t>​</w:t>
      </w:r>
    </w:p>
    <w:p w14:paraId="4CF25AC3" w14:textId="77777777" w:rsidR="00000000" w:rsidRDefault="00097612">
      <w:pPr>
        <w:pStyle w:val="a3"/>
        <w:spacing w:before="0" w:beforeAutospacing="0" w:after="0" w:afterAutospacing="0"/>
        <w:ind w:firstLine="720"/>
        <w:divId w:val="308022163"/>
        <w:rPr>
          <w:sz w:val="20"/>
          <w:szCs w:val="20"/>
        </w:rPr>
      </w:pPr>
      <w:r>
        <w:rPr>
          <w:sz w:val="20"/>
          <w:szCs w:val="20"/>
        </w:rPr>
        <w:t>There have been no material cha</w:t>
      </w:r>
      <w:r>
        <w:rPr>
          <w:sz w:val="20"/>
          <w:szCs w:val="20"/>
        </w:rPr>
        <w:t>nges in our off-balance sheet arrangements from those set forth in our Annual Report on Form 10-K for the year ended December 31, 2018, filed with the SEC on February 28, 2019.</w:t>
      </w:r>
    </w:p>
    <w:p w14:paraId="0890C894" w14:textId="77777777" w:rsidR="00000000" w:rsidRDefault="00097612">
      <w:pPr>
        <w:pStyle w:val="a3"/>
        <w:spacing w:before="0" w:beforeAutospacing="0" w:after="0" w:afterAutospacing="0"/>
        <w:divId w:val="308022163"/>
        <w:rPr>
          <w:sz w:val="20"/>
          <w:szCs w:val="20"/>
        </w:rPr>
      </w:pPr>
      <w:r>
        <w:rPr>
          <w:sz w:val="20"/>
          <w:szCs w:val="20"/>
        </w:rPr>
        <w:t>​</w:t>
      </w:r>
    </w:p>
    <w:p w14:paraId="356B9229" w14:textId="77777777" w:rsidR="00000000" w:rsidRDefault="00097612">
      <w:pPr>
        <w:pStyle w:val="a3"/>
        <w:spacing w:before="0" w:beforeAutospacing="0" w:after="0" w:afterAutospacing="0"/>
        <w:divId w:val="308022163"/>
        <w:rPr>
          <w:sz w:val="20"/>
          <w:szCs w:val="20"/>
        </w:rPr>
      </w:pPr>
      <w:r>
        <w:rPr>
          <w:b/>
          <w:bCs/>
          <w:i/>
          <w:iCs/>
          <w:sz w:val="20"/>
          <w:szCs w:val="20"/>
        </w:rPr>
        <w:t>Contractual Obligations and Commercial Commitments</w:t>
      </w:r>
    </w:p>
    <w:p w14:paraId="7AD2F1CD" w14:textId="77777777" w:rsidR="00000000" w:rsidRDefault="00097612">
      <w:pPr>
        <w:pStyle w:val="a3"/>
        <w:spacing w:before="0" w:beforeAutospacing="0" w:after="0" w:afterAutospacing="0"/>
        <w:divId w:val="308022163"/>
        <w:rPr>
          <w:sz w:val="20"/>
          <w:szCs w:val="20"/>
        </w:rPr>
      </w:pPr>
      <w:r>
        <w:rPr>
          <w:sz w:val="10"/>
          <w:szCs w:val="10"/>
        </w:rPr>
        <w:t>​</w:t>
      </w:r>
    </w:p>
    <w:p w14:paraId="09934D8C" w14:textId="77777777" w:rsidR="00000000" w:rsidRDefault="00097612">
      <w:pPr>
        <w:pStyle w:val="a3"/>
        <w:spacing w:before="0" w:beforeAutospacing="0" w:after="0" w:afterAutospacing="0"/>
        <w:ind w:firstLine="720"/>
        <w:divId w:val="308022163"/>
        <w:rPr>
          <w:sz w:val="20"/>
          <w:szCs w:val="20"/>
        </w:rPr>
      </w:pPr>
      <w:r>
        <w:rPr>
          <w:sz w:val="20"/>
          <w:szCs w:val="20"/>
        </w:rPr>
        <w:t>There have been no mater</w:t>
      </w:r>
      <w:r>
        <w:rPr>
          <w:sz w:val="20"/>
          <w:szCs w:val="20"/>
        </w:rPr>
        <w:t xml:space="preserve">ial changes in our contractual obligations and commercial commitments from those set forth in our Annual Report on Form 10-K for the year ended December 31, 2018, filed with the SEC on February 28, 2019. </w:t>
      </w:r>
    </w:p>
    <w:p w14:paraId="7312A1F0" w14:textId="77777777" w:rsidR="00000000" w:rsidRDefault="00097612">
      <w:pPr>
        <w:pStyle w:val="a3"/>
        <w:spacing w:before="0" w:beforeAutospacing="0" w:after="0" w:afterAutospacing="0"/>
        <w:divId w:val="308022163"/>
        <w:rPr>
          <w:sz w:val="20"/>
          <w:szCs w:val="20"/>
        </w:rPr>
      </w:pPr>
      <w:r>
        <w:rPr>
          <w:sz w:val="20"/>
          <w:szCs w:val="20"/>
        </w:rPr>
        <w:t>​</w:t>
      </w:r>
    </w:p>
    <w:p w14:paraId="2CDB693A" w14:textId="77777777" w:rsidR="00000000" w:rsidRDefault="00097612">
      <w:pPr>
        <w:pStyle w:val="a3"/>
        <w:spacing w:before="0" w:beforeAutospacing="0" w:after="0" w:afterAutospacing="0"/>
        <w:divId w:val="308022163"/>
        <w:rPr>
          <w:sz w:val="20"/>
          <w:szCs w:val="20"/>
        </w:rPr>
      </w:pPr>
      <w:r>
        <w:rPr>
          <w:b/>
          <w:bCs/>
          <w:sz w:val="20"/>
          <w:szCs w:val="20"/>
        </w:rPr>
        <w:t>ITEM 3.   QUANTITATIVE AND QUALITATIVE DISCLOSURE</w:t>
      </w:r>
      <w:r>
        <w:rPr>
          <w:b/>
          <w:bCs/>
          <w:sz w:val="20"/>
          <w:szCs w:val="20"/>
        </w:rPr>
        <w:t>S ABOUT MARKET RISK</w:t>
      </w:r>
    </w:p>
    <w:p w14:paraId="7860A56B" w14:textId="77777777" w:rsidR="00000000" w:rsidRDefault="00097612">
      <w:pPr>
        <w:pStyle w:val="a3"/>
        <w:spacing w:before="0" w:beforeAutospacing="0" w:after="0" w:afterAutospacing="0"/>
        <w:divId w:val="308022163"/>
        <w:rPr>
          <w:sz w:val="20"/>
          <w:szCs w:val="20"/>
        </w:rPr>
      </w:pPr>
      <w:r>
        <w:rPr>
          <w:sz w:val="20"/>
          <w:szCs w:val="20"/>
        </w:rPr>
        <w:t>​</w:t>
      </w:r>
    </w:p>
    <w:p w14:paraId="2EB6E16C" w14:textId="77777777" w:rsidR="00000000" w:rsidRDefault="00097612">
      <w:pPr>
        <w:pStyle w:val="a3"/>
        <w:spacing w:before="0" w:beforeAutospacing="0" w:after="0" w:afterAutospacing="0"/>
        <w:ind w:firstLine="720"/>
        <w:divId w:val="308022163"/>
        <w:rPr>
          <w:sz w:val="20"/>
          <w:szCs w:val="20"/>
        </w:rPr>
      </w:pPr>
      <w:r>
        <w:rPr>
          <w:sz w:val="20"/>
          <w:szCs w:val="20"/>
        </w:rPr>
        <w:t>Our market risks, as of September 30, 2019, have not changed materially from those discussed in Item 7A of our Annual Report on Form 10-K for the year ended December 31, 2018, filed with the SEC on February 28, 2019.</w:t>
      </w:r>
    </w:p>
    <w:p w14:paraId="38F2C746" w14:textId="77777777" w:rsidR="00000000" w:rsidRDefault="00097612">
      <w:pPr>
        <w:pStyle w:val="a3"/>
        <w:spacing w:before="360" w:beforeAutospacing="0" w:after="0" w:afterAutospacing="0"/>
        <w:jc w:val="center"/>
        <w:divId w:val="79371825"/>
        <w:rPr>
          <w:sz w:val="20"/>
          <w:szCs w:val="20"/>
        </w:rPr>
      </w:pPr>
      <w:r>
        <w:rPr>
          <w:sz w:val="20"/>
          <w:szCs w:val="20"/>
        </w:rPr>
        <w:t>34</w:t>
      </w:r>
    </w:p>
    <w:p w14:paraId="54D39681" w14:textId="77777777" w:rsidR="00000000" w:rsidRDefault="00097612">
      <w:pPr>
        <w:pStyle w:val="a3"/>
        <w:spacing w:before="0" w:beforeAutospacing="0" w:after="600" w:afterAutospacing="0"/>
        <w:divId w:val="463624380"/>
        <w:rPr>
          <w:sz w:val="20"/>
          <w:szCs w:val="20"/>
        </w:rPr>
      </w:pPr>
      <w:hyperlink w:anchor="TOC" w:history="1">
        <w:r>
          <w:rPr>
            <w:rStyle w:val="a4"/>
            <w:sz w:val="20"/>
            <w:szCs w:val="20"/>
          </w:rPr>
          <w:t>Table of C</w:t>
        </w:r>
        <w:r>
          <w:rPr>
            <w:rStyle w:val="a4"/>
            <w:sz w:val="20"/>
            <w:szCs w:val="20"/>
          </w:rPr>
          <w:t>ontents</w:t>
        </w:r>
      </w:hyperlink>
    </w:p>
    <w:p w14:paraId="5441B70B" w14:textId="77777777" w:rsidR="00000000" w:rsidRDefault="00097612">
      <w:pPr>
        <w:pStyle w:val="a3"/>
        <w:spacing w:before="0" w:beforeAutospacing="0" w:after="0" w:afterAutospacing="0"/>
        <w:divId w:val="1178613370"/>
        <w:rPr>
          <w:sz w:val="20"/>
          <w:szCs w:val="20"/>
        </w:rPr>
      </w:pPr>
      <w:r>
        <w:rPr>
          <w:sz w:val="20"/>
          <w:szCs w:val="20"/>
        </w:rPr>
        <w:t>​</w:t>
      </w:r>
    </w:p>
    <w:p w14:paraId="7817F536" w14:textId="77777777" w:rsidR="00000000" w:rsidRDefault="00097612">
      <w:pPr>
        <w:pStyle w:val="a3"/>
        <w:spacing w:before="0" w:beforeAutospacing="0" w:after="0" w:afterAutospacing="0"/>
        <w:divId w:val="1178613370"/>
        <w:rPr>
          <w:sz w:val="20"/>
          <w:szCs w:val="20"/>
        </w:rPr>
      </w:pPr>
      <w:r>
        <w:rPr>
          <w:b/>
          <w:bCs/>
          <w:sz w:val="20"/>
          <w:szCs w:val="20"/>
        </w:rPr>
        <w:t>ITEM 4.   CONTROLS AND PROCEDURES</w:t>
      </w:r>
    </w:p>
    <w:p w14:paraId="4A271F1D" w14:textId="77777777" w:rsidR="00000000" w:rsidRDefault="00097612">
      <w:pPr>
        <w:pStyle w:val="a3"/>
        <w:spacing w:before="0" w:beforeAutospacing="0" w:after="0" w:afterAutospacing="0"/>
        <w:divId w:val="1178613370"/>
        <w:rPr>
          <w:sz w:val="20"/>
          <w:szCs w:val="20"/>
        </w:rPr>
      </w:pPr>
      <w:r>
        <w:rPr>
          <w:sz w:val="20"/>
          <w:szCs w:val="20"/>
        </w:rPr>
        <w:t>​</w:t>
      </w:r>
    </w:p>
    <w:p w14:paraId="59E1772C" w14:textId="77777777" w:rsidR="00000000" w:rsidRDefault="00097612">
      <w:pPr>
        <w:pStyle w:val="a3"/>
        <w:spacing w:before="0" w:beforeAutospacing="0" w:after="0" w:afterAutospacing="0"/>
        <w:divId w:val="1178613370"/>
        <w:rPr>
          <w:sz w:val="20"/>
          <w:szCs w:val="20"/>
        </w:rPr>
      </w:pPr>
      <w:r>
        <w:rPr>
          <w:b/>
          <w:bCs/>
          <w:i/>
          <w:iCs/>
          <w:sz w:val="20"/>
          <w:szCs w:val="20"/>
        </w:rPr>
        <w:t>Evaluation of Disclosure Controls and Procedures</w:t>
      </w:r>
    </w:p>
    <w:p w14:paraId="39A5B272" w14:textId="77777777" w:rsidR="00000000" w:rsidRDefault="00097612">
      <w:pPr>
        <w:pStyle w:val="a3"/>
        <w:spacing w:before="0" w:beforeAutospacing="0" w:after="0" w:afterAutospacing="0"/>
        <w:divId w:val="1178613370"/>
        <w:rPr>
          <w:sz w:val="20"/>
          <w:szCs w:val="20"/>
        </w:rPr>
      </w:pPr>
      <w:r>
        <w:rPr>
          <w:sz w:val="10"/>
          <w:szCs w:val="10"/>
        </w:rPr>
        <w:t>​</w:t>
      </w:r>
    </w:p>
    <w:p w14:paraId="24BB82A0" w14:textId="77777777" w:rsidR="00000000" w:rsidRDefault="00097612">
      <w:pPr>
        <w:pStyle w:val="a3"/>
        <w:spacing w:before="0" w:beforeAutospacing="0" w:after="0" w:afterAutospacing="0"/>
        <w:ind w:firstLine="720"/>
        <w:divId w:val="1178613370"/>
        <w:rPr>
          <w:sz w:val="20"/>
          <w:szCs w:val="20"/>
        </w:rPr>
      </w:pPr>
      <w:r>
        <w:rPr>
          <w:sz w:val="20"/>
          <w:szCs w:val="20"/>
        </w:rPr>
        <w:t>We conducted an evaluation required by paragraph (d) of Rule 13a-15 of the Exchange Act as of September 30, 2019, under the supervision and with the participat</w:t>
      </w:r>
      <w:r>
        <w:rPr>
          <w:sz w:val="20"/>
          <w:szCs w:val="20"/>
        </w:rPr>
        <w:t>ion of our management, including our Chief Executive Officer and Chief Financial Officer, of the effectiveness of the design and operation of our disclosure controls and procedures (as defined under Rule 13a-15(e) of the Exchange Act), which are controls a</w:t>
      </w:r>
      <w:r>
        <w:rPr>
          <w:sz w:val="20"/>
          <w:szCs w:val="20"/>
        </w:rPr>
        <w:t>nd other procedures of a company that are designed to ensure that information required to be disclosed by a company in the reports that it files under the Exchange Act is recorded, processed, summarized and reported within required time periods. Based upon</w:t>
      </w:r>
      <w:r>
        <w:rPr>
          <w:sz w:val="20"/>
          <w:szCs w:val="20"/>
        </w:rPr>
        <w:t xml:space="preserve"> that evaluation, our Chief Executive Officer and Chief Financial Officer concluded that, as of such date, our disclosure controls and procedures were effective at the reasonable assurance level.</w:t>
      </w:r>
    </w:p>
    <w:p w14:paraId="488F0B57" w14:textId="77777777" w:rsidR="00000000" w:rsidRDefault="00097612">
      <w:pPr>
        <w:pStyle w:val="a3"/>
        <w:spacing w:before="0" w:beforeAutospacing="0" w:after="0" w:afterAutospacing="0"/>
        <w:divId w:val="1178613370"/>
        <w:rPr>
          <w:sz w:val="20"/>
          <w:szCs w:val="20"/>
        </w:rPr>
      </w:pPr>
      <w:r>
        <w:rPr>
          <w:sz w:val="20"/>
          <w:szCs w:val="20"/>
        </w:rPr>
        <w:t>​</w:t>
      </w:r>
    </w:p>
    <w:p w14:paraId="32B2F2EE" w14:textId="77777777" w:rsidR="00000000" w:rsidRDefault="00097612">
      <w:pPr>
        <w:pStyle w:val="a3"/>
        <w:spacing w:before="0" w:beforeAutospacing="0" w:after="0" w:afterAutospacing="0"/>
        <w:divId w:val="1178613370"/>
        <w:rPr>
          <w:sz w:val="20"/>
          <w:szCs w:val="20"/>
        </w:rPr>
      </w:pPr>
      <w:r>
        <w:rPr>
          <w:b/>
          <w:bCs/>
          <w:i/>
          <w:iCs/>
          <w:sz w:val="20"/>
          <w:szCs w:val="20"/>
        </w:rPr>
        <w:t>Limitations on the Effectiveness of Controls</w:t>
      </w:r>
    </w:p>
    <w:p w14:paraId="161E64A3" w14:textId="77777777" w:rsidR="00000000" w:rsidRDefault="00097612">
      <w:pPr>
        <w:pStyle w:val="a3"/>
        <w:spacing w:before="0" w:beforeAutospacing="0" w:after="0" w:afterAutospacing="0"/>
        <w:divId w:val="1178613370"/>
        <w:rPr>
          <w:sz w:val="20"/>
          <w:szCs w:val="20"/>
        </w:rPr>
      </w:pPr>
      <w:r>
        <w:rPr>
          <w:sz w:val="10"/>
          <w:szCs w:val="10"/>
        </w:rPr>
        <w:t>​</w:t>
      </w:r>
    </w:p>
    <w:p w14:paraId="27078254" w14:textId="77777777" w:rsidR="00000000" w:rsidRDefault="00097612">
      <w:pPr>
        <w:pStyle w:val="a3"/>
        <w:spacing w:before="0" w:beforeAutospacing="0" w:after="0" w:afterAutospacing="0"/>
        <w:ind w:firstLine="720"/>
        <w:divId w:val="1178613370"/>
        <w:rPr>
          <w:sz w:val="20"/>
          <w:szCs w:val="20"/>
        </w:rPr>
      </w:pPr>
      <w:r>
        <w:rPr>
          <w:sz w:val="20"/>
          <w:szCs w:val="20"/>
        </w:rPr>
        <w:t>Our managem</w:t>
      </w:r>
      <w:r>
        <w:rPr>
          <w:sz w:val="20"/>
          <w:szCs w:val="20"/>
        </w:rPr>
        <w:t xml:space="preserve">ent, including our Chief Executive Officer and Chief Financial Officer, does not expect that our disclosure controls and procedures or our internal control over financial reporting will prevent all error and all fraud. A control system, no matter how well </w:t>
      </w:r>
      <w:r>
        <w:rPr>
          <w:sz w:val="20"/>
          <w:szCs w:val="20"/>
        </w:rPr>
        <w:t>conceived and operated, can provide only reasonable, not absolute, assurance that the objectives of the control system are met. Further, the design of a control system must reflect the fact that there are resource constraints, and the benefit of controls m</w:t>
      </w:r>
      <w:r>
        <w:rPr>
          <w:sz w:val="20"/>
          <w:szCs w:val="20"/>
        </w:rPr>
        <w:t>ust be considered relative to their costs. Because of the inherent limitations in all control systems, no evaluation of controls can provide absolute assurance that all control issues and instances of fraud, if any, within Theravance Biopharma have been de</w:t>
      </w:r>
      <w:r>
        <w:rPr>
          <w:sz w:val="20"/>
          <w:szCs w:val="20"/>
        </w:rPr>
        <w:t>tected. Also, projections of any evaluation of effectiveness to future periods are subject to the risk that controls may become inadequate because of changes in conditions, or that the degree of compliance with the policies or procedures may deteriorate.</w:t>
      </w:r>
    </w:p>
    <w:p w14:paraId="661FA46F" w14:textId="77777777" w:rsidR="00000000" w:rsidRDefault="00097612">
      <w:pPr>
        <w:pStyle w:val="a3"/>
        <w:spacing w:before="0" w:beforeAutospacing="0" w:after="0" w:afterAutospacing="0"/>
        <w:divId w:val="1178613370"/>
        <w:rPr>
          <w:sz w:val="20"/>
          <w:szCs w:val="20"/>
        </w:rPr>
      </w:pPr>
      <w:r>
        <w:rPr>
          <w:sz w:val="20"/>
          <w:szCs w:val="20"/>
        </w:rPr>
        <w:t>​</w:t>
      </w:r>
    </w:p>
    <w:p w14:paraId="66F420F2" w14:textId="77777777" w:rsidR="00000000" w:rsidRDefault="00097612">
      <w:pPr>
        <w:pStyle w:val="a3"/>
        <w:spacing w:before="0" w:beforeAutospacing="0" w:after="0" w:afterAutospacing="0"/>
        <w:divId w:val="1178613370"/>
        <w:rPr>
          <w:sz w:val="20"/>
          <w:szCs w:val="20"/>
        </w:rPr>
      </w:pPr>
      <w:r>
        <w:rPr>
          <w:b/>
          <w:bCs/>
          <w:i/>
          <w:iCs/>
          <w:sz w:val="20"/>
          <w:szCs w:val="20"/>
        </w:rPr>
        <w:t>Changes in Internal Control over Financial Reporting</w:t>
      </w:r>
    </w:p>
    <w:p w14:paraId="3EA0CFF6" w14:textId="77777777" w:rsidR="00000000" w:rsidRDefault="00097612">
      <w:pPr>
        <w:pStyle w:val="a3"/>
        <w:spacing w:before="0" w:beforeAutospacing="0" w:after="0" w:afterAutospacing="0"/>
        <w:divId w:val="1178613370"/>
        <w:rPr>
          <w:sz w:val="20"/>
          <w:szCs w:val="20"/>
        </w:rPr>
      </w:pPr>
      <w:r>
        <w:rPr>
          <w:sz w:val="10"/>
          <w:szCs w:val="10"/>
        </w:rPr>
        <w:t>​</w:t>
      </w:r>
    </w:p>
    <w:p w14:paraId="3A56E75C" w14:textId="77777777" w:rsidR="00000000" w:rsidRDefault="00097612">
      <w:pPr>
        <w:pStyle w:val="a3"/>
        <w:spacing w:before="0" w:beforeAutospacing="0" w:after="0" w:afterAutospacing="0"/>
        <w:ind w:firstLine="720"/>
        <w:divId w:val="1178613370"/>
        <w:rPr>
          <w:sz w:val="20"/>
          <w:szCs w:val="20"/>
        </w:rPr>
      </w:pPr>
      <w:r>
        <w:rPr>
          <w:sz w:val="20"/>
          <w:szCs w:val="20"/>
        </w:rPr>
        <w:t>There was no change in our internal control over financial reporting (as defined in Rule 13a-15(f) of the Exchange Act) identified in connection with the evaluation required by paragraph (d) of Rule 1</w:t>
      </w:r>
      <w:r>
        <w:rPr>
          <w:sz w:val="20"/>
          <w:szCs w:val="20"/>
        </w:rPr>
        <w:t>3a-15 of the Exchange Act, which occurred during the third quarter of the year ending December 31, 2019 which has materially affected, or is reasonably likely to materially affect, our internal control over financial reporting.</w:t>
      </w:r>
    </w:p>
    <w:p w14:paraId="32F689D7" w14:textId="77777777" w:rsidR="00000000" w:rsidRDefault="00097612">
      <w:pPr>
        <w:pStyle w:val="a3"/>
        <w:spacing w:before="0" w:beforeAutospacing="0" w:after="0" w:afterAutospacing="0"/>
        <w:ind w:firstLine="720"/>
        <w:divId w:val="1178613370"/>
        <w:rPr>
          <w:sz w:val="20"/>
          <w:szCs w:val="20"/>
        </w:rPr>
      </w:pPr>
      <w:r>
        <w:rPr>
          <w:sz w:val="20"/>
          <w:szCs w:val="20"/>
        </w:rPr>
        <w:t>​</w:t>
      </w:r>
    </w:p>
    <w:p w14:paraId="3712D9A5" w14:textId="77777777" w:rsidR="00000000" w:rsidRDefault="00097612">
      <w:pPr>
        <w:pStyle w:val="a3"/>
        <w:spacing w:before="0" w:beforeAutospacing="0" w:after="0" w:afterAutospacing="0"/>
        <w:divId w:val="1178613370"/>
        <w:rPr>
          <w:sz w:val="20"/>
          <w:szCs w:val="20"/>
        </w:rPr>
      </w:pPr>
      <w:r>
        <w:rPr>
          <w:b/>
          <w:bCs/>
          <w:sz w:val="20"/>
          <w:szCs w:val="20"/>
        </w:rPr>
        <w:t>PART II.  OTHER INFORMATIO</w:t>
      </w:r>
      <w:r>
        <w:rPr>
          <w:b/>
          <w:bCs/>
          <w:sz w:val="20"/>
          <w:szCs w:val="20"/>
        </w:rPr>
        <w:t>N</w:t>
      </w:r>
    </w:p>
    <w:p w14:paraId="69344EEE" w14:textId="77777777" w:rsidR="00000000" w:rsidRDefault="00097612">
      <w:pPr>
        <w:pStyle w:val="a3"/>
        <w:spacing w:before="0" w:beforeAutospacing="0" w:after="0" w:afterAutospacing="0"/>
        <w:divId w:val="1178613370"/>
        <w:rPr>
          <w:sz w:val="20"/>
          <w:szCs w:val="20"/>
        </w:rPr>
      </w:pPr>
      <w:r>
        <w:rPr>
          <w:sz w:val="20"/>
          <w:szCs w:val="20"/>
        </w:rPr>
        <w:t>​</w:t>
      </w:r>
    </w:p>
    <w:p w14:paraId="16C4DEF3" w14:textId="77777777" w:rsidR="00000000" w:rsidRDefault="00097612">
      <w:pPr>
        <w:pStyle w:val="a3"/>
        <w:spacing w:before="0" w:beforeAutospacing="0" w:after="0" w:afterAutospacing="0"/>
        <w:divId w:val="1178613370"/>
        <w:rPr>
          <w:sz w:val="20"/>
          <w:szCs w:val="20"/>
        </w:rPr>
      </w:pPr>
      <w:r>
        <w:rPr>
          <w:b/>
          <w:bCs/>
          <w:sz w:val="20"/>
          <w:szCs w:val="20"/>
        </w:rPr>
        <w:t xml:space="preserve">ITEM 1.   LEGAL PROCEEDINGS </w:t>
      </w:r>
    </w:p>
    <w:p w14:paraId="19A9C5A1" w14:textId="77777777" w:rsidR="00000000" w:rsidRDefault="00097612">
      <w:pPr>
        <w:pStyle w:val="a3"/>
        <w:spacing w:before="0" w:beforeAutospacing="0" w:after="0" w:afterAutospacing="0"/>
        <w:divId w:val="1178613370"/>
        <w:rPr>
          <w:sz w:val="20"/>
          <w:szCs w:val="20"/>
        </w:rPr>
      </w:pPr>
      <w:r>
        <w:rPr>
          <w:sz w:val="20"/>
          <w:szCs w:val="20"/>
        </w:rPr>
        <w:t>​</w:t>
      </w:r>
    </w:p>
    <w:p w14:paraId="210F718E" w14:textId="77777777" w:rsidR="00000000" w:rsidRDefault="00097612">
      <w:pPr>
        <w:pStyle w:val="a3"/>
        <w:spacing w:before="0" w:beforeAutospacing="0" w:after="0" w:afterAutospacing="0"/>
        <w:ind w:firstLine="720"/>
        <w:divId w:val="1178613370"/>
        <w:rPr>
          <w:sz w:val="20"/>
          <w:szCs w:val="20"/>
        </w:rPr>
      </w:pPr>
      <w:r>
        <w:rPr>
          <w:sz w:val="20"/>
          <w:szCs w:val="20"/>
        </w:rPr>
        <w:t>We are entitled to receive an 85% economic interest in any future payments that may be made by GSK to Theravance Respiratory Company, LLC (“TRC”) pursuant to its agreements with Innoviva (net of TRC expenses paid and the amount of cash, if any, expected to</w:t>
      </w:r>
      <w:r>
        <w:rPr>
          <w:sz w:val="20"/>
          <w:szCs w:val="20"/>
        </w:rPr>
        <w:t xml:space="preserve"> be used in TRC over the next four fiscal quarters) relating to the GSK-Partnered Respiratory Programs, which Innoviva partnered with GSK and assigned to TRC in connection with Innoviva’s separation of its biopharmaceutical operations into its then wholly-</w:t>
      </w:r>
      <w:r>
        <w:rPr>
          <w:sz w:val="20"/>
          <w:szCs w:val="20"/>
        </w:rPr>
        <w:t>owned subsidiary Theravance Biopharma in June 2014. The GSK-Partnered Respiratory Programs consist primarily of the TRELEGY ELLIPTA program and the inhaled Bifunctional Muscarinic Antagonist-Beta2 Agonist (“MABA”) program, each of which are described in mo</w:t>
      </w:r>
      <w:r>
        <w:rPr>
          <w:sz w:val="20"/>
          <w:szCs w:val="20"/>
        </w:rPr>
        <w:t xml:space="preserve">re detail above. We are entitled to this economic interest through our equity ownership in TRC. </w:t>
      </w:r>
    </w:p>
    <w:p w14:paraId="688413AC" w14:textId="77777777" w:rsidR="00000000" w:rsidRDefault="00097612">
      <w:pPr>
        <w:pStyle w:val="a3"/>
        <w:spacing w:before="0" w:beforeAutospacing="0" w:after="0" w:afterAutospacing="0"/>
        <w:ind w:firstLine="720"/>
        <w:divId w:val="1178613370"/>
        <w:rPr>
          <w:sz w:val="20"/>
          <w:szCs w:val="20"/>
        </w:rPr>
      </w:pPr>
      <w:r>
        <w:rPr>
          <w:sz w:val="20"/>
          <w:szCs w:val="20"/>
        </w:rPr>
        <w:t>​</w:t>
      </w:r>
    </w:p>
    <w:p w14:paraId="2DF3AB71" w14:textId="77777777" w:rsidR="00000000" w:rsidRDefault="00097612">
      <w:pPr>
        <w:pStyle w:val="a3"/>
        <w:spacing w:before="0" w:beforeAutospacing="0" w:after="0" w:afterAutospacing="0"/>
        <w:ind w:firstLine="720"/>
        <w:divId w:val="1178613370"/>
        <w:rPr>
          <w:sz w:val="20"/>
          <w:szCs w:val="20"/>
        </w:rPr>
      </w:pPr>
      <w:r>
        <w:rPr>
          <w:sz w:val="20"/>
          <w:szCs w:val="20"/>
        </w:rPr>
        <w:t>In May 2019, the Company announced that it had initiated an arbitration against Innoviva and TRC because Innoviva, as manager of TRC, had caused TRC to withhold certain distributions owed to the Company with respect to the Company’s 85% economic interest i</w:t>
      </w:r>
      <w:r>
        <w:rPr>
          <w:sz w:val="20"/>
          <w:szCs w:val="20"/>
        </w:rPr>
        <w:t>n TRC since the quarter ended December 31, 2018, and Innoviva’s previous statement to the Company that it intended to prevent TRC from making cash distributions during 2019. The arbitration hearing commenced on July 23, 2019.</w:t>
      </w:r>
      <w:r>
        <w:rPr>
          <w:sz w:val="20"/>
          <w:szCs w:val="20"/>
        </w:rPr>
        <w:t xml:space="preserve"> </w:t>
      </w:r>
      <w:r>
        <w:rPr>
          <w:sz w:val="20"/>
          <w:szCs w:val="20"/>
        </w:rPr>
        <w:t>After initiation of the arbitr</w:t>
      </w:r>
      <w:r>
        <w:rPr>
          <w:sz w:val="20"/>
          <w:szCs w:val="20"/>
        </w:rPr>
        <w:t>ation and prior to the final decision being issued, in the third quarter of 2019 Innoviva caused TRC to make a partial distribution of funds due and owing to the Company of $10.6 million. This distribution represented a portion of the Company’s share of th</w:t>
      </w:r>
      <w:r>
        <w:rPr>
          <w:sz w:val="20"/>
          <w:szCs w:val="20"/>
        </w:rPr>
        <w:t>e royalty payments received by TRC from GSK for sales of TRELEGY ELLIPTA from the fourth quarter of 2018 through the second quarter of 2019.</w:t>
      </w:r>
      <w:r>
        <w:rPr>
          <w:sz w:val="20"/>
          <w:szCs w:val="20"/>
        </w:rPr>
        <w:t xml:space="preserve"> </w:t>
      </w:r>
    </w:p>
    <w:p w14:paraId="7804CE7C" w14:textId="77777777" w:rsidR="00000000" w:rsidRDefault="00097612">
      <w:pPr>
        <w:pStyle w:val="a3"/>
        <w:spacing w:before="0" w:beforeAutospacing="0" w:after="0" w:afterAutospacing="0"/>
        <w:divId w:val="1178613370"/>
        <w:rPr>
          <w:sz w:val="20"/>
          <w:szCs w:val="20"/>
        </w:rPr>
      </w:pPr>
      <w:r>
        <w:rPr>
          <w:sz w:val="20"/>
          <w:szCs w:val="20"/>
        </w:rPr>
        <w:t>​</w:t>
      </w:r>
    </w:p>
    <w:p w14:paraId="6B727357" w14:textId="77777777" w:rsidR="00000000" w:rsidRDefault="00097612">
      <w:pPr>
        <w:pStyle w:val="a3"/>
        <w:spacing w:before="360" w:beforeAutospacing="0" w:after="0" w:afterAutospacing="0"/>
        <w:jc w:val="center"/>
        <w:divId w:val="1949315807"/>
        <w:rPr>
          <w:sz w:val="20"/>
          <w:szCs w:val="20"/>
        </w:rPr>
      </w:pPr>
      <w:r>
        <w:rPr>
          <w:sz w:val="20"/>
          <w:szCs w:val="20"/>
        </w:rPr>
        <w:t>35</w:t>
      </w:r>
    </w:p>
    <w:p w14:paraId="20BFBA08" w14:textId="77777777" w:rsidR="00000000" w:rsidRDefault="00097612">
      <w:pPr>
        <w:pStyle w:val="a3"/>
        <w:spacing w:before="0" w:beforeAutospacing="0" w:after="600" w:afterAutospacing="0"/>
        <w:divId w:val="133790764"/>
        <w:rPr>
          <w:sz w:val="20"/>
          <w:szCs w:val="20"/>
        </w:rPr>
      </w:pPr>
      <w:hyperlink w:anchor="TOC" w:history="1">
        <w:r>
          <w:rPr>
            <w:rStyle w:val="a4"/>
            <w:sz w:val="20"/>
            <w:szCs w:val="20"/>
          </w:rPr>
          <w:t>Table of Contents</w:t>
        </w:r>
      </w:hyperlink>
    </w:p>
    <w:p w14:paraId="76508E42" w14:textId="77777777" w:rsidR="00000000" w:rsidRDefault="00097612">
      <w:pPr>
        <w:pStyle w:val="a3"/>
        <w:spacing w:before="0" w:beforeAutospacing="0" w:after="0" w:afterAutospacing="0"/>
        <w:divId w:val="2027519326"/>
        <w:rPr>
          <w:sz w:val="20"/>
          <w:szCs w:val="20"/>
        </w:rPr>
      </w:pPr>
      <w:r>
        <w:rPr>
          <w:sz w:val="20"/>
          <w:szCs w:val="20"/>
        </w:rPr>
        <w:t>In September 2019, the arbitrator issued a final decision. The ar</w:t>
      </w:r>
      <w:r>
        <w:rPr>
          <w:sz w:val="20"/>
          <w:szCs w:val="20"/>
        </w:rPr>
        <w:t>bitrator ruled that, while Innoviva breached the TRC LLC Agreement by failing to provide quarterly financial plans to the Company as required, the withholding of funds by Innoviva with respect to certain TRELEGY ELLIPTA development and commercialization in</w:t>
      </w:r>
      <w:r>
        <w:rPr>
          <w:sz w:val="20"/>
          <w:szCs w:val="20"/>
        </w:rPr>
        <w:t>itiatives proposed by Innoviva was not in breach of the TRC LLC Agreement. The arbitrator also found that Innoviva had not breached its fiduciary duties to the Company. The arbitrator awarded injunctive relief to give more certainty to future dealings betw</w:t>
      </w:r>
      <w:r>
        <w:rPr>
          <w:sz w:val="20"/>
          <w:szCs w:val="20"/>
        </w:rPr>
        <w:t>een the parties and to clarify certain terms of the TRC LLC Agreement, and imposed additional obligations on Innoviva to obtain the consent of GSK for any proposed investment of TRC funds that requires the consent of GSK under the collaboration agreement d</w:t>
      </w:r>
      <w:r>
        <w:rPr>
          <w:sz w:val="20"/>
          <w:szCs w:val="20"/>
        </w:rPr>
        <w:t>ated November 14, 2002, as amended. Under the arbitrator’s ruling, Innoviva is currently permitted to continue to withhold $8.0 million of TRC funds for certain TRELEGY ELLIPTA development and commercialization initiatives proposed by Innoviva. These initi</w:t>
      </w:r>
      <w:r>
        <w:rPr>
          <w:sz w:val="20"/>
          <w:szCs w:val="20"/>
        </w:rPr>
        <w:t>atives must be presented to GSK in the fourth quarter of 2019 and they cannot be implemented without GSK’s approval, which approval must be obtained no later than during the first quarter of 2020. To the extent GSK’s approval is not received, the Company e</w:t>
      </w:r>
      <w:r>
        <w:rPr>
          <w:sz w:val="20"/>
          <w:szCs w:val="20"/>
        </w:rPr>
        <w:t xml:space="preserve">xpects distribution to the TRC members of the withheld funds. To the extent the initiatives are timely approved by GSK and proceed, TRC may withhold additional amounts in subsequent quarters through to the completion of these initiatives. </w:t>
      </w:r>
    </w:p>
    <w:p w14:paraId="0B6E7384" w14:textId="77777777" w:rsidR="00000000" w:rsidRDefault="00097612">
      <w:pPr>
        <w:pStyle w:val="a3"/>
        <w:spacing w:before="0" w:beforeAutospacing="0" w:after="0" w:afterAutospacing="0"/>
        <w:divId w:val="2027519326"/>
        <w:rPr>
          <w:sz w:val="20"/>
          <w:szCs w:val="20"/>
        </w:rPr>
      </w:pPr>
      <w:r>
        <w:rPr>
          <w:sz w:val="20"/>
          <w:szCs w:val="20"/>
        </w:rPr>
        <w:t>​</w:t>
      </w:r>
    </w:p>
    <w:p w14:paraId="2752340B" w14:textId="77777777" w:rsidR="00000000" w:rsidRDefault="00097612">
      <w:pPr>
        <w:pStyle w:val="a3"/>
        <w:spacing w:before="0" w:beforeAutospacing="0" w:after="0" w:afterAutospacing="0"/>
        <w:divId w:val="2027519326"/>
        <w:rPr>
          <w:sz w:val="20"/>
          <w:szCs w:val="20"/>
        </w:rPr>
      </w:pPr>
      <w:r>
        <w:rPr>
          <w:b/>
          <w:bCs/>
          <w:sz w:val="20"/>
          <w:szCs w:val="20"/>
        </w:rPr>
        <w:t>ITEM 1A.  RISK</w:t>
      </w:r>
      <w:r>
        <w:rPr>
          <w:b/>
          <w:bCs/>
          <w:sz w:val="20"/>
          <w:szCs w:val="20"/>
        </w:rPr>
        <w:t xml:space="preserve"> FACTORS </w:t>
      </w:r>
    </w:p>
    <w:p w14:paraId="17A36077" w14:textId="77777777" w:rsidR="00000000" w:rsidRDefault="00097612">
      <w:pPr>
        <w:pStyle w:val="a3"/>
        <w:spacing w:before="0" w:beforeAutospacing="0" w:after="0" w:afterAutospacing="0"/>
        <w:divId w:val="2027519326"/>
        <w:rPr>
          <w:sz w:val="20"/>
          <w:szCs w:val="20"/>
        </w:rPr>
      </w:pPr>
      <w:r>
        <w:rPr>
          <w:sz w:val="20"/>
          <w:szCs w:val="20"/>
        </w:rPr>
        <w:t>​</w:t>
      </w:r>
    </w:p>
    <w:p w14:paraId="71B8803B" w14:textId="77777777" w:rsidR="00000000" w:rsidRDefault="00097612">
      <w:pPr>
        <w:pStyle w:val="a3"/>
        <w:spacing w:before="0" w:beforeAutospacing="0" w:after="0" w:afterAutospacing="0"/>
        <w:divId w:val="2027519326"/>
        <w:rPr>
          <w:sz w:val="20"/>
          <w:szCs w:val="20"/>
        </w:rPr>
      </w:pPr>
      <w:r>
        <w:rPr>
          <w:b/>
          <w:bCs/>
          <w:sz w:val="20"/>
          <w:szCs w:val="20"/>
        </w:rPr>
        <w:t xml:space="preserve">RISKS RELATING TO THE COMPANY </w:t>
      </w:r>
    </w:p>
    <w:p w14:paraId="4E1C50D1" w14:textId="77777777" w:rsidR="00000000" w:rsidRDefault="00097612">
      <w:pPr>
        <w:pStyle w:val="a3"/>
        <w:spacing w:before="0" w:beforeAutospacing="0" w:after="0" w:afterAutospacing="0"/>
        <w:divId w:val="2027519326"/>
        <w:rPr>
          <w:sz w:val="20"/>
          <w:szCs w:val="20"/>
        </w:rPr>
      </w:pPr>
      <w:r>
        <w:rPr>
          <w:b/>
          <w:bCs/>
          <w:sz w:val="20"/>
          <w:szCs w:val="20"/>
        </w:rPr>
        <w:t>​</w:t>
      </w:r>
    </w:p>
    <w:p w14:paraId="2F5545A8" w14:textId="77777777" w:rsidR="00000000" w:rsidRDefault="00097612">
      <w:pPr>
        <w:pStyle w:val="a3"/>
        <w:spacing w:before="0" w:beforeAutospacing="0" w:after="0" w:afterAutospacing="0"/>
        <w:ind w:firstLine="720"/>
        <w:divId w:val="2027519326"/>
        <w:rPr>
          <w:sz w:val="20"/>
          <w:szCs w:val="20"/>
        </w:rPr>
      </w:pPr>
      <w:r>
        <w:rPr>
          <w:sz w:val="20"/>
          <w:szCs w:val="20"/>
        </w:rPr>
        <w:t>The risks described below and elsewhere in the Annual Report for the year ended December 31, 2018 on Form 10-K and in our other public filings with the SEC are not the only risks facing the Company. Additional r</w:t>
      </w:r>
      <w:r>
        <w:rPr>
          <w:sz w:val="20"/>
          <w:szCs w:val="20"/>
        </w:rPr>
        <w:t>isks and uncertainties not currently known to us or that we currently deem to be immaterial also may materially adversely affect our business, financial condition and/or operating results.</w:t>
      </w:r>
    </w:p>
    <w:p w14:paraId="755E0ECD" w14:textId="77777777" w:rsidR="00000000" w:rsidRDefault="00097612">
      <w:pPr>
        <w:pStyle w:val="a3"/>
        <w:spacing w:before="0" w:beforeAutospacing="0" w:after="0" w:afterAutospacing="0"/>
        <w:divId w:val="2027519326"/>
        <w:rPr>
          <w:sz w:val="20"/>
          <w:szCs w:val="20"/>
        </w:rPr>
      </w:pPr>
      <w:r>
        <w:rPr>
          <w:sz w:val="20"/>
          <w:szCs w:val="20"/>
        </w:rPr>
        <w:t>​</w:t>
      </w:r>
    </w:p>
    <w:p w14:paraId="346AC755" w14:textId="77777777" w:rsidR="00000000" w:rsidRDefault="00097612">
      <w:pPr>
        <w:pStyle w:val="a3"/>
        <w:spacing w:before="0" w:beforeAutospacing="0" w:after="120" w:afterAutospacing="0"/>
        <w:divId w:val="2027519326"/>
        <w:rPr>
          <w:b/>
          <w:bCs/>
          <w:i/>
          <w:iCs/>
          <w:sz w:val="20"/>
          <w:szCs w:val="20"/>
        </w:rPr>
      </w:pPr>
      <w:r>
        <w:rPr>
          <w:b/>
          <w:bCs/>
          <w:i/>
          <w:iCs/>
          <w:sz w:val="20"/>
          <w:szCs w:val="20"/>
        </w:rPr>
        <w:t>We anticipate that we will incur losses for the foreseeable futur</w:t>
      </w:r>
      <w:r>
        <w:rPr>
          <w:b/>
          <w:bCs/>
          <w:i/>
          <w:iCs/>
          <w:sz w:val="20"/>
          <w:szCs w:val="20"/>
        </w:rPr>
        <w:t>e. We may never achieve or sustain profitability.</w:t>
      </w:r>
    </w:p>
    <w:p w14:paraId="7F6DE144" w14:textId="77777777" w:rsidR="00000000" w:rsidRDefault="00097612">
      <w:pPr>
        <w:pStyle w:val="a3"/>
        <w:spacing w:before="0" w:beforeAutospacing="0" w:after="0" w:afterAutospacing="0"/>
        <w:ind w:firstLine="720"/>
        <w:divId w:val="2027519326"/>
        <w:rPr>
          <w:sz w:val="20"/>
          <w:szCs w:val="20"/>
        </w:rPr>
      </w:pPr>
      <w:r>
        <w:rPr>
          <w:sz w:val="20"/>
          <w:szCs w:val="20"/>
        </w:rPr>
        <w:t>First as part of Innoviva, Inc., and since June 2, 2014 as Theravance Biopharma, we have been engaged in discovery and development of compounds and product candidates since mid-1997. We may never generate s</w:t>
      </w:r>
      <w:r>
        <w:rPr>
          <w:sz w:val="20"/>
          <w:szCs w:val="20"/>
        </w:rPr>
        <w:t>ufficient revenue from the sale of medicines, royalties on sales by our partners or from our interest in Theravance Respiratory Company, LLC (“TRC”) to achieve profitability. During the three and nine months ended September 30, 2019 and years ended Decembe</w:t>
      </w:r>
      <w:r>
        <w:rPr>
          <w:sz w:val="20"/>
          <w:szCs w:val="20"/>
        </w:rPr>
        <w:t>r 31, 2018 and 2017, we recognized net losses of $58.4 million, $170.8 million, $215.5 million and $285.4 million, respectively, which are reflected in the shareholders’ (deficit) equity on our consolidated balance sheets. We reflect cumulative net loss in</w:t>
      </w:r>
      <w:r>
        <w:rPr>
          <w:sz w:val="20"/>
          <w:szCs w:val="20"/>
        </w:rPr>
        <w:t>curred after June 2, 2014, the effective date of our spin-off from Innoviva, Inc. (the “Spin-Off”), as accumulated deficit on our consolidated balance sheets, which was $1.2 billion as of September 30, 2019. We expect to continue to incur net losses at lea</w:t>
      </w:r>
      <w:r>
        <w:rPr>
          <w:sz w:val="20"/>
          <w:szCs w:val="20"/>
        </w:rPr>
        <w:t>st over the next several years as we continue our drug discovery and development efforts and incur significant preclinical and clinical development costs related to our current product candidates and commercialization and development costs relating to YUPE</w:t>
      </w:r>
      <w:r>
        <w:rPr>
          <w:sz w:val="20"/>
          <w:szCs w:val="20"/>
        </w:rPr>
        <w:t>LRI. In particular, to the extent we continue to advance our product candidates into and through additional clinical studies, we will incur substantial expenses. For example: we initiated a Phase 2b/3 induction and maintenance study of TD-1473 in ulcerativ</w:t>
      </w:r>
      <w:r>
        <w:rPr>
          <w:sz w:val="20"/>
          <w:szCs w:val="20"/>
        </w:rPr>
        <w:t>e colitis, we initiated a Phase 2 induction study of TD-1473 in Crohn’s disease; and we have progressed ampreloxetine (TD-9855) into a Phase 3 registrational program. The expenses associated with these clinical studies are very significant. We will incur c</w:t>
      </w:r>
      <w:r>
        <w:rPr>
          <w:sz w:val="20"/>
          <w:szCs w:val="20"/>
        </w:rPr>
        <w:t>osts and expenses associated with our co-promotion agreement with Mylan for commercialization of YUPELRI in the US, including the maintenance of an independent sales and marketing organization with appropriate technical expertise, a medical affairs presenc</w:t>
      </w:r>
      <w:r>
        <w:rPr>
          <w:sz w:val="20"/>
          <w:szCs w:val="20"/>
        </w:rPr>
        <w:t>e and consultant support, and post-marketing studies. In late 2018 we sold our VIBATIV product, and therefore will not recognize revenue from future product sales, other than through royalties from sales by Cumberland Pharmaceuticals Inc. (“Cumberland”), t</w:t>
      </w:r>
      <w:r>
        <w:rPr>
          <w:sz w:val="20"/>
          <w:szCs w:val="20"/>
        </w:rPr>
        <w:t>he purchaser of the product. Our commitment of resources to the continued development of our existing product candidates, our discovery programs, and YUPELRI will require significant additional funding. Our operating expenses also will increase if, among o</w:t>
      </w:r>
      <w:r>
        <w:rPr>
          <w:sz w:val="20"/>
          <w:szCs w:val="20"/>
        </w:rPr>
        <w:t>ther things:</w:t>
      </w:r>
    </w:p>
    <w:p w14:paraId="3567E24B" w14:textId="77777777" w:rsidR="00000000" w:rsidRDefault="00097612">
      <w:pPr>
        <w:pStyle w:val="a3"/>
        <w:spacing w:before="0" w:beforeAutospacing="0" w:after="0" w:afterAutospacing="0"/>
        <w:divId w:val="202751932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8893AA6" w14:textId="77777777">
        <w:trPr>
          <w:divId w:val="2027519326"/>
        </w:trPr>
        <w:tc>
          <w:tcPr>
            <w:tcW w:w="720" w:type="dxa"/>
            <w:vAlign w:val="center"/>
            <w:hideMark/>
          </w:tcPr>
          <w:p w14:paraId="6D6122FF" w14:textId="77777777" w:rsidR="00000000" w:rsidRDefault="00097612">
            <w:pPr>
              <w:rPr>
                <w:sz w:val="20"/>
                <w:szCs w:val="20"/>
              </w:rPr>
            </w:pPr>
          </w:p>
        </w:tc>
        <w:tc>
          <w:tcPr>
            <w:tcW w:w="360" w:type="dxa"/>
            <w:noWrap/>
            <w:tcMar>
              <w:top w:w="0" w:type="dxa"/>
              <w:left w:w="0" w:type="dxa"/>
              <w:bottom w:w="0" w:type="dxa"/>
              <w:right w:w="0" w:type="dxa"/>
            </w:tcMar>
            <w:hideMark/>
          </w:tcPr>
          <w:p w14:paraId="428882FA"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A1591DB" w14:textId="77777777" w:rsidR="00000000" w:rsidRDefault="00097612">
            <w:pPr>
              <w:rPr>
                <w:rFonts w:ascii="Times" w:eastAsia="Times New Roman" w:hAnsi="Times"/>
                <w:sz w:val="20"/>
                <w:szCs w:val="20"/>
              </w:rPr>
            </w:pPr>
            <w:r>
              <w:rPr>
                <w:rFonts w:ascii="Times" w:eastAsia="Times New Roman" w:hAnsi="Times"/>
                <w:color w:val="000000"/>
                <w:sz w:val="20"/>
                <w:szCs w:val="20"/>
              </w:rPr>
              <w:t>our earlier stage potential products move into later-stage clinical development, which is generally more expensive than early stage development;</w:t>
            </w:r>
            <w:r>
              <w:rPr>
                <w:rFonts w:ascii="Times" w:eastAsia="Times New Roman" w:hAnsi="Times"/>
                <w:color w:val="000000"/>
                <w:sz w:val="20"/>
                <w:szCs w:val="20"/>
              </w:rPr>
              <w:t xml:space="preserve"> </w:t>
            </w:r>
          </w:p>
        </w:tc>
      </w:tr>
    </w:tbl>
    <w:p w14:paraId="439BE612" w14:textId="77777777" w:rsidR="00000000" w:rsidRDefault="00097612">
      <w:pPr>
        <w:divId w:val="202751932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97841C9" w14:textId="77777777">
        <w:trPr>
          <w:divId w:val="2027519326"/>
        </w:trPr>
        <w:tc>
          <w:tcPr>
            <w:tcW w:w="720" w:type="dxa"/>
            <w:vAlign w:val="center"/>
            <w:hideMark/>
          </w:tcPr>
          <w:p w14:paraId="4ED60C71" w14:textId="77777777" w:rsidR="00000000" w:rsidRDefault="00097612">
            <w:pPr>
              <w:rPr>
                <w:rFonts w:eastAsia="Times New Roman"/>
              </w:rPr>
            </w:pPr>
          </w:p>
        </w:tc>
        <w:tc>
          <w:tcPr>
            <w:tcW w:w="360" w:type="dxa"/>
            <w:noWrap/>
            <w:tcMar>
              <w:top w:w="0" w:type="dxa"/>
              <w:left w:w="0" w:type="dxa"/>
              <w:bottom w:w="0" w:type="dxa"/>
              <w:right w:w="0" w:type="dxa"/>
            </w:tcMar>
            <w:hideMark/>
          </w:tcPr>
          <w:p w14:paraId="04A824F8"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19EF05F"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additional preclinical product candidates are selected for clinical development;</w:t>
            </w:r>
            <w:r>
              <w:rPr>
                <w:rFonts w:ascii="Times" w:eastAsia="Times New Roman" w:hAnsi="Times"/>
                <w:color w:val="000000"/>
                <w:sz w:val="20"/>
                <w:szCs w:val="20"/>
              </w:rPr>
              <w:t xml:space="preserve"> </w:t>
            </w:r>
          </w:p>
        </w:tc>
      </w:tr>
    </w:tbl>
    <w:p w14:paraId="65806441" w14:textId="77777777" w:rsidR="00000000" w:rsidRDefault="00097612">
      <w:pPr>
        <w:divId w:val="202751932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02D3D08" w14:textId="77777777">
        <w:trPr>
          <w:divId w:val="2027519326"/>
        </w:trPr>
        <w:tc>
          <w:tcPr>
            <w:tcW w:w="720" w:type="dxa"/>
            <w:vAlign w:val="center"/>
            <w:hideMark/>
          </w:tcPr>
          <w:p w14:paraId="09930036" w14:textId="77777777" w:rsidR="00000000" w:rsidRDefault="00097612">
            <w:pPr>
              <w:rPr>
                <w:rFonts w:eastAsia="Times New Roman"/>
              </w:rPr>
            </w:pPr>
          </w:p>
        </w:tc>
        <w:tc>
          <w:tcPr>
            <w:tcW w:w="360" w:type="dxa"/>
            <w:noWrap/>
            <w:tcMar>
              <w:top w:w="0" w:type="dxa"/>
              <w:left w:w="0" w:type="dxa"/>
              <w:bottom w:w="0" w:type="dxa"/>
              <w:right w:w="0" w:type="dxa"/>
            </w:tcMar>
            <w:hideMark/>
          </w:tcPr>
          <w:p w14:paraId="677BCEFD"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3C0A2AB"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we pursue clinical development of our potential or current products in new indications;</w:t>
            </w:r>
            <w:r>
              <w:rPr>
                <w:rFonts w:ascii="Times" w:eastAsia="Times New Roman" w:hAnsi="Times"/>
                <w:color w:val="000000"/>
                <w:sz w:val="20"/>
                <w:szCs w:val="20"/>
              </w:rPr>
              <w:t xml:space="preserve"> </w:t>
            </w:r>
          </w:p>
        </w:tc>
      </w:tr>
    </w:tbl>
    <w:p w14:paraId="428B3D9D" w14:textId="77777777" w:rsidR="00000000" w:rsidRDefault="00097612">
      <w:pPr>
        <w:pStyle w:val="a3"/>
        <w:spacing w:before="360" w:beforeAutospacing="0" w:after="0" w:afterAutospacing="0"/>
        <w:jc w:val="center"/>
        <w:divId w:val="755781429"/>
        <w:rPr>
          <w:sz w:val="20"/>
          <w:szCs w:val="20"/>
        </w:rPr>
      </w:pPr>
      <w:r>
        <w:rPr>
          <w:sz w:val="20"/>
          <w:szCs w:val="20"/>
        </w:rPr>
        <w:t>36</w:t>
      </w:r>
    </w:p>
    <w:p w14:paraId="72C7847A" w14:textId="77777777" w:rsidR="00000000" w:rsidRDefault="00097612">
      <w:pPr>
        <w:pStyle w:val="a3"/>
        <w:spacing w:before="0" w:beforeAutospacing="0" w:after="600" w:afterAutospacing="0"/>
        <w:divId w:val="2133161124"/>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9081FBB" w14:textId="77777777">
        <w:trPr>
          <w:divId w:val="754715842"/>
        </w:trPr>
        <w:tc>
          <w:tcPr>
            <w:tcW w:w="720" w:type="dxa"/>
            <w:vAlign w:val="center"/>
            <w:hideMark/>
          </w:tcPr>
          <w:p w14:paraId="6B32315B" w14:textId="77777777" w:rsidR="00000000" w:rsidRDefault="00097612">
            <w:pPr>
              <w:rPr>
                <w:sz w:val="20"/>
                <w:szCs w:val="20"/>
              </w:rPr>
            </w:pPr>
          </w:p>
        </w:tc>
        <w:tc>
          <w:tcPr>
            <w:tcW w:w="360" w:type="dxa"/>
            <w:noWrap/>
            <w:tcMar>
              <w:top w:w="0" w:type="dxa"/>
              <w:left w:w="0" w:type="dxa"/>
              <w:bottom w:w="0" w:type="dxa"/>
              <w:right w:w="0" w:type="dxa"/>
            </w:tcMar>
            <w:hideMark/>
          </w:tcPr>
          <w:p w14:paraId="7F9C65C4"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DF91E32"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we increase the number of pat</w:t>
            </w:r>
            <w:r>
              <w:rPr>
                <w:rFonts w:ascii="Times" w:eastAsia="Times New Roman" w:hAnsi="Times"/>
                <w:color w:val="000000"/>
                <w:sz w:val="20"/>
                <w:szCs w:val="20"/>
              </w:rPr>
              <w:t>ents we are prosecuting or otherwise expend additional resources on patent prosecution or defense; or</w:t>
            </w:r>
            <w:r>
              <w:rPr>
                <w:rFonts w:ascii="Times" w:eastAsia="Times New Roman" w:hAnsi="Times"/>
                <w:color w:val="000000"/>
                <w:sz w:val="20"/>
                <w:szCs w:val="20"/>
              </w:rPr>
              <w:t xml:space="preserve"> </w:t>
            </w:r>
          </w:p>
        </w:tc>
      </w:tr>
    </w:tbl>
    <w:p w14:paraId="57B63248" w14:textId="77777777" w:rsidR="00000000" w:rsidRDefault="00097612">
      <w:pPr>
        <w:divId w:val="7547158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BD281BB" w14:textId="77777777">
        <w:trPr>
          <w:divId w:val="754715842"/>
        </w:trPr>
        <w:tc>
          <w:tcPr>
            <w:tcW w:w="720" w:type="dxa"/>
            <w:vAlign w:val="center"/>
            <w:hideMark/>
          </w:tcPr>
          <w:p w14:paraId="03B3DCD6" w14:textId="77777777" w:rsidR="00000000" w:rsidRDefault="00097612">
            <w:pPr>
              <w:rPr>
                <w:rFonts w:eastAsia="Times New Roman"/>
              </w:rPr>
            </w:pPr>
          </w:p>
        </w:tc>
        <w:tc>
          <w:tcPr>
            <w:tcW w:w="360" w:type="dxa"/>
            <w:noWrap/>
            <w:tcMar>
              <w:top w:w="0" w:type="dxa"/>
              <w:left w:w="0" w:type="dxa"/>
              <w:bottom w:w="0" w:type="dxa"/>
              <w:right w:w="0" w:type="dxa"/>
            </w:tcMar>
            <w:hideMark/>
          </w:tcPr>
          <w:p w14:paraId="262BA7B4"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3CD7370" w14:textId="77777777" w:rsidR="00000000" w:rsidRDefault="00097612">
            <w:pPr>
              <w:rPr>
                <w:rFonts w:ascii="Times" w:eastAsia="Times New Roman" w:hAnsi="Times"/>
                <w:sz w:val="20"/>
                <w:szCs w:val="20"/>
              </w:rPr>
            </w:pPr>
            <w:r>
              <w:rPr>
                <w:rFonts w:ascii="Times" w:eastAsia="Times New Roman" w:hAnsi="Times"/>
                <w:color w:val="000000"/>
                <w:sz w:val="20"/>
                <w:szCs w:val="20"/>
              </w:rPr>
              <w:t>we acquire or in-license additional technologies, product candidates, products or businesses.</w:t>
            </w:r>
            <w:r>
              <w:rPr>
                <w:rFonts w:ascii="Times" w:eastAsia="Times New Roman" w:hAnsi="Times"/>
                <w:color w:val="000000"/>
                <w:sz w:val="20"/>
                <w:szCs w:val="20"/>
              </w:rPr>
              <w:t xml:space="preserve"> </w:t>
            </w:r>
          </w:p>
        </w:tc>
      </w:tr>
    </w:tbl>
    <w:p w14:paraId="45C7A818" w14:textId="77777777" w:rsidR="00000000" w:rsidRDefault="00097612">
      <w:pPr>
        <w:pStyle w:val="a3"/>
        <w:spacing w:before="0" w:beforeAutospacing="0" w:after="0" w:afterAutospacing="0"/>
        <w:ind w:firstLine="720"/>
        <w:divId w:val="754715842"/>
        <w:rPr>
          <w:rFonts w:ascii="Times" w:hAnsi="Times"/>
          <w:sz w:val="20"/>
          <w:szCs w:val="20"/>
        </w:rPr>
      </w:pPr>
      <w:r>
        <w:rPr>
          <w:rFonts w:ascii="Times" w:hAnsi="Times"/>
          <w:sz w:val="20"/>
          <w:szCs w:val="20"/>
        </w:rPr>
        <w:t>Other than (i) potential revenues from sales of YUPELRI, (ii) our economic interest in royalties from net sales of</w:t>
      </w:r>
      <w:r>
        <w:rPr>
          <w:rFonts w:ascii="Times" w:hAnsi="Times"/>
          <w:sz w:val="20"/>
          <w:szCs w:val="20"/>
        </w:rPr>
        <w:t xml:space="preserve"> </w:t>
      </w:r>
      <w:r>
        <w:rPr>
          <w:rFonts w:ascii="Times" w:hAnsi="Times"/>
          <w:caps/>
          <w:sz w:val="20"/>
          <w:szCs w:val="20"/>
        </w:rPr>
        <w:t>Trelegy Ellipta</w:t>
      </w:r>
      <w:r>
        <w:rPr>
          <w:rFonts w:ascii="Times" w:hAnsi="Times"/>
          <w:sz w:val="20"/>
          <w:szCs w:val="20"/>
        </w:rPr>
        <w:t xml:space="preserve"> </w:t>
      </w:r>
      <w:r>
        <w:rPr>
          <w:rFonts w:ascii="Times" w:hAnsi="Times"/>
          <w:sz w:val="20"/>
          <w:szCs w:val="20"/>
        </w:rPr>
        <w:t>paid to TRC (63.75% of which amounts are used to make payments on the Non-Recourse 2033 Notes), (iii) potential payments unde</w:t>
      </w:r>
      <w:r>
        <w:rPr>
          <w:rFonts w:ascii="Times" w:hAnsi="Times"/>
          <w:sz w:val="20"/>
          <w:szCs w:val="20"/>
        </w:rPr>
        <w:t xml:space="preserve">r collaboration agreements, and (iv) minor royalties from the net sales of VIBATIV, we do not expect to generate revenues in the immediate future. Since we or our collaborators or licensees may not successfully develop additional products, obtain required </w:t>
      </w:r>
      <w:r>
        <w:rPr>
          <w:rFonts w:ascii="Times" w:hAnsi="Times"/>
          <w:sz w:val="20"/>
          <w:szCs w:val="20"/>
        </w:rPr>
        <w:t>regulatory approvals, manufacture products at an acceptable cost or with appropriate quality, or successfully market and sell such products with desired margins, our expenses will continue to exceed any revenues we may receive for the foreseeable future.</w:t>
      </w:r>
      <w:r>
        <w:rPr>
          <w:rFonts w:ascii="Times" w:hAnsi="Times"/>
          <w:sz w:val="20"/>
          <w:szCs w:val="20"/>
        </w:rPr>
        <w:t xml:space="preserve"> </w:t>
      </w:r>
    </w:p>
    <w:p w14:paraId="17886D4C" w14:textId="77777777" w:rsidR="00000000" w:rsidRDefault="00097612">
      <w:pPr>
        <w:pStyle w:val="a3"/>
        <w:spacing w:before="0" w:beforeAutospacing="0" w:after="0" w:afterAutospacing="0"/>
        <w:ind w:firstLine="720"/>
        <w:divId w:val="754715842"/>
        <w:rPr>
          <w:rFonts w:ascii="Times" w:hAnsi="Times"/>
          <w:sz w:val="20"/>
          <w:szCs w:val="20"/>
        </w:rPr>
      </w:pPr>
      <w:r>
        <w:rPr>
          <w:rFonts w:ascii="Times" w:hAnsi="Times"/>
          <w:sz w:val="20"/>
          <w:szCs w:val="20"/>
        </w:rPr>
        <w:t>​</w:t>
      </w:r>
    </w:p>
    <w:p w14:paraId="67D5C882" w14:textId="77777777" w:rsidR="00000000" w:rsidRDefault="00097612">
      <w:pPr>
        <w:pStyle w:val="a3"/>
        <w:spacing w:before="0" w:beforeAutospacing="0" w:after="0" w:afterAutospacing="0"/>
        <w:ind w:firstLine="720"/>
        <w:divId w:val="754715842"/>
        <w:rPr>
          <w:rFonts w:ascii="Times" w:hAnsi="Times"/>
          <w:sz w:val="20"/>
          <w:szCs w:val="20"/>
        </w:rPr>
      </w:pPr>
      <w:r>
        <w:rPr>
          <w:rFonts w:ascii="Times" w:hAnsi="Times"/>
          <w:sz w:val="20"/>
          <w:szCs w:val="20"/>
        </w:rPr>
        <w:t>In the absence of substantial licensing payments, contingent payments or other revenues from third-party collaborators, royalties on sales of products licensed under our intellectual property rights, future revenues from those product candidates in devel</w:t>
      </w:r>
      <w:r>
        <w:rPr>
          <w:rFonts w:ascii="Times" w:hAnsi="Times"/>
          <w:sz w:val="20"/>
          <w:szCs w:val="20"/>
        </w:rPr>
        <w:t>opment that receive regulatory approval or other sources of revenues, we will continue to incur operating losses and will require additional capital to execute our business strategy. The likelihood of reaching, and the time required to reach, and then to s</w:t>
      </w:r>
      <w:r>
        <w:rPr>
          <w:rFonts w:ascii="Times" w:hAnsi="Times"/>
          <w:sz w:val="20"/>
          <w:szCs w:val="20"/>
        </w:rPr>
        <w:t>ustain, profitability are highly uncertain. As a result, we expect to continue to incur substantial losses for the foreseeable future. We are uncertain when or if we will ever be able to achieve or sustain profitability. Failure to become and remain profit</w:t>
      </w:r>
      <w:r>
        <w:rPr>
          <w:rFonts w:ascii="Times" w:hAnsi="Times"/>
          <w:sz w:val="20"/>
          <w:szCs w:val="20"/>
        </w:rPr>
        <w:t>able would adversely affect the price of our securities and our ability to raise capital and continue operations.</w:t>
      </w:r>
      <w:r>
        <w:rPr>
          <w:rFonts w:ascii="Times" w:hAnsi="Times"/>
          <w:sz w:val="20"/>
          <w:szCs w:val="20"/>
        </w:rPr>
        <w:t xml:space="preserve"> </w:t>
      </w:r>
    </w:p>
    <w:p w14:paraId="0F7A2382" w14:textId="77777777" w:rsidR="00000000" w:rsidRDefault="00097612">
      <w:pPr>
        <w:pStyle w:val="a3"/>
        <w:spacing w:before="0" w:beforeAutospacing="0" w:after="0" w:afterAutospacing="0"/>
        <w:divId w:val="754715842"/>
        <w:rPr>
          <w:sz w:val="20"/>
          <w:szCs w:val="20"/>
        </w:rPr>
      </w:pPr>
      <w:r>
        <w:rPr>
          <w:sz w:val="20"/>
          <w:szCs w:val="20"/>
        </w:rPr>
        <w:t>​</w:t>
      </w:r>
    </w:p>
    <w:p w14:paraId="5BB0E481" w14:textId="77777777" w:rsidR="00000000" w:rsidRDefault="00097612">
      <w:pPr>
        <w:pStyle w:val="a3"/>
        <w:spacing w:before="0" w:beforeAutospacing="0" w:after="120" w:afterAutospacing="0"/>
        <w:divId w:val="754715842"/>
        <w:rPr>
          <w:rFonts w:ascii="Times" w:hAnsi="Times"/>
          <w:b/>
          <w:bCs/>
          <w:i/>
          <w:iCs/>
          <w:sz w:val="20"/>
          <w:szCs w:val="20"/>
        </w:rPr>
      </w:pPr>
      <w:r>
        <w:rPr>
          <w:rFonts w:ascii="Times" w:hAnsi="Times"/>
          <w:b/>
          <w:bCs/>
          <w:i/>
          <w:iCs/>
          <w:sz w:val="20"/>
          <w:szCs w:val="20"/>
        </w:rPr>
        <w:t>Any delay in commencing or completing clinical studies for product candidates and any adverse results from clinical or non-clinical studies</w:t>
      </w:r>
      <w:r>
        <w:rPr>
          <w:rFonts w:ascii="Times" w:hAnsi="Times"/>
          <w:b/>
          <w:bCs/>
          <w:i/>
          <w:iCs/>
          <w:sz w:val="20"/>
          <w:szCs w:val="20"/>
        </w:rPr>
        <w:t xml:space="preserve"> or regulatory obstacles product candidates may face, would harm our business and the price of our securities could fall.</w:t>
      </w:r>
      <w:r>
        <w:rPr>
          <w:rFonts w:ascii="Times" w:hAnsi="Times"/>
          <w:b/>
          <w:bCs/>
          <w:i/>
          <w:iCs/>
          <w:sz w:val="20"/>
          <w:szCs w:val="20"/>
        </w:rPr>
        <w:t xml:space="preserve"> </w:t>
      </w:r>
    </w:p>
    <w:p w14:paraId="2C3AFE22" w14:textId="77777777" w:rsidR="00000000" w:rsidRDefault="00097612">
      <w:pPr>
        <w:pStyle w:val="a3"/>
        <w:spacing w:before="0" w:beforeAutospacing="0" w:after="0" w:afterAutospacing="0"/>
        <w:ind w:firstLine="720"/>
        <w:divId w:val="754715842"/>
        <w:rPr>
          <w:rFonts w:ascii="Times" w:hAnsi="Times"/>
          <w:sz w:val="20"/>
          <w:szCs w:val="20"/>
        </w:rPr>
      </w:pPr>
      <w:r>
        <w:rPr>
          <w:rFonts w:ascii="Times" w:hAnsi="Times"/>
          <w:sz w:val="20"/>
          <w:szCs w:val="20"/>
        </w:rPr>
        <w:t>Each of our product candidates must undergo extensive non-clinical and clinical studies as a condition to regulatory approval. Non-cl</w:t>
      </w:r>
      <w:r>
        <w:rPr>
          <w:rFonts w:ascii="Times" w:hAnsi="Times"/>
          <w:sz w:val="20"/>
          <w:szCs w:val="20"/>
        </w:rPr>
        <w:t>inical and clinical studies are expensive, take many years to complete and study results may lead to delays in further studies, new requirements for conducting future studies or decisions to terminate programs. The commencement and completion of clinical s</w:t>
      </w:r>
      <w:r>
        <w:rPr>
          <w:rFonts w:ascii="Times" w:hAnsi="Times"/>
          <w:sz w:val="20"/>
          <w:szCs w:val="20"/>
        </w:rPr>
        <w:t>tudies for our product candidates may be delayed and programs may be terminated due to many factors, including, but not limited to:</w:t>
      </w:r>
    </w:p>
    <w:p w14:paraId="6E342CF3" w14:textId="77777777" w:rsidR="00000000" w:rsidRDefault="00097612">
      <w:pPr>
        <w:pStyle w:val="a3"/>
        <w:spacing w:before="0" w:beforeAutospacing="0" w:after="0" w:afterAutospacing="0"/>
        <w:ind w:firstLine="720"/>
        <w:divId w:val="754715842"/>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FF3B45A" w14:textId="77777777">
        <w:trPr>
          <w:divId w:val="754715842"/>
        </w:trPr>
        <w:tc>
          <w:tcPr>
            <w:tcW w:w="720" w:type="dxa"/>
            <w:vAlign w:val="center"/>
            <w:hideMark/>
          </w:tcPr>
          <w:p w14:paraId="62AD54DF"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2E9DCCC0"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6C49E24" w14:textId="77777777" w:rsidR="00000000" w:rsidRDefault="00097612">
            <w:pPr>
              <w:rPr>
                <w:rFonts w:ascii="Times" w:eastAsia="Times New Roman" w:hAnsi="Times"/>
                <w:sz w:val="20"/>
                <w:szCs w:val="20"/>
              </w:rPr>
            </w:pPr>
            <w:r>
              <w:rPr>
                <w:rFonts w:ascii="Times" w:eastAsia="Times New Roman" w:hAnsi="Times"/>
                <w:color w:val="000000"/>
                <w:sz w:val="20"/>
                <w:szCs w:val="20"/>
              </w:rPr>
              <w:t>lack of effectiveness of product candidates during clinical studies;</w:t>
            </w:r>
          </w:p>
        </w:tc>
      </w:tr>
    </w:tbl>
    <w:p w14:paraId="735AC279" w14:textId="77777777" w:rsidR="00000000" w:rsidRDefault="00097612">
      <w:pPr>
        <w:divId w:val="7547158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C427E9F" w14:textId="77777777">
        <w:trPr>
          <w:divId w:val="754715842"/>
        </w:trPr>
        <w:tc>
          <w:tcPr>
            <w:tcW w:w="720" w:type="dxa"/>
            <w:vAlign w:val="center"/>
            <w:hideMark/>
          </w:tcPr>
          <w:p w14:paraId="7BE39DCE" w14:textId="77777777" w:rsidR="00000000" w:rsidRDefault="00097612">
            <w:pPr>
              <w:rPr>
                <w:rFonts w:eastAsia="Times New Roman"/>
              </w:rPr>
            </w:pPr>
          </w:p>
        </w:tc>
        <w:tc>
          <w:tcPr>
            <w:tcW w:w="360" w:type="dxa"/>
            <w:noWrap/>
            <w:tcMar>
              <w:top w:w="0" w:type="dxa"/>
              <w:left w:w="0" w:type="dxa"/>
              <w:bottom w:w="0" w:type="dxa"/>
              <w:right w:w="0" w:type="dxa"/>
            </w:tcMar>
            <w:hideMark/>
          </w:tcPr>
          <w:p w14:paraId="6629DFCB"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F7B679A"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adverse events, safety issues or side effects (or perceived adverse developments or results) relating to the product candidates or their formulation into medicines;</w:t>
            </w:r>
            <w:r>
              <w:rPr>
                <w:rFonts w:ascii="Times" w:eastAsia="Times New Roman" w:hAnsi="Times"/>
                <w:color w:val="000000"/>
                <w:sz w:val="20"/>
                <w:szCs w:val="20"/>
              </w:rPr>
              <w:t xml:space="preserve"> </w:t>
            </w:r>
          </w:p>
        </w:tc>
      </w:tr>
    </w:tbl>
    <w:p w14:paraId="4E008762" w14:textId="77777777" w:rsidR="00000000" w:rsidRDefault="00097612">
      <w:pPr>
        <w:divId w:val="7547158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6A00F0C" w14:textId="77777777">
        <w:trPr>
          <w:divId w:val="754715842"/>
        </w:trPr>
        <w:tc>
          <w:tcPr>
            <w:tcW w:w="720" w:type="dxa"/>
            <w:vAlign w:val="center"/>
            <w:hideMark/>
          </w:tcPr>
          <w:p w14:paraId="05568A8E" w14:textId="77777777" w:rsidR="00000000" w:rsidRDefault="00097612">
            <w:pPr>
              <w:rPr>
                <w:rFonts w:eastAsia="Times New Roman"/>
              </w:rPr>
            </w:pPr>
          </w:p>
        </w:tc>
        <w:tc>
          <w:tcPr>
            <w:tcW w:w="360" w:type="dxa"/>
            <w:noWrap/>
            <w:tcMar>
              <w:top w:w="0" w:type="dxa"/>
              <w:left w:w="0" w:type="dxa"/>
              <w:bottom w:w="0" w:type="dxa"/>
              <w:right w:w="0" w:type="dxa"/>
            </w:tcMar>
            <w:hideMark/>
          </w:tcPr>
          <w:p w14:paraId="640E15CB"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B66ED08"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inability to raise additional capital in sufficient amounts to continue our developme</w:t>
            </w:r>
            <w:r>
              <w:rPr>
                <w:rFonts w:ascii="Times" w:eastAsia="Times New Roman" w:hAnsi="Times"/>
                <w:color w:val="000000"/>
                <w:sz w:val="20"/>
                <w:szCs w:val="20"/>
              </w:rPr>
              <w:t>nt programs, which are very expensive;</w:t>
            </w:r>
            <w:r>
              <w:rPr>
                <w:rFonts w:ascii="Times" w:eastAsia="Times New Roman" w:hAnsi="Times"/>
                <w:color w:val="000000"/>
                <w:sz w:val="20"/>
                <w:szCs w:val="20"/>
              </w:rPr>
              <w:t xml:space="preserve"> </w:t>
            </w:r>
          </w:p>
        </w:tc>
      </w:tr>
    </w:tbl>
    <w:p w14:paraId="456DE93F" w14:textId="77777777" w:rsidR="00000000" w:rsidRDefault="00097612">
      <w:pPr>
        <w:divId w:val="7547158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11FFA2E" w14:textId="77777777">
        <w:trPr>
          <w:divId w:val="754715842"/>
        </w:trPr>
        <w:tc>
          <w:tcPr>
            <w:tcW w:w="720" w:type="dxa"/>
            <w:vAlign w:val="center"/>
            <w:hideMark/>
          </w:tcPr>
          <w:p w14:paraId="2499DDF8" w14:textId="77777777" w:rsidR="00000000" w:rsidRDefault="00097612">
            <w:pPr>
              <w:rPr>
                <w:rFonts w:eastAsia="Times New Roman"/>
              </w:rPr>
            </w:pPr>
          </w:p>
        </w:tc>
        <w:tc>
          <w:tcPr>
            <w:tcW w:w="360" w:type="dxa"/>
            <w:noWrap/>
            <w:tcMar>
              <w:top w:w="0" w:type="dxa"/>
              <w:left w:w="0" w:type="dxa"/>
              <w:bottom w:w="0" w:type="dxa"/>
              <w:right w:w="0" w:type="dxa"/>
            </w:tcMar>
            <w:hideMark/>
          </w:tcPr>
          <w:p w14:paraId="3DE542E5"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F440FD4"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inability to enter into partnering arrangements relating to the development and commercialization of our programs and product candidates;</w:t>
            </w:r>
            <w:r>
              <w:rPr>
                <w:rFonts w:ascii="Times" w:eastAsia="Times New Roman" w:hAnsi="Times"/>
                <w:color w:val="000000"/>
                <w:sz w:val="20"/>
                <w:szCs w:val="20"/>
              </w:rPr>
              <w:t xml:space="preserve"> </w:t>
            </w:r>
          </w:p>
        </w:tc>
      </w:tr>
    </w:tbl>
    <w:p w14:paraId="12CD791A" w14:textId="77777777" w:rsidR="00000000" w:rsidRDefault="00097612">
      <w:pPr>
        <w:divId w:val="7547158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4C8BA51" w14:textId="77777777">
        <w:trPr>
          <w:divId w:val="754715842"/>
        </w:trPr>
        <w:tc>
          <w:tcPr>
            <w:tcW w:w="720" w:type="dxa"/>
            <w:vAlign w:val="center"/>
            <w:hideMark/>
          </w:tcPr>
          <w:p w14:paraId="6FAB8B5F" w14:textId="77777777" w:rsidR="00000000" w:rsidRDefault="00097612">
            <w:pPr>
              <w:rPr>
                <w:rFonts w:eastAsia="Times New Roman"/>
              </w:rPr>
            </w:pPr>
          </w:p>
        </w:tc>
        <w:tc>
          <w:tcPr>
            <w:tcW w:w="360" w:type="dxa"/>
            <w:noWrap/>
            <w:tcMar>
              <w:top w:w="0" w:type="dxa"/>
              <w:left w:w="0" w:type="dxa"/>
              <w:bottom w:w="0" w:type="dxa"/>
              <w:right w:w="0" w:type="dxa"/>
            </w:tcMar>
            <w:hideMark/>
          </w:tcPr>
          <w:p w14:paraId="230EACCE"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50826E4"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delays in patient enrollment and variability in the number and types of patients available for clinical studies;</w:t>
            </w:r>
            <w:r>
              <w:rPr>
                <w:rFonts w:ascii="Times" w:eastAsia="Times New Roman" w:hAnsi="Times"/>
                <w:color w:val="000000"/>
                <w:sz w:val="20"/>
                <w:szCs w:val="20"/>
              </w:rPr>
              <w:t xml:space="preserve"> </w:t>
            </w:r>
          </w:p>
        </w:tc>
      </w:tr>
    </w:tbl>
    <w:p w14:paraId="43A085D3" w14:textId="77777777" w:rsidR="00000000" w:rsidRDefault="00097612">
      <w:pPr>
        <w:divId w:val="7547158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763AF1C" w14:textId="77777777">
        <w:trPr>
          <w:divId w:val="754715842"/>
        </w:trPr>
        <w:tc>
          <w:tcPr>
            <w:tcW w:w="720" w:type="dxa"/>
            <w:vAlign w:val="center"/>
            <w:hideMark/>
          </w:tcPr>
          <w:p w14:paraId="003AC5AD" w14:textId="77777777" w:rsidR="00000000" w:rsidRDefault="00097612">
            <w:pPr>
              <w:rPr>
                <w:rFonts w:eastAsia="Times New Roman"/>
              </w:rPr>
            </w:pPr>
          </w:p>
        </w:tc>
        <w:tc>
          <w:tcPr>
            <w:tcW w:w="360" w:type="dxa"/>
            <w:noWrap/>
            <w:tcMar>
              <w:top w:w="0" w:type="dxa"/>
              <w:left w:w="0" w:type="dxa"/>
              <w:bottom w:w="0" w:type="dxa"/>
              <w:right w:w="0" w:type="dxa"/>
            </w:tcMar>
            <w:hideMark/>
          </w:tcPr>
          <w:p w14:paraId="69BE1F0A"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DB9AE62"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need to sequence clinical studies as opposed to conducting them concomitantly in order to conserve resources;</w:t>
            </w:r>
            <w:r>
              <w:rPr>
                <w:rFonts w:ascii="Times" w:eastAsia="Times New Roman" w:hAnsi="Times"/>
                <w:color w:val="000000"/>
                <w:sz w:val="20"/>
                <w:szCs w:val="20"/>
              </w:rPr>
              <w:t xml:space="preserve"> </w:t>
            </w:r>
          </w:p>
        </w:tc>
      </w:tr>
    </w:tbl>
    <w:p w14:paraId="66417FEA" w14:textId="77777777" w:rsidR="00000000" w:rsidRDefault="00097612">
      <w:pPr>
        <w:divId w:val="7547158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E09F2D4" w14:textId="77777777">
        <w:trPr>
          <w:divId w:val="754715842"/>
        </w:trPr>
        <w:tc>
          <w:tcPr>
            <w:tcW w:w="720" w:type="dxa"/>
            <w:vAlign w:val="center"/>
            <w:hideMark/>
          </w:tcPr>
          <w:p w14:paraId="79D51D6E" w14:textId="77777777" w:rsidR="00000000" w:rsidRDefault="00097612">
            <w:pPr>
              <w:rPr>
                <w:rFonts w:eastAsia="Times New Roman"/>
              </w:rPr>
            </w:pPr>
          </w:p>
        </w:tc>
        <w:tc>
          <w:tcPr>
            <w:tcW w:w="360" w:type="dxa"/>
            <w:noWrap/>
            <w:tcMar>
              <w:top w:w="0" w:type="dxa"/>
              <w:left w:w="0" w:type="dxa"/>
              <w:bottom w:w="0" w:type="dxa"/>
              <w:right w:w="0" w:type="dxa"/>
            </w:tcMar>
            <w:hideMark/>
          </w:tcPr>
          <w:p w14:paraId="7FD6F49A"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472AAA8"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our inability or the inability of our collaborators or licensees to manufacture or obtain from third parties materials sufficient</w:t>
            </w:r>
            <w:r>
              <w:rPr>
                <w:rFonts w:ascii="Times" w:eastAsia="Times New Roman" w:hAnsi="Times"/>
                <w:color w:val="000000"/>
                <w:sz w:val="20"/>
                <w:szCs w:val="20"/>
              </w:rPr>
              <w:t xml:space="preserve"> for use in non-clinical and clinical studies;</w:t>
            </w:r>
            <w:r>
              <w:rPr>
                <w:rFonts w:ascii="Times" w:eastAsia="Times New Roman" w:hAnsi="Times"/>
                <w:color w:val="000000"/>
                <w:sz w:val="20"/>
                <w:szCs w:val="20"/>
              </w:rPr>
              <w:t xml:space="preserve"> </w:t>
            </w:r>
          </w:p>
        </w:tc>
      </w:tr>
    </w:tbl>
    <w:p w14:paraId="0EB59C57" w14:textId="77777777" w:rsidR="00000000" w:rsidRDefault="00097612">
      <w:pPr>
        <w:divId w:val="75471584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C2032A1" w14:textId="77777777">
        <w:trPr>
          <w:divId w:val="754715842"/>
        </w:trPr>
        <w:tc>
          <w:tcPr>
            <w:tcW w:w="720" w:type="dxa"/>
            <w:vAlign w:val="center"/>
            <w:hideMark/>
          </w:tcPr>
          <w:p w14:paraId="683B69AE" w14:textId="77777777" w:rsidR="00000000" w:rsidRDefault="00097612">
            <w:pPr>
              <w:rPr>
                <w:rFonts w:eastAsia="Times New Roman"/>
              </w:rPr>
            </w:pPr>
          </w:p>
        </w:tc>
        <w:tc>
          <w:tcPr>
            <w:tcW w:w="360" w:type="dxa"/>
            <w:noWrap/>
            <w:tcMar>
              <w:top w:w="0" w:type="dxa"/>
              <w:left w:w="0" w:type="dxa"/>
              <w:bottom w:w="0" w:type="dxa"/>
              <w:right w:w="0" w:type="dxa"/>
            </w:tcMar>
            <w:hideMark/>
          </w:tcPr>
          <w:p w14:paraId="4A521B44"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AECDE7D"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governmental or regulatory delays or suspensions of the conduct of the clinical trials and changes in regulatory requirements, policy and guidelines, including as a result of any class-based risks that emerge as an area of FDA or other regulatory agency fo</w:t>
            </w:r>
            <w:r>
              <w:rPr>
                <w:rFonts w:ascii="Times" w:eastAsia="Times New Roman" w:hAnsi="Times"/>
                <w:color w:val="000000"/>
                <w:sz w:val="20"/>
                <w:szCs w:val="20"/>
              </w:rPr>
              <w:t>cus;</w:t>
            </w:r>
            <w:r>
              <w:rPr>
                <w:rFonts w:ascii="Times" w:eastAsia="Times New Roman" w:hAnsi="Times"/>
                <w:color w:val="000000"/>
                <w:sz w:val="20"/>
                <w:szCs w:val="20"/>
              </w:rPr>
              <w:t xml:space="preserve"> </w:t>
            </w:r>
          </w:p>
        </w:tc>
      </w:tr>
    </w:tbl>
    <w:p w14:paraId="7A4346CB" w14:textId="77777777" w:rsidR="00000000" w:rsidRDefault="00097612">
      <w:pPr>
        <w:pStyle w:val="a3"/>
        <w:spacing w:before="360" w:beforeAutospacing="0" w:after="0" w:afterAutospacing="0"/>
        <w:jc w:val="center"/>
        <w:divId w:val="1959219515"/>
        <w:rPr>
          <w:sz w:val="20"/>
          <w:szCs w:val="20"/>
        </w:rPr>
      </w:pPr>
      <w:r>
        <w:rPr>
          <w:sz w:val="20"/>
          <w:szCs w:val="20"/>
        </w:rPr>
        <w:t>37</w:t>
      </w:r>
    </w:p>
    <w:p w14:paraId="01FFC0C7" w14:textId="77777777" w:rsidR="00000000" w:rsidRDefault="00097612">
      <w:pPr>
        <w:pStyle w:val="a3"/>
        <w:spacing w:before="0" w:beforeAutospacing="0" w:after="600" w:afterAutospacing="0"/>
        <w:divId w:val="91620747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66A1F9B" w14:textId="77777777">
        <w:trPr>
          <w:divId w:val="700401133"/>
        </w:trPr>
        <w:tc>
          <w:tcPr>
            <w:tcW w:w="720" w:type="dxa"/>
            <w:vAlign w:val="center"/>
            <w:hideMark/>
          </w:tcPr>
          <w:p w14:paraId="4B933C7A" w14:textId="77777777" w:rsidR="00000000" w:rsidRDefault="00097612">
            <w:pPr>
              <w:rPr>
                <w:sz w:val="20"/>
                <w:szCs w:val="20"/>
              </w:rPr>
            </w:pPr>
          </w:p>
        </w:tc>
        <w:tc>
          <w:tcPr>
            <w:tcW w:w="360" w:type="dxa"/>
            <w:noWrap/>
            <w:tcMar>
              <w:top w:w="0" w:type="dxa"/>
              <w:left w:w="0" w:type="dxa"/>
              <w:bottom w:w="0" w:type="dxa"/>
              <w:right w:w="0" w:type="dxa"/>
            </w:tcMar>
            <w:hideMark/>
          </w:tcPr>
          <w:p w14:paraId="6A83F846"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3D8921C"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failure of our partners to advance our product candidates through clinical development;</w:t>
            </w:r>
            <w:r>
              <w:rPr>
                <w:rFonts w:ascii="Times" w:eastAsia="Times New Roman" w:hAnsi="Times"/>
                <w:color w:val="000000"/>
                <w:sz w:val="20"/>
                <w:szCs w:val="20"/>
              </w:rPr>
              <w:t xml:space="preserve"> </w:t>
            </w:r>
          </w:p>
        </w:tc>
      </w:tr>
    </w:tbl>
    <w:p w14:paraId="304B3236" w14:textId="77777777" w:rsidR="00000000" w:rsidRDefault="00097612">
      <w:pPr>
        <w:divId w:val="7004011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1E7FDCF" w14:textId="77777777">
        <w:trPr>
          <w:divId w:val="700401133"/>
        </w:trPr>
        <w:tc>
          <w:tcPr>
            <w:tcW w:w="720" w:type="dxa"/>
            <w:vAlign w:val="center"/>
            <w:hideMark/>
          </w:tcPr>
          <w:p w14:paraId="4FD1FE3C" w14:textId="77777777" w:rsidR="00000000" w:rsidRDefault="00097612">
            <w:pPr>
              <w:rPr>
                <w:rFonts w:eastAsia="Times New Roman"/>
              </w:rPr>
            </w:pPr>
          </w:p>
        </w:tc>
        <w:tc>
          <w:tcPr>
            <w:tcW w:w="360" w:type="dxa"/>
            <w:noWrap/>
            <w:tcMar>
              <w:top w:w="0" w:type="dxa"/>
              <w:left w:w="0" w:type="dxa"/>
              <w:bottom w:w="0" w:type="dxa"/>
              <w:right w:w="0" w:type="dxa"/>
            </w:tcMar>
            <w:hideMark/>
          </w:tcPr>
          <w:p w14:paraId="46131B9D"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6172B60"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difficulty in maintaining contact with patients after treatment, resulting in incomplete data;</w:t>
            </w:r>
            <w:r>
              <w:rPr>
                <w:rFonts w:ascii="Times" w:eastAsia="Times New Roman" w:hAnsi="Times"/>
                <w:color w:val="000000"/>
                <w:sz w:val="20"/>
                <w:szCs w:val="20"/>
              </w:rPr>
              <w:t xml:space="preserve"> </w:t>
            </w:r>
          </w:p>
        </w:tc>
      </w:tr>
    </w:tbl>
    <w:p w14:paraId="5C00B24F" w14:textId="77777777" w:rsidR="00000000" w:rsidRDefault="00097612">
      <w:pPr>
        <w:divId w:val="7004011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17FABDB" w14:textId="77777777">
        <w:trPr>
          <w:divId w:val="700401133"/>
        </w:trPr>
        <w:tc>
          <w:tcPr>
            <w:tcW w:w="720" w:type="dxa"/>
            <w:vAlign w:val="center"/>
            <w:hideMark/>
          </w:tcPr>
          <w:p w14:paraId="21C55ED0" w14:textId="77777777" w:rsidR="00000000" w:rsidRDefault="00097612">
            <w:pPr>
              <w:rPr>
                <w:rFonts w:eastAsia="Times New Roman"/>
              </w:rPr>
            </w:pPr>
          </w:p>
        </w:tc>
        <w:tc>
          <w:tcPr>
            <w:tcW w:w="360" w:type="dxa"/>
            <w:noWrap/>
            <w:tcMar>
              <w:top w:w="0" w:type="dxa"/>
              <w:left w:w="0" w:type="dxa"/>
              <w:bottom w:w="0" w:type="dxa"/>
              <w:right w:w="0" w:type="dxa"/>
            </w:tcMar>
            <w:hideMark/>
          </w:tcPr>
          <w:p w14:paraId="2BD30A6F"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A4418FE"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vary</w:t>
            </w:r>
            <w:r>
              <w:rPr>
                <w:rFonts w:ascii="Times" w:eastAsia="Times New Roman" w:hAnsi="Times"/>
                <w:color w:val="000000"/>
                <w:sz w:val="20"/>
                <w:szCs w:val="20"/>
              </w:rPr>
              <w:t>ing regulatory requirements or interpretations of data among the FDA and foreign regulatory authorities; and</w:t>
            </w:r>
            <w:r>
              <w:rPr>
                <w:rFonts w:ascii="Times" w:eastAsia="Times New Roman" w:hAnsi="Times"/>
                <w:color w:val="000000"/>
                <w:sz w:val="20"/>
                <w:szCs w:val="20"/>
              </w:rPr>
              <w:t xml:space="preserve"> </w:t>
            </w:r>
          </w:p>
        </w:tc>
      </w:tr>
    </w:tbl>
    <w:p w14:paraId="19F0B366" w14:textId="77777777" w:rsidR="00000000" w:rsidRDefault="00097612">
      <w:pPr>
        <w:divId w:val="7004011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B6D5DF8" w14:textId="77777777">
        <w:trPr>
          <w:divId w:val="700401133"/>
        </w:trPr>
        <w:tc>
          <w:tcPr>
            <w:tcW w:w="720" w:type="dxa"/>
            <w:vAlign w:val="center"/>
            <w:hideMark/>
          </w:tcPr>
          <w:p w14:paraId="421F046E" w14:textId="77777777" w:rsidR="00000000" w:rsidRDefault="00097612">
            <w:pPr>
              <w:rPr>
                <w:rFonts w:eastAsia="Times New Roman"/>
              </w:rPr>
            </w:pPr>
          </w:p>
        </w:tc>
        <w:tc>
          <w:tcPr>
            <w:tcW w:w="360" w:type="dxa"/>
            <w:noWrap/>
            <w:tcMar>
              <w:top w:w="0" w:type="dxa"/>
              <w:left w:w="0" w:type="dxa"/>
              <w:bottom w:w="0" w:type="dxa"/>
              <w:right w:w="0" w:type="dxa"/>
            </w:tcMar>
            <w:hideMark/>
          </w:tcPr>
          <w:p w14:paraId="3AF9D407"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D47ED75" w14:textId="77777777" w:rsidR="00000000" w:rsidRDefault="00097612">
            <w:pPr>
              <w:rPr>
                <w:rFonts w:ascii="Times" w:eastAsia="Times New Roman" w:hAnsi="Times"/>
                <w:sz w:val="20"/>
                <w:szCs w:val="20"/>
              </w:rPr>
            </w:pPr>
            <w:r>
              <w:rPr>
                <w:rFonts w:ascii="Times" w:eastAsia="Times New Roman" w:hAnsi="Times"/>
                <w:color w:val="000000"/>
                <w:sz w:val="20"/>
                <w:szCs w:val="20"/>
              </w:rPr>
              <w:t>a regional disturbance where we or our collaborative partners are enrolling patients in clinical trials, such as a pandemic, terrorist activities or war, political unrest or a natural disaster.</w:t>
            </w:r>
            <w:r>
              <w:rPr>
                <w:rFonts w:ascii="Times" w:eastAsia="Times New Roman" w:hAnsi="Times"/>
                <w:color w:val="000000"/>
                <w:sz w:val="20"/>
                <w:szCs w:val="20"/>
              </w:rPr>
              <w:t xml:space="preserve"> </w:t>
            </w:r>
          </w:p>
        </w:tc>
      </w:tr>
    </w:tbl>
    <w:p w14:paraId="5DBAE356" w14:textId="77777777" w:rsidR="00000000" w:rsidRDefault="00097612">
      <w:pPr>
        <w:pStyle w:val="a3"/>
        <w:spacing w:before="0" w:beforeAutospacing="0" w:after="0" w:afterAutospacing="0"/>
        <w:ind w:firstLine="720"/>
        <w:divId w:val="700401133"/>
        <w:rPr>
          <w:sz w:val="20"/>
          <w:szCs w:val="20"/>
        </w:rPr>
      </w:pPr>
      <w:r>
        <w:rPr>
          <w:sz w:val="20"/>
          <w:szCs w:val="20"/>
        </w:rPr>
        <w:t>Any adverse developments or results or perceived adverse dev</w:t>
      </w:r>
      <w:r>
        <w:rPr>
          <w:sz w:val="20"/>
          <w:szCs w:val="20"/>
        </w:rPr>
        <w:t>elopments or results with respect to our clinical programs including, without limitation, any delays in development in our programs, any halting of development in our programs, any difficulties or delays encountered with regard to the FDA or other regulato</w:t>
      </w:r>
      <w:r>
        <w:rPr>
          <w:sz w:val="20"/>
          <w:szCs w:val="20"/>
        </w:rPr>
        <w:t xml:space="preserve">ry authorities with respect to our programs, or any indication from clinical or non-clinical studies that the compounds in our programs are not safe or efficacious, could have a material adverse effect on our business and cause the price of our securities </w:t>
      </w:r>
      <w:r>
        <w:rPr>
          <w:sz w:val="20"/>
          <w:szCs w:val="20"/>
        </w:rPr>
        <w:t xml:space="preserve">to fall. </w:t>
      </w:r>
    </w:p>
    <w:p w14:paraId="65B037FA" w14:textId="77777777" w:rsidR="00000000" w:rsidRDefault="00097612">
      <w:pPr>
        <w:pStyle w:val="a3"/>
        <w:spacing w:before="0" w:beforeAutospacing="0" w:after="0" w:afterAutospacing="0"/>
        <w:ind w:firstLine="720"/>
        <w:divId w:val="700401133"/>
        <w:rPr>
          <w:sz w:val="20"/>
          <w:szCs w:val="20"/>
        </w:rPr>
      </w:pPr>
      <w:r>
        <w:rPr>
          <w:sz w:val="20"/>
          <w:szCs w:val="20"/>
        </w:rPr>
        <w:t>​</w:t>
      </w:r>
    </w:p>
    <w:p w14:paraId="34605494" w14:textId="77777777" w:rsidR="00000000" w:rsidRDefault="00097612">
      <w:pPr>
        <w:pStyle w:val="a3"/>
        <w:spacing w:before="0" w:beforeAutospacing="0" w:after="0" w:afterAutospacing="0"/>
        <w:ind w:firstLine="720"/>
        <w:divId w:val="700401133"/>
        <w:rPr>
          <w:sz w:val="20"/>
          <w:szCs w:val="20"/>
        </w:rPr>
      </w:pPr>
      <w:r>
        <w:rPr>
          <w:sz w:val="20"/>
          <w:szCs w:val="20"/>
        </w:rPr>
        <w:t>In July 2019, the FDA issued a Boxed Warning for a systemically active pan-JAK inhibitor, calling out an increased risk of pulmonary embolism and death following the results of a safety study in patients with rheumatoid arthritis. Theravance Bi</w:t>
      </w:r>
      <w:r>
        <w:rPr>
          <w:sz w:val="20"/>
          <w:szCs w:val="20"/>
        </w:rPr>
        <w:t>opharma is focused on developing pan-JAK inhibitors that are designed to remain organ-selective so that they do not become systemically active in order to minimize the risk of side effects. It is unknown at this time what, if any, additional requirements t</w:t>
      </w:r>
      <w:r>
        <w:rPr>
          <w:sz w:val="20"/>
          <w:szCs w:val="20"/>
        </w:rPr>
        <w:t>he FDA may put in place with respect to the development of JAK inhibitors generally or what other future FDA actions may have on the prospects for JAK inhibitors. Delays or adverse developments or results or perceived adverse developments or results relati</w:t>
      </w:r>
      <w:r>
        <w:rPr>
          <w:sz w:val="20"/>
          <w:szCs w:val="20"/>
        </w:rPr>
        <w:t>ng to JAK inhibitors could harm our business and could cause the price of our securities to fall. Examples of such adverse developments include, but are not limited to</w:t>
      </w:r>
      <w:r>
        <w:rPr>
          <w:sz w:val="20"/>
          <w:szCs w:val="20"/>
        </w:rPr>
        <w:t>:</w:t>
      </w:r>
    </w:p>
    <w:p w14:paraId="6E9974AD" w14:textId="77777777" w:rsidR="00000000" w:rsidRDefault="00097612">
      <w:pPr>
        <w:pStyle w:val="a3"/>
        <w:spacing w:before="0" w:beforeAutospacing="0" w:after="0" w:afterAutospacing="0"/>
        <w:ind w:firstLine="720"/>
        <w:divId w:val="70040113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F793655" w14:textId="77777777">
        <w:trPr>
          <w:divId w:val="700401133"/>
        </w:trPr>
        <w:tc>
          <w:tcPr>
            <w:tcW w:w="720" w:type="dxa"/>
            <w:vAlign w:val="center"/>
            <w:hideMark/>
          </w:tcPr>
          <w:p w14:paraId="101DF28F" w14:textId="77777777" w:rsidR="00000000" w:rsidRDefault="00097612">
            <w:pPr>
              <w:rPr>
                <w:sz w:val="20"/>
                <w:szCs w:val="20"/>
              </w:rPr>
            </w:pPr>
          </w:p>
        </w:tc>
        <w:tc>
          <w:tcPr>
            <w:tcW w:w="360" w:type="dxa"/>
            <w:noWrap/>
            <w:tcMar>
              <w:top w:w="0" w:type="dxa"/>
              <w:left w:w="0" w:type="dxa"/>
              <w:bottom w:w="0" w:type="dxa"/>
              <w:right w:w="0" w:type="dxa"/>
            </w:tcMar>
            <w:hideMark/>
          </w:tcPr>
          <w:p w14:paraId="67EF0607"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7C72F94" w14:textId="77777777" w:rsidR="00000000" w:rsidRDefault="00097612">
            <w:pPr>
              <w:rPr>
                <w:rFonts w:eastAsia="Times New Roman"/>
                <w:sz w:val="20"/>
                <w:szCs w:val="20"/>
              </w:rPr>
            </w:pPr>
            <w:r>
              <w:rPr>
                <w:rFonts w:eastAsia="Times New Roman"/>
                <w:color w:val="000000"/>
                <w:sz w:val="20"/>
                <w:szCs w:val="20"/>
              </w:rPr>
              <w:t>the FDA and/or other regulatory authorities determining that additional non-clinic</w:t>
            </w:r>
            <w:r>
              <w:rPr>
                <w:rFonts w:eastAsia="Times New Roman"/>
                <w:color w:val="000000"/>
                <w:sz w:val="20"/>
                <w:szCs w:val="20"/>
              </w:rPr>
              <w:t>al or clinical studies are required with respect to our JAK inhibitor programs;</w:t>
            </w:r>
          </w:p>
        </w:tc>
      </w:tr>
    </w:tbl>
    <w:p w14:paraId="38260E21" w14:textId="77777777" w:rsidR="00000000" w:rsidRDefault="00097612">
      <w:pPr>
        <w:divId w:val="7004011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42A1DE3" w14:textId="77777777">
        <w:trPr>
          <w:divId w:val="700401133"/>
        </w:trPr>
        <w:tc>
          <w:tcPr>
            <w:tcW w:w="720" w:type="dxa"/>
            <w:vAlign w:val="center"/>
            <w:hideMark/>
          </w:tcPr>
          <w:p w14:paraId="26F8EB1F" w14:textId="77777777" w:rsidR="00000000" w:rsidRDefault="00097612">
            <w:pPr>
              <w:rPr>
                <w:rFonts w:eastAsia="Times New Roman"/>
              </w:rPr>
            </w:pPr>
          </w:p>
        </w:tc>
        <w:tc>
          <w:tcPr>
            <w:tcW w:w="360" w:type="dxa"/>
            <w:noWrap/>
            <w:tcMar>
              <w:top w:w="0" w:type="dxa"/>
              <w:left w:w="0" w:type="dxa"/>
              <w:bottom w:w="0" w:type="dxa"/>
              <w:right w:w="0" w:type="dxa"/>
            </w:tcMar>
            <w:hideMark/>
          </w:tcPr>
          <w:p w14:paraId="3660C3A7"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93EAAC5" w14:textId="77777777" w:rsidR="00000000" w:rsidRDefault="00097612">
            <w:pPr>
              <w:rPr>
                <w:rFonts w:eastAsia="Times New Roman"/>
                <w:sz w:val="20"/>
                <w:szCs w:val="20"/>
              </w:rPr>
            </w:pPr>
            <w:r>
              <w:rPr>
                <w:rFonts w:eastAsia="Times New Roman"/>
                <w:color w:val="000000"/>
                <w:sz w:val="20"/>
                <w:szCs w:val="20"/>
              </w:rPr>
              <w:t>safety, efficacy or other concerns relating to our JAK inhibitor programs or JAK inhibitors under development or commercialized by other companies; or</w:t>
            </w:r>
          </w:p>
        </w:tc>
      </w:tr>
    </w:tbl>
    <w:p w14:paraId="4EC94A88" w14:textId="77777777" w:rsidR="00000000" w:rsidRDefault="00097612">
      <w:pPr>
        <w:divId w:val="7004011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ACEF9AE" w14:textId="77777777">
        <w:trPr>
          <w:divId w:val="700401133"/>
        </w:trPr>
        <w:tc>
          <w:tcPr>
            <w:tcW w:w="720" w:type="dxa"/>
            <w:vAlign w:val="center"/>
            <w:hideMark/>
          </w:tcPr>
          <w:p w14:paraId="1B3D1EAC" w14:textId="77777777" w:rsidR="00000000" w:rsidRDefault="00097612">
            <w:pPr>
              <w:rPr>
                <w:rFonts w:eastAsia="Times New Roman"/>
              </w:rPr>
            </w:pPr>
          </w:p>
        </w:tc>
        <w:tc>
          <w:tcPr>
            <w:tcW w:w="360" w:type="dxa"/>
            <w:noWrap/>
            <w:tcMar>
              <w:top w:w="0" w:type="dxa"/>
              <w:left w:w="0" w:type="dxa"/>
              <w:bottom w:w="0" w:type="dxa"/>
              <w:right w:w="0" w:type="dxa"/>
            </w:tcMar>
            <w:hideMark/>
          </w:tcPr>
          <w:p w14:paraId="12CE691B"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3A2E244" w14:textId="77777777" w:rsidR="00000000" w:rsidRDefault="00097612">
            <w:pPr>
              <w:rPr>
                <w:rFonts w:eastAsia="Times New Roman"/>
                <w:sz w:val="20"/>
                <w:szCs w:val="20"/>
              </w:rPr>
            </w:pPr>
            <w:r>
              <w:rPr>
                <w:rFonts w:eastAsia="Times New Roman"/>
                <w:color w:val="000000"/>
                <w:sz w:val="20"/>
                <w:szCs w:val="20"/>
              </w:rPr>
              <w:t>any change in F</w:t>
            </w:r>
            <w:r>
              <w:rPr>
                <w:rFonts w:eastAsia="Times New Roman"/>
                <w:color w:val="000000"/>
                <w:sz w:val="20"/>
                <w:szCs w:val="20"/>
              </w:rPr>
              <w:t>DA policy or guidance regarding JAK inhibitors.</w:t>
            </w:r>
          </w:p>
        </w:tc>
      </w:tr>
    </w:tbl>
    <w:p w14:paraId="214D8425" w14:textId="77777777" w:rsidR="00000000" w:rsidRDefault="00097612">
      <w:pPr>
        <w:pStyle w:val="a3"/>
        <w:spacing w:before="0" w:beforeAutospacing="0" w:after="0" w:afterAutospacing="0"/>
        <w:divId w:val="700401133"/>
        <w:rPr>
          <w:sz w:val="20"/>
          <w:szCs w:val="20"/>
        </w:rPr>
      </w:pPr>
      <w:r>
        <w:rPr>
          <w:sz w:val="20"/>
          <w:szCs w:val="20"/>
        </w:rPr>
        <w:t>​</w:t>
      </w:r>
    </w:p>
    <w:p w14:paraId="35D343B4" w14:textId="77777777" w:rsidR="00000000" w:rsidRDefault="00097612">
      <w:pPr>
        <w:pStyle w:val="a3"/>
        <w:spacing w:before="0" w:beforeAutospacing="0" w:after="120" w:afterAutospacing="0"/>
        <w:divId w:val="700401133"/>
        <w:rPr>
          <w:rFonts w:ascii="Times" w:hAnsi="Times"/>
          <w:b/>
          <w:bCs/>
          <w:i/>
          <w:iCs/>
          <w:sz w:val="20"/>
          <w:szCs w:val="20"/>
        </w:rPr>
      </w:pPr>
      <w:r>
        <w:rPr>
          <w:rFonts w:ascii="Times" w:hAnsi="Times"/>
          <w:b/>
          <w:bCs/>
          <w:i/>
          <w:iCs/>
          <w:sz w:val="20"/>
          <w:szCs w:val="20"/>
        </w:rPr>
        <w:t>If our product candidates are not approved by regulatory authorities, including the FDA, we will be unable to commercialize them.</w:t>
      </w:r>
      <w:r>
        <w:rPr>
          <w:rFonts w:ascii="Times" w:hAnsi="Times"/>
          <w:b/>
          <w:bCs/>
          <w:i/>
          <w:iCs/>
          <w:sz w:val="20"/>
          <w:szCs w:val="20"/>
        </w:rPr>
        <w:t xml:space="preserve"> </w:t>
      </w:r>
    </w:p>
    <w:p w14:paraId="04D91614" w14:textId="77777777" w:rsidR="00000000" w:rsidRDefault="00097612">
      <w:pPr>
        <w:pStyle w:val="a3"/>
        <w:spacing w:before="0" w:beforeAutospacing="0" w:after="0" w:afterAutospacing="0"/>
        <w:ind w:firstLine="720"/>
        <w:divId w:val="700401133"/>
        <w:rPr>
          <w:rFonts w:ascii="Times" w:hAnsi="Times"/>
          <w:sz w:val="20"/>
          <w:szCs w:val="20"/>
        </w:rPr>
      </w:pPr>
      <w:r>
        <w:rPr>
          <w:rFonts w:ascii="Times" w:hAnsi="Times"/>
          <w:sz w:val="20"/>
          <w:szCs w:val="20"/>
        </w:rPr>
        <w:t>The FDA must approve any new medicine before it can be marketed and sold in the US. We will not obtain this approval for a product candidate unless and until the FDA approves an NDA. We, or our collaborative partners, must provide the FDA and similar forei</w:t>
      </w:r>
      <w:r>
        <w:rPr>
          <w:rFonts w:ascii="Times" w:hAnsi="Times"/>
          <w:sz w:val="20"/>
          <w:szCs w:val="20"/>
        </w:rPr>
        <w:t xml:space="preserve">gn regulatory authorities with data from preclinical and clinical studies that demonstrate that our product candidates comply with the regulatory requirements for the quality of medicinal products and are safe and effective for a defined indication before </w:t>
      </w:r>
      <w:r>
        <w:rPr>
          <w:rFonts w:ascii="Times" w:hAnsi="Times"/>
          <w:sz w:val="20"/>
          <w:szCs w:val="20"/>
        </w:rPr>
        <w:t>they can be approved for commercial distribution. FDA or foreign regulatory authorities may disagree with our trial design and our interpretation of data from preclinical studies and clinical trials. The processes by which regulatory approvals are obtained</w:t>
      </w:r>
      <w:r>
        <w:rPr>
          <w:rFonts w:ascii="Times" w:hAnsi="Times"/>
          <w:sz w:val="20"/>
          <w:szCs w:val="20"/>
        </w:rPr>
        <w:t xml:space="preserve"> from the FDA and foreign regulatory authorities to market and sell a new product are complex, require a number of years, depend upon the type, complexity and novelty of the product candidate and involve the expenditure of substantial resources for researc</w:t>
      </w:r>
      <w:r>
        <w:rPr>
          <w:rFonts w:ascii="Times" w:hAnsi="Times"/>
          <w:sz w:val="20"/>
          <w:szCs w:val="20"/>
        </w:rPr>
        <w:t>h, development and testing. The FDA has substantial discretion in the drug approval process and may require us to conduct additional nonclinical and clinical testing or to perform post-marketing studies. Further, the implementation of new laws and regulati</w:t>
      </w:r>
      <w:r>
        <w:rPr>
          <w:rFonts w:ascii="Times" w:hAnsi="Times"/>
          <w:sz w:val="20"/>
          <w:szCs w:val="20"/>
        </w:rPr>
        <w:t>ons, and revisions to FDA clinical trial design guidance may lead to increased uncertainty regarding the approvability of new drugs. See the risk factor entitled</w:t>
      </w:r>
      <w:r>
        <w:rPr>
          <w:rFonts w:ascii="Times" w:hAnsi="Times"/>
          <w:sz w:val="20"/>
          <w:szCs w:val="20"/>
        </w:rPr>
        <w:t xml:space="preserve"> </w:t>
      </w:r>
      <w:r>
        <w:rPr>
          <w:rFonts w:ascii="Times" w:hAnsi="Times"/>
          <w:sz w:val="20"/>
          <w:szCs w:val="20"/>
        </w:rPr>
        <w:t>“</w:t>
      </w:r>
      <w:r>
        <w:rPr>
          <w:rFonts w:ascii="Times" w:hAnsi="Times"/>
          <w:i/>
          <w:iCs/>
          <w:sz w:val="20"/>
          <w:szCs w:val="20"/>
        </w:rPr>
        <w:t>Any delay in commencing or completing clinical studies for product candidates and any adverse</w:t>
      </w:r>
      <w:r>
        <w:rPr>
          <w:rFonts w:ascii="Times" w:hAnsi="Times"/>
          <w:i/>
          <w:iCs/>
          <w:sz w:val="20"/>
          <w:szCs w:val="20"/>
        </w:rPr>
        <w:t xml:space="preserve"> results from clinical or non-clinical studies or regulatory obstacles product candidates may face, would harm our business and the price of our securities could fall</w:t>
      </w:r>
      <w:r>
        <w:rPr>
          <w:rFonts w:ascii="Times" w:hAnsi="Times"/>
          <w:sz w:val="20"/>
          <w:szCs w:val="20"/>
        </w:rPr>
        <w:t>”</w:t>
      </w:r>
      <w:r>
        <w:rPr>
          <w:rFonts w:ascii="Times" w:hAnsi="Times"/>
          <w:sz w:val="20"/>
          <w:szCs w:val="20"/>
        </w:rPr>
        <w:t xml:space="preserve"> </w:t>
      </w:r>
      <w:r>
        <w:rPr>
          <w:rFonts w:ascii="Times" w:hAnsi="Times"/>
          <w:sz w:val="20"/>
          <w:szCs w:val="20"/>
        </w:rPr>
        <w:t>above for additional information.</w:t>
      </w:r>
      <w:r>
        <w:rPr>
          <w:rFonts w:ascii="Times" w:hAnsi="Times"/>
          <w:color w:val="FF0000"/>
          <w:sz w:val="20"/>
          <w:szCs w:val="20"/>
        </w:rPr>
        <w:t xml:space="preserve"> </w:t>
      </w:r>
      <w:r>
        <w:rPr>
          <w:rFonts w:ascii="Times" w:hAnsi="Times"/>
          <w:sz w:val="20"/>
          <w:szCs w:val="20"/>
        </w:rPr>
        <w:t>In addition, the FDA has additional standards for appr</w:t>
      </w:r>
      <w:r>
        <w:rPr>
          <w:rFonts w:ascii="Times" w:hAnsi="Times"/>
          <w:sz w:val="20"/>
          <w:szCs w:val="20"/>
        </w:rPr>
        <w:t>oval of new drugs, including recommended advisory committee meetings for certain new molecular entities, and formal risk evaluation and mitigation requirements at the FDA’s discretion. Even if we receive regulatory approval of a product, the approval may l</w:t>
      </w:r>
      <w:r>
        <w:rPr>
          <w:rFonts w:ascii="Times" w:hAnsi="Times"/>
          <w:sz w:val="20"/>
          <w:szCs w:val="20"/>
        </w:rPr>
        <w:t>imit the indicated uses for which the drug may be marketed or impose significant restrictions or limitations on the use and/or distribution of such product.</w:t>
      </w:r>
      <w:r>
        <w:rPr>
          <w:rFonts w:ascii="Times" w:hAnsi="Times"/>
          <w:sz w:val="20"/>
          <w:szCs w:val="20"/>
        </w:rPr>
        <w:t xml:space="preserve"> </w:t>
      </w:r>
    </w:p>
    <w:p w14:paraId="1730ADE6" w14:textId="77777777" w:rsidR="00000000" w:rsidRDefault="00097612">
      <w:pPr>
        <w:pStyle w:val="a3"/>
        <w:spacing w:before="0" w:beforeAutospacing="0" w:after="0" w:afterAutospacing="0"/>
        <w:ind w:firstLine="720"/>
        <w:divId w:val="700401133"/>
        <w:rPr>
          <w:rFonts w:ascii="Times" w:hAnsi="Times"/>
          <w:sz w:val="20"/>
          <w:szCs w:val="20"/>
        </w:rPr>
      </w:pPr>
      <w:r>
        <w:rPr>
          <w:rFonts w:ascii="Times" w:hAnsi="Times"/>
          <w:sz w:val="20"/>
          <w:szCs w:val="20"/>
        </w:rPr>
        <w:t>​</w:t>
      </w:r>
    </w:p>
    <w:p w14:paraId="418BFF9C" w14:textId="77777777" w:rsidR="00000000" w:rsidRDefault="00097612">
      <w:pPr>
        <w:pStyle w:val="a3"/>
        <w:spacing w:before="360" w:beforeAutospacing="0" w:after="0" w:afterAutospacing="0"/>
        <w:jc w:val="center"/>
        <w:divId w:val="784466670"/>
        <w:rPr>
          <w:sz w:val="20"/>
          <w:szCs w:val="20"/>
        </w:rPr>
      </w:pPr>
      <w:r>
        <w:rPr>
          <w:sz w:val="20"/>
          <w:szCs w:val="20"/>
        </w:rPr>
        <w:t>38</w:t>
      </w:r>
    </w:p>
    <w:p w14:paraId="32D9E036" w14:textId="77777777" w:rsidR="00000000" w:rsidRDefault="00097612">
      <w:pPr>
        <w:pStyle w:val="a3"/>
        <w:spacing w:before="0" w:beforeAutospacing="0" w:after="600" w:afterAutospacing="0"/>
        <w:divId w:val="780027470"/>
        <w:rPr>
          <w:sz w:val="20"/>
          <w:szCs w:val="20"/>
        </w:rPr>
      </w:pPr>
      <w:hyperlink w:anchor="TOC" w:history="1">
        <w:r>
          <w:rPr>
            <w:rStyle w:val="a4"/>
            <w:sz w:val="20"/>
            <w:szCs w:val="20"/>
          </w:rPr>
          <w:t>Table of Contents</w:t>
        </w:r>
      </w:hyperlink>
    </w:p>
    <w:p w14:paraId="6B7B379B" w14:textId="77777777" w:rsidR="00000000" w:rsidRDefault="00097612">
      <w:pPr>
        <w:pStyle w:val="a3"/>
        <w:spacing w:before="0" w:beforeAutospacing="0" w:after="0" w:afterAutospacing="0"/>
        <w:ind w:firstLine="720"/>
        <w:divId w:val="841311485"/>
        <w:rPr>
          <w:rFonts w:ascii="Times" w:hAnsi="Times"/>
          <w:sz w:val="20"/>
          <w:szCs w:val="20"/>
        </w:rPr>
      </w:pPr>
      <w:r>
        <w:rPr>
          <w:rFonts w:ascii="Times" w:hAnsi="Times"/>
          <w:sz w:val="20"/>
          <w:szCs w:val="20"/>
        </w:rPr>
        <w:t xml:space="preserve">In addition, in order to market our medicines in </w:t>
      </w:r>
      <w:r>
        <w:rPr>
          <w:rFonts w:ascii="Times" w:hAnsi="Times"/>
          <w:sz w:val="20"/>
          <w:szCs w:val="20"/>
        </w:rPr>
        <w:t>foreign jurisdictions, we or our collaborative partners must obtain separate regulatory approvals in each country. The approval procedure varies among countries and can involve additional testing, and the time required to obtain approval may differ from th</w:t>
      </w:r>
      <w:r>
        <w:rPr>
          <w:rFonts w:ascii="Times" w:hAnsi="Times"/>
          <w:sz w:val="20"/>
          <w:szCs w:val="20"/>
        </w:rPr>
        <w:t>at required to obtain FDA approval. Approval by the FDA does not ensure approval by regulatory authorities in other countries, and approval by one foreign regulatory authority does not ensure approval by regulatory authorities in other foreign countries or</w:t>
      </w:r>
      <w:r>
        <w:rPr>
          <w:rFonts w:ascii="Times" w:hAnsi="Times"/>
          <w:sz w:val="20"/>
          <w:szCs w:val="20"/>
        </w:rPr>
        <w:t xml:space="preserve"> by the FDA. Conversely, failure to obtain approval in one or more jurisdictions may make approval in other jurisdictions more difficult. These laws, regulations, additional requirements and changes in interpretation could cause non-approval or further del</w:t>
      </w:r>
      <w:r>
        <w:rPr>
          <w:rFonts w:ascii="Times" w:hAnsi="Times"/>
          <w:sz w:val="20"/>
          <w:szCs w:val="20"/>
        </w:rPr>
        <w:t>ays in the FDA’s or other regulatory authorities’</w:t>
      </w:r>
      <w:r>
        <w:rPr>
          <w:rFonts w:ascii="Times" w:hAnsi="Times"/>
          <w:sz w:val="20"/>
          <w:szCs w:val="20"/>
        </w:rPr>
        <w:t xml:space="preserve"> </w:t>
      </w:r>
      <w:r>
        <w:rPr>
          <w:rFonts w:ascii="Times" w:hAnsi="Times"/>
          <w:sz w:val="20"/>
          <w:szCs w:val="20"/>
        </w:rPr>
        <w:t>review and approval of our and our collaborative partner’s product candidates, which would materially harm our business and financial condition and could cause the price of our securities to fall.</w:t>
      </w:r>
      <w:r>
        <w:rPr>
          <w:rFonts w:ascii="Times" w:hAnsi="Times"/>
          <w:sz w:val="20"/>
          <w:szCs w:val="20"/>
        </w:rPr>
        <w:t xml:space="preserve"> </w:t>
      </w:r>
    </w:p>
    <w:p w14:paraId="711113CA" w14:textId="77777777" w:rsidR="00000000" w:rsidRDefault="00097612">
      <w:pPr>
        <w:pStyle w:val="a3"/>
        <w:spacing w:before="0" w:beforeAutospacing="0" w:after="0" w:afterAutospacing="0"/>
        <w:ind w:firstLine="720"/>
        <w:divId w:val="841311485"/>
        <w:rPr>
          <w:rFonts w:ascii="Times" w:hAnsi="Times"/>
          <w:sz w:val="20"/>
          <w:szCs w:val="20"/>
        </w:rPr>
      </w:pPr>
      <w:r>
        <w:rPr>
          <w:rFonts w:ascii="Times" w:hAnsi="Times"/>
          <w:sz w:val="20"/>
          <w:szCs w:val="20"/>
        </w:rPr>
        <w:t>​</w:t>
      </w:r>
    </w:p>
    <w:p w14:paraId="37312E89" w14:textId="77777777" w:rsidR="00000000" w:rsidRDefault="00097612">
      <w:pPr>
        <w:pStyle w:val="a3"/>
        <w:spacing w:before="0" w:beforeAutospacing="0" w:after="120" w:afterAutospacing="0"/>
        <w:divId w:val="841311485"/>
        <w:rPr>
          <w:rFonts w:ascii="Times" w:hAnsi="Times"/>
          <w:b/>
          <w:bCs/>
          <w:i/>
          <w:iCs/>
          <w:sz w:val="20"/>
          <w:szCs w:val="20"/>
        </w:rPr>
      </w:pPr>
      <w:r>
        <w:rPr>
          <w:rFonts w:ascii="Times" w:hAnsi="Times"/>
          <w:b/>
          <w:bCs/>
          <w:i/>
          <w:iCs/>
          <w:sz w:val="20"/>
          <w:szCs w:val="20"/>
        </w:rPr>
        <w:t>If add</w:t>
      </w:r>
      <w:r>
        <w:rPr>
          <w:rFonts w:ascii="Times" w:hAnsi="Times"/>
          <w:b/>
          <w:bCs/>
          <w:i/>
          <w:iCs/>
          <w:sz w:val="20"/>
          <w:szCs w:val="20"/>
        </w:rPr>
        <w:t>itional capital is not available, we may have to curtail or cease operations or we could be forced to share our rights to commercialize our product candidates with third parties on terms that may not be favorable to us.</w:t>
      </w:r>
      <w:r>
        <w:rPr>
          <w:rFonts w:ascii="Times" w:hAnsi="Times"/>
          <w:b/>
          <w:bCs/>
          <w:i/>
          <w:iCs/>
          <w:sz w:val="20"/>
          <w:szCs w:val="20"/>
        </w:rPr>
        <w:t xml:space="preserve"> </w:t>
      </w:r>
    </w:p>
    <w:p w14:paraId="74D304E0" w14:textId="77777777" w:rsidR="00000000" w:rsidRDefault="00097612">
      <w:pPr>
        <w:pStyle w:val="a3"/>
        <w:spacing w:before="0" w:beforeAutospacing="0" w:after="0" w:afterAutospacing="0"/>
        <w:ind w:firstLine="720"/>
        <w:divId w:val="841311485"/>
        <w:rPr>
          <w:rFonts w:ascii="Times" w:hAnsi="Times"/>
          <w:sz w:val="20"/>
          <w:szCs w:val="20"/>
        </w:rPr>
      </w:pPr>
      <w:r>
        <w:rPr>
          <w:rFonts w:ascii="Times" w:hAnsi="Times"/>
          <w:sz w:val="20"/>
          <w:szCs w:val="20"/>
        </w:rPr>
        <w:t>Based on our current operating plan</w:t>
      </w:r>
      <w:r>
        <w:rPr>
          <w:rFonts w:ascii="Times" w:hAnsi="Times"/>
          <w:sz w:val="20"/>
          <w:szCs w:val="20"/>
        </w:rPr>
        <w:t>s and financial forecasts, we believe that our cash, cash equivalents and marketable securities will be sufficient to meet our anticipated operating needs for at least the next twelve months. However, our current operating plans or financial forecasts occa</w:t>
      </w:r>
      <w:r>
        <w:rPr>
          <w:rFonts w:ascii="Times" w:hAnsi="Times"/>
          <w:sz w:val="20"/>
          <w:szCs w:val="20"/>
        </w:rPr>
        <w:t>sionally change. For example, in August 2017, we announced an increase in our anticipated operating loss for 2017, primarily driven by our decision to accelerate funding associated with the next phase of development TD-1473 in our JAK inhibitor program. If</w:t>
      </w:r>
      <w:r>
        <w:rPr>
          <w:rFonts w:ascii="Times" w:hAnsi="Times"/>
          <w:sz w:val="20"/>
          <w:szCs w:val="20"/>
        </w:rPr>
        <w:t xml:space="preserve"> our current operating plans or financial forecasts change, we may require or seek additional funding sooner in the form of public or private equity or equity-linked offerings, debt financings or additional collaborations and licensing arrangements.</w:t>
      </w:r>
      <w:r>
        <w:rPr>
          <w:rFonts w:ascii="Times" w:hAnsi="Times"/>
          <w:sz w:val="20"/>
          <w:szCs w:val="20"/>
        </w:rPr>
        <w:t xml:space="preserve"> </w:t>
      </w:r>
    </w:p>
    <w:p w14:paraId="5E6EEDAC" w14:textId="77777777" w:rsidR="00000000" w:rsidRDefault="00097612">
      <w:pPr>
        <w:pStyle w:val="a3"/>
        <w:spacing w:before="0" w:beforeAutospacing="0" w:after="0" w:afterAutospacing="0"/>
        <w:ind w:firstLine="720"/>
        <w:divId w:val="841311485"/>
        <w:rPr>
          <w:rFonts w:ascii="Times" w:hAnsi="Times"/>
          <w:sz w:val="20"/>
          <w:szCs w:val="20"/>
        </w:rPr>
      </w:pPr>
      <w:r>
        <w:rPr>
          <w:rFonts w:ascii="Times" w:hAnsi="Times"/>
          <w:sz w:val="20"/>
          <w:szCs w:val="20"/>
        </w:rPr>
        <w:t>​</w:t>
      </w:r>
    </w:p>
    <w:p w14:paraId="60A0D9B1" w14:textId="77777777" w:rsidR="00000000" w:rsidRDefault="00097612">
      <w:pPr>
        <w:pStyle w:val="a3"/>
        <w:spacing w:before="0" w:beforeAutospacing="0" w:after="240" w:afterAutospacing="0"/>
        <w:ind w:firstLine="720"/>
        <w:divId w:val="841311485"/>
        <w:rPr>
          <w:rFonts w:ascii="Times" w:hAnsi="Times"/>
          <w:sz w:val="20"/>
          <w:szCs w:val="20"/>
        </w:rPr>
      </w:pPr>
      <w:r>
        <w:rPr>
          <w:rFonts w:ascii="Times" w:hAnsi="Times"/>
          <w:sz w:val="20"/>
          <w:szCs w:val="20"/>
        </w:rPr>
        <w:t xml:space="preserve">We </w:t>
      </w:r>
      <w:r>
        <w:rPr>
          <w:rFonts w:ascii="Times" w:hAnsi="Times"/>
          <w:sz w:val="20"/>
          <w:szCs w:val="20"/>
        </w:rPr>
        <w:t>may need to raise additional capital in the future to,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9676FDD" w14:textId="77777777">
        <w:trPr>
          <w:divId w:val="841311485"/>
        </w:trPr>
        <w:tc>
          <w:tcPr>
            <w:tcW w:w="720" w:type="dxa"/>
            <w:vAlign w:val="center"/>
            <w:hideMark/>
          </w:tcPr>
          <w:p w14:paraId="15CC3EF5"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579806CF"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E4A09D0"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fund our discovery efforts and research and development programs;</w:t>
            </w:r>
            <w:r>
              <w:rPr>
                <w:rFonts w:ascii="Times" w:eastAsia="Times New Roman" w:hAnsi="Times"/>
                <w:color w:val="000000"/>
                <w:sz w:val="20"/>
                <w:szCs w:val="20"/>
              </w:rPr>
              <w:t xml:space="preserve"> </w:t>
            </w:r>
          </w:p>
        </w:tc>
      </w:tr>
    </w:tbl>
    <w:p w14:paraId="103B6281" w14:textId="77777777" w:rsidR="00000000" w:rsidRDefault="00097612">
      <w:pPr>
        <w:divId w:val="8413114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7494F3A" w14:textId="77777777">
        <w:trPr>
          <w:divId w:val="841311485"/>
        </w:trPr>
        <w:tc>
          <w:tcPr>
            <w:tcW w:w="720" w:type="dxa"/>
            <w:vAlign w:val="center"/>
            <w:hideMark/>
          </w:tcPr>
          <w:p w14:paraId="513EB405" w14:textId="77777777" w:rsidR="00000000" w:rsidRDefault="00097612">
            <w:pPr>
              <w:rPr>
                <w:rFonts w:eastAsia="Times New Roman"/>
              </w:rPr>
            </w:pPr>
          </w:p>
        </w:tc>
        <w:tc>
          <w:tcPr>
            <w:tcW w:w="360" w:type="dxa"/>
            <w:noWrap/>
            <w:tcMar>
              <w:top w:w="0" w:type="dxa"/>
              <w:left w:w="0" w:type="dxa"/>
              <w:bottom w:w="0" w:type="dxa"/>
              <w:right w:w="0" w:type="dxa"/>
            </w:tcMar>
            <w:hideMark/>
          </w:tcPr>
          <w:p w14:paraId="6D8D16C1"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8AEDC61"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fund our commercialization strategies for any approved products and to prepare for potential product approvals;</w:t>
            </w:r>
            <w:r>
              <w:rPr>
                <w:rFonts w:ascii="Times" w:eastAsia="Times New Roman" w:hAnsi="Times"/>
                <w:color w:val="000000"/>
                <w:sz w:val="20"/>
                <w:szCs w:val="20"/>
              </w:rPr>
              <w:t xml:space="preserve"> </w:t>
            </w:r>
          </w:p>
        </w:tc>
      </w:tr>
    </w:tbl>
    <w:p w14:paraId="627143AD" w14:textId="77777777" w:rsidR="00000000" w:rsidRDefault="00097612">
      <w:pPr>
        <w:divId w:val="8413114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6B16056" w14:textId="77777777">
        <w:trPr>
          <w:divId w:val="841311485"/>
        </w:trPr>
        <w:tc>
          <w:tcPr>
            <w:tcW w:w="720" w:type="dxa"/>
            <w:vAlign w:val="center"/>
            <w:hideMark/>
          </w:tcPr>
          <w:p w14:paraId="2E3E3B5C" w14:textId="77777777" w:rsidR="00000000" w:rsidRDefault="00097612">
            <w:pPr>
              <w:rPr>
                <w:rFonts w:eastAsia="Times New Roman"/>
              </w:rPr>
            </w:pPr>
          </w:p>
        </w:tc>
        <w:tc>
          <w:tcPr>
            <w:tcW w:w="360" w:type="dxa"/>
            <w:noWrap/>
            <w:tcMar>
              <w:top w:w="0" w:type="dxa"/>
              <w:left w:w="0" w:type="dxa"/>
              <w:bottom w:w="0" w:type="dxa"/>
              <w:right w:w="0" w:type="dxa"/>
            </w:tcMar>
            <w:hideMark/>
          </w:tcPr>
          <w:p w14:paraId="24780766"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BC098C4" w14:textId="77777777" w:rsidR="00000000" w:rsidRDefault="00097612">
            <w:pPr>
              <w:rPr>
                <w:rFonts w:ascii="Times" w:eastAsia="Times New Roman" w:hAnsi="Times"/>
                <w:sz w:val="20"/>
                <w:szCs w:val="20"/>
              </w:rPr>
            </w:pPr>
            <w:r>
              <w:rPr>
                <w:rFonts w:ascii="Times" w:eastAsia="Times New Roman" w:hAnsi="Times"/>
                <w:color w:val="000000"/>
                <w:sz w:val="20"/>
                <w:szCs w:val="20"/>
              </w:rPr>
              <w:t>support our independent sales and marketing</w:t>
            </w:r>
            <w:r>
              <w:rPr>
                <w:rFonts w:ascii="Times" w:eastAsia="Times New Roman" w:hAnsi="Times"/>
                <w:color w:val="000000"/>
                <w:sz w:val="20"/>
                <w:szCs w:val="20"/>
              </w:rPr>
              <w:t xml:space="preserve"> </w:t>
            </w:r>
            <w:r>
              <w:rPr>
                <w:rFonts w:ascii="Times" w:eastAsia="Times New Roman" w:hAnsi="Times"/>
                <w:color w:val="000000"/>
                <w:sz w:val="20"/>
                <w:szCs w:val="20"/>
              </w:rPr>
              <w:t>organization and medical affairs team;</w:t>
            </w:r>
          </w:p>
        </w:tc>
      </w:tr>
    </w:tbl>
    <w:p w14:paraId="2DC98182" w14:textId="77777777" w:rsidR="00000000" w:rsidRDefault="00097612">
      <w:pPr>
        <w:divId w:val="8413114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E0B680D" w14:textId="77777777">
        <w:trPr>
          <w:divId w:val="841311485"/>
        </w:trPr>
        <w:tc>
          <w:tcPr>
            <w:tcW w:w="720" w:type="dxa"/>
            <w:vAlign w:val="center"/>
            <w:hideMark/>
          </w:tcPr>
          <w:p w14:paraId="267A2FE5" w14:textId="77777777" w:rsidR="00000000" w:rsidRDefault="00097612">
            <w:pPr>
              <w:rPr>
                <w:rFonts w:eastAsia="Times New Roman"/>
              </w:rPr>
            </w:pPr>
          </w:p>
        </w:tc>
        <w:tc>
          <w:tcPr>
            <w:tcW w:w="360" w:type="dxa"/>
            <w:noWrap/>
            <w:tcMar>
              <w:top w:w="0" w:type="dxa"/>
              <w:left w:w="0" w:type="dxa"/>
              <w:bottom w:w="0" w:type="dxa"/>
              <w:right w:w="0" w:type="dxa"/>
            </w:tcMar>
            <w:hideMark/>
          </w:tcPr>
          <w:p w14:paraId="388C2B99"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4716A64"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support our additional investments in YUPELRI, inc</w:t>
            </w:r>
            <w:r>
              <w:rPr>
                <w:rFonts w:ascii="Times" w:eastAsia="Times New Roman" w:hAnsi="Times"/>
                <w:color w:val="000000"/>
                <w:sz w:val="20"/>
                <w:szCs w:val="20"/>
              </w:rPr>
              <w:t>luding potential post-marketing clinical studies;</w:t>
            </w:r>
          </w:p>
        </w:tc>
      </w:tr>
    </w:tbl>
    <w:p w14:paraId="56A39FF3" w14:textId="77777777" w:rsidR="00000000" w:rsidRDefault="00097612">
      <w:pPr>
        <w:divId w:val="8413114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6266858" w14:textId="77777777">
        <w:trPr>
          <w:divId w:val="841311485"/>
        </w:trPr>
        <w:tc>
          <w:tcPr>
            <w:tcW w:w="720" w:type="dxa"/>
            <w:vAlign w:val="center"/>
            <w:hideMark/>
          </w:tcPr>
          <w:p w14:paraId="5E3C1653" w14:textId="77777777" w:rsidR="00000000" w:rsidRDefault="00097612">
            <w:pPr>
              <w:rPr>
                <w:rFonts w:eastAsia="Times New Roman"/>
              </w:rPr>
            </w:pPr>
          </w:p>
        </w:tc>
        <w:tc>
          <w:tcPr>
            <w:tcW w:w="360" w:type="dxa"/>
            <w:noWrap/>
            <w:tcMar>
              <w:top w:w="0" w:type="dxa"/>
              <w:left w:w="0" w:type="dxa"/>
              <w:bottom w:w="0" w:type="dxa"/>
              <w:right w:w="0" w:type="dxa"/>
            </w:tcMar>
            <w:hideMark/>
          </w:tcPr>
          <w:p w14:paraId="42316151"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B6F413B"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progress any additional product candidates into later-stage development without funding from a collaboration partner;</w:t>
            </w:r>
          </w:p>
        </w:tc>
      </w:tr>
    </w:tbl>
    <w:p w14:paraId="3A7DF82C" w14:textId="77777777" w:rsidR="00000000" w:rsidRDefault="00097612">
      <w:pPr>
        <w:divId w:val="8413114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ED1EED2" w14:textId="77777777">
        <w:trPr>
          <w:divId w:val="841311485"/>
        </w:trPr>
        <w:tc>
          <w:tcPr>
            <w:tcW w:w="720" w:type="dxa"/>
            <w:vAlign w:val="center"/>
            <w:hideMark/>
          </w:tcPr>
          <w:p w14:paraId="0DA681BC" w14:textId="77777777" w:rsidR="00000000" w:rsidRDefault="00097612">
            <w:pPr>
              <w:rPr>
                <w:rFonts w:eastAsia="Times New Roman"/>
              </w:rPr>
            </w:pPr>
          </w:p>
        </w:tc>
        <w:tc>
          <w:tcPr>
            <w:tcW w:w="360" w:type="dxa"/>
            <w:noWrap/>
            <w:tcMar>
              <w:top w:w="0" w:type="dxa"/>
              <w:left w:w="0" w:type="dxa"/>
              <w:bottom w:w="0" w:type="dxa"/>
              <w:right w:w="0" w:type="dxa"/>
            </w:tcMar>
            <w:hideMark/>
          </w:tcPr>
          <w:p w14:paraId="47CBC34B"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F0FDE59"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progress mid-to-late stage product candidates into later-stage development, if</w:t>
            </w:r>
            <w:r>
              <w:rPr>
                <w:rFonts w:ascii="Times" w:eastAsia="Times New Roman" w:hAnsi="Times"/>
                <w:color w:val="000000"/>
                <w:sz w:val="20"/>
                <w:szCs w:val="20"/>
              </w:rPr>
              <w:t xml:space="preserve"> warranted;</w:t>
            </w:r>
            <w:r>
              <w:rPr>
                <w:rFonts w:ascii="Times" w:eastAsia="Times New Roman" w:hAnsi="Times"/>
                <w:color w:val="000000"/>
                <w:sz w:val="20"/>
                <w:szCs w:val="20"/>
              </w:rPr>
              <w:t xml:space="preserve"> </w:t>
            </w:r>
          </w:p>
        </w:tc>
      </w:tr>
    </w:tbl>
    <w:p w14:paraId="66C3DD1B" w14:textId="77777777" w:rsidR="00000000" w:rsidRDefault="00097612">
      <w:pPr>
        <w:divId w:val="8413114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83B9EF6" w14:textId="77777777">
        <w:trPr>
          <w:divId w:val="841311485"/>
        </w:trPr>
        <w:tc>
          <w:tcPr>
            <w:tcW w:w="720" w:type="dxa"/>
            <w:vAlign w:val="center"/>
            <w:hideMark/>
          </w:tcPr>
          <w:p w14:paraId="03064774" w14:textId="77777777" w:rsidR="00000000" w:rsidRDefault="00097612">
            <w:pPr>
              <w:rPr>
                <w:rFonts w:eastAsia="Times New Roman"/>
              </w:rPr>
            </w:pPr>
          </w:p>
        </w:tc>
        <w:tc>
          <w:tcPr>
            <w:tcW w:w="360" w:type="dxa"/>
            <w:noWrap/>
            <w:tcMar>
              <w:top w:w="0" w:type="dxa"/>
              <w:left w:w="0" w:type="dxa"/>
              <w:bottom w:w="0" w:type="dxa"/>
              <w:right w:w="0" w:type="dxa"/>
            </w:tcMar>
            <w:hideMark/>
          </w:tcPr>
          <w:p w14:paraId="22EFDD2C"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704A505"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respond to competitive pressures; and</w:t>
            </w:r>
            <w:r>
              <w:rPr>
                <w:rFonts w:ascii="Times" w:eastAsia="Times New Roman" w:hAnsi="Times"/>
                <w:color w:val="000000"/>
                <w:sz w:val="20"/>
                <w:szCs w:val="20"/>
              </w:rPr>
              <w:t xml:space="preserve"> </w:t>
            </w:r>
          </w:p>
        </w:tc>
      </w:tr>
    </w:tbl>
    <w:p w14:paraId="624E1DA7" w14:textId="77777777" w:rsidR="00000000" w:rsidRDefault="00097612">
      <w:pPr>
        <w:divId w:val="8413114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0BF862F" w14:textId="77777777">
        <w:trPr>
          <w:divId w:val="841311485"/>
        </w:trPr>
        <w:tc>
          <w:tcPr>
            <w:tcW w:w="720" w:type="dxa"/>
            <w:vAlign w:val="center"/>
            <w:hideMark/>
          </w:tcPr>
          <w:p w14:paraId="69D48B26" w14:textId="77777777" w:rsidR="00000000" w:rsidRDefault="00097612">
            <w:pPr>
              <w:rPr>
                <w:rFonts w:eastAsia="Times New Roman"/>
              </w:rPr>
            </w:pPr>
          </w:p>
        </w:tc>
        <w:tc>
          <w:tcPr>
            <w:tcW w:w="360" w:type="dxa"/>
            <w:noWrap/>
            <w:tcMar>
              <w:top w:w="0" w:type="dxa"/>
              <w:left w:w="0" w:type="dxa"/>
              <w:bottom w:w="0" w:type="dxa"/>
              <w:right w:w="0" w:type="dxa"/>
            </w:tcMar>
            <w:hideMark/>
          </w:tcPr>
          <w:p w14:paraId="19EB17D5"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AFE16D9" w14:textId="77777777" w:rsidR="00000000" w:rsidRDefault="00097612">
            <w:pPr>
              <w:rPr>
                <w:rFonts w:ascii="Times" w:eastAsia="Times New Roman" w:hAnsi="Times"/>
                <w:sz w:val="20"/>
                <w:szCs w:val="20"/>
              </w:rPr>
            </w:pPr>
            <w:r>
              <w:rPr>
                <w:rFonts w:ascii="Times" w:eastAsia="Times New Roman" w:hAnsi="Times"/>
                <w:color w:val="000000"/>
                <w:sz w:val="20"/>
                <w:szCs w:val="20"/>
              </w:rPr>
              <w:t>acquire complementary businesses or technologies.</w:t>
            </w:r>
            <w:r>
              <w:rPr>
                <w:rFonts w:ascii="Times" w:eastAsia="Times New Roman" w:hAnsi="Times"/>
                <w:color w:val="000000"/>
                <w:sz w:val="20"/>
                <w:szCs w:val="20"/>
              </w:rPr>
              <w:t xml:space="preserve"> </w:t>
            </w:r>
          </w:p>
        </w:tc>
      </w:tr>
    </w:tbl>
    <w:p w14:paraId="3E8B7C96" w14:textId="77777777" w:rsidR="00000000" w:rsidRDefault="00097612">
      <w:pPr>
        <w:pStyle w:val="a3"/>
        <w:spacing w:before="0" w:beforeAutospacing="0" w:after="240" w:afterAutospacing="0"/>
        <w:ind w:firstLine="720"/>
        <w:divId w:val="841311485"/>
        <w:rPr>
          <w:rFonts w:ascii="Times" w:hAnsi="Times"/>
          <w:sz w:val="20"/>
          <w:szCs w:val="20"/>
        </w:rPr>
      </w:pPr>
      <w:r>
        <w:rPr>
          <w:rFonts w:ascii="Times" w:hAnsi="Times"/>
          <w:sz w:val="20"/>
          <w:szCs w:val="20"/>
        </w:rPr>
        <w:t>Our future capital needs depend on many factors,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368B1C6" w14:textId="77777777">
        <w:trPr>
          <w:divId w:val="841311485"/>
        </w:trPr>
        <w:tc>
          <w:tcPr>
            <w:tcW w:w="720" w:type="dxa"/>
            <w:vAlign w:val="center"/>
            <w:hideMark/>
          </w:tcPr>
          <w:p w14:paraId="08375339"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4D80652F"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1B68DBF"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scope, duration and expenditures associated with our discovery efforts and research and development programs;</w:t>
            </w:r>
            <w:r>
              <w:rPr>
                <w:rFonts w:ascii="Times" w:eastAsia="Times New Roman" w:hAnsi="Times"/>
                <w:color w:val="000000"/>
                <w:sz w:val="20"/>
                <w:szCs w:val="20"/>
              </w:rPr>
              <w:t xml:space="preserve"> </w:t>
            </w:r>
          </w:p>
        </w:tc>
      </w:tr>
    </w:tbl>
    <w:p w14:paraId="4278ED85" w14:textId="77777777" w:rsidR="00000000" w:rsidRDefault="00097612">
      <w:pPr>
        <w:divId w:val="8413114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331FB42" w14:textId="77777777">
        <w:trPr>
          <w:divId w:val="841311485"/>
        </w:trPr>
        <w:tc>
          <w:tcPr>
            <w:tcW w:w="720" w:type="dxa"/>
            <w:vAlign w:val="center"/>
            <w:hideMark/>
          </w:tcPr>
          <w:p w14:paraId="343CD312" w14:textId="77777777" w:rsidR="00000000" w:rsidRDefault="00097612">
            <w:pPr>
              <w:rPr>
                <w:rFonts w:eastAsia="Times New Roman"/>
              </w:rPr>
            </w:pPr>
          </w:p>
        </w:tc>
        <w:tc>
          <w:tcPr>
            <w:tcW w:w="360" w:type="dxa"/>
            <w:noWrap/>
            <w:tcMar>
              <w:top w:w="0" w:type="dxa"/>
              <w:left w:w="0" w:type="dxa"/>
              <w:bottom w:w="0" w:type="dxa"/>
              <w:right w:w="0" w:type="dxa"/>
            </w:tcMar>
            <w:hideMark/>
          </w:tcPr>
          <w:p w14:paraId="1C7A2585"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4FE19D7"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continued scientific progress in these programs;</w:t>
            </w:r>
            <w:r>
              <w:rPr>
                <w:rFonts w:ascii="Times" w:eastAsia="Times New Roman" w:hAnsi="Times"/>
                <w:color w:val="000000"/>
                <w:sz w:val="20"/>
                <w:szCs w:val="20"/>
              </w:rPr>
              <w:t xml:space="preserve"> </w:t>
            </w:r>
          </w:p>
        </w:tc>
      </w:tr>
    </w:tbl>
    <w:p w14:paraId="5F810EFB" w14:textId="77777777" w:rsidR="00000000" w:rsidRDefault="00097612">
      <w:pPr>
        <w:divId w:val="8413114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44F6C88" w14:textId="77777777">
        <w:trPr>
          <w:divId w:val="841311485"/>
        </w:trPr>
        <w:tc>
          <w:tcPr>
            <w:tcW w:w="720" w:type="dxa"/>
            <w:vAlign w:val="center"/>
            <w:hideMark/>
          </w:tcPr>
          <w:p w14:paraId="7528A4B2" w14:textId="77777777" w:rsidR="00000000" w:rsidRDefault="00097612">
            <w:pPr>
              <w:rPr>
                <w:rFonts w:eastAsia="Times New Roman"/>
              </w:rPr>
            </w:pPr>
          </w:p>
        </w:tc>
        <w:tc>
          <w:tcPr>
            <w:tcW w:w="360" w:type="dxa"/>
            <w:noWrap/>
            <w:tcMar>
              <w:top w:w="0" w:type="dxa"/>
              <w:left w:w="0" w:type="dxa"/>
              <w:bottom w:w="0" w:type="dxa"/>
              <w:right w:w="0" w:type="dxa"/>
            </w:tcMar>
            <w:hideMark/>
          </w:tcPr>
          <w:p w14:paraId="334347FC"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72D6A2F"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extent to which we encounter technical obstacles in our research and development programs;</w:t>
            </w:r>
            <w:r>
              <w:rPr>
                <w:rFonts w:ascii="Times" w:eastAsia="Times New Roman" w:hAnsi="Times"/>
                <w:color w:val="000000"/>
                <w:sz w:val="20"/>
                <w:szCs w:val="20"/>
              </w:rPr>
              <w:t xml:space="preserve"> </w:t>
            </w:r>
          </w:p>
        </w:tc>
      </w:tr>
    </w:tbl>
    <w:p w14:paraId="560386FB" w14:textId="77777777" w:rsidR="00000000" w:rsidRDefault="00097612">
      <w:pPr>
        <w:divId w:val="8413114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D73AD9F" w14:textId="77777777">
        <w:trPr>
          <w:divId w:val="841311485"/>
        </w:trPr>
        <w:tc>
          <w:tcPr>
            <w:tcW w:w="720" w:type="dxa"/>
            <w:vAlign w:val="center"/>
            <w:hideMark/>
          </w:tcPr>
          <w:p w14:paraId="605E2266" w14:textId="77777777" w:rsidR="00000000" w:rsidRDefault="00097612">
            <w:pPr>
              <w:rPr>
                <w:rFonts w:eastAsia="Times New Roman"/>
              </w:rPr>
            </w:pPr>
          </w:p>
        </w:tc>
        <w:tc>
          <w:tcPr>
            <w:tcW w:w="360" w:type="dxa"/>
            <w:noWrap/>
            <w:tcMar>
              <w:top w:w="0" w:type="dxa"/>
              <w:left w:w="0" w:type="dxa"/>
              <w:bottom w:w="0" w:type="dxa"/>
              <w:right w:w="0" w:type="dxa"/>
            </w:tcMar>
            <w:hideMark/>
          </w:tcPr>
          <w:p w14:paraId="165A8D61"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AEE926A"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outcome of potential licensing or partnering transactions, if any;</w:t>
            </w:r>
            <w:r>
              <w:rPr>
                <w:rFonts w:ascii="Times" w:eastAsia="Times New Roman" w:hAnsi="Times"/>
                <w:color w:val="000000"/>
                <w:sz w:val="20"/>
                <w:szCs w:val="20"/>
              </w:rPr>
              <w:t xml:space="preserve"> </w:t>
            </w:r>
          </w:p>
        </w:tc>
      </w:tr>
    </w:tbl>
    <w:p w14:paraId="79D880AE" w14:textId="77777777" w:rsidR="00000000" w:rsidRDefault="00097612">
      <w:pPr>
        <w:divId w:val="8413114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B26332B" w14:textId="77777777">
        <w:trPr>
          <w:divId w:val="841311485"/>
        </w:trPr>
        <w:tc>
          <w:tcPr>
            <w:tcW w:w="720" w:type="dxa"/>
            <w:vAlign w:val="center"/>
            <w:hideMark/>
          </w:tcPr>
          <w:p w14:paraId="01CD7DD7" w14:textId="77777777" w:rsidR="00000000" w:rsidRDefault="00097612">
            <w:pPr>
              <w:rPr>
                <w:rFonts w:eastAsia="Times New Roman"/>
              </w:rPr>
            </w:pPr>
          </w:p>
        </w:tc>
        <w:tc>
          <w:tcPr>
            <w:tcW w:w="360" w:type="dxa"/>
            <w:noWrap/>
            <w:tcMar>
              <w:top w:w="0" w:type="dxa"/>
              <w:left w:w="0" w:type="dxa"/>
              <w:bottom w:w="0" w:type="dxa"/>
              <w:right w:w="0" w:type="dxa"/>
            </w:tcMar>
            <w:hideMark/>
          </w:tcPr>
          <w:p w14:paraId="43614080"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4F44C77"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competing technological developments;</w:t>
            </w:r>
            <w:r>
              <w:rPr>
                <w:rFonts w:ascii="Times" w:eastAsia="Times New Roman" w:hAnsi="Times"/>
                <w:color w:val="000000"/>
                <w:sz w:val="20"/>
                <w:szCs w:val="20"/>
              </w:rPr>
              <w:t xml:space="preserve"> </w:t>
            </w:r>
          </w:p>
        </w:tc>
      </w:tr>
    </w:tbl>
    <w:p w14:paraId="7385CC77" w14:textId="77777777" w:rsidR="00000000" w:rsidRDefault="00097612">
      <w:pPr>
        <w:pStyle w:val="a3"/>
        <w:spacing w:before="360" w:beforeAutospacing="0" w:after="0" w:afterAutospacing="0"/>
        <w:jc w:val="center"/>
        <w:divId w:val="1674915918"/>
        <w:rPr>
          <w:sz w:val="20"/>
          <w:szCs w:val="20"/>
        </w:rPr>
      </w:pPr>
      <w:r>
        <w:rPr>
          <w:sz w:val="20"/>
          <w:szCs w:val="20"/>
        </w:rPr>
        <w:t>39</w:t>
      </w:r>
    </w:p>
    <w:p w14:paraId="6F01D4E2" w14:textId="77777777" w:rsidR="00000000" w:rsidRDefault="00097612">
      <w:pPr>
        <w:pStyle w:val="a3"/>
        <w:spacing w:before="0" w:beforeAutospacing="0" w:after="600" w:afterAutospacing="0"/>
        <w:divId w:val="213347617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DEC9606" w14:textId="77777777">
        <w:trPr>
          <w:divId w:val="1455244810"/>
        </w:trPr>
        <w:tc>
          <w:tcPr>
            <w:tcW w:w="720" w:type="dxa"/>
            <w:vAlign w:val="center"/>
            <w:hideMark/>
          </w:tcPr>
          <w:p w14:paraId="3450D26C" w14:textId="77777777" w:rsidR="00000000" w:rsidRDefault="00097612">
            <w:pPr>
              <w:rPr>
                <w:sz w:val="20"/>
                <w:szCs w:val="20"/>
              </w:rPr>
            </w:pPr>
          </w:p>
        </w:tc>
        <w:tc>
          <w:tcPr>
            <w:tcW w:w="360" w:type="dxa"/>
            <w:noWrap/>
            <w:tcMar>
              <w:top w:w="0" w:type="dxa"/>
              <w:left w:w="0" w:type="dxa"/>
              <w:bottom w:w="0" w:type="dxa"/>
              <w:right w:w="0" w:type="dxa"/>
            </w:tcMar>
            <w:hideMark/>
          </w:tcPr>
          <w:p w14:paraId="1BA53781"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C4F012B"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extent of our proprietary patent position in any approved products and our product candidates;</w:t>
            </w:r>
            <w:r>
              <w:rPr>
                <w:rFonts w:ascii="Times" w:eastAsia="Times New Roman" w:hAnsi="Times"/>
                <w:color w:val="000000"/>
                <w:sz w:val="20"/>
                <w:szCs w:val="20"/>
              </w:rPr>
              <w:t xml:space="preserve"> </w:t>
            </w:r>
          </w:p>
        </w:tc>
      </w:tr>
    </w:tbl>
    <w:p w14:paraId="2844685B" w14:textId="77777777" w:rsidR="00000000" w:rsidRDefault="00097612">
      <w:pPr>
        <w:divId w:val="14552448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11A4743" w14:textId="77777777">
        <w:trPr>
          <w:divId w:val="1455244810"/>
        </w:trPr>
        <w:tc>
          <w:tcPr>
            <w:tcW w:w="720" w:type="dxa"/>
            <w:vAlign w:val="center"/>
            <w:hideMark/>
          </w:tcPr>
          <w:p w14:paraId="63642E6B" w14:textId="77777777" w:rsidR="00000000" w:rsidRDefault="00097612">
            <w:pPr>
              <w:rPr>
                <w:rFonts w:eastAsia="Times New Roman"/>
              </w:rPr>
            </w:pPr>
          </w:p>
        </w:tc>
        <w:tc>
          <w:tcPr>
            <w:tcW w:w="360" w:type="dxa"/>
            <w:noWrap/>
            <w:tcMar>
              <w:top w:w="0" w:type="dxa"/>
              <w:left w:w="0" w:type="dxa"/>
              <w:bottom w:w="0" w:type="dxa"/>
              <w:right w:w="0" w:type="dxa"/>
            </w:tcMar>
            <w:hideMark/>
          </w:tcPr>
          <w:p w14:paraId="1555A407"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1825C44"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our facilities expenses, which will vary depending on the time and terms of any facility lease or sublea</w:t>
            </w:r>
            <w:r>
              <w:rPr>
                <w:rFonts w:ascii="Times" w:eastAsia="Times New Roman" w:hAnsi="Times"/>
                <w:color w:val="000000"/>
                <w:sz w:val="20"/>
                <w:szCs w:val="20"/>
              </w:rPr>
              <w:t>se we may enter into, and other operating expenses;</w:t>
            </w:r>
            <w:r>
              <w:rPr>
                <w:rFonts w:ascii="Times" w:eastAsia="Times New Roman" w:hAnsi="Times"/>
                <w:color w:val="000000"/>
                <w:sz w:val="20"/>
                <w:szCs w:val="20"/>
              </w:rPr>
              <w:t xml:space="preserve"> </w:t>
            </w:r>
          </w:p>
        </w:tc>
      </w:tr>
    </w:tbl>
    <w:p w14:paraId="782CB5C5" w14:textId="77777777" w:rsidR="00000000" w:rsidRDefault="00097612">
      <w:pPr>
        <w:divId w:val="14552448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7E1B182" w14:textId="77777777">
        <w:trPr>
          <w:divId w:val="1455244810"/>
        </w:trPr>
        <w:tc>
          <w:tcPr>
            <w:tcW w:w="720" w:type="dxa"/>
            <w:vAlign w:val="center"/>
            <w:hideMark/>
          </w:tcPr>
          <w:p w14:paraId="66463E00" w14:textId="77777777" w:rsidR="00000000" w:rsidRDefault="00097612">
            <w:pPr>
              <w:rPr>
                <w:rFonts w:eastAsia="Times New Roman"/>
              </w:rPr>
            </w:pPr>
          </w:p>
        </w:tc>
        <w:tc>
          <w:tcPr>
            <w:tcW w:w="360" w:type="dxa"/>
            <w:noWrap/>
            <w:tcMar>
              <w:top w:w="0" w:type="dxa"/>
              <w:left w:w="0" w:type="dxa"/>
              <w:bottom w:w="0" w:type="dxa"/>
              <w:right w:w="0" w:type="dxa"/>
            </w:tcMar>
            <w:hideMark/>
          </w:tcPr>
          <w:p w14:paraId="2FC57485"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513E915"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scope and extent of the expansion of our sales and marketing efforts;</w:t>
            </w:r>
            <w:r>
              <w:rPr>
                <w:rFonts w:ascii="Times" w:eastAsia="Times New Roman" w:hAnsi="Times"/>
                <w:color w:val="000000"/>
                <w:sz w:val="20"/>
                <w:szCs w:val="20"/>
              </w:rPr>
              <w:t xml:space="preserve"> </w:t>
            </w:r>
          </w:p>
        </w:tc>
      </w:tr>
    </w:tbl>
    <w:p w14:paraId="18638AC4" w14:textId="77777777" w:rsidR="00000000" w:rsidRDefault="00097612">
      <w:pPr>
        <w:divId w:val="14552448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51AD1D1" w14:textId="77777777">
        <w:trPr>
          <w:divId w:val="1455244810"/>
        </w:trPr>
        <w:tc>
          <w:tcPr>
            <w:tcW w:w="720" w:type="dxa"/>
            <w:vAlign w:val="center"/>
            <w:hideMark/>
          </w:tcPr>
          <w:p w14:paraId="3DCF4012" w14:textId="77777777" w:rsidR="00000000" w:rsidRDefault="00097612">
            <w:pPr>
              <w:rPr>
                <w:rFonts w:eastAsia="Times New Roman"/>
              </w:rPr>
            </w:pPr>
          </w:p>
        </w:tc>
        <w:tc>
          <w:tcPr>
            <w:tcW w:w="360" w:type="dxa"/>
            <w:noWrap/>
            <w:tcMar>
              <w:top w:w="0" w:type="dxa"/>
              <w:left w:w="0" w:type="dxa"/>
              <w:bottom w:w="0" w:type="dxa"/>
              <w:right w:w="0" w:type="dxa"/>
            </w:tcMar>
            <w:hideMark/>
          </w:tcPr>
          <w:p w14:paraId="52D9B539"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50A3EE0"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potential litigation and other contingencies; and</w:t>
            </w:r>
            <w:r>
              <w:rPr>
                <w:rFonts w:ascii="Times" w:eastAsia="Times New Roman" w:hAnsi="Times"/>
                <w:color w:val="000000"/>
                <w:sz w:val="20"/>
                <w:szCs w:val="20"/>
              </w:rPr>
              <w:t xml:space="preserve"> </w:t>
            </w:r>
          </w:p>
        </w:tc>
      </w:tr>
    </w:tbl>
    <w:p w14:paraId="20F032D8" w14:textId="77777777" w:rsidR="00000000" w:rsidRDefault="00097612">
      <w:pPr>
        <w:divId w:val="14552448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EC07753" w14:textId="77777777">
        <w:trPr>
          <w:divId w:val="1455244810"/>
        </w:trPr>
        <w:tc>
          <w:tcPr>
            <w:tcW w:w="720" w:type="dxa"/>
            <w:vAlign w:val="center"/>
            <w:hideMark/>
          </w:tcPr>
          <w:p w14:paraId="39DB3BF2" w14:textId="77777777" w:rsidR="00000000" w:rsidRDefault="00097612">
            <w:pPr>
              <w:rPr>
                <w:rFonts w:eastAsia="Times New Roman"/>
              </w:rPr>
            </w:pPr>
          </w:p>
        </w:tc>
        <w:tc>
          <w:tcPr>
            <w:tcW w:w="360" w:type="dxa"/>
            <w:noWrap/>
            <w:tcMar>
              <w:top w:w="0" w:type="dxa"/>
              <w:left w:w="0" w:type="dxa"/>
              <w:bottom w:w="0" w:type="dxa"/>
              <w:right w:w="0" w:type="dxa"/>
            </w:tcMar>
            <w:hideMark/>
          </w:tcPr>
          <w:p w14:paraId="2A978496"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1C647E3" w14:textId="77777777" w:rsidR="00000000" w:rsidRDefault="00097612">
            <w:pPr>
              <w:rPr>
                <w:rFonts w:ascii="Times" w:eastAsia="Times New Roman" w:hAnsi="Times"/>
                <w:sz w:val="20"/>
                <w:szCs w:val="20"/>
              </w:rPr>
            </w:pPr>
            <w:r>
              <w:rPr>
                <w:rFonts w:ascii="Times" w:eastAsia="Times New Roman" w:hAnsi="Times"/>
                <w:color w:val="000000"/>
                <w:sz w:val="20"/>
                <w:szCs w:val="20"/>
              </w:rPr>
              <w:t>the regulatory approval process for our product candidates.</w:t>
            </w:r>
            <w:r>
              <w:rPr>
                <w:rFonts w:ascii="Times" w:eastAsia="Times New Roman" w:hAnsi="Times"/>
                <w:color w:val="000000"/>
                <w:sz w:val="20"/>
                <w:szCs w:val="20"/>
              </w:rPr>
              <w:t xml:space="preserve"> </w:t>
            </w:r>
          </w:p>
        </w:tc>
      </w:tr>
    </w:tbl>
    <w:p w14:paraId="38AE9D45" w14:textId="77777777" w:rsidR="00000000" w:rsidRDefault="00097612">
      <w:pPr>
        <w:pStyle w:val="a3"/>
        <w:spacing w:before="0" w:beforeAutospacing="0" w:after="0" w:afterAutospacing="0"/>
        <w:ind w:firstLine="720"/>
        <w:divId w:val="1455244810"/>
        <w:rPr>
          <w:sz w:val="20"/>
          <w:szCs w:val="20"/>
        </w:rPr>
      </w:pPr>
      <w:r>
        <w:rPr>
          <w:sz w:val="20"/>
          <w:szCs w:val="20"/>
        </w:rPr>
        <w:t>We intend to seek to raise additional capital or obtain future funding through public or private equity offerings, debt financings or additional collaborations and licensing arrangements to meet</w:t>
      </w:r>
      <w:r>
        <w:rPr>
          <w:sz w:val="20"/>
          <w:szCs w:val="20"/>
        </w:rPr>
        <w:t xml:space="preserve"> our capital needs or to take advantage of opportunistic market conditions. We may not be able to obtain additional financing on terms favorable to us, if at all. General market conditions may make it difficult for us to seek financing from the capital mar</w:t>
      </w:r>
      <w:r>
        <w:rPr>
          <w:sz w:val="20"/>
          <w:szCs w:val="20"/>
        </w:rPr>
        <w:t>kets. We may be required to relinquish rights to our technologies, product candidates or territories, or grant licenses on terms that are not favorable to us, in order to raise additional funds through collaborations or licensing arrangements. We may seque</w:t>
      </w:r>
      <w:r>
        <w:rPr>
          <w:sz w:val="20"/>
          <w:szCs w:val="20"/>
        </w:rPr>
        <w:t>nce preclinical and clinical studies as opposed to conducting them concomitantly in order to conserve resources, or delay, reduce or eliminate one or more of our research or development programs and reduce overall overhead expenses. If we are unable to rai</w:t>
      </w:r>
      <w:r>
        <w:rPr>
          <w:sz w:val="20"/>
          <w:szCs w:val="20"/>
        </w:rPr>
        <w:t xml:space="preserve">se additional capital or obtain future funding in sufficient amounts or on terms acceptable to us, we may have to make reductions in our workforce and may be prevented from continuing our discovery, development and commercialization efforts and exploiting </w:t>
      </w:r>
      <w:r>
        <w:rPr>
          <w:sz w:val="20"/>
          <w:szCs w:val="20"/>
        </w:rPr>
        <w:t>other corporate opportunities. This would likely harm our business, prospects and financial condition and cause the price of our securities to fall.</w:t>
      </w:r>
    </w:p>
    <w:p w14:paraId="1DD42C1F" w14:textId="77777777" w:rsidR="00000000" w:rsidRDefault="00097612">
      <w:pPr>
        <w:pStyle w:val="a3"/>
        <w:spacing w:before="0" w:beforeAutospacing="0" w:after="0" w:afterAutospacing="0"/>
        <w:divId w:val="1455244810"/>
        <w:rPr>
          <w:rFonts w:ascii="Times" w:hAnsi="Times"/>
          <w:b/>
          <w:bCs/>
          <w:i/>
          <w:iCs/>
          <w:sz w:val="20"/>
          <w:szCs w:val="20"/>
        </w:rPr>
      </w:pPr>
      <w:r>
        <w:rPr>
          <w:rFonts w:ascii="Times" w:hAnsi="Times"/>
          <w:b/>
          <w:bCs/>
          <w:i/>
          <w:iCs/>
          <w:sz w:val="20"/>
          <w:szCs w:val="20"/>
        </w:rPr>
        <w:t>​</w:t>
      </w:r>
    </w:p>
    <w:p w14:paraId="6FAD62BF" w14:textId="77777777" w:rsidR="00000000" w:rsidRDefault="00097612">
      <w:pPr>
        <w:pStyle w:val="a3"/>
        <w:spacing w:before="0" w:beforeAutospacing="0" w:after="120" w:afterAutospacing="0"/>
        <w:divId w:val="1455244810"/>
        <w:rPr>
          <w:rFonts w:ascii="Times" w:hAnsi="Times"/>
          <w:b/>
          <w:bCs/>
          <w:i/>
          <w:iCs/>
          <w:sz w:val="20"/>
          <w:szCs w:val="20"/>
        </w:rPr>
      </w:pPr>
      <w:r>
        <w:rPr>
          <w:rFonts w:ascii="Times" w:hAnsi="Times"/>
          <w:b/>
          <w:bCs/>
          <w:i/>
          <w:iCs/>
          <w:sz w:val="20"/>
          <w:szCs w:val="20"/>
        </w:rPr>
        <w:t xml:space="preserve">We may seek to obtain future financing through the issuance of debt or equity, which may have an adverse </w:t>
      </w:r>
      <w:r>
        <w:rPr>
          <w:rFonts w:ascii="Times" w:hAnsi="Times"/>
          <w:b/>
          <w:bCs/>
          <w:i/>
          <w:iCs/>
          <w:sz w:val="20"/>
          <w:szCs w:val="20"/>
        </w:rPr>
        <w:t>effect on our shareholders or may otherwise adversely affect our business.</w:t>
      </w:r>
      <w:r>
        <w:rPr>
          <w:rFonts w:ascii="Times" w:hAnsi="Times"/>
          <w:b/>
          <w:bCs/>
          <w:i/>
          <w:iCs/>
          <w:sz w:val="20"/>
          <w:szCs w:val="20"/>
        </w:rPr>
        <w:t xml:space="preserve"> </w:t>
      </w:r>
    </w:p>
    <w:p w14:paraId="69B23025" w14:textId="77777777" w:rsidR="00000000" w:rsidRDefault="00097612">
      <w:pPr>
        <w:pStyle w:val="a3"/>
        <w:spacing w:before="0" w:beforeAutospacing="0" w:after="0" w:afterAutospacing="0"/>
        <w:ind w:firstLine="720"/>
        <w:divId w:val="1455244810"/>
        <w:rPr>
          <w:sz w:val="20"/>
          <w:szCs w:val="20"/>
        </w:rPr>
      </w:pPr>
      <w:r>
        <w:rPr>
          <w:sz w:val="20"/>
          <w:szCs w:val="20"/>
        </w:rPr>
        <w:t>If we raise funds through the issuance of additional debt, including convertible debt or debt secured by some or all of our assets, or equity, any debt securities or preferred shar</w:t>
      </w:r>
      <w:r>
        <w:rPr>
          <w:sz w:val="20"/>
          <w:szCs w:val="20"/>
        </w:rPr>
        <w:t xml:space="preserve">es issued will have rights, preferences and privileges senior to those of holders of our ordinary shares in the event of liquidation. Neither the terms of our $230.0 million of 3.25% convertible senior notes, due 2023 (the "Convertible Senior 2023 Notes") </w:t>
      </w:r>
      <w:r>
        <w:rPr>
          <w:sz w:val="20"/>
          <w:szCs w:val="20"/>
        </w:rPr>
        <w:t>nor the terms of the Issuer’s 9.0% non-recourse notes due in or before 2033 ("Non-Recourse 2033 Notes") restrict our ability to issue additional debt. If additional debt is issued, there is a possibility that once all senior claims are settled, there may b</w:t>
      </w:r>
      <w:r>
        <w:rPr>
          <w:sz w:val="20"/>
          <w:szCs w:val="20"/>
        </w:rPr>
        <w:t>e no assets remaining to pay out to the holders of ordinary shares. Moreover, 75% of the income from our investment in TRC, as evidenced by the Issuer Class C Units, is available only for payment of the Non-Recourse 2033 Notes and is not available to pay o</w:t>
      </w:r>
      <w:r>
        <w:rPr>
          <w:sz w:val="20"/>
          <w:szCs w:val="20"/>
        </w:rPr>
        <w:t>ur other obligations or the claims of our other creditors. In addition, if we raise funds through the issuance of additional equity, whether through private placements or public offerings, such an issuance would dilute ownership of our current shareholders</w:t>
      </w:r>
      <w:r>
        <w:rPr>
          <w:sz w:val="20"/>
          <w:szCs w:val="20"/>
        </w:rPr>
        <w:t xml:space="preserve"> that do not participate in the issuance. Since our Spin-Off in June 2014, we have raised an aggregate of $583.9 million in a combination of (i) the sale of approximately 17.5 million ordinary shares, and (ii) $480.0 million aggregate principal amount of n</w:t>
      </w:r>
      <w:r>
        <w:rPr>
          <w:sz w:val="20"/>
          <w:szCs w:val="20"/>
        </w:rPr>
        <w:t>otes. If we are unable to obtain any needed additional funding, we may be required to reduce the scope of, delay, or eliminate some or all of, our planned research, development and commercialization activities or to license to third parties the rights to d</w:t>
      </w:r>
      <w:r>
        <w:rPr>
          <w:sz w:val="20"/>
          <w:szCs w:val="20"/>
        </w:rPr>
        <w:t xml:space="preserve">evelop and/or commercialize products or technologies that we would otherwise seek to develop and/or commercialize ourselves or on terms that are less attractive than they might otherwise be, any of which could materially harm our business. </w:t>
      </w:r>
    </w:p>
    <w:p w14:paraId="73EDF7E5" w14:textId="77777777" w:rsidR="00000000" w:rsidRDefault="00097612">
      <w:pPr>
        <w:pStyle w:val="a3"/>
        <w:spacing w:before="0" w:beforeAutospacing="0" w:after="0" w:afterAutospacing="0"/>
        <w:ind w:firstLine="720"/>
        <w:divId w:val="1455244810"/>
        <w:rPr>
          <w:rFonts w:ascii="Times" w:hAnsi="Times"/>
          <w:sz w:val="20"/>
          <w:szCs w:val="20"/>
        </w:rPr>
      </w:pPr>
      <w:r>
        <w:rPr>
          <w:rFonts w:ascii="Times" w:hAnsi="Times"/>
          <w:sz w:val="20"/>
          <w:szCs w:val="20"/>
        </w:rPr>
        <w:t>​</w:t>
      </w:r>
    </w:p>
    <w:p w14:paraId="0B4C0115" w14:textId="77777777" w:rsidR="00000000" w:rsidRDefault="00097612">
      <w:pPr>
        <w:pStyle w:val="a3"/>
        <w:spacing w:before="0" w:beforeAutospacing="0" w:after="0" w:afterAutospacing="0"/>
        <w:ind w:firstLine="720"/>
        <w:divId w:val="1455244810"/>
        <w:rPr>
          <w:rFonts w:ascii="Times" w:hAnsi="Times"/>
          <w:sz w:val="20"/>
          <w:szCs w:val="20"/>
        </w:rPr>
      </w:pPr>
      <w:r>
        <w:rPr>
          <w:rFonts w:ascii="Times" w:hAnsi="Times"/>
          <w:sz w:val="20"/>
          <w:szCs w:val="20"/>
        </w:rPr>
        <w:t>Furthermore, the terms of any additional debt securities we may issue in the future may impose restrictions on our operations, which may include limiting our ability to incur additional indebtedness, pay dividends on or repurchase our share capital, or mak</w:t>
      </w:r>
      <w:r>
        <w:rPr>
          <w:rFonts w:ascii="Times" w:hAnsi="Times"/>
          <w:sz w:val="20"/>
          <w:szCs w:val="20"/>
        </w:rPr>
        <w:t>e certain acquisitions or investments. In addition, we may be subject to covenants requiring us to satisfy certain financial tests and ratios, and our ability to satisfy such covenants may be affected by events outside of our control.</w:t>
      </w:r>
      <w:r>
        <w:rPr>
          <w:rFonts w:ascii="Times" w:hAnsi="Times"/>
          <w:sz w:val="20"/>
          <w:szCs w:val="20"/>
        </w:rPr>
        <w:t xml:space="preserve"> </w:t>
      </w:r>
    </w:p>
    <w:p w14:paraId="7DD243E3" w14:textId="77777777" w:rsidR="00000000" w:rsidRDefault="00097612">
      <w:pPr>
        <w:pStyle w:val="a3"/>
        <w:spacing w:before="0" w:beforeAutospacing="0" w:after="0" w:afterAutospacing="0"/>
        <w:ind w:firstLine="720"/>
        <w:divId w:val="1455244810"/>
        <w:rPr>
          <w:rFonts w:ascii="Times" w:hAnsi="Times"/>
          <w:sz w:val="20"/>
          <w:szCs w:val="20"/>
        </w:rPr>
      </w:pPr>
      <w:r>
        <w:rPr>
          <w:rFonts w:ascii="Times" w:hAnsi="Times"/>
          <w:sz w:val="20"/>
          <w:szCs w:val="20"/>
        </w:rPr>
        <w:t>​</w:t>
      </w:r>
    </w:p>
    <w:p w14:paraId="068363B0" w14:textId="77777777" w:rsidR="00000000" w:rsidRDefault="00097612">
      <w:pPr>
        <w:pStyle w:val="a3"/>
        <w:spacing w:before="0" w:beforeAutospacing="0" w:after="120" w:afterAutospacing="0"/>
        <w:divId w:val="1455244810"/>
        <w:rPr>
          <w:rFonts w:ascii="Times" w:hAnsi="Times"/>
          <w:b/>
          <w:bCs/>
          <w:i/>
          <w:iCs/>
          <w:sz w:val="20"/>
          <w:szCs w:val="20"/>
        </w:rPr>
      </w:pPr>
      <w:r>
        <w:rPr>
          <w:rFonts w:ascii="Times" w:hAnsi="Times"/>
          <w:b/>
          <w:bCs/>
          <w:i/>
          <w:iCs/>
          <w:sz w:val="20"/>
          <w:szCs w:val="20"/>
        </w:rPr>
        <w:t>If our partners do</w:t>
      </w:r>
      <w:r>
        <w:rPr>
          <w:rFonts w:ascii="Times" w:hAnsi="Times"/>
          <w:b/>
          <w:bCs/>
          <w:i/>
          <w:iCs/>
          <w:sz w:val="20"/>
          <w:szCs w:val="20"/>
        </w:rPr>
        <w:t xml:space="preserve"> not satisfy their obligations under our agreements with them, or if they terminate our partnerships with them, we may not be able to develop or commercialize our partnered product candidates as planned.</w:t>
      </w:r>
      <w:r>
        <w:rPr>
          <w:rFonts w:ascii="Times" w:hAnsi="Times"/>
          <w:b/>
          <w:bCs/>
          <w:i/>
          <w:iCs/>
          <w:sz w:val="20"/>
          <w:szCs w:val="20"/>
        </w:rPr>
        <w:t xml:space="preserve"> </w:t>
      </w:r>
    </w:p>
    <w:p w14:paraId="7994131A" w14:textId="77777777" w:rsidR="00000000" w:rsidRDefault="00097612">
      <w:pPr>
        <w:pStyle w:val="a3"/>
        <w:spacing w:before="0" w:beforeAutospacing="0" w:after="0" w:afterAutospacing="0"/>
        <w:ind w:firstLine="720"/>
        <w:divId w:val="1455244810"/>
        <w:rPr>
          <w:sz w:val="20"/>
          <w:szCs w:val="20"/>
        </w:rPr>
      </w:pPr>
      <w:r>
        <w:rPr>
          <w:sz w:val="20"/>
          <w:szCs w:val="20"/>
        </w:rPr>
        <w:t>We have an exclusive development and commercializat</w:t>
      </w:r>
      <w:r>
        <w:rPr>
          <w:sz w:val="20"/>
          <w:szCs w:val="20"/>
        </w:rPr>
        <w:t>ion agreement with Alfasigma for velusetrag, our internally discovered 5-HT4 agonist for the treatment of gastromotility disorders, under which we have transferred to Alfasigma global rights for velusetrag.</w:t>
      </w:r>
      <w:r>
        <w:rPr>
          <w:b/>
          <w:bCs/>
          <w:sz w:val="20"/>
          <w:szCs w:val="20"/>
        </w:rPr>
        <w:t xml:space="preserve"> </w:t>
      </w:r>
      <w:r>
        <w:rPr>
          <w:sz w:val="20"/>
          <w:szCs w:val="20"/>
        </w:rPr>
        <w:t xml:space="preserve">In January 2015, we entered into a collaboration </w:t>
      </w:r>
      <w:r>
        <w:rPr>
          <w:sz w:val="20"/>
          <w:szCs w:val="20"/>
        </w:rPr>
        <w:t xml:space="preserve">agreement with Mylan for the development and </w:t>
      </w:r>
    </w:p>
    <w:p w14:paraId="40ADC72E" w14:textId="77777777" w:rsidR="00000000" w:rsidRDefault="00097612">
      <w:pPr>
        <w:pStyle w:val="a3"/>
        <w:spacing w:before="360" w:beforeAutospacing="0" w:after="0" w:afterAutospacing="0"/>
        <w:jc w:val="center"/>
        <w:divId w:val="472211964"/>
        <w:rPr>
          <w:sz w:val="20"/>
          <w:szCs w:val="20"/>
        </w:rPr>
      </w:pPr>
      <w:r>
        <w:rPr>
          <w:sz w:val="20"/>
          <w:szCs w:val="20"/>
        </w:rPr>
        <w:t>40</w:t>
      </w:r>
    </w:p>
    <w:p w14:paraId="65BEF791" w14:textId="77777777" w:rsidR="00000000" w:rsidRDefault="00097612">
      <w:pPr>
        <w:pStyle w:val="a3"/>
        <w:spacing w:before="0" w:beforeAutospacing="0" w:after="600" w:afterAutospacing="0"/>
        <w:divId w:val="714112886"/>
        <w:rPr>
          <w:sz w:val="20"/>
          <w:szCs w:val="20"/>
        </w:rPr>
      </w:pPr>
      <w:hyperlink w:anchor="TOC" w:history="1">
        <w:r>
          <w:rPr>
            <w:rStyle w:val="a4"/>
            <w:sz w:val="20"/>
            <w:szCs w:val="20"/>
          </w:rPr>
          <w:t>Table of Contents</w:t>
        </w:r>
      </w:hyperlink>
    </w:p>
    <w:p w14:paraId="6A2C56EE" w14:textId="77777777" w:rsidR="00000000" w:rsidRDefault="00097612">
      <w:pPr>
        <w:pStyle w:val="a3"/>
        <w:spacing w:before="0" w:beforeAutospacing="0" w:after="0" w:afterAutospacing="0"/>
        <w:divId w:val="275872903"/>
        <w:rPr>
          <w:sz w:val="20"/>
          <w:szCs w:val="20"/>
        </w:rPr>
      </w:pPr>
      <w:r>
        <w:rPr>
          <w:sz w:val="20"/>
          <w:szCs w:val="20"/>
        </w:rPr>
        <w:t>commercialization of a nebulized formulation of our LAMA revefenacin, including YUPELRI. Under the terms of the agreement, we and Mylan will co-develop nebulized r</w:t>
      </w:r>
      <w:r>
        <w:rPr>
          <w:sz w:val="20"/>
          <w:szCs w:val="20"/>
        </w:rPr>
        <w:t>evefenacin, including YUPELRI, for COPD and other respiratory diseases. In June 2016, we entered into a License and Collaboration Agreement with Millennium Pharmaceuticals,</w:t>
      </w:r>
      <w:r>
        <w:rPr>
          <w:sz w:val="20"/>
          <w:szCs w:val="20"/>
        </w:rPr>
        <w:t> </w:t>
      </w:r>
      <w:r>
        <w:rPr>
          <w:sz w:val="20"/>
          <w:szCs w:val="20"/>
        </w:rPr>
        <w:t xml:space="preserve">Inc., an indirect wholly-owned subsidiary of Takeda Pharmaceutical Company Limited </w:t>
      </w:r>
      <w:r>
        <w:rPr>
          <w:sz w:val="20"/>
          <w:szCs w:val="20"/>
        </w:rPr>
        <w:t>(collectively with Millennium, “Takeda”) in order to establish a collaboration for the development and commercialization of TD-8954, a selective 5-HT4 receptor agonist in development for gastrointestinal motility disorders. Under the terms of the agreement</w:t>
      </w:r>
      <w:r>
        <w:rPr>
          <w:sz w:val="20"/>
          <w:szCs w:val="20"/>
        </w:rPr>
        <w:t>, Takeda is responsible for worldwide development and commercialization of TD-8954. In February 2018, we announced a global co-development and commercialization agreement with Janssen for TD-1473 and related back-up compounds for inflammatory intestinal di</w:t>
      </w:r>
      <w:r>
        <w:rPr>
          <w:sz w:val="20"/>
          <w:szCs w:val="20"/>
        </w:rPr>
        <w:t>seases, including ulcerative colitis and Crohn's disease. In connection with these agreements, these parties have certain rights regarding the use of patents and technology with respect to the compounds in our development programs, including development an</w:t>
      </w:r>
      <w:r>
        <w:rPr>
          <w:sz w:val="20"/>
          <w:szCs w:val="20"/>
        </w:rPr>
        <w:t>d marketing rights.</w:t>
      </w:r>
      <w:r>
        <w:rPr>
          <w:sz w:val="20"/>
          <w:szCs w:val="20"/>
        </w:rPr>
        <w:t xml:space="preserve"> </w:t>
      </w:r>
    </w:p>
    <w:p w14:paraId="420FDFD2" w14:textId="77777777" w:rsidR="00000000" w:rsidRDefault="00097612">
      <w:pPr>
        <w:pStyle w:val="a3"/>
        <w:spacing w:before="0" w:beforeAutospacing="0" w:after="0" w:afterAutospacing="0"/>
        <w:ind w:firstLine="720"/>
        <w:divId w:val="275872903"/>
        <w:rPr>
          <w:rFonts w:ascii="Times" w:hAnsi="Times"/>
          <w:sz w:val="20"/>
          <w:szCs w:val="20"/>
        </w:rPr>
      </w:pPr>
      <w:r>
        <w:rPr>
          <w:rFonts w:ascii="Times" w:hAnsi="Times"/>
          <w:sz w:val="20"/>
          <w:szCs w:val="20"/>
        </w:rPr>
        <w:t>​</w:t>
      </w:r>
    </w:p>
    <w:p w14:paraId="760A62B0" w14:textId="77777777" w:rsidR="00000000" w:rsidRDefault="00097612">
      <w:pPr>
        <w:pStyle w:val="a3"/>
        <w:spacing w:before="0" w:beforeAutospacing="0" w:after="0" w:afterAutospacing="0"/>
        <w:ind w:firstLine="720"/>
        <w:divId w:val="275872903"/>
        <w:rPr>
          <w:rFonts w:ascii="Times" w:hAnsi="Times"/>
          <w:sz w:val="20"/>
          <w:szCs w:val="20"/>
        </w:rPr>
      </w:pPr>
      <w:r>
        <w:rPr>
          <w:rFonts w:ascii="Times" w:hAnsi="Times"/>
          <w:sz w:val="20"/>
          <w:szCs w:val="20"/>
        </w:rPr>
        <w:t>Our partners have in the past and may in the future not fulfill all of their obligations under these agreements, and, in certain circumstances, they or we may terminate our partnership with them as Astellas did in January 2012 with i</w:t>
      </w:r>
      <w:r>
        <w:rPr>
          <w:rFonts w:ascii="Times" w:hAnsi="Times"/>
          <w:sz w:val="20"/>
          <w:szCs w:val="20"/>
        </w:rPr>
        <w:t>ts VIBATIV agreement and as we and Clinigen did in August 2016 with the commercialization agreement for VIBATIV in the EU and certain other European countries. In either event, we may be unable to assume the development and commercialization responsibiliti</w:t>
      </w:r>
      <w:r>
        <w:rPr>
          <w:rFonts w:ascii="Times" w:hAnsi="Times"/>
          <w:sz w:val="20"/>
          <w:szCs w:val="20"/>
        </w:rPr>
        <w:t>es covered by the agreements or enter into alternative arrangements with a third-party to develop and commercialize such product candidates. If a partner elected to promote alternative products and product candidates such as its own products and product ca</w:t>
      </w:r>
      <w:r>
        <w:rPr>
          <w:rFonts w:ascii="Times" w:hAnsi="Times"/>
          <w:sz w:val="20"/>
          <w:szCs w:val="20"/>
        </w:rPr>
        <w:t>ndidates in preference to those licensed from us, does not devote an adequate amount of time and resources to our product candidates or is otherwise unsuccessful in its efforts with respect to our products or product candidates, the development and commerc</w:t>
      </w:r>
      <w:r>
        <w:rPr>
          <w:rFonts w:ascii="Times" w:hAnsi="Times"/>
          <w:sz w:val="20"/>
          <w:szCs w:val="20"/>
        </w:rPr>
        <w:t>ialization of product candidates covered by the agreements could be delayed or terminated, and future payments to us could be delayed, reduced or eliminated and our business and financial condition could be materially and adversely affected. Accordingly, o</w:t>
      </w:r>
      <w:r>
        <w:rPr>
          <w:rFonts w:ascii="Times" w:hAnsi="Times"/>
          <w:sz w:val="20"/>
          <w:szCs w:val="20"/>
        </w:rPr>
        <w:t>ur ability to receive any revenue from the product candidates covered by these agreements is dependent on the efforts of our partners. If a partner terminates or breaches its agreements with us, otherwise fails to complete its obligations in a timely manne</w:t>
      </w:r>
      <w:r>
        <w:rPr>
          <w:rFonts w:ascii="Times" w:hAnsi="Times"/>
          <w:sz w:val="20"/>
          <w:szCs w:val="20"/>
        </w:rPr>
        <w:t>r or alleges that we have breached our contractual obligations under these agreements, the chances of successfully developing or commercializing product candidates under the collaboration could be materially and adversely affected. In addition, effective c</w:t>
      </w:r>
      <w:r>
        <w:rPr>
          <w:rFonts w:ascii="Times" w:hAnsi="Times"/>
          <w:sz w:val="20"/>
          <w:szCs w:val="20"/>
        </w:rPr>
        <w:t>ollaboration with a partner requires coordination to achieve complex and detail-intensive goals between entities that potentially have different priorities, capabilities and processes and successful navigation of the challenges such coordination entails. W</w:t>
      </w:r>
      <w:r>
        <w:rPr>
          <w:rFonts w:ascii="Times" w:hAnsi="Times"/>
          <w:sz w:val="20"/>
          <w:szCs w:val="20"/>
        </w:rPr>
        <w:t xml:space="preserve">e could also become involved in disputes with a partner, which could lead to delays in or termination of our development and commercialization programs and time-consuming and expensive litigation or arbitration. Furthermore, termination of an agreement by </w:t>
      </w:r>
      <w:r>
        <w:rPr>
          <w:rFonts w:ascii="Times" w:hAnsi="Times"/>
          <w:sz w:val="20"/>
          <w:szCs w:val="20"/>
        </w:rPr>
        <w:t>a partner could have an adverse effect on the price of our ordinary shares or other securities even if not material to our business.</w:t>
      </w:r>
      <w:r>
        <w:rPr>
          <w:rFonts w:ascii="Times" w:hAnsi="Times"/>
          <w:sz w:val="20"/>
          <w:szCs w:val="20"/>
        </w:rPr>
        <w:t xml:space="preserve"> </w:t>
      </w:r>
    </w:p>
    <w:p w14:paraId="0778ED42" w14:textId="77777777" w:rsidR="00000000" w:rsidRDefault="00097612">
      <w:pPr>
        <w:pStyle w:val="a3"/>
        <w:spacing w:before="0" w:beforeAutospacing="0" w:after="0" w:afterAutospacing="0"/>
        <w:divId w:val="275872903"/>
        <w:rPr>
          <w:sz w:val="20"/>
          <w:szCs w:val="20"/>
        </w:rPr>
      </w:pPr>
      <w:r>
        <w:rPr>
          <w:sz w:val="20"/>
          <w:szCs w:val="20"/>
        </w:rPr>
        <w:t>​</w:t>
      </w:r>
    </w:p>
    <w:p w14:paraId="45329F12" w14:textId="77777777" w:rsidR="00000000" w:rsidRDefault="00097612">
      <w:pPr>
        <w:pStyle w:val="a3"/>
        <w:spacing w:before="0" w:beforeAutospacing="0" w:after="120" w:afterAutospacing="0"/>
        <w:divId w:val="275872903"/>
        <w:rPr>
          <w:rFonts w:ascii="Times" w:hAnsi="Times"/>
          <w:b/>
          <w:bCs/>
          <w:i/>
          <w:iCs/>
          <w:sz w:val="20"/>
          <w:szCs w:val="20"/>
        </w:rPr>
      </w:pPr>
      <w:r>
        <w:rPr>
          <w:rFonts w:ascii="Times" w:hAnsi="Times"/>
          <w:b/>
          <w:bCs/>
          <w:i/>
          <w:iCs/>
          <w:sz w:val="20"/>
          <w:szCs w:val="20"/>
        </w:rPr>
        <w:t>We do not control TRC and, in particular, have no control over the GSK-Partnered Respiratory Programs or access to non-public information regarding the development of the GSK-Partnered Respiratory Programs.</w:t>
      </w:r>
    </w:p>
    <w:p w14:paraId="420D41D1" w14:textId="77777777" w:rsidR="00000000" w:rsidRDefault="00097612">
      <w:pPr>
        <w:pStyle w:val="a3"/>
        <w:spacing w:before="0" w:beforeAutospacing="0" w:after="0" w:afterAutospacing="0"/>
        <w:ind w:firstLine="720"/>
        <w:divId w:val="275872903"/>
        <w:rPr>
          <w:rFonts w:ascii="Times" w:hAnsi="Times"/>
          <w:sz w:val="20"/>
          <w:szCs w:val="20"/>
        </w:rPr>
      </w:pPr>
      <w:r>
        <w:rPr>
          <w:rFonts w:ascii="Times" w:hAnsi="Times"/>
          <w:sz w:val="20"/>
          <w:szCs w:val="20"/>
        </w:rPr>
        <w:t>Innoviva has assigned to TRC its strategic allian</w:t>
      </w:r>
      <w:r>
        <w:rPr>
          <w:rFonts w:ascii="Times" w:hAnsi="Times"/>
          <w:sz w:val="20"/>
          <w:szCs w:val="20"/>
        </w:rPr>
        <w:t>ce agreement with GSK and all of its rights and obligations under its LABA collaboration agreement other than with respect to RELVAR</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/BREO</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 ANORO</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 xml:space="preserve"> </w:t>
      </w:r>
      <w:r>
        <w:rPr>
          <w:rFonts w:ascii="Times" w:hAnsi="Times"/>
          <w:sz w:val="20"/>
          <w:szCs w:val="20"/>
        </w:rPr>
        <w:t>and vilanterol monotherapy. Our equity interest in TRC entitles us to an 85% econ</w:t>
      </w:r>
      <w:r>
        <w:rPr>
          <w:rFonts w:ascii="Times" w:hAnsi="Times"/>
          <w:sz w:val="20"/>
          <w:szCs w:val="20"/>
        </w:rPr>
        <w:t>omic interest in any future payments made by GSK under the strategic alliance agreement and under the portion of the collaboration agreement assigned to TRC (the</w:t>
      </w:r>
      <w:r>
        <w:rPr>
          <w:rFonts w:ascii="Times" w:hAnsi="Times"/>
          <w:sz w:val="20"/>
          <w:szCs w:val="20"/>
        </w:rPr>
        <w:t xml:space="preserve"> </w:t>
      </w:r>
      <w:r>
        <w:rPr>
          <w:rFonts w:ascii="Times" w:hAnsi="Times"/>
          <w:sz w:val="20"/>
          <w:szCs w:val="20"/>
        </w:rPr>
        <w:t>“GSK Agreements”) (net of TRC expenses paid and the amount of cash, if any, expected to be use</w:t>
      </w:r>
      <w:r>
        <w:rPr>
          <w:rFonts w:ascii="Times" w:hAnsi="Times"/>
          <w:sz w:val="20"/>
          <w:szCs w:val="20"/>
        </w:rPr>
        <w:t>d by TRC pursuant to the TRC LLC Agreement over the next four fiscal quarters), which agreements govern Innoviva’s and GSK’s respective interests in the GSK-Partnered Respiratory Programs. Our equity interest covers various drug programs including all</w:t>
      </w:r>
      <w:r>
        <w:rPr>
          <w:rFonts w:ascii="Times" w:hAnsi="Times"/>
          <w:sz w:val="20"/>
          <w:szCs w:val="20"/>
        </w:rPr>
        <w:t xml:space="preserve"> </w:t>
      </w:r>
      <w:r>
        <w:rPr>
          <w:rFonts w:ascii="Times" w:hAnsi="Times"/>
          <w:caps/>
          <w:sz w:val="20"/>
          <w:szCs w:val="20"/>
        </w:rPr>
        <w:t>Trel</w:t>
      </w:r>
      <w:r>
        <w:rPr>
          <w:rFonts w:ascii="Times" w:hAnsi="Times"/>
          <w:caps/>
          <w:sz w:val="20"/>
          <w:szCs w:val="20"/>
        </w:rPr>
        <w:t>egy Ellipta</w:t>
      </w:r>
      <w:r>
        <w:rPr>
          <w:rFonts w:ascii="Times" w:hAnsi="Times"/>
          <w:sz w:val="20"/>
          <w:szCs w:val="20"/>
        </w:rPr>
        <w:t xml:space="preserve"> </w:t>
      </w:r>
      <w:r>
        <w:rPr>
          <w:rFonts w:ascii="Times" w:hAnsi="Times"/>
          <w:sz w:val="20"/>
          <w:szCs w:val="20"/>
        </w:rPr>
        <w:t>(the combination of fluticasone furoate, umeclidinium, and vilanterol in a single ELLIPTA</w:t>
      </w:r>
      <w:r>
        <w:rPr>
          <w:rFonts w:ascii="Times" w:hAnsi="Times"/>
          <w:sz w:val="15"/>
          <w:szCs w:val="15"/>
          <w:vertAlign w:val="superscript"/>
        </w:rPr>
        <w:t>®</w:t>
      </w:r>
      <w:r>
        <w:rPr>
          <w:rFonts w:ascii="Times" w:hAnsi="Times"/>
          <w:sz w:val="20"/>
          <w:szCs w:val="20"/>
        </w:rPr>
        <w:t xml:space="preserve"> </w:t>
      </w:r>
      <w:r>
        <w:rPr>
          <w:rFonts w:ascii="Times" w:hAnsi="Times"/>
          <w:sz w:val="20"/>
          <w:szCs w:val="20"/>
        </w:rPr>
        <w:t xml:space="preserve">inhaler, previously referred to as the Closed Triple) products and the MABA program, as monotherapy and in combination with other therapeutically active </w:t>
      </w:r>
      <w:r>
        <w:rPr>
          <w:rFonts w:ascii="Times" w:hAnsi="Times"/>
          <w:sz w:val="20"/>
          <w:szCs w:val="20"/>
        </w:rPr>
        <w:t xml:space="preserve">components, such as an inhaled corticosteroid (“ICS”), and any other product or combination of products that may be discovered and developed in the future under the GSK Agreements. Our economic interest does not include any payments by GSK associated with </w:t>
      </w:r>
      <w:r>
        <w:rPr>
          <w:rFonts w:ascii="Times" w:hAnsi="Times"/>
          <w:sz w:val="20"/>
          <w:szCs w:val="20"/>
        </w:rPr>
        <w:t>RELVAR</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/BREO</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 ANORO</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 xml:space="preserve"> </w:t>
      </w:r>
      <w:r>
        <w:rPr>
          <w:rFonts w:ascii="Times" w:hAnsi="Times"/>
          <w:sz w:val="20"/>
          <w:szCs w:val="20"/>
        </w:rPr>
        <w:t>or vilanterol monotherapy. Innoviva controls TRC and, except for certain limited consent rights, we have no right to participate in the business and affairs of TRC. Innoviva has the exclusive right to appoin</w:t>
      </w:r>
      <w:r>
        <w:rPr>
          <w:rFonts w:ascii="Times" w:hAnsi="Times"/>
          <w:sz w:val="20"/>
          <w:szCs w:val="20"/>
        </w:rPr>
        <w:t>t TRC’s manager who, among other things, is responsible for the day-to-day management of the GSK-Partnered Respiratory Programs and exercises the rights relating to the GSK-Partnered Respiratory Programs. As a result, we have no rights to participate in, o</w:t>
      </w:r>
      <w:r>
        <w:rPr>
          <w:rFonts w:ascii="Times" w:hAnsi="Times"/>
          <w:sz w:val="20"/>
          <w:szCs w:val="20"/>
        </w:rPr>
        <w:t xml:space="preserve">r access to non-public information about, the development and commercialization work GSK and Innoviva are undertaking with respect to the GSK-Partnered Respiratory Programs and no right to enforce rights under the GSK Agreements assigned to TRC. Moreover, </w:t>
      </w:r>
      <w:r>
        <w:rPr>
          <w:rFonts w:ascii="Times" w:hAnsi="Times"/>
          <w:sz w:val="20"/>
          <w:szCs w:val="20"/>
        </w:rPr>
        <w:t>we have many</w:t>
      </w:r>
      <w:r>
        <w:rPr>
          <w:rFonts w:ascii="Times" w:hAnsi="Times"/>
          <w:sz w:val="20"/>
          <w:szCs w:val="20"/>
        </w:rPr>
        <w:t xml:space="preserve"> </w:t>
      </w:r>
    </w:p>
    <w:p w14:paraId="11A2C552" w14:textId="77777777" w:rsidR="00000000" w:rsidRDefault="00097612">
      <w:pPr>
        <w:pStyle w:val="a3"/>
        <w:spacing w:before="360" w:beforeAutospacing="0" w:after="0" w:afterAutospacing="0"/>
        <w:jc w:val="center"/>
        <w:divId w:val="1959868970"/>
        <w:rPr>
          <w:sz w:val="20"/>
          <w:szCs w:val="20"/>
        </w:rPr>
      </w:pPr>
      <w:r>
        <w:rPr>
          <w:sz w:val="20"/>
          <w:szCs w:val="20"/>
        </w:rPr>
        <w:t>41</w:t>
      </w:r>
    </w:p>
    <w:p w14:paraId="2C789ED3" w14:textId="77777777" w:rsidR="00000000" w:rsidRDefault="00097612">
      <w:pPr>
        <w:pStyle w:val="a3"/>
        <w:spacing w:before="0" w:beforeAutospacing="0" w:after="600" w:afterAutospacing="0"/>
        <w:divId w:val="1492869922"/>
        <w:rPr>
          <w:sz w:val="20"/>
          <w:szCs w:val="20"/>
        </w:rPr>
      </w:pPr>
      <w:hyperlink w:anchor="TOC" w:history="1">
        <w:r>
          <w:rPr>
            <w:rStyle w:val="a4"/>
            <w:sz w:val="20"/>
            <w:szCs w:val="20"/>
          </w:rPr>
          <w:t>Table of Contents</w:t>
        </w:r>
      </w:hyperlink>
    </w:p>
    <w:p w14:paraId="2A71DBCC" w14:textId="77777777" w:rsidR="00000000" w:rsidRDefault="00097612">
      <w:pPr>
        <w:pStyle w:val="a3"/>
        <w:spacing w:before="0" w:beforeAutospacing="0" w:after="0" w:afterAutospacing="0"/>
        <w:divId w:val="117191928"/>
        <w:rPr>
          <w:rFonts w:ascii="Times" w:hAnsi="Times"/>
          <w:sz w:val="20"/>
          <w:szCs w:val="20"/>
        </w:rPr>
      </w:pPr>
      <w:r>
        <w:rPr>
          <w:rFonts w:ascii="Times" w:hAnsi="Times"/>
          <w:sz w:val="20"/>
          <w:szCs w:val="20"/>
        </w:rPr>
        <w:t>of the same risks with respect to our and TRC’s dependence on GSK as we have with respect to our dependence on our own partners.</w:t>
      </w:r>
      <w:r>
        <w:rPr>
          <w:rFonts w:ascii="Times" w:hAnsi="Times"/>
          <w:sz w:val="20"/>
          <w:szCs w:val="20"/>
        </w:rPr>
        <w:t xml:space="preserve"> </w:t>
      </w:r>
    </w:p>
    <w:p w14:paraId="6D09DE19" w14:textId="77777777" w:rsidR="00000000" w:rsidRDefault="00097612">
      <w:pPr>
        <w:pStyle w:val="a3"/>
        <w:spacing w:before="0" w:beforeAutospacing="0" w:after="0" w:afterAutospacing="0"/>
        <w:ind w:firstLine="720"/>
        <w:divId w:val="117191928"/>
        <w:rPr>
          <w:rFonts w:ascii="Times" w:hAnsi="Times"/>
          <w:sz w:val="20"/>
          <w:szCs w:val="20"/>
        </w:rPr>
      </w:pPr>
      <w:r>
        <w:rPr>
          <w:rFonts w:ascii="Times" w:hAnsi="Times"/>
          <w:sz w:val="20"/>
          <w:szCs w:val="20"/>
        </w:rPr>
        <w:t>​</w:t>
      </w:r>
    </w:p>
    <w:p w14:paraId="2E9A5FBE" w14:textId="77777777" w:rsidR="00000000" w:rsidRDefault="00097612">
      <w:pPr>
        <w:pStyle w:val="a3"/>
        <w:spacing w:before="0" w:beforeAutospacing="0" w:after="120" w:afterAutospacing="0"/>
        <w:divId w:val="117191928"/>
        <w:rPr>
          <w:rFonts w:ascii="Times" w:hAnsi="Times"/>
          <w:b/>
          <w:bCs/>
          <w:i/>
          <w:iCs/>
          <w:sz w:val="20"/>
          <w:szCs w:val="20"/>
        </w:rPr>
      </w:pPr>
      <w:r>
        <w:rPr>
          <w:rFonts w:ascii="Times" w:hAnsi="Times"/>
          <w:b/>
          <w:bCs/>
          <w:i/>
          <w:iCs/>
          <w:sz w:val="20"/>
          <w:szCs w:val="20"/>
        </w:rPr>
        <w:t>If there are any adverse developments or perceived adverse deve</w:t>
      </w:r>
      <w:r>
        <w:rPr>
          <w:rFonts w:ascii="Times" w:hAnsi="Times"/>
          <w:b/>
          <w:bCs/>
          <w:i/>
          <w:iCs/>
          <w:sz w:val="20"/>
          <w:szCs w:val="20"/>
        </w:rPr>
        <w:t>lopments with respect to the GSK-Partnered Respiratory Programs in which we have a substantial economic interest, including</w:t>
      </w:r>
      <w:r>
        <w:rPr>
          <w:rFonts w:ascii="Times" w:hAnsi="Times"/>
          <w:b/>
          <w:bCs/>
          <w:i/>
          <w:iCs/>
          <w:sz w:val="20"/>
          <w:szCs w:val="20"/>
        </w:rPr>
        <w:t xml:space="preserve"> </w:t>
      </w:r>
      <w:r>
        <w:rPr>
          <w:rFonts w:ascii="Times" w:hAnsi="Times"/>
          <w:b/>
          <w:bCs/>
          <w:i/>
          <w:iCs/>
          <w:caps/>
          <w:sz w:val="20"/>
          <w:szCs w:val="20"/>
        </w:rPr>
        <w:t>Trelegy Ellipta</w:t>
      </w:r>
      <w:r>
        <w:rPr>
          <w:rFonts w:ascii="Times" w:hAnsi="Times"/>
          <w:b/>
          <w:bCs/>
          <w:i/>
          <w:iCs/>
          <w:sz w:val="20"/>
          <w:szCs w:val="20"/>
        </w:rPr>
        <w:t xml:space="preserve"> </w:t>
      </w:r>
      <w:r>
        <w:rPr>
          <w:rFonts w:ascii="Times" w:hAnsi="Times"/>
          <w:b/>
          <w:bCs/>
          <w:i/>
          <w:iCs/>
          <w:sz w:val="20"/>
          <w:szCs w:val="20"/>
        </w:rPr>
        <w:t>and the MABA program, our business will be harmed, and the price of our securities could fall.</w:t>
      </w:r>
      <w:r>
        <w:rPr>
          <w:rFonts w:ascii="Times" w:hAnsi="Times"/>
          <w:b/>
          <w:bCs/>
          <w:i/>
          <w:iCs/>
          <w:sz w:val="20"/>
          <w:szCs w:val="20"/>
        </w:rPr>
        <w:t xml:space="preserve"> </w:t>
      </w:r>
    </w:p>
    <w:p w14:paraId="7357BCD5" w14:textId="77777777" w:rsidR="00000000" w:rsidRDefault="00097612">
      <w:pPr>
        <w:pStyle w:val="a3"/>
        <w:spacing w:before="0" w:beforeAutospacing="0" w:after="0" w:afterAutospacing="0"/>
        <w:ind w:firstLine="720"/>
        <w:divId w:val="117191928"/>
        <w:rPr>
          <w:rFonts w:ascii="Times" w:hAnsi="Times"/>
          <w:sz w:val="20"/>
          <w:szCs w:val="20"/>
        </w:rPr>
      </w:pPr>
      <w:r>
        <w:rPr>
          <w:rFonts w:ascii="Times" w:hAnsi="Times"/>
          <w:sz w:val="20"/>
          <w:szCs w:val="20"/>
        </w:rPr>
        <w:t>We have no access to</w:t>
      </w:r>
      <w:r>
        <w:rPr>
          <w:rFonts w:ascii="Times" w:hAnsi="Times"/>
          <w:sz w:val="20"/>
          <w:szCs w:val="20"/>
        </w:rPr>
        <w:t xml:space="preserve"> confidential information regarding the development progress of, or plans for, the GSK-Partnered Respiratory Programs, including</w:t>
      </w:r>
      <w:r>
        <w:rPr>
          <w:rFonts w:ascii="Times" w:hAnsi="Times"/>
          <w:sz w:val="20"/>
          <w:szCs w:val="20"/>
        </w:rPr>
        <w:t xml:space="preserve"> </w:t>
      </w:r>
      <w:r>
        <w:rPr>
          <w:rFonts w:ascii="Times" w:hAnsi="Times"/>
          <w:caps/>
          <w:sz w:val="20"/>
          <w:szCs w:val="20"/>
        </w:rPr>
        <w:t>Trelegy Ellipta</w:t>
      </w:r>
      <w:r>
        <w:rPr>
          <w:rFonts w:ascii="Times" w:hAnsi="Times"/>
          <w:sz w:val="20"/>
          <w:szCs w:val="20"/>
        </w:rPr>
        <w:t xml:space="preserve"> </w:t>
      </w:r>
      <w:r>
        <w:rPr>
          <w:rFonts w:ascii="Times" w:hAnsi="Times"/>
          <w:sz w:val="20"/>
          <w:szCs w:val="20"/>
        </w:rPr>
        <w:t>and the MABA program, and we have little, if any, ability to influence the progress of those programs because o</w:t>
      </w:r>
      <w:r>
        <w:rPr>
          <w:rFonts w:ascii="Times" w:hAnsi="Times"/>
          <w:sz w:val="20"/>
          <w:szCs w:val="20"/>
        </w:rPr>
        <w:t>ur interest in these programs is only through our ownership interest in TRC, which is controlled by Innoviva. However, if any of the GSK-Partnered Respiratory Programs in which we have a substantial economic interest encounter delays, do not demonstrate re</w:t>
      </w:r>
      <w:r>
        <w:rPr>
          <w:rFonts w:ascii="Times" w:hAnsi="Times"/>
          <w:sz w:val="20"/>
          <w:szCs w:val="20"/>
        </w:rPr>
        <w:t>quired quality, safety and efficacy, are terminated, or if there are any adverse developments or perceived adverse developments with respect to such programs, our business will be harmed, and the price of our securities could fall. Examples of such adverse</w:t>
      </w:r>
      <w:r>
        <w:rPr>
          <w:rFonts w:ascii="Times" w:hAnsi="Times"/>
          <w:sz w:val="20"/>
          <w:szCs w:val="20"/>
        </w:rPr>
        <w:t xml:space="preserve"> developments include, but are not limited to:</w:t>
      </w:r>
    </w:p>
    <w:p w14:paraId="07F43C28" w14:textId="77777777" w:rsidR="00000000" w:rsidRDefault="00097612">
      <w:pPr>
        <w:pStyle w:val="a3"/>
        <w:spacing w:before="0" w:beforeAutospacing="0" w:after="0" w:afterAutospacing="0"/>
        <w:ind w:firstLine="720"/>
        <w:divId w:val="117191928"/>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A85F3DA" w14:textId="77777777">
        <w:trPr>
          <w:divId w:val="117191928"/>
        </w:trPr>
        <w:tc>
          <w:tcPr>
            <w:tcW w:w="720" w:type="dxa"/>
            <w:vAlign w:val="center"/>
            <w:hideMark/>
          </w:tcPr>
          <w:p w14:paraId="3FB478EA"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098F6D32"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E5CD5E1"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disappointing or lower than expected sales of</w:t>
            </w:r>
            <w:r>
              <w:rPr>
                <w:rFonts w:ascii="Times" w:eastAsia="Times New Roman" w:hAnsi="Times"/>
                <w:color w:val="000000"/>
                <w:sz w:val="20"/>
                <w:szCs w:val="20"/>
              </w:rPr>
              <w:t xml:space="preserve"> </w:t>
            </w:r>
            <w:r>
              <w:rPr>
                <w:rFonts w:ascii="Times" w:eastAsia="Times New Roman" w:hAnsi="Times"/>
                <w:caps/>
                <w:color w:val="000000"/>
                <w:sz w:val="20"/>
                <w:szCs w:val="20"/>
              </w:rPr>
              <w:t>Trelegy Ellipta</w:t>
            </w:r>
            <w:r>
              <w:rPr>
                <w:rFonts w:ascii="Times" w:eastAsia="Times New Roman" w:hAnsi="Times"/>
                <w:color w:val="000000"/>
                <w:sz w:val="20"/>
                <w:szCs w:val="20"/>
              </w:rPr>
              <w:t>;</w:t>
            </w:r>
          </w:p>
        </w:tc>
      </w:tr>
    </w:tbl>
    <w:p w14:paraId="6FE8C73C" w14:textId="77777777" w:rsidR="00000000" w:rsidRDefault="00097612">
      <w:pPr>
        <w:divId w:val="1171919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9717D36" w14:textId="77777777">
        <w:trPr>
          <w:divId w:val="117191928"/>
        </w:trPr>
        <w:tc>
          <w:tcPr>
            <w:tcW w:w="720" w:type="dxa"/>
            <w:vAlign w:val="center"/>
            <w:hideMark/>
          </w:tcPr>
          <w:p w14:paraId="50304F38" w14:textId="77777777" w:rsidR="00000000" w:rsidRDefault="00097612">
            <w:pPr>
              <w:rPr>
                <w:rFonts w:eastAsia="Times New Roman"/>
              </w:rPr>
            </w:pPr>
          </w:p>
        </w:tc>
        <w:tc>
          <w:tcPr>
            <w:tcW w:w="360" w:type="dxa"/>
            <w:noWrap/>
            <w:tcMar>
              <w:top w:w="0" w:type="dxa"/>
              <w:left w:w="0" w:type="dxa"/>
              <w:bottom w:w="0" w:type="dxa"/>
              <w:right w:w="0" w:type="dxa"/>
            </w:tcMar>
            <w:hideMark/>
          </w:tcPr>
          <w:p w14:paraId="685BEC16"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97CF28B"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any regulatory difficulty in seeking approval of an asthma indication for</w:t>
            </w:r>
            <w:r>
              <w:rPr>
                <w:rFonts w:ascii="Times" w:eastAsia="Times New Roman" w:hAnsi="Times"/>
                <w:color w:val="000000"/>
                <w:sz w:val="20"/>
                <w:szCs w:val="20"/>
              </w:rPr>
              <w:t xml:space="preserve"> </w:t>
            </w:r>
            <w:r>
              <w:rPr>
                <w:rFonts w:ascii="Times" w:eastAsia="Times New Roman" w:hAnsi="Times"/>
                <w:caps/>
                <w:color w:val="000000"/>
                <w:sz w:val="20"/>
                <w:szCs w:val="20"/>
              </w:rPr>
              <w:t>Trelegy Ellipta,</w:t>
            </w:r>
            <w:r>
              <w:rPr>
                <w:rFonts w:ascii="Times" w:eastAsia="Times New Roman" w:hAnsi="Times"/>
                <w:color w:val="000000"/>
                <w:sz w:val="20"/>
                <w:szCs w:val="20"/>
              </w:rPr>
              <w:t xml:space="preserve"> </w:t>
            </w:r>
            <w:r>
              <w:rPr>
                <w:rFonts w:ascii="Times" w:eastAsia="Times New Roman" w:hAnsi="Times"/>
                <w:color w:val="000000"/>
                <w:sz w:val="20"/>
                <w:szCs w:val="20"/>
              </w:rPr>
              <w:t>which GSK will be undertaking following its successful Phase 3 clinical program in asthma patients;</w:t>
            </w:r>
          </w:p>
        </w:tc>
      </w:tr>
    </w:tbl>
    <w:p w14:paraId="51DD5BBB" w14:textId="77777777" w:rsidR="00000000" w:rsidRDefault="00097612">
      <w:pPr>
        <w:divId w:val="1171919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73E887D" w14:textId="77777777">
        <w:trPr>
          <w:divId w:val="117191928"/>
        </w:trPr>
        <w:tc>
          <w:tcPr>
            <w:tcW w:w="720" w:type="dxa"/>
            <w:vAlign w:val="center"/>
            <w:hideMark/>
          </w:tcPr>
          <w:p w14:paraId="3414E9FA" w14:textId="77777777" w:rsidR="00000000" w:rsidRDefault="00097612">
            <w:pPr>
              <w:rPr>
                <w:rFonts w:eastAsia="Times New Roman"/>
              </w:rPr>
            </w:pPr>
          </w:p>
        </w:tc>
        <w:tc>
          <w:tcPr>
            <w:tcW w:w="360" w:type="dxa"/>
            <w:noWrap/>
            <w:tcMar>
              <w:top w:w="0" w:type="dxa"/>
              <w:left w:w="0" w:type="dxa"/>
              <w:bottom w:w="0" w:type="dxa"/>
              <w:right w:w="0" w:type="dxa"/>
            </w:tcMar>
            <w:hideMark/>
          </w:tcPr>
          <w:p w14:paraId="2160FBE1"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0ABBB56" w14:textId="77777777" w:rsidR="00000000" w:rsidRDefault="00097612">
            <w:pPr>
              <w:rPr>
                <w:rFonts w:eastAsia="Times New Roman"/>
                <w:sz w:val="20"/>
                <w:szCs w:val="20"/>
              </w:rPr>
            </w:pPr>
            <w:r>
              <w:rPr>
                <w:rFonts w:ascii="Times" w:eastAsia="Times New Roman" w:hAnsi="Times"/>
                <w:color w:val="000000"/>
                <w:sz w:val="20"/>
                <w:szCs w:val="20"/>
              </w:rPr>
              <w:t>disputes between GSK and Innoviva or between us and Innoviva</w:t>
            </w:r>
            <w:r>
              <w:rPr>
                <w:rFonts w:ascii="Times" w:eastAsia="Times New Roman" w:hAnsi="Times"/>
                <w:color w:val="000000"/>
                <w:sz w:val="20"/>
                <w:szCs w:val="20"/>
              </w:rPr>
              <w:t>, such as our recent dispute with Innoviva described in Part II, Item 1</w:t>
            </w:r>
            <w:r>
              <w:rPr>
                <w:rFonts w:ascii="Times" w:eastAsia="Times New Roman" w:hAnsi="Times"/>
                <w:color w:val="000000"/>
                <w:sz w:val="20"/>
                <w:szCs w:val="20"/>
              </w:rPr>
              <w:t xml:space="preserve"> </w:t>
            </w:r>
            <w:r>
              <w:rPr>
                <w:rFonts w:ascii="Times" w:eastAsia="Times New Roman" w:hAnsi="Times"/>
                <w:color w:val="000000"/>
                <w:sz w:val="20"/>
                <w:szCs w:val="20"/>
              </w:rPr>
              <w:t>“Legal Proceedings”</w:t>
            </w:r>
            <w:r>
              <w:rPr>
                <w:rFonts w:ascii="Times" w:eastAsia="Times New Roman" w:hAnsi="Times"/>
                <w:color w:val="000000"/>
                <w:sz w:val="20"/>
                <w:szCs w:val="20"/>
              </w:rPr>
              <w:t xml:space="preserve"> </w:t>
            </w:r>
            <w:r>
              <w:rPr>
                <w:rFonts w:ascii="Times" w:eastAsia="Times New Roman" w:hAnsi="Times"/>
                <w:color w:val="000000"/>
                <w:sz w:val="20"/>
                <w:szCs w:val="20"/>
              </w:rPr>
              <w:t>concerning the withholding of royalty payments due to us under the TRC LLC Agreement;</w:t>
            </w:r>
            <w:r>
              <w:rPr>
                <w:rFonts w:ascii="Times" w:eastAsia="Times New Roman" w:hAnsi="Times"/>
                <w:color w:val="000000"/>
                <w:sz w:val="20"/>
                <w:szCs w:val="20"/>
              </w:rPr>
              <w:t xml:space="preserve"> </w:t>
            </w:r>
          </w:p>
        </w:tc>
      </w:tr>
    </w:tbl>
    <w:p w14:paraId="350710BB" w14:textId="77777777" w:rsidR="00000000" w:rsidRDefault="00097612">
      <w:pPr>
        <w:pStyle w:val="a3"/>
        <w:spacing w:before="0" w:beforeAutospacing="0" w:after="0" w:afterAutospacing="0"/>
        <w:divId w:val="1171919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19A9BD5" w14:textId="77777777">
        <w:trPr>
          <w:divId w:val="117191928"/>
        </w:trPr>
        <w:tc>
          <w:tcPr>
            <w:tcW w:w="720" w:type="dxa"/>
            <w:vAlign w:val="center"/>
            <w:hideMark/>
          </w:tcPr>
          <w:p w14:paraId="6B19B05F" w14:textId="77777777" w:rsidR="00000000" w:rsidRDefault="00097612">
            <w:pPr>
              <w:rPr>
                <w:sz w:val="20"/>
                <w:szCs w:val="20"/>
              </w:rPr>
            </w:pPr>
          </w:p>
        </w:tc>
        <w:tc>
          <w:tcPr>
            <w:tcW w:w="360" w:type="dxa"/>
            <w:noWrap/>
            <w:tcMar>
              <w:top w:w="0" w:type="dxa"/>
              <w:left w:w="0" w:type="dxa"/>
              <w:bottom w:w="0" w:type="dxa"/>
              <w:right w:w="0" w:type="dxa"/>
            </w:tcMar>
            <w:hideMark/>
          </w:tcPr>
          <w:p w14:paraId="53900F91"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8B20C9C" w14:textId="77777777" w:rsidR="00000000" w:rsidRDefault="00097612">
            <w:pPr>
              <w:rPr>
                <w:rFonts w:ascii="Times" w:eastAsia="Times New Roman" w:hAnsi="Times"/>
                <w:sz w:val="20"/>
                <w:szCs w:val="20"/>
              </w:rPr>
            </w:pPr>
            <w:r>
              <w:rPr>
                <w:rFonts w:ascii="Times" w:eastAsia="Times New Roman" w:hAnsi="Times"/>
                <w:color w:val="000000"/>
                <w:sz w:val="20"/>
                <w:szCs w:val="20"/>
              </w:rPr>
              <w:t>the emergence of new closed triple or other alternative therapies or an</w:t>
            </w:r>
            <w:r>
              <w:rPr>
                <w:rFonts w:ascii="Times" w:eastAsia="Times New Roman" w:hAnsi="Times"/>
                <w:color w:val="000000"/>
                <w:sz w:val="20"/>
                <w:szCs w:val="20"/>
              </w:rPr>
              <w:t>y developments regarding these potentially competitive therapies, comparative price or efficacy of such potentially competitive therapies;</w:t>
            </w:r>
          </w:p>
        </w:tc>
      </w:tr>
    </w:tbl>
    <w:p w14:paraId="63590814" w14:textId="77777777" w:rsidR="00000000" w:rsidRDefault="00097612">
      <w:pPr>
        <w:pStyle w:val="a3"/>
        <w:spacing w:before="0" w:beforeAutospacing="0" w:after="0" w:afterAutospacing="0"/>
        <w:divId w:val="11719192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4680ECA" w14:textId="77777777">
        <w:trPr>
          <w:divId w:val="117191928"/>
        </w:trPr>
        <w:tc>
          <w:tcPr>
            <w:tcW w:w="720" w:type="dxa"/>
            <w:vAlign w:val="center"/>
            <w:hideMark/>
          </w:tcPr>
          <w:p w14:paraId="6997CEF7" w14:textId="77777777" w:rsidR="00000000" w:rsidRDefault="00097612">
            <w:pPr>
              <w:rPr>
                <w:sz w:val="20"/>
                <w:szCs w:val="20"/>
              </w:rPr>
            </w:pPr>
          </w:p>
        </w:tc>
        <w:tc>
          <w:tcPr>
            <w:tcW w:w="360" w:type="dxa"/>
            <w:noWrap/>
            <w:tcMar>
              <w:top w:w="0" w:type="dxa"/>
              <w:left w:w="0" w:type="dxa"/>
              <w:bottom w:w="0" w:type="dxa"/>
              <w:right w:w="0" w:type="dxa"/>
            </w:tcMar>
            <w:hideMark/>
          </w:tcPr>
          <w:p w14:paraId="7FEBC28D"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2939FD9"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GSK deciding to delay or halt any of the GSK-Partnered Respiratory Programs in which we have a substantial econ</w:t>
            </w:r>
            <w:r>
              <w:rPr>
                <w:rFonts w:ascii="Times" w:eastAsia="Times New Roman" w:hAnsi="Times"/>
                <w:color w:val="000000"/>
                <w:sz w:val="20"/>
                <w:szCs w:val="20"/>
              </w:rPr>
              <w:t>omic interest;</w:t>
            </w:r>
            <w:r>
              <w:rPr>
                <w:rFonts w:ascii="Times" w:eastAsia="Times New Roman" w:hAnsi="Times"/>
                <w:color w:val="000000"/>
                <w:sz w:val="20"/>
                <w:szCs w:val="20"/>
              </w:rPr>
              <w:t xml:space="preserve"> </w:t>
            </w:r>
          </w:p>
        </w:tc>
      </w:tr>
    </w:tbl>
    <w:p w14:paraId="670C35BF" w14:textId="77777777" w:rsidR="00000000" w:rsidRDefault="00097612">
      <w:pPr>
        <w:divId w:val="1171919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4BB94D0" w14:textId="77777777">
        <w:trPr>
          <w:divId w:val="117191928"/>
        </w:trPr>
        <w:tc>
          <w:tcPr>
            <w:tcW w:w="720" w:type="dxa"/>
            <w:vAlign w:val="center"/>
            <w:hideMark/>
          </w:tcPr>
          <w:p w14:paraId="5A76BC79" w14:textId="77777777" w:rsidR="00000000" w:rsidRDefault="00097612">
            <w:pPr>
              <w:rPr>
                <w:rFonts w:eastAsia="Times New Roman"/>
              </w:rPr>
            </w:pPr>
          </w:p>
        </w:tc>
        <w:tc>
          <w:tcPr>
            <w:tcW w:w="360" w:type="dxa"/>
            <w:noWrap/>
            <w:tcMar>
              <w:top w:w="0" w:type="dxa"/>
              <w:left w:w="0" w:type="dxa"/>
              <w:bottom w:w="0" w:type="dxa"/>
              <w:right w:w="0" w:type="dxa"/>
            </w:tcMar>
            <w:hideMark/>
          </w:tcPr>
          <w:p w14:paraId="182950DD"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40FFF23" w14:textId="77777777" w:rsidR="00000000" w:rsidRDefault="00097612">
            <w:pPr>
              <w:rPr>
                <w:rFonts w:ascii="Times" w:eastAsia="Times New Roman" w:hAnsi="Times"/>
                <w:sz w:val="20"/>
                <w:szCs w:val="20"/>
              </w:rPr>
            </w:pPr>
            <w:r>
              <w:rPr>
                <w:rFonts w:ascii="Times" w:eastAsia="Times New Roman" w:hAnsi="Times"/>
                <w:color w:val="000000"/>
                <w:sz w:val="20"/>
                <w:szCs w:val="20"/>
              </w:rPr>
              <w:t>the FDA and/or other national or foreign regulatory authorities determining that any of the studies under these programs do not demonstrate the required quality, safety or efficacy, or that additional non-clinical or clinical studies are required with resp</w:t>
            </w:r>
            <w:r>
              <w:rPr>
                <w:rFonts w:ascii="Times" w:eastAsia="Times New Roman" w:hAnsi="Times"/>
                <w:color w:val="000000"/>
                <w:sz w:val="20"/>
                <w:szCs w:val="20"/>
              </w:rPr>
              <w:t>ect to such programs;</w:t>
            </w:r>
            <w:r>
              <w:rPr>
                <w:rFonts w:ascii="Times" w:eastAsia="Times New Roman" w:hAnsi="Times"/>
                <w:color w:val="000000"/>
                <w:sz w:val="20"/>
                <w:szCs w:val="20"/>
              </w:rPr>
              <w:t xml:space="preserve"> </w:t>
            </w:r>
          </w:p>
        </w:tc>
      </w:tr>
    </w:tbl>
    <w:p w14:paraId="5B48EB1E" w14:textId="77777777" w:rsidR="00000000" w:rsidRDefault="00097612">
      <w:pPr>
        <w:divId w:val="1171919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230110A" w14:textId="77777777">
        <w:trPr>
          <w:divId w:val="117191928"/>
        </w:trPr>
        <w:tc>
          <w:tcPr>
            <w:tcW w:w="720" w:type="dxa"/>
            <w:vAlign w:val="center"/>
            <w:hideMark/>
          </w:tcPr>
          <w:p w14:paraId="1770CBF9" w14:textId="77777777" w:rsidR="00000000" w:rsidRDefault="00097612">
            <w:pPr>
              <w:rPr>
                <w:rFonts w:eastAsia="Times New Roman"/>
              </w:rPr>
            </w:pPr>
          </w:p>
        </w:tc>
        <w:tc>
          <w:tcPr>
            <w:tcW w:w="360" w:type="dxa"/>
            <w:noWrap/>
            <w:tcMar>
              <w:top w:w="0" w:type="dxa"/>
              <w:left w:w="0" w:type="dxa"/>
              <w:bottom w:w="0" w:type="dxa"/>
              <w:right w:w="0" w:type="dxa"/>
            </w:tcMar>
            <w:hideMark/>
          </w:tcPr>
          <w:p w14:paraId="5D4DBC6A"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A4207C0"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any safety, efficacy or other concerns regarding any of the GSK-Partnered Respiratory Programs in which we have a substantial economic interest; or</w:t>
            </w:r>
          </w:p>
        </w:tc>
      </w:tr>
    </w:tbl>
    <w:p w14:paraId="290A80A1" w14:textId="77777777" w:rsidR="00000000" w:rsidRDefault="00097612">
      <w:pPr>
        <w:divId w:val="1171919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CA527DA" w14:textId="77777777">
        <w:trPr>
          <w:divId w:val="117191928"/>
        </w:trPr>
        <w:tc>
          <w:tcPr>
            <w:tcW w:w="720" w:type="dxa"/>
            <w:vAlign w:val="center"/>
            <w:hideMark/>
          </w:tcPr>
          <w:p w14:paraId="12F56BB8" w14:textId="77777777" w:rsidR="00000000" w:rsidRDefault="00097612">
            <w:pPr>
              <w:rPr>
                <w:rFonts w:eastAsia="Times New Roman"/>
              </w:rPr>
            </w:pPr>
          </w:p>
        </w:tc>
        <w:tc>
          <w:tcPr>
            <w:tcW w:w="360" w:type="dxa"/>
            <w:noWrap/>
            <w:tcMar>
              <w:top w:w="0" w:type="dxa"/>
              <w:left w:w="0" w:type="dxa"/>
              <w:bottom w:w="0" w:type="dxa"/>
              <w:right w:w="0" w:type="dxa"/>
            </w:tcMar>
            <w:hideMark/>
          </w:tcPr>
          <w:p w14:paraId="6C323367"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CEAF425" w14:textId="77777777" w:rsidR="00000000" w:rsidRDefault="00097612">
            <w:pPr>
              <w:rPr>
                <w:rFonts w:ascii="Times" w:eastAsia="Times New Roman" w:hAnsi="Times"/>
                <w:sz w:val="20"/>
                <w:szCs w:val="20"/>
              </w:rPr>
            </w:pPr>
            <w:r>
              <w:rPr>
                <w:rFonts w:ascii="Times" w:eastAsia="Times New Roman" w:hAnsi="Times"/>
                <w:color w:val="000000"/>
                <w:sz w:val="20"/>
                <w:szCs w:val="20"/>
              </w:rPr>
              <w:t>any particular FDA requirements or changes in FDA policy or guidance regard</w:t>
            </w:r>
            <w:r>
              <w:rPr>
                <w:rFonts w:ascii="Times" w:eastAsia="Times New Roman" w:hAnsi="Times"/>
                <w:color w:val="000000"/>
                <w:sz w:val="20"/>
                <w:szCs w:val="20"/>
              </w:rPr>
              <w:t>ing these programs or any particular regulatory requirements in other jurisdictions or changes in the policies or guidance adopted by foreign regulatory authorities.</w:t>
            </w:r>
          </w:p>
        </w:tc>
      </w:tr>
    </w:tbl>
    <w:p w14:paraId="26F6AC11" w14:textId="77777777" w:rsidR="00000000" w:rsidRDefault="00097612">
      <w:pPr>
        <w:pStyle w:val="a3"/>
        <w:spacing w:before="0" w:beforeAutospacing="0" w:after="120" w:afterAutospacing="0"/>
        <w:divId w:val="117191928"/>
        <w:rPr>
          <w:rFonts w:ascii="Times" w:hAnsi="Times"/>
          <w:b/>
          <w:bCs/>
          <w:i/>
          <w:iCs/>
          <w:sz w:val="20"/>
          <w:szCs w:val="20"/>
        </w:rPr>
      </w:pPr>
      <w:r>
        <w:rPr>
          <w:rFonts w:ascii="Times" w:hAnsi="Times"/>
          <w:b/>
          <w:bCs/>
          <w:i/>
          <w:iCs/>
          <w:sz w:val="20"/>
          <w:szCs w:val="20"/>
        </w:rPr>
        <w:t>Because GSK is a strategic partner of Innoviva, a strategic partner of TRC and a signific</w:t>
      </w:r>
      <w:r>
        <w:rPr>
          <w:rFonts w:ascii="Times" w:hAnsi="Times"/>
          <w:b/>
          <w:bCs/>
          <w:i/>
          <w:iCs/>
          <w:sz w:val="20"/>
          <w:szCs w:val="20"/>
        </w:rPr>
        <w:t>ant shareholder of us, it may take actions that in certain cases are materially harmful to our business and to our other shareholders.</w:t>
      </w:r>
    </w:p>
    <w:p w14:paraId="6033C1CB" w14:textId="77777777" w:rsidR="00000000" w:rsidRDefault="00097612">
      <w:pPr>
        <w:pStyle w:val="a3"/>
        <w:spacing w:before="0" w:beforeAutospacing="0" w:after="0" w:afterAutospacing="0"/>
        <w:ind w:firstLine="720"/>
        <w:divId w:val="117191928"/>
        <w:rPr>
          <w:rFonts w:ascii="Times" w:hAnsi="Times"/>
          <w:sz w:val="20"/>
          <w:szCs w:val="20"/>
        </w:rPr>
      </w:pPr>
      <w:r>
        <w:rPr>
          <w:rFonts w:ascii="Times" w:hAnsi="Times"/>
          <w:sz w:val="20"/>
          <w:szCs w:val="20"/>
        </w:rPr>
        <w:t>Based on our review of publicly available filings, as of September 30, 2019 GSK beneficially owned approximately 17.0% of</w:t>
      </w:r>
      <w:r>
        <w:rPr>
          <w:rFonts w:ascii="Times" w:hAnsi="Times"/>
          <w:sz w:val="20"/>
          <w:szCs w:val="20"/>
        </w:rPr>
        <w:t xml:space="preserve"> our outstanding ordinary shares. GSK is also a strategic partner to Innoviva with rights and obligations under the GSK Agreements, which include the strategic alliance agreement and the collaboration agreement assigned to TRC, that may cause GSK’s interes</w:t>
      </w:r>
      <w:r>
        <w:rPr>
          <w:rFonts w:ascii="Times" w:hAnsi="Times"/>
          <w:sz w:val="20"/>
          <w:szCs w:val="20"/>
        </w:rPr>
        <w:t>ts to differ from our interests and those of our other shareholders. For example, GSK’s commercialization efforts are guided by a portfolio approach across products in which we have an indirect interest through TRC and products in which we have no interest</w:t>
      </w:r>
      <w:r>
        <w:rPr>
          <w:rFonts w:ascii="Times" w:hAnsi="Times"/>
          <w:sz w:val="20"/>
          <w:szCs w:val="20"/>
        </w:rPr>
        <w:t>. Accordingly, GSK’s commercialization efforts may have the effect of reducing the value of our interest in TRC. Furthermore, GSK has a substantial respiratory product portfolio in addition to the products covered by the GSK Agreements. GSK may make respir</w:t>
      </w:r>
      <w:r>
        <w:rPr>
          <w:rFonts w:ascii="Times" w:hAnsi="Times"/>
          <w:sz w:val="20"/>
          <w:szCs w:val="20"/>
        </w:rPr>
        <w:t>atory product portfolio decisions or statements about its portfolio which may be, or may be perceived to be, harmful to the respiratory products partnered with Innoviva and TRC. For example, GSK could promote its own respiratory products and/or delay or te</w:t>
      </w:r>
      <w:r>
        <w:rPr>
          <w:rFonts w:ascii="Times" w:hAnsi="Times"/>
          <w:sz w:val="20"/>
          <w:szCs w:val="20"/>
        </w:rPr>
        <w:t>rminate the development or commercialization of the respiratory programs covered by the GSK Agreements. Also, given the potential future royalty payments GSK may be</w:t>
      </w:r>
      <w:r>
        <w:rPr>
          <w:rFonts w:ascii="Times" w:hAnsi="Times"/>
          <w:sz w:val="20"/>
          <w:szCs w:val="20"/>
        </w:rPr>
        <w:t xml:space="preserve"> </w:t>
      </w:r>
    </w:p>
    <w:p w14:paraId="3C9E7CBC" w14:textId="77777777" w:rsidR="00000000" w:rsidRDefault="00097612">
      <w:pPr>
        <w:pStyle w:val="a3"/>
        <w:spacing w:before="360" w:beforeAutospacing="0" w:after="0" w:afterAutospacing="0"/>
        <w:jc w:val="center"/>
        <w:divId w:val="808013087"/>
        <w:rPr>
          <w:sz w:val="20"/>
          <w:szCs w:val="20"/>
        </w:rPr>
      </w:pPr>
      <w:r>
        <w:rPr>
          <w:sz w:val="20"/>
          <w:szCs w:val="20"/>
        </w:rPr>
        <w:t>42</w:t>
      </w:r>
    </w:p>
    <w:p w14:paraId="27241908" w14:textId="77777777" w:rsidR="00000000" w:rsidRDefault="00097612">
      <w:pPr>
        <w:pStyle w:val="a3"/>
        <w:spacing w:before="0" w:beforeAutospacing="0" w:after="600" w:afterAutospacing="0"/>
        <w:divId w:val="421998438"/>
        <w:rPr>
          <w:sz w:val="20"/>
          <w:szCs w:val="20"/>
        </w:rPr>
      </w:pPr>
      <w:hyperlink w:anchor="TOC" w:history="1">
        <w:r>
          <w:rPr>
            <w:rStyle w:val="a4"/>
            <w:sz w:val="20"/>
            <w:szCs w:val="20"/>
          </w:rPr>
          <w:t>Table of Contents</w:t>
        </w:r>
      </w:hyperlink>
    </w:p>
    <w:p w14:paraId="2EE10E7D" w14:textId="77777777" w:rsidR="00000000" w:rsidRDefault="00097612">
      <w:pPr>
        <w:pStyle w:val="a3"/>
        <w:spacing w:before="0" w:beforeAutospacing="0" w:after="0" w:afterAutospacing="0"/>
        <w:divId w:val="1007514668"/>
        <w:rPr>
          <w:rFonts w:ascii="Times" w:hAnsi="Times"/>
          <w:sz w:val="20"/>
          <w:szCs w:val="20"/>
        </w:rPr>
      </w:pPr>
      <w:r>
        <w:rPr>
          <w:rFonts w:ascii="Times" w:hAnsi="Times"/>
          <w:sz w:val="20"/>
          <w:szCs w:val="20"/>
        </w:rPr>
        <w:t xml:space="preserve">obligated to pay under the GSK Agreements, </w:t>
      </w:r>
      <w:r>
        <w:rPr>
          <w:rFonts w:ascii="Times" w:hAnsi="Times"/>
          <w:sz w:val="20"/>
          <w:szCs w:val="20"/>
        </w:rPr>
        <w:t>GSK may seek to acquire us or acquire our interests in TRC in order to effectively reduce those payment obligations and the price at which GSK might seek to acquire us may not reflect our true value. Before 2018, the actions GSK could have taken to acquire</w:t>
      </w:r>
      <w:r>
        <w:rPr>
          <w:rFonts w:ascii="Times" w:hAnsi="Times"/>
          <w:sz w:val="20"/>
          <w:szCs w:val="20"/>
        </w:rPr>
        <w:t xml:space="preserve"> us were limited under our governance agreement with GSK (the</w:t>
      </w:r>
      <w:r>
        <w:rPr>
          <w:rFonts w:ascii="Times" w:hAnsi="Times"/>
          <w:sz w:val="20"/>
          <w:szCs w:val="20"/>
        </w:rPr>
        <w:t xml:space="preserve"> </w:t>
      </w:r>
      <w:r>
        <w:rPr>
          <w:rFonts w:ascii="Times" w:hAnsi="Times"/>
          <w:sz w:val="20"/>
          <w:szCs w:val="20"/>
        </w:rPr>
        <w:t>“Governance Agreement”), but this agreement expired on December 31, 2017. In May 2018, our shareholders approved a resolution authorizing our board of directors to adopt a shareholder rights pla</w:t>
      </w:r>
      <w:r>
        <w:rPr>
          <w:rFonts w:ascii="Times" w:hAnsi="Times"/>
          <w:sz w:val="20"/>
          <w:szCs w:val="20"/>
        </w:rPr>
        <w:t>n in the future which may deter GSK from acquiring more than 19.9% of our outstanding ordinary shares. However, our board of directors might not adopt such shareholder rights plan, and we otherwise might not be able to respond successfully to a takeover at</w:t>
      </w:r>
      <w:r>
        <w:rPr>
          <w:rFonts w:ascii="Times" w:hAnsi="Times"/>
          <w:sz w:val="20"/>
          <w:szCs w:val="20"/>
        </w:rPr>
        <w:t>tempt. The timing of when GSK may seek to acquire us could potentially be when it possesses information regarding the status of drug programs covered by the GSK Agreements that has not been publicly disclosed and is not otherwise known to us. As a result o</w:t>
      </w:r>
      <w:r>
        <w:rPr>
          <w:rFonts w:ascii="Times" w:hAnsi="Times"/>
          <w:sz w:val="20"/>
          <w:szCs w:val="20"/>
        </w:rPr>
        <w:t>f these differing interests, GSK may take actions that it believes are in its best interest but which might not be in the best interests of either us or our other shareholders. In addition, GSK could also seek to challenge our or Innoviva’s post-Spin-Off o</w:t>
      </w:r>
      <w:r>
        <w:rPr>
          <w:rFonts w:ascii="Times" w:hAnsi="Times"/>
          <w:sz w:val="20"/>
          <w:szCs w:val="20"/>
        </w:rPr>
        <w:t>perations as violating or allowing it to terminate the GSK Agreements, including by violating the confidentiality provisions of those agreements or the master agreement between GSK, Innoviva and us entered into in connection with the Spin-Off (the</w:t>
      </w:r>
      <w:r>
        <w:rPr>
          <w:rFonts w:ascii="Times" w:hAnsi="Times"/>
          <w:sz w:val="20"/>
          <w:szCs w:val="20"/>
        </w:rPr>
        <w:t xml:space="preserve"> </w:t>
      </w:r>
      <w:r>
        <w:rPr>
          <w:rFonts w:ascii="Times" w:hAnsi="Times"/>
          <w:sz w:val="20"/>
          <w:szCs w:val="20"/>
        </w:rPr>
        <w:t xml:space="preserve">“Master </w:t>
      </w:r>
      <w:r>
        <w:rPr>
          <w:rFonts w:ascii="Times" w:hAnsi="Times"/>
          <w:sz w:val="20"/>
          <w:szCs w:val="20"/>
        </w:rPr>
        <w:t xml:space="preserve">Agreement”), or otherwise violating its legal rights. While we believe our operations fully comply with the GSK Agreements, the Master Agreement and applicable law, there can be no assurance that we or Innoviva will prevail against any such claims by GSK. </w:t>
      </w:r>
      <w:r>
        <w:rPr>
          <w:rFonts w:ascii="Times" w:hAnsi="Times"/>
          <w:sz w:val="20"/>
          <w:szCs w:val="20"/>
        </w:rPr>
        <w:t>Moreover, regardless of the merit of any claims by GSK, we may incur significant cost and diversion of resources in defending them. In addition, any other action or inaction by either GSK or Innoviva that results in a material dispute, allegation of breach</w:t>
      </w:r>
      <w:r>
        <w:rPr>
          <w:rFonts w:ascii="Times" w:hAnsi="Times"/>
          <w:sz w:val="20"/>
          <w:szCs w:val="20"/>
        </w:rPr>
        <w:t>, litigation, arbitration, or significant disagreement between those parties or between us and either of those parties may be interpreted negatively by the market or by our investors, could harm our business and cause the price of our securities to fall.</w:t>
      </w:r>
      <w:r>
        <w:rPr>
          <w:rFonts w:ascii="Times" w:hAnsi="Times"/>
          <w:sz w:val="20"/>
          <w:szCs w:val="20"/>
        </w:rPr>
        <w:t xml:space="preserve"> </w:t>
      </w:r>
      <w:r>
        <w:rPr>
          <w:sz w:val="20"/>
          <w:szCs w:val="20"/>
        </w:rPr>
        <w:t>S</w:t>
      </w:r>
      <w:r>
        <w:rPr>
          <w:sz w:val="20"/>
          <w:szCs w:val="20"/>
        </w:rPr>
        <w:t xml:space="preserve">ee Part II, Item 1 “Legal Proceedings.” </w:t>
      </w:r>
      <w:r>
        <w:rPr>
          <w:rFonts w:ascii="Times" w:hAnsi="Times"/>
          <w:sz w:val="20"/>
          <w:szCs w:val="20"/>
        </w:rPr>
        <w:t xml:space="preserve">Other examples of these kinds of issues include but are not limited to non-performance of other contractual obligations and allegations of non-performance, disagreements over the relative marketing and sales efforts </w:t>
      </w:r>
      <w:r>
        <w:rPr>
          <w:rFonts w:ascii="Times" w:hAnsi="Times"/>
          <w:sz w:val="20"/>
          <w:szCs w:val="20"/>
        </w:rPr>
        <w:t>for Innoviva’s partnered products and other GSK respiratory products, disputes over public statements, and similar matters. In general, any uncertainty about the respiratory programs partnered with GSK, the enforceability of the GSK Agreements or the relat</w:t>
      </w:r>
      <w:r>
        <w:rPr>
          <w:rFonts w:ascii="Times" w:hAnsi="Times"/>
          <w:sz w:val="20"/>
          <w:szCs w:val="20"/>
        </w:rPr>
        <w:t>ionship/partnership between Innoviva and GSK or between us and Innoviva could result in significant reduction in the market price of our securities and other material harm to our business.</w:t>
      </w:r>
    </w:p>
    <w:p w14:paraId="0AF5AF4D" w14:textId="77777777" w:rsidR="00000000" w:rsidRDefault="00097612">
      <w:pPr>
        <w:pStyle w:val="a3"/>
        <w:spacing w:before="0" w:beforeAutospacing="0" w:after="0" w:afterAutospacing="0"/>
        <w:divId w:val="1007514668"/>
        <w:rPr>
          <w:sz w:val="20"/>
          <w:szCs w:val="20"/>
        </w:rPr>
      </w:pPr>
      <w:r>
        <w:rPr>
          <w:sz w:val="20"/>
          <w:szCs w:val="20"/>
        </w:rPr>
        <w:t>​</w:t>
      </w:r>
    </w:p>
    <w:p w14:paraId="0E52C0F1" w14:textId="77777777" w:rsidR="00000000" w:rsidRDefault="00097612">
      <w:pPr>
        <w:pStyle w:val="a3"/>
        <w:spacing w:before="0" w:beforeAutospacing="0" w:after="0" w:afterAutospacing="0"/>
        <w:divId w:val="1007514668"/>
        <w:rPr>
          <w:sz w:val="20"/>
          <w:szCs w:val="20"/>
        </w:rPr>
      </w:pPr>
      <w:r>
        <w:rPr>
          <w:rFonts w:ascii="Times" w:hAnsi="Times"/>
          <w:b/>
          <w:bCs/>
          <w:i/>
          <w:iCs/>
          <w:sz w:val="20"/>
          <w:szCs w:val="20"/>
        </w:rPr>
        <w:t xml:space="preserve">We do not control the commercialization of TRELEGY ELLIPTA and we do not control TRC; accordingly the amount of royalties we receive will depend, among other factors, on GSK’s ability to further commercialize TRELEGY ELLIPTA and TRC’s decisions concerning </w:t>
      </w:r>
      <w:r>
        <w:rPr>
          <w:rFonts w:ascii="Times" w:hAnsi="Times"/>
          <w:b/>
          <w:bCs/>
          <w:i/>
          <w:iCs/>
          <w:sz w:val="20"/>
          <w:szCs w:val="20"/>
        </w:rPr>
        <w:t>use of cash in accordance with the TRC LLC Agreement.</w:t>
      </w:r>
      <w:r>
        <w:rPr>
          <w:rFonts w:ascii="Times" w:hAnsi="Times"/>
          <w:b/>
          <w:bCs/>
          <w:i/>
          <w:iCs/>
          <w:sz w:val="20"/>
          <w:szCs w:val="20"/>
        </w:rPr>
        <w:t xml:space="preserve"> </w:t>
      </w:r>
    </w:p>
    <w:p w14:paraId="17C09839" w14:textId="77777777" w:rsidR="00000000" w:rsidRDefault="00097612">
      <w:pPr>
        <w:pStyle w:val="a3"/>
        <w:spacing w:before="0" w:beforeAutospacing="0" w:after="0" w:afterAutospacing="0"/>
        <w:ind w:firstLine="720"/>
        <w:divId w:val="1007514668"/>
        <w:rPr>
          <w:sz w:val="20"/>
          <w:szCs w:val="20"/>
        </w:rPr>
      </w:pPr>
      <w:r>
        <w:rPr>
          <w:rFonts w:ascii="Times" w:hAnsi="Times"/>
          <w:sz w:val="10"/>
          <w:szCs w:val="10"/>
        </w:rPr>
        <w:t>​</w:t>
      </w:r>
    </w:p>
    <w:p w14:paraId="529C7ECC" w14:textId="77777777" w:rsidR="00000000" w:rsidRDefault="00097612">
      <w:pPr>
        <w:pStyle w:val="a3"/>
        <w:spacing w:before="0" w:beforeAutospacing="0" w:after="0" w:afterAutospacing="0"/>
        <w:divId w:val="1007514668"/>
        <w:rPr>
          <w:sz w:val="20"/>
          <w:szCs w:val="20"/>
        </w:rPr>
      </w:pPr>
      <w:r>
        <w:rPr>
          <w:sz w:val="20"/>
          <w:szCs w:val="20"/>
        </w:rPr>
        <w:t>We only receive revenues from TRELEGY ELLIPTA based on the amount of sales of this product by GSK in the form of our economic interest in the royalties paid by GSK to TRC, which is managed by Innoviv</w:t>
      </w:r>
      <w:r>
        <w:rPr>
          <w:sz w:val="20"/>
          <w:szCs w:val="20"/>
        </w:rPr>
        <w:t>a. There are no required minimum future payments associated with the product and any royalties we receive will depend on GSK’s ability to commercialize the product, the future payments, if any, made by GSK under the strategic alliance agreement and under t</w:t>
      </w:r>
      <w:r>
        <w:rPr>
          <w:sz w:val="20"/>
          <w:szCs w:val="20"/>
        </w:rPr>
        <w:t>he portion of the collaboration agreement assigned to TRC, TRC’s expenses, and the amount of cash, if any, expected to be used by TRC pursuant to the TRC LLC Agreement. Following our recent arbitration with Innoviva concerning its withholding of certain ro</w:t>
      </w:r>
      <w:r>
        <w:rPr>
          <w:sz w:val="20"/>
          <w:szCs w:val="20"/>
        </w:rPr>
        <w:t>yalty distributions to the TRC members, the arbitrator ruled that in the future if Innoviva desires to invest TRC funds in any initiatives that require the consent of GSK under the collaboration agreement, Innoviva must first obtain the consent of GSK. The</w:t>
      </w:r>
      <w:r>
        <w:rPr>
          <w:sz w:val="20"/>
          <w:szCs w:val="20"/>
        </w:rPr>
        <w:t xml:space="preserve"> timeframe for seeking GSK’s consent for these initiatives and the associated dates by which GSK’s consent must be received means that royalty distributions could be delayed for several quarters (if GSK ultimately does not consent) or perhaps not made at a</w:t>
      </w:r>
      <w:r>
        <w:rPr>
          <w:sz w:val="20"/>
          <w:szCs w:val="20"/>
        </w:rPr>
        <w:t>ll until the completion of the initiatives (to the extent that GSK does consent and agrees with TRC that TRC funding will be used for such initiatives). This involves a number of risks and uncertainties, including:</w:t>
      </w:r>
    </w:p>
    <w:p w14:paraId="58B94BDF" w14:textId="77777777" w:rsidR="00000000" w:rsidRDefault="00097612">
      <w:pPr>
        <w:pStyle w:val="a3"/>
        <w:spacing w:before="0" w:beforeAutospacing="0" w:after="0" w:afterAutospacing="0"/>
        <w:divId w:val="1007514668"/>
        <w:rPr>
          <w:sz w:val="20"/>
          <w:szCs w:val="20"/>
        </w:rPr>
      </w:pPr>
      <w:r>
        <w:rPr>
          <w:sz w:val="20"/>
          <w:szCs w:val="20"/>
        </w:rPr>
        <w:t>​</w:t>
      </w:r>
    </w:p>
    <w:p w14:paraId="57A09C34" w14:textId="77777777" w:rsidR="00000000" w:rsidRDefault="00097612">
      <w:pPr>
        <w:spacing w:after="240"/>
        <w:ind w:left="418" w:hanging="360"/>
        <w:divId w:val="1667786440"/>
        <w:rPr>
          <w:rFonts w:ascii="Times" w:eastAsia="Times New Roman" w:hAnsi="Times"/>
          <w:sz w:val="20"/>
          <w:szCs w:val="20"/>
        </w:rPr>
      </w:pPr>
      <w:r>
        <w:rPr>
          <w:rFonts w:eastAsia="Times New Roman"/>
          <w:sz w:val="20"/>
          <w:szCs w:val="20"/>
        </w:rPr>
        <w:t>●</w:t>
      </w:r>
      <w:r>
        <w:rPr>
          <w:rFonts w:ascii="Times" w:eastAsia="Times New Roman" w:hAnsi="Times"/>
          <w:sz w:val="20"/>
          <w:szCs w:val="20"/>
        </w:rPr>
        <w:t>GSK’s ability to have an adequate supp</w:t>
      </w:r>
      <w:r>
        <w:rPr>
          <w:rFonts w:ascii="Times" w:eastAsia="Times New Roman" w:hAnsi="Times"/>
          <w:sz w:val="20"/>
          <w:szCs w:val="20"/>
        </w:rPr>
        <w:t>ly of their respective product;</w:t>
      </w:r>
    </w:p>
    <w:p w14:paraId="479549D6" w14:textId="77777777" w:rsidR="00000000" w:rsidRDefault="00097612">
      <w:pPr>
        <w:spacing w:after="240"/>
        <w:ind w:left="418" w:hanging="360"/>
        <w:divId w:val="549462537"/>
        <w:rPr>
          <w:rFonts w:ascii="Times" w:eastAsia="Times New Roman" w:hAnsi="Times"/>
          <w:sz w:val="20"/>
          <w:szCs w:val="20"/>
        </w:rPr>
      </w:pPr>
      <w:r>
        <w:rPr>
          <w:rFonts w:eastAsia="Times New Roman"/>
          <w:sz w:val="20"/>
          <w:szCs w:val="20"/>
        </w:rPr>
        <w:t>●</w:t>
      </w:r>
      <w:r>
        <w:rPr>
          <w:rFonts w:ascii="Times" w:eastAsia="Times New Roman" w:hAnsi="Times"/>
          <w:sz w:val="20"/>
          <w:szCs w:val="20"/>
        </w:rPr>
        <w:t>Ongoing compliance by GSK or its suppliers with the FDA’s current Good Manufacturing Practice;</w:t>
      </w:r>
    </w:p>
    <w:tbl>
      <w:tblPr>
        <w:tblW w:w="5000" w:type="pct"/>
        <w:tblCellMar>
          <w:top w:w="15" w:type="dxa"/>
          <w:left w:w="15" w:type="dxa"/>
          <w:bottom w:w="15" w:type="dxa"/>
          <w:right w:w="15" w:type="dxa"/>
        </w:tblCellMar>
        <w:tblLook w:val="04A0" w:firstRow="1" w:lastRow="0" w:firstColumn="1" w:lastColumn="0" w:noHBand="0" w:noVBand="1"/>
      </w:tblPr>
      <w:tblGrid>
        <w:gridCol w:w="418"/>
        <w:gridCol w:w="318"/>
        <w:gridCol w:w="7570"/>
      </w:tblGrid>
      <w:tr w:rsidR="00000000" w14:paraId="3FC90E6B" w14:textId="77777777">
        <w:trPr>
          <w:divId w:val="1007514668"/>
        </w:trPr>
        <w:tc>
          <w:tcPr>
            <w:tcW w:w="418" w:type="dxa"/>
            <w:vAlign w:val="center"/>
            <w:hideMark/>
          </w:tcPr>
          <w:p w14:paraId="453E7381" w14:textId="77777777" w:rsidR="00000000" w:rsidRDefault="00097612">
            <w:pPr>
              <w:ind w:hanging="360"/>
              <w:rPr>
                <w:rFonts w:ascii="Times" w:eastAsia="Times New Roman" w:hAnsi="Times"/>
                <w:sz w:val="20"/>
                <w:szCs w:val="20"/>
              </w:rPr>
            </w:pPr>
          </w:p>
        </w:tc>
        <w:tc>
          <w:tcPr>
            <w:tcW w:w="302" w:type="dxa"/>
            <w:noWrap/>
            <w:tcMar>
              <w:top w:w="0" w:type="dxa"/>
              <w:left w:w="0" w:type="dxa"/>
              <w:bottom w:w="0" w:type="dxa"/>
              <w:right w:w="0" w:type="dxa"/>
            </w:tcMar>
            <w:hideMark/>
          </w:tcPr>
          <w:p w14:paraId="07E1F0C3"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1DE149A"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Compliance with other applicable FDA and other regulatory requirements in the US or other foreign jurisdictions, including th</w:t>
            </w:r>
            <w:r>
              <w:rPr>
                <w:rFonts w:ascii="Times" w:eastAsia="Times New Roman" w:hAnsi="Times"/>
                <w:color w:val="000000"/>
                <w:sz w:val="20"/>
                <w:szCs w:val="20"/>
              </w:rPr>
              <w:t>ose described elsewhere in this report;</w:t>
            </w:r>
          </w:p>
        </w:tc>
      </w:tr>
    </w:tbl>
    <w:p w14:paraId="1F3AFABD" w14:textId="77777777" w:rsidR="00000000" w:rsidRDefault="00097612">
      <w:pPr>
        <w:spacing w:after="240"/>
        <w:ind w:left="418" w:hanging="360"/>
        <w:divId w:val="9070802"/>
        <w:rPr>
          <w:rFonts w:ascii="Times" w:eastAsia="Times New Roman" w:hAnsi="Times"/>
          <w:sz w:val="20"/>
          <w:szCs w:val="20"/>
        </w:rPr>
      </w:pPr>
      <w:r>
        <w:rPr>
          <w:rFonts w:eastAsia="Times New Roman"/>
          <w:sz w:val="20"/>
          <w:szCs w:val="20"/>
        </w:rPr>
        <w:t>●</w:t>
      </w:r>
      <w:r>
        <w:rPr>
          <w:rFonts w:ascii="Times" w:eastAsia="Times New Roman" w:hAnsi="Times"/>
          <w:sz w:val="20"/>
          <w:szCs w:val="20"/>
        </w:rPr>
        <w:t>Competition, whether from current competitors or new products developed by others in the future;</w:t>
      </w:r>
    </w:p>
    <w:p w14:paraId="34B1E34D" w14:textId="77777777" w:rsidR="00000000" w:rsidRDefault="00097612">
      <w:pPr>
        <w:spacing w:after="240"/>
        <w:ind w:left="418" w:hanging="360"/>
        <w:divId w:val="1562979633"/>
        <w:rPr>
          <w:rFonts w:ascii="Times" w:eastAsia="Times New Roman" w:hAnsi="Times"/>
          <w:sz w:val="20"/>
          <w:szCs w:val="20"/>
        </w:rPr>
      </w:pPr>
      <w:r>
        <w:rPr>
          <w:rFonts w:eastAsia="Times New Roman"/>
          <w:sz w:val="20"/>
          <w:szCs w:val="20"/>
        </w:rPr>
        <w:t>●</w:t>
      </w:r>
      <w:r>
        <w:rPr>
          <w:rFonts w:ascii="Times" w:eastAsia="Times New Roman" w:hAnsi="Times"/>
          <w:sz w:val="20"/>
          <w:szCs w:val="20"/>
        </w:rPr>
        <w:t>Claims relating to intellectual property;</w:t>
      </w:r>
    </w:p>
    <w:p w14:paraId="2769D51E" w14:textId="77777777" w:rsidR="00000000" w:rsidRDefault="00097612">
      <w:pPr>
        <w:pStyle w:val="a3"/>
        <w:spacing w:before="360" w:beforeAutospacing="0" w:after="0" w:afterAutospacing="0"/>
        <w:jc w:val="center"/>
        <w:divId w:val="1509246693"/>
        <w:rPr>
          <w:sz w:val="20"/>
          <w:szCs w:val="20"/>
        </w:rPr>
      </w:pPr>
      <w:r>
        <w:rPr>
          <w:sz w:val="20"/>
          <w:szCs w:val="20"/>
        </w:rPr>
        <w:t>43</w:t>
      </w:r>
    </w:p>
    <w:p w14:paraId="2221B911" w14:textId="77777777" w:rsidR="00000000" w:rsidRDefault="00097612">
      <w:pPr>
        <w:pStyle w:val="a3"/>
        <w:spacing w:before="0" w:beforeAutospacing="0" w:after="600" w:afterAutospacing="0"/>
        <w:divId w:val="210773296"/>
        <w:rPr>
          <w:sz w:val="20"/>
          <w:szCs w:val="20"/>
        </w:rPr>
      </w:pPr>
      <w:hyperlink w:anchor="TOC" w:history="1">
        <w:r>
          <w:rPr>
            <w:rStyle w:val="a4"/>
            <w:sz w:val="20"/>
            <w:szCs w:val="20"/>
          </w:rPr>
          <w:t>Table of Contents</w:t>
        </w:r>
      </w:hyperlink>
    </w:p>
    <w:p w14:paraId="02C57A80" w14:textId="77777777" w:rsidR="00000000" w:rsidRDefault="00097612">
      <w:pPr>
        <w:spacing w:after="240"/>
        <w:ind w:left="418" w:hanging="360"/>
        <w:divId w:val="699205560"/>
        <w:rPr>
          <w:rFonts w:ascii="Times" w:eastAsia="Times New Roman" w:hAnsi="Times"/>
          <w:sz w:val="20"/>
          <w:szCs w:val="20"/>
        </w:rPr>
      </w:pPr>
      <w:r>
        <w:rPr>
          <w:rFonts w:eastAsia="Times New Roman"/>
          <w:sz w:val="20"/>
          <w:szCs w:val="20"/>
        </w:rPr>
        <w:t>●</w:t>
      </w:r>
      <w:r>
        <w:rPr>
          <w:rFonts w:ascii="Times" w:eastAsia="Times New Roman" w:hAnsi="Times"/>
          <w:sz w:val="20"/>
          <w:szCs w:val="20"/>
        </w:rPr>
        <w:t>Any future disruptions in GSK’s business which would affect its ability to commercialize the product;</w:t>
      </w:r>
    </w:p>
    <w:tbl>
      <w:tblPr>
        <w:tblW w:w="5000" w:type="pct"/>
        <w:tblCellMar>
          <w:top w:w="15" w:type="dxa"/>
          <w:left w:w="15" w:type="dxa"/>
          <w:bottom w:w="15" w:type="dxa"/>
          <w:right w:w="15" w:type="dxa"/>
        </w:tblCellMar>
        <w:tblLook w:val="04A0" w:firstRow="1" w:lastRow="0" w:firstColumn="1" w:lastColumn="0" w:noHBand="0" w:noVBand="1"/>
      </w:tblPr>
      <w:tblGrid>
        <w:gridCol w:w="418"/>
        <w:gridCol w:w="318"/>
        <w:gridCol w:w="7570"/>
      </w:tblGrid>
      <w:tr w:rsidR="00000000" w14:paraId="6E4BD31D" w14:textId="77777777">
        <w:trPr>
          <w:divId w:val="28652313"/>
        </w:trPr>
        <w:tc>
          <w:tcPr>
            <w:tcW w:w="418" w:type="dxa"/>
            <w:vAlign w:val="center"/>
            <w:hideMark/>
          </w:tcPr>
          <w:p w14:paraId="6CF93240" w14:textId="77777777" w:rsidR="00000000" w:rsidRDefault="00097612">
            <w:pPr>
              <w:ind w:hanging="360"/>
              <w:rPr>
                <w:rFonts w:ascii="Times" w:eastAsia="Times New Roman" w:hAnsi="Times"/>
                <w:sz w:val="20"/>
                <w:szCs w:val="20"/>
              </w:rPr>
            </w:pPr>
          </w:p>
        </w:tc>
        <w:tc>
          <w:tcPr>
            <w:tcW w:w="302" w:type="dxa"/>
            <w:noWrap/>
            <w:tcMar>
              <w:top w:w="0" w:type="dxa"/>
              <w:left w:w="0" w:type="dxa"/>
              <w:bottom w:w="0" w:type="dxa"/>
              <w:right w:w="0" w:type="dxa"/>
            </w:tcMar>
            <w:hideMark/>
          </w:tcPr>
          <w:p w14:paraId="2F09B278"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21081AF"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ability of TRELEGY ELLIPTA to achieve wider acceptance among physicians, patients, third-party payors, or the medical community in general;</w:t>
            </w:r>
          </w:p>
        </w:tc>
      </w:tr>
    </w:tbl>
    <w:p w14:paraId="6DEEF6BE" w14:textId="77777777" w:rsidR="00000000" w:rsidRDefault="00097612">
      <w:pPr>
        <w:divId w:val="286523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18"/>
        <w:gridCol w:w="318"/>
        <w:gridCol w:w="7570"/>
      </w:tblGrid>
      <w:tr w:rsidR="00000000" w14:paraId="6DA5E8CF" w14:textId="77777777">
        <w:trPr>
          <w:divId w:val="28652313"/>
        </w:trPr>
        <w:tc>
          <w:tcPr>
            <w:tcW w:w="418" w:type="dxa"/>
            <w:vAlign w:val="center"/>
            <w:hideMark/>
          </w:tcPr>
          <w:p w14:paraId="037CD6EE" w14:textId="77777777" w:rsidR="00000000" w:rsidRDefault="00097612">
            <w:pPr>
              <w:rPr>
                <w:rFonts w:eastAsia="Times New Roman"/>
              </w:rPr>
            </w:pPr>
          </w:p>
        </w:tc>
        <w:tc>
          <w:tcPr>
            <w:tcW w:w="302" w:type="dxa"/>
            <w:noWrap/>
            <w:tcMar>
              <w:top w:w="0" w:type="dxa"/>
              <w:left w:w="0" w:type="dxa"/>
              <w:bottom w:w="0" w:type="dxa"/>
              <w:right w:w="0" w:type="dxa"/>
            </w:tcMar>
            <w:hideMark/>
          </w:tcPr>
          <w:p w14:paraId="674E1E55"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AEE93B9"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amount of cash associated with any additional future TRELEGY ELLIPTA commercialization initiatives that</w:t>
            </w:r>
            <w:r>
              <w:rPr>
                <w:rFonts w:ascii="Times" w:eastAsia="Times New Roman" w:hAnsi="Times"/>
                <w:color w:val="000000"/>
                <w:sz w:val="20"/>
                <w:szCs w:val="20"/>
              </w:rPr>
              <w:t xml:space="preserve"> Innoviva proposes to GSK for TRC to pursue beyond those for which Innoviva is withholding $8.0 million at present, the time it may take to present those initiatives to GSK for approval and the time it takes for GSK to consent or not consent;</w:t>
            </w:r>
          </w:p>
        </w:tc>
      </w:tr>
    </w:tbl>
    <w:p w14:paraId="10E14DC8" w14:textId="77777777" w:rsidR="00000000" w:rsidRDefault="00097612">
      <w:pPr>
        <w:divId w:val="286523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18"/>
        <w:gridCol w:w="318"/>
        <w:gridCol w:w="7570"/>
      </w:tblGrid>
      <w:tr w:rsidR="00000000" w14:paraId="37ED25A2" w14:textId="77777777">
        <w:trPr>
          <w:divId w:val="28652313"/>
        </w:trPr>
        <w:tc>
          <w:tcPr>
            <w:tcW w:w="418" w:type="dxa"/>
            <w:vAlign w:val="center"/>
            <w:hideMark/>
          </w:tcPr>
          <w:p w14:paraId="2E719972" w14:textId="77777777" w:rsidR="00000000" w:rsidRDefault="00097612">
            <w:pPr>
              <w:rPr>
                <w:rFonts w:eastAsia="Times New Roman"/>
              </w:rPr>
            </w:pPr>
          </w:p>
        </w:tc>
        <w:tc>
          <w:tcPr>
            <w:tcW w:w="302" w:type="dxa"/>
            <w:noWrap/>
            <w:tcMar>
              <w:top w:w="0" w:type="dxa"/>
              <w:left w:w="0" w:type="dxa"/>
              <w:bottom w:w="0" w:type="dxa"/>
              <w:right w:w="0" w:type="dxa"/>
            </w:tcMar>
            <w:hideMark/>
          </w:tcPr>
          <w:p w14:paraId="57186F32"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F6EC7A0"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Any futu</w:t>
            </w:r>
            <w:r>
              <w:rPr>
                <w:rFonts w:ascii="Times" w:eastAsia="Times New Roman" w:hAnsi="Times"/>
                <w:color w:val="000000"/>
                <w:sz w:val="20"/>
                <w:szCs w:val="20"/>
              </w:rPr>
              <w:t>re withholding by Innoviva or TRC of royalty distributions not in accordance with the TRC LLC Agreement;</w:t>
            </w:r>
          </w:p>
        </w:tc>
      </w:tr>
    </w:tbl>
    <w:p w14:paraId="1FC98FE5" w14:textId="77777777" w:rsidR="00000000" w:rsidRDefault="00097612">
      <w:pPr>
        <w:spacing w:after="240"/>
        <w:ind w:left="418" w:hanging="360"/>
        <w:divId w:val="1762724694"/>
        <w:rPr>
          <w:rFonts w:ascii="Times" w:eastAsia="Times New Roman" w:hAnsi="Times"/>
          <w:sz w:val="20"/>
          <w:szCs w:val="20"/>
        </w:rPr>
      </w:pPr>
      <w:r>
        <w:rPr>
          <w:rFonts w:eastAsia="Times New Roman"/>
          <w:sz w:val="20"/>
          <w:szCs w:val="20"/>
        </w:rPr>
        <w:t>●</w:t>
      </w:r>
      <w:r>
        <w:rPr>
          <w:rFonts w:ascii="Times" w:eastAsia="Times New Roman" w:hAnsi="Times"/>
          <w:sz w:val="20"/>
          <w:szCs w:val="20"/>
        </w:rPr>
        <w:t>Global economic conditions; and</w:t>
      </w:r>
    </w:p>
    <w:p w14:paraId="12A20814" w14:textId="77777777" w:rsidR="00000000" w:rsidRDefault="00097612">
      <w:pPr>
        <w:ind w:left="418" w:hanging="360"/>
        <w:divId w:val="3409073"/>
        <w:rPr>
          <w:rFonts w:ascii="Times" w:eastAsia="Times New Roman" w:hAnsi="Times"/>
          <w:sz w:val="20"/>
          <w:szCs w:val="20"/>
        </w:rPr>
      </w:pPr>
      <w:r>
        <w:rPr>
          <w:rFonts w:eastAsia="Times New Roman"/>
          <w:sz w:val="20"/>
          <w:szCs w:val="20"/>
        </w:rPr>
        <w:t>●</w:t>
      </w:r>
      <w:r>
        <w:rPr>
          <w:rFonts w:ascii="Times" w:eastAsia="Times New Roman" w:hAnsi="Times"/>
          <w:sz w:val="20"/>
          <w:szCs w:val="20"/>
        </w:rPr>
        <w:t>Any of the other risks relating to commercialization of products described elsewhere in this section.</w:t>
      </w:r>
    </w:p>
    <w:p w14:paraId="6D1CB078" w14:textId="77777777" w:rsidR="00000000" w:rsidRDefault="00097612">
      <w:pPr>
        <w:pStyle w:val="a3"/>
        <w:spacing w:before="0" w:beforeAutospacing="0" w:after="0" w:afterAutospacing="0"/>
        <w:ind w:firstLine="720"/>
        <w:divId w:val="28652313"/>
        <w:rPr>
          <w:sz w:val="20"/>
          <w:szCs w:val="20"/>
        </w:rPr>
      </w:pPr>
      <w:r>
        <w:rPr>
          <w:sz w:val="20"/>
          <w:szCs w:val="20"/>
        </w:rPr>
        <w:t>​</w:t>
      </w:r>
    </w:p>
    <w:p w14:paraId="00AAD732" w14:textId="77777777" w:rsidR="00000000" w:rsidRDefault="00097612">
      <w:pPr>
        <w:pStyle w:val="a3"/>
        <w:spacing w:before="0" w:beforeAutospacing="0" w:after="0" w:afterAutospacing="0"/>
        <w:ind w:firstLine="720"/>
        <w:divId w:val="28652313"/>
        <w:rPr>
          <w:sz w:val="20"/>
          <w:szCs w:val="20"/>
        </w:rPr>
      </w:pPr>
      <w:r>
        <w:rPr>
          <w:sz w:val="20"/>
          <w:szCs w:val="20"/>
        </w:rPr>
        <w:t xml:space="preserve">These risks </w:t>
      </w:r>
      <w:r>
        <w:rPr>
          <w:sz w:val="20"/>
          <w:szCs w:val="20"/>
        </w:rPr>
        <w:t>and uncertainties could materially impact the amount and timing of future royalties or other revenues we may receive from sales of TRELEGY ELLIPTA, which could have a material adverse effect on our future revenues, other financial results and our financial</w:t>
      </w:r>
      <w:r>
        <w:rPr>
          <w:sz w:val="20"/>
          <w:szCs w:val="20"/>
        </w:rPr>
        <w:t xml:space="preserve"> position and cause the price of our securities to fall.</w:t>
      </w:r>
    </w:p>
    <w:p w14:paraId="350E4659" w14:textId="77777777" w:rsidR="00000000" w:rsidRDefault="00097612">
      <w:pPr>
        <w:pStyle w:val="a3"/>
        <w:spacing w:before="0" w:beforeAutospacing="0" w:after="0" w:afterAutospacing="0"/>
        <w:divId w:val="28652313"/>
        <w:rPr>
          <w:sz w:val="20"/>
          <w:szCs w:val="20"/>
        </w:rPr>
      </w:pPr>
      <w:r>
        <w:rPr>
          <w:sz w:val="20"/>
          <w:szCs w:val="20"/>
        </w:rPr>
        <w:t>​</w:t>
      </w:r>
    </w:p>
    <w:p w14:paraId="7FAD8C1C" w14:textId="77777777" w:rsidR="00000000" w:rsidRDefault="00097612">
      <w:pPr>
        <w:pStyle w:val="a3"/>
        <w:spacing w:before="0" w:beforeAutospacing="0" w:after="120" w:afterAutospacing="0"/>
        <w:divId w:val="28652313"/>
        <w:rPr>
          <w:rFonts w:ascii="Times" w:hAnsi="Times"/>
          <w:b/>
          <w:bCs/>
          <w:i/>
          <w:iCs/>
          <w:sz w:val="20"/>
          <w:szCs w:val="20"/>
        </w:rPr>
      </w:pPr>
      <w:r>
        <w:rPr>
          <w:rFonts w:ascii="Times" w:hAnsi="Times"/>
          <w:b/>
          <w:bCs/>
          <w:i/>
          <w:iCs/>
          <w:sz w:val="20"/>
          <w:szCs w:val="20"/>
        </w:rPr>
        <w:t>Our ongoing drug discovery and development efforts might not generate additional successful product candidates or approvable drugs.</w:t>
      </w:r>
      <w:r>
        <w:rPr>
          <w:rFonts w:ascii="Times" w:hAnsi="Times"/>
          <w:b/>
          <w:bCs/>
          <w:i/>
          <w:iCs/>
          <w:sz w:val="20"/>
          <w:szCs w:val="20"/>
        </w:rPr>
        <w:t xml:space="preserve"> </w:t>
      </w:r>
    </w:p>
    <w:p w14:paraId="3FE51A53" w14:textId="77777777" w:rsidR="00000000" w:rsidRDefault="00097612">
      <w:pPr>
        <w:pStyle w:val="a3"/>
        <w:spacing w:before="0" w:beforeAutospacing="0" w:after="0" w:afterAutospacing="0"/>
        <w:ind w:firstLine="720"/>
        <w:divId w:val="28652313"/>
        <w:rPr>
          <w:rFonts w:ascii="Times" w:hAnsi="Times"/>
          <w:sz w:val="20"/>
          <w:szCs w:val="20"/>
        </w:rPr>
      </w:pPr>
      <w:r>
        <w:rPr>
          <w:rFonts w:ascii="Times" w:hAnsi="Times"/>
          <w:sz w:val="20"/>
          <w:szCs w:val="20"/>
        </w:rPr>
        <w:t>Our compounds in clinical trials and our future leads for potent</w:t>
      </w:r>
      <w:r>
        <w:rPr>
          <w:rFonts w:ascii="Times" w:hAnsi="Times"/>
          <w:sz w:val="20"/>
          <w:szCs w:val="20"/>
        </w:rPr>
        <w:t>ial drug compounds are subject to the risks and failures inherent in the development of pharmaceutical products. These risks include, but are not limited to, the inherent difficulty in selecting the right drug and drug target and avoiding unwanted side eff</w:t>
      </w:r>
      <w:r>
        <w:rPr>
          <w:rFonts w:ascii="Times" w:hAnsi="Times"/>
          <w:sz w:val="20"/>
          <w:szCs w:val="20"/>
        </w:rPr>
        <w:t>ects, as well as unanticipated problems relating to product development, testing, enrollment, obtaining regulatory approvals, maintaining regulatory compliance, manufacturing, competition and costs and expenses that may exceed current estimates.</w:t>
      </w:r>
      <w:r>
        <w:rPr>
          <w:rFonts w:ascii="Times" w:hAnsi="Times"/>
          <w:sz w:val="20"/>
          <w:szCs w:val="20"/>
        </w:rPr>
        <w:t xml:space="preserve"> </w:t>
      </w:r>
    </w:p>
    <w:p w14:paraId="532FC608" w14:textId="77777777" w:rsidR="00000000" w:rsidRDefault="00097612">
      <w:pPr>
        <w:pStyle w:val="a3"/>
        <w:spacing w:before="0" w:beforeAutospacing="0" w:after="0" w:afterAutospacing="0"/>
        <w:ind w:firstLine="720"/>
        <w:divId w:val="28652313"/>
        <w:rPr>
          <w:rFonts w:ascii="Times" w:hAnsi="Times"/>
          <w:sz w:val="20"/>
          <w:szCs w:val="20"/>
        </w:rPr>
      </w:pPr>
      <w:r>
        <w:rPr>
          <w:rFonts w:ascii="Times" w:hAnsi="Times"/>
          <w:sz w:val="20"/>
          <w:szCs w:val="20"/>
        </w:rPr>
        <w:t>​</w:t>
      </w:r>
    </w:p>
    <w:p w14:paraId="6ACCFF9D" w14:textId="77777777" w:rsidR="00000000" w:rsidRDefault="00097612">
      <w:pPr>
        <w:pStyle w:val="a3"/>
        <w:spacing w:before="0" w:beforeAutospacing="0" w:after="0" w:afterAutospacing="0"/>
        <w:ind w:firstLine="720"/>
        <w:divId w:val="28652313"/>
        <w:rPr>
          <w:rFonts w:ascii="Times" w:hAnsi="Times"/>
          <w:sz w:val="20"/>
          <w:szCs w:val="20"/>
        </w:rPr>
      </w:pPr>
      <w:r>
        <w:rPr>
          <w:rFonts w:ascii="Times" w:hAnsi="Times"/>
          <w:sz w:val="20"/>
          <w:szCs w:val="20"/>
        </w:rPr>
        <w:t>Clinical studies involving our product candidates may reveal that those candidates are ineffective, inferior to existing approved medicines, unacceptably toxic, or that they have other unacceptable side effects. In addition, the results of preclinical stud</w:t>
      </w:r>
      <w:r>
        <w:rPr>
          <w:rFonts w:ascii="Times" w:hAnsi="Times"/>
          <w:sz w:val="20"/>
          <w:szCs w:val="20"/>
        </w:rPr>
        <w:t>ies do not necessarily predict clinical success, and larger and later-stage clinical studies may not produce the same results as earlier-stage clinical studies.</w:t>
      </w:r>
      <w:r>
        <w:rPr>
          <w:rFonts w:ascii="Times" w:hAnsi="Times"/>
          <w:sz w:val="20"/>
          <w:szCs w:val="20"/>
        </w:rPr>
        <w:t xml:space="preserve"> </w:t>
      </w:r>
    </w:p>
    <w:p w14:paraId="55771AA7" w14:textId="77777777" w:rsidR="00000000" w:rsidRDefault="00097612">
      <w:pPr>
        <w:pStyle w:val="a3"/>
        <w:spacing w:before="0" w:beforeAutospacing="0" w:after="0" w:afterAutospacing="0"/>
        <w:ind w:firstLine="720"/>
        <w:divId w:val="28652313"/>
        <w:rPr>
          <w:rFonts w:ascii="Times" w:hAnsi="Times"/>
          <w:sz w:val="20"/>
          <w:szCs w:val="20"/>
        </w:rPr>
      </w:pPr>
      <w:r>
        <w:rPr>
          <w:rFonts w:ascii="Times" w:hAnsi="Times"/>
          <w:sz w:val="20"/>
          <w:szCs w:val="20"/>
        </w:rPr>
        <w:t>​</w:t>
      </w:r>
    </w:p>
    <w:p w14:paraId="554652CE" w14:textId="77777777" w:rsidR="00000000" w:rsidRDefault="00097612">
      <w:pPr>
        <w:pStyle w:val="a3"/>
        <w:spacing w:before="0" w:beforeAutospacing="0" w:after="0" w:afterAutospacing="0"/>
        <w:ind w:firstLine="720"/>
        <w:divId w:val="28652313"/>
        <w:rPr>
          <w:rFonts w:ascii="Times" w:hAnsi="Times"/>
          <w:sz w:val="20"/>
          <w:szCs w:val="20"/>
        </w:rPr>
      </w:pPr>
      <w:r>
        <w:rPr>
          <w:rFonts w:ascii="Times" w:hAnsi="Times"/>
          <w:sz w:val="20"/>
          <w:szCs w:val="20"/>
        </w:rPr>
        <w:t>Frequently, product candidates that have shown promising results in early preclinical or cli</w:t>
      </w:r>
      <w:r>
        <w:rPr>
          <w:rFonts w:ascii="Times" w:hAnsi="Times"/>
          <w:sz w:val="20"/>
          <w:szCs w:val="20"/>
        </w:rPr>
        <w:t>nical studies have subsequently suffered significant setbacks or failed in later non-clinical or clinical studies. In some instances, there can be significant variability in safety and/or efficacy results between different trials of the same product candid</w:t>
      </w:r>
      <w:r>
        <w:rPr>
          <w:rFonts w:ascii="Times" w:hAnsi="Times"/>
          <w:sz w:val="20"/>
          <w:szCs w:val="20"/>
        </w:rPr>
        <w:t>ate due to numerous factors, including changes in trial protocols, differences in size and type of the patient populations, varying levels of adherence to the dosing regimen and other trial protocols and the rate of dropout among clinical trial participant</w:t>
      </w:r>
      <w:r>
        <w:rPr>
          <w:rFonts w:ascii="Times" w:hAnsi="Times"/>
          <w:sz w:val="20"/>
          <w:szCs w:val="20"/>
        </w:rPr>
        <w:t>s. Clinical and non-clinical studies of product candidates often reveal that it is not possible or practical to continue development efforts for these product candidates. In addition, the design of a clinical trial can determine whether its results will su</w:t>
      </w:r>
      <w:r>
        <w:rPr>
          <w:rFonts w:ascii="Times" w:hAnsi="Times"/>
          <w:sz w:val="20"/>
          <w:szCs w:val="20"/>
        </w:rPr>
        <w:t>pport regulatory approval and flaws in the design of a clinical trial may not become apparent until the clinical trial is well underway or completed. If our clinical studies for our current product candidates, such as the clinical studies for our JAK inhib</w:t>
      </w:r>
      <w:r>
        <w:rPr>
          <w:rFonts w:ascii="Times" w:hAnsi="Times"/>
          <w:sz w:val="20"/>
          <w:szCs w:val="20"/>
        </w:rPr>
        <w:t>itor program or ampreloxetine in patients with nOH, are substantially delayed or suggest that any of our product candidates may not be efficacious or well tolerated, we could choose to cease development of these product candidates. In addition, our product</w:t>
      </w:r>
      <w:r>
        <w:rPr>
          <w:rFonts w:ascii="Times" w:hAnsi="Times"/>
          <w:sz w:val="20"/>
          <w:szCs w:val="20"/>
        </w:rPr>
        <w:t xml:space="preserve"> candidates may have undesirable side effects or other unexpected characteristics that could cause us or regulatory authorities to interrupt, delay or halt clinical trials and could result in a more restricted label or the delay or denial of regulatory app</w:t>
      </w:r>
      <w:r>
        <w:rPr>
          <w:rFonts w:ascii="Times" w:hAnsi="Times"/>
          <w:sz w:val="20"/>
          <w:szCs w:val="20"/>
        </w:rPr>
        <w:t>roval by regulatory authorities.</w:t>
      </w:r>
      <w:r>
        <w:rPr>
          <w:rFonts w:ascii="Times" w:hAnsi="Times"/>
          <w:sz w:val="20"/>
          <w:szCs w:val="20"/>
        </w:rPr>
        <w:t xml:space="preserve"> </w:t>
      </w:r>
    </w:p>
    <w:p w14:paraId="05E39663" w14:textId="77777777" w:rsidR="00000000" w:rsidRDefault="00097612">
      <w:pPr>
        <w:pStyle w:val="a3"/>
        <w:spacing w:before="0" w:beforeAutospacing="0" w:after="0" w:afterAutospacing="0"/>
        <w:divId w:val="28652313"/>
        <w:rPr>
          <w:sz w:val="20"/>
          <w:szCs w:val="20"/>
        </w:rPr>
      </w:pPr>
      <w:r>
        <w:rPr>
          <w:sz w:val="20"/>
          <w:szCs w:val="20"/>
        </w:rPr>
        <w:t>​</w:t>
      </w:r>
    </w:p>
    <w:p w14:paraId="070CF683" w14:textId="77777777" w:rsidR="00000000" w:rsidRDefault="00097612">
      <w:pPr>
        <w:pStyle w:val="a3"/>
        <w:spacing w:before="360" w:beforeAutospacing="0" w:after="0" w:afterAutospacing="0"/>
        <w:jc w:val="center"/>
        <w:divId w:val="1852597400"/>
        <w:rPr>
          <w:sz w:val="20"/>
          <w:szCs w:val="20"/>
        </w:rPr>
      </w:pPr>
      <w:r>
        <w:rPr>
          <w:sz w:val="20"/>
          <w:szCs w:val="20"/>
        </w:rPr>
        <w:t>44</w:t>
      </w:r>
    </w:p>
    <w:p w14:paraId="1759A8F4" w14:textId="77777777" w:rsidR="00000000" w:rsidRDefault="00097612">
      <w:pPr>
        <w:pStyle w:val="a3"/>
        <w:spacing w:before="0" w:beforeAutospacing="0" w:after="600" w:afterAutospacing="0"/>
        <w:divId w:val="316961453"/>
        <w:rPr>
          <w:sz w:val="20"/>
          <w:szCs w:val="20"/>
        </w:rPr>
      </w:pPr>
      <w:hyperlink w:anchor="TOC" w:history="1">
        <w:r>
          <w:rPr>
            <w:rStyle w:val="a4"/>
            <w:sz w:val="20"/>
            <w:szCs w:val="20"/>
          </w:rPr>
          <w:t>Table of Contents</w:t>
        </w:r>
      </w:hyperlink>
    </w:p>
    <w:p w14:paraId="65B3564E" w14:textId="77777777" w:rsidR="00000000" w:rsidRDefault="00097612">
      <w:pPr>
        <w:pStyle w:val="a3"/>
        <w:spacing w:before="0" w:beforeAutospacing="0" w:after="120" w:afterAutospacing="0"/>
        <w:divId w:val="1699160583"/>
        <w:rPr>
          <w:rFonts w:ascii="Times" w:hAnsi="Times"/>
          <w:b/>
          <w:bCs/>
          <w:i/>
          <w:iCs/>
          <w:sz w:val="20"/>
          <w:szCs w:val="20"/>
        </w:rPr>
      </w:pPr>
      <w:r>
        <w:rPr>
          <w:rFonts w:ascii="Times" w:hAnsi="Times"/>
          <w:b/>
          <w:bCs/>
          <w:i/>
          <w:iCs/>
          <w:sz w:val="20"/>
          <w:szCs w:val="20"/>
        </w:rPr>
        <w:t>We face substantial competition from companies with more resources and experience than we have, which may result in others discovering, developing, receiving approval for or</w:t>
      </w:r>
      <w:r>
        <w:rPr>
          <w:rFonts w:ascii="Times" w:hAnsi="Times"/>
          <w:b/>
          <w:bCs/>
          <w:i/>
          <w:iCs/>
          <w:sz w:val="20"/>
          <w:szCs w:val="20"/>
        </w:rPr>
        <w:t xml:space="preserve"> commercializing products before or more successfully than we do.</w:t>
      </w:r>
      <w:r>
        <w:rPr>
          <w:rFonts w:ascii="Times" w:hAnsi="Times"/>
          <w:b/>
          <w:bCs/>
          <w:i/>
          <w:iCs/>
          <w:sz w:val="20"/>
          <w:szCs w:val="20"/>
        </w:rPr>
        <w:t xml:space="preserve"> </w:t>
      </w:r>
    </w:p>
    <w:p w14:paraId="2C02DAFC" w14:textId="77777777" w:rsidR="00000000" w:rsidRDefault="00097612">
      <w:pPr>
        <w:pStyle w:val="a3"/>
        <w:spacing w:before="0" w:beforeAutospacing="0" w:after="0" w:afterAutospacing="0"/>
        <w:ind w:firstLine="720"/>
        <w:divId w:val="1699160583"/>
        <w:rPr>
          <w:rFonts w:ascii="Times" w:hAnsi="Times"/>
          <w:sz w:val="20"/>
          <w:szCs w:val="20"/>
        </w:rPr>
      </w:pPr>
      <w:r>
        <w:rPr>
          <w:rFonts w:ascii="Times" w:hAnsi="Times"/>
          <w:sz w:val="20"/>
          <w:szCs w:val="20"/>
        </w:rPr>
        <w:t>Our ability to succeed in the future depends on our ability to demonstrate and maintain a competitive advantage with respect to our approach to the discovery, development and commercializat</w:t>
      </w:r>
      <w:r>
        <w:rPr>
          <w:rFonts w:ascii="Times" w:hAnsi="Times"/>
          <w:sz w:val="20"/>
          <w:szCs w:val="20"/>
        </w:rPr>
        <w:t>ion of medicines. Our objective is to discover, develop and commercialize new small molecule medicines with superior efficacy, convenience, tolerability and/or safety using our proprietary insight in chemistry, biology and multivalency, where applicable. W</w:t>
      </w:r>
      <w:r>
        <w:rPr>
          <w:rFonts w:ascii="Times" w:hAnsi="Times"/>
          <w:sz w:val="20"/>
          <w:szCs w:val="20"/>
        </w:rPr>
        <w:t>e expect that any medicines that we commercialize with or without our collaborative partners will compete with existing or future market-leading medicines.</w:t>
      </w:r>
      <w:r>
        <w:rPr>
          <w:rFonts w:ascii="Times" w:hAnsi="Times"/>
          <w:sz w:val="20"/>
          <w:szCs w:val="20"/>
        </w:rPr>
        <w:t xml:space="preserve"> </w:t>
      </w:r>
    </w:p>
    <w:p w14:paraId="0497B790" w14:textId="77777777" w:rsidR="00000000" w:rsidRDefault="00097612">
      <w:pPr>
        <w:pStyle w:val="a3"/>
        <w:spacing w:before="0" w:beforeAutospacing="0" w:after="0" w:afterAutospacing="0"/>
        <w:divId w:val="1699160583"/>
        <w:rPr>
          <w:rFonts w:ascii="Times" w:hAnsi="Times"/>
          <w:sz w:val="20"/>
          <w:szCs w:val="20"/>
        </w:rPr>
      </w:pPr>
      <w:r>
        <w:rPr>
          <w:rFonts w:ascii="Times" w:hAnsi="Times"/>
          <w:sz w:val="20"/>
          <w:szCs w:val="20"/>
        </w:rPr>
        <w:t>​</w:t>
      </w:r>
    </w:p>
    <w:p w14:paraId="4B69C3C3" w14:textId="77777777" w:rsidR="00000000" w:rsidRDefault="00097612">
      <w:pPr>
        <w:pStyle w:val="a3"/>
        <w:spacing w:before="0" w:beforeAutospacing="0" w:after="0" w:afterAutospacing="0"/>
        <w:ind w:firstLine="720"/>
        <w:divId w:val="1699160583"/>
        <w:rPr>
          <w:rFonts w:ascii="Times" w:hAnsi="Times"/>
          <w:sz w:val="20"/>
          <w:szCs w:val="20"/>
        </w:rPr>
      </w:pPr>
      <w:r>
        <w:rPr>
          <w:rFonts w:ascii="Times" w:hAnsi="Times"/>
          <w:sz w:val="20"/>
          <w:szCs w:val="20"/>
        </w:rPr>
        <w:t>Many of our current and potential competitors have substantially greater financial, technical and</w:t>
      </w:r>
      <w:r>
        <w:rPr>
          <w:rFonts w:ascii="Times" w:hAnsi="Times"/>
          <w:sz w:val="20"/>
          <w:szCs w:val="20"/>
        </w:rPr>
        <w:t xml:space="preserve"> personnel resources than we have. In addition, many of these competitors have significantly greater commercial infrastructures than we have. Our ability to compete successfully will depend largely on our ability to leverage our experience in drug discover</w:t>
      </w:r>
      <w:r>
        <w:rPr>
          <w:rFonts w:ascii="Times" w:hAnsi="Times"/>
          <w:sz w:val="20"/>
          <w:szCs w:val="20"/>
        </w:rPr>
        <w:t>y and development, and, more recently, commercialization, to:</w:t>
      </w:r>
    </w:p>
    <w:p w14:paraId="3387EF60" w14:textId="77777777" w:rsidR="00000000" w:rsidRDefault="00097612">
      <w:pPr>
        <w:pStyle w:val="a3"/>
        <w:spacing w:before="0" w:beforeAutospacing="0" w:after="0" w:afterAutospacing="0"/>
        <w:ind w:firstLine="720"/>
        <w:divId w:val="1699160583"/>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5CF134C" w14:textId="77777777">
        <w:trPr>
          <w:divId w:val="1699160583"/>
        </w:trPr>
        <w:tc>
          <w:tcPr>
            <w:tcW w:w="720" w:type="dxa"/>
            <w:vAlign w:val="center"/>
            <w:hideMark/>
          </w:tcPr>
          <w:p w14:paraId="00F7000F"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1EC9EC2F"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3768B69" w14:textId="77777777" w:rsidR="00000000" w:rsidRDefault="00097612">
            <w:pPr>
              <w:rPr>
                <w:rFonts w:ascii="Times" w:eastAsia="Times New Roman" w:hAnsi="Times"/>
                <w:sz w:val="20"/>
                <w:szCs w:val="20"/>
              </w:rPr>
            </w:pPr>
            <w:r>
              <w:rPr>
                <w:rFonts w:ascii="Times" w:eastAsia="Times New Roman" w:hAnsi="Times"/>
                <w:color w:val="000000"/>
                <w:sz w:val="20"/>
                <w:szCs w:val="20"/>
              </w:rPr>
              <w:t>discover and develop medicines that are superior to other products in the market;</w:t>
            </w:r>
            <w:r>
              <w:rPr>
                <w:rFonts w:ascii="Times" w:eastAsia="Times New Roman" w:hAnsi="Times"/>
                <w:color w:val="000000"/>
                <w:sz w:val="20"/>
                <w:szCs w:val="20"/>
              </w:rPr>
              <w:t xml:space="preserve"> </w:t>
            </w:r>
          </w:p>
        </w:tc>
      </w:tr>
    </w:tbl>
    <w:p w14:paraId="64242C2A" w14:textId="77777777" w:rsidR="00000000" w:rsidRDefault="00097612">
      <w:pPr>
        <w:divId w:val="16991605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716FCAB" w14:textId="77777777">
        <w:trPr>
          <w:divId w:val="1699160583"/>
        </w:trPr>
        <w:tc>
          <w:tcPr>
            <w:tcW w:w="720" w:type="dxa"/>
            <w:vAlign w:val="center"/>
            <w:hideMark/>
          </w:tcPr>
          <w:p w14:paraId="5ABF3421" w14:textId="77777777" w:rsidR="00000000" w:rsidRDefault="00097612">
            <w:pPr>
              <w:rPr>
                <w:rFonts w:eastAsia="Times New Roman"/>
              </w:rPr>
            </w:pPr>
          </w:p>
        </w:tc>
        <w:tc>
          <w:tcPr>
            <w:tcW w:w="360" w:type="dxa"/>
            <w:noWrap/>
            <w:tcMar>
              <w:top w:w="0" w:type="dxa"/>
              <w:left w:w="0" w:type="dxa"/>
              <w:bottom w:w="0" w:type="dxa"/>
              <w:right w:w="0" w:type="dxa"/>
            </w:tcMar>
            <w:hideMark/>
          </w:tcPr>
          <w:p w14:paraId="743FACE7"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9D90EBB"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attract and retain qualified personnel;</w:t>
            </w:r>
            <w:r>
              <w:rPr>
                <w:rFonts w:ascii="Times" w:eastAsia="Times New Roman" w:hAnsi="Times"/>
                <w:color w:val="000000"/>
                <w:sz w:val="20"/>
                <w:szCs w:val="20"/>
              </w:rPr>
              <w:t xml:space="preserve"> </w:t>
            </w:r>
          </w:p>
        </w:tc>
      </w:tr>
    </w:tbl>
    <w:p w14:paraId="37E7F2B4" w14:textId="77777777" w:rsidR="00000000" w:rsidRDefault="00097612">
      <w:pPr>
        <w:divId w:val="16991605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16EF0B4" w14:textId="77777777">
        <w:trPr>
          <w:divId w:val="1699160583"/>
        </w:trPr>
        <w:tc>
          <w:tcPr>
            <w:tcW w:w="720" w:type="dxa"/>
            <w:vAlign w:val="center"/>
            <w:hideMark/>
          </w:tcPr>
          <w:p w14:paraId="5856C146" w14:textId="77777777" w:rsidR="00000000" w:rsidRDefault="00097612">
            <w:pPr>
              <w:rPr>
                <w:rFonts w:eastAsia="Times New Roman"/>
              </w:rPr>
            </w:pPr>
          </w:p>
        </w:tc>
        <w:tc>
          <w:tcPr>
            <w:tcW w:w="360" w:type="dxa"/>
            <w:noWrap/>
            <w:tcMar>
              <w:top w:w="0" w:type="dxa"/>
              <w:left w:w="0" w:type="dxa"/>
              <w:bottom w:w="0" w:type="dxa"/>
              <w:right w:w="0" w:type="dxa"/>
            </w:tcMar>
            <w:hideMark/>
          </w:tcPr>
          <w:p w14:paraId="13418B20"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483054B"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obtain and enforce patent and/or other proprietary protection for our medicines and technologies;</w:t>
            </w:r>
            <w:r>
              <w:rPr>
                <w:rFonts w:ascii="Times" w:eastAsia="Times New Roman" w:hAnsi="Times"/>
                <w:color w:val="000000"/>
                <w:sz w:val="20"/>
                <w:szCs w:val="20"/>
              </w:rPr>
              <w:t xml:space="preserve"> </w:t>
            </w:r>
          </w:p>
        </w:tc>
      </w:tr>
    </w:tbl>
    <w:p w14:paraId="5814F6CA" w14:textId="77777777" w:rsidR="00000000" w:rsidRDefault="00097612">
      <w:pPr>
        <w:divId w:val="16991605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E5D079D" w14:textId="77777777">
        <w:trPr>
          <w:divId w:val="1699160583"/>
        </w:trPr>
        <w:tc>
          <w:tcPr>
            <w:tcW w:w="720" w:type="dxa"/>
            <w:vAlign w:val="center"/>
            <w:hideMark/>
          </w:tcPr>
          <w:p w14:paraId="374C9593" w14:textId="77777777" w:rsidR="00000000" w:rsidRDefault="00097612">
            <w:pPr>
              <w:rPr>
                <w:rFonts w:eastAsia="Times New Roman"/>
              </w:rPr>
            </w:pPr>
          </w:p>
        </w:tc>
        <w:tc>
          <w:tcPr>
            <w:tcW w:w="360" w:type="dxa"/>
            <w:noWrap/>
            <w:tcMar>
              <w:top w:w="0" w:type="dxa"/>
              <w:left w:w="0" w:type="dxa"/>
              <w:bottom w:w="0" w:type="dxa"/>
              <w:right w:w="0" w:type="dxa"/>
            </w:tcMar>
            <w:hideMark/>
          </w:tcPr>
          <w:p w14:paraId="1012FB5A"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3416218"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conduct effective clinical trials and obtain required regulatory approvals;</w:t>
            </w:r>
            <w:r>
              <w:rPr>
                <w:rFonts w:ascii="Times" w:eastAsia="Times New Roman" w:hAnsi="Times"/>
                <w:color w:val="000000"/>
                <w:sz w:val="20"/>
                <w:szCs w:val="20"/>
              </w:rPr>
              <w:t xml:space="preserve"> </w:t>
            </w:r>
          </w:p>
        </w:tc>
      </w:tr>
    </w:tbl>
    <w:p w14:paraId="11F9E429" w14:textId="77777777" w:rsidR="00000000" w:rsidRDefault="00097612">
      <w:pPr>
        <w:divId w:val="16991605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C8E59A5" w14:textId="77777777">
        <w:trPr>
          <w:divId w:val="1699160583"/>
        </w:trPr>
        <w:tc>
          <w:tcPr>
            <w:tcW w:w="720" w:type="dxa"/>
            <w:vAlign w:val="center"/>
            <w:hideMark/>
          </w:tcPr>
          <w:p w14:paraId="3AB2AF5E" w14:textId="77777777" w:rsidR="00000000" w:rsidRDefault="00097612">
            <w:pPr>
              <w:rPr>
                <w:rFonts w:eastAsia="Times New Roman"/>
              </w:rPr>
            </w:pPr>
          </w:p>
        </w:tc>
        <w:tc>
          <w:tcPr>
            <w:tcW w:w="360" w:type="dxa"/>
            <w:noWrap/>
            <w:tcMar>
              <w:top w:w="0" w:type="dxa"/>
              <w:left w:w="0" w:type="dxa"/>
              <w:bottom w:w="0" w:type="dxa"/>
              <w:right w:w="0" w:type="dxa"/>
            </w:tcMar>
            <w:hideMark/>
          </w:tcPr>
          <w:p w14:paraId="73FE8502"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6419218"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develop and effectively implement commercialization strategies, with o</w:t>
            </w:r>
            <w:r>
              <w:rPr>
                <w:rFonts w:ascii="Times" w:eastAsia="Times New Roman" w:hAnsi="Times"/>
                <w:color w:val="000000"/>
                <w:sz w:val="20"/>
                <w:szCs w:val="20"/>
              </w:rPr>
              <w:t>r without collaborative partners; and</w:t>
            </w:r>
            <w:r>
              <w:rPr>
                <w:rFonts w:ascii="Times" w:eastAsia="Times New Roman" w:hAnsi="Times"/>
                <w:color w:val="000000"/>
                <w:sz w:val="20"/>
                <w:szCs w:val="20"/>
              </w:rPr>
              <w:t xml:space="preserve"> </w:t>
            </w:r>
          </w:p>
        </w:tc>
      </w:tr>
    </w:tbl>
    <w:p w14:paraId="1C11C7E4" w14:textId="77777777" w:rsidR="00000000" w:rsidRDefault="00097612">
      <w:pPr>
        <w:divId w:val="16991605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ED03EBC" w14:textId="77777777">
        <w:trPr>
          <w:divId w:val="1699160583"/>
        </w:trPr>
        <w:tc>
          <w:tcPr>
            <w:tcW w:w="720" w:type="dxa"/>
            <w:vAlign w:val="center"/>
            <w:hideMark/>
          </w:tcPr>
          <w:p w14:paraId="712E2B19" w14:textId="77777777" w:rsidR="00000000" w:rsidRDefault="00097612">
            <w:pPr>
              <w:rPr>
                <w:rFonts w:eastAsia="Times New Roman"/>
              </w:rPr>
            </w:pPr>
          </w:p>
        </w:tc>
        <w:tc>
          <w:tcPr>
            <w:tcW w:w="360" w:type="dxa"/>
            <w:noWrap/>
            <w:tcMar>
              <w:top w:w="0" w:type="dxa"/>
              <w:left w:w="0" w:type="dxa"/>
              <w:bottom w:w="0" w:type="dxa"/>
              <w:right w:w="0" w:type="dxa"/>
            </w:tcMar>
            <w:hideMark/>
          </w:tcPr>
          <w:p w14:paraId="133863E8"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55D7EA4" w14:textId="77777777" w:rsidR="00000000" w:rsidRDefault="00097612">
            <w:pPr>
              <w:rPr>
                <w:rFonts w:ascii="Times" w:eastAsia="Times New Roman" w:hAnsi="Times"/>
                <w:sz w:val="20"/>
                <w:szCs w:val="20"/>
              </w:rPr>
            </w:pPr>
            <w:r>
              <w:rPr>
                <w:rFonts w:ascii="Times" w:eastAsia="Times New Roman" w:hAnsi="Times"/>
                <w:color w:val="000000"/>
                <w:sz w:val="20"/>
                <w:szCs w:val="20"/>
              </w:rPr>
              <w:t>successfully collaborate with pharmaceutical companies in the discovery, development and commercialization of new medicines.</w:t>
            </w:r>
            <w:r>
              <w:rPr>
                <w:rFonts w:ascii="Times" w:eastAsia="Times New Roman" w:hAnsi="Times"/>
                <w:color w:val="000000"/>
                <w:sz w:val="20"/>
                <w:szCs w:val="20"/>
              </w:rPr>
              <w:t xml:space="preserve"> </w:t>
            </w:r>
          </w:p>
        </w:tc>
      </w:tr>
    </w:tbl>
    <w:p w14:paraId="36036E2A" w14:textId="77777777" w:rsidR="00000000" w:rsidRDefault="00097612">
      <w:pPr>
        <w:pStyle w:val="a3"/>
        <w:spacing w:before="0" w:beforeAutospacing="0" w:after="0" w:afterAutospacing="0"/>
        <w:ind w:firstLine="720"/>
        <w:divId w:val="1699160583"/>
        <w:rPr>
          <w:rFonts w:ascii="Times" w:hAnsi="Times"/>
          <w:sz w:val="20"/>
          <w:szCs w:val="20"/>
        </w:rPr>
      </w:pPr>
      <w:r>
        <w:rPr>
          <w:rFonts w:ascii="Times" w:hAnsi="Times"/>
          <w:sz w:val="20"/>
          <w:szCs w:val="20"/>
        </w:rPr>
        <w:t>Pharmaceutical companies, including companies with which we collaborate, may invest heavily to quickly discover and develop or in-license novel compounds that could make our product candidates obsolete. Accordingly, our competitors may succeed in obtaining</w:t>
      </w:r>
      <w:r>
        <w:rPr>
          <w:rFonts w:ascii="Times" w:hAnsi="Times"/>
          <w:sz w:val="20"/>
          <w:szCs w:val="20"/>
        </w:rPr>
        <w:t xml:space="preserve"> patent protection, receiving FDA or equivalent regulatory approval outside the US or discovering, developing and commercializing medicines before we do. Other companies are engaged in the discovery of medicines that would compete with the product candidat</w:t>
      </w:r>
      <w:r>
        <w:rPr>
          <w:rFonts w:ascii="Times" w:hAnsi="Times"/>
          <w:sz w:val="20"/>
          <w:szCs w:val="20"/>
        </w:rPr>
        <w:t>es that we are developing.</w:t>
      </w:r>
      <w:r>
        <w:rPr>
          <w:rFonts w:ascii="Times" w:hAnsi="Times"/>
          <w:sz w:val="20"/>
          <w:szCs w:val="20"/>
        </w:rPr>
        <w:t xml:space="preserve"> </w:t>
      </w:r>
    </w:p>
    <w:p w14:paraId="3CA6201E" w14:textId="77777777" w:rsidR="00000000" w:rsidRDefault="00097612">
      <w:pPr>
        <w:pStyle w:val="a3"/>
        <w:spacing w:before="0" w:beforeAutospacing="0" w:after="0" w:afterAutospacing="0"/>
        <w:ind w:firstLine="720"/>
        <w:divId w:val="1699160583"/>
        <w:rPr>
          <w:rFonts w:ascii="Times" w:hAnsi="Times"/>
          <w:sz w:val="20"/>
          <w:szCs w:val="20"/>
        </w:rPr>
      </w:pPr>
      <w:r>
        <w:rPr>
          <w:rFonts w:ascii="Times" w:hAnsi="Times"/>
          <w:sz w:val="20"/>
          <w:szCs w:val="20"/>
        </w:rPr>
        <w:t>​</w:t>
      </w:r>
    </w:p>
    <w:p w14:paraId="4C2AF717" w14:textId="77777777" w:rsidR="00000000" w:rsidRDefault="00097612">
      <w:pPr>
        <w:pStyle w:val="a3"/>
        <w:spacing w:before="0" w:beforeAutospacing="0" w:after="0" w:afterAutospacing="0"/>
        <w:ind w:firstLine="720"/>
        <w:divId w:val="1699160583"/>
        <w:rPr>
          <w:rFonts w:ascii="Times" w:hAnsi="Times"/>
          <w:sz w:val="20"/>
          <w:szCs w:val="20"/>
        </w:rPr>
      </w:pPr>
      <w:r>
        <w:rPr>
          <w:rFonts w:ascii="Times" w:hAnsi="Times"/>
          <w:sz w:val="20"/>
          <w:szCs w:val="20"/>
        </w:rPr>
        <w:t>Any new medicine that competes with a generic or proprietary market leading medicine must demonstrate compelling advantages in efficacy, convenience, tolerability and/or safety in order to overcome severe price competition and be commercially successful. F</w:t>
      </w:r>
      <w:r>
        <w:rPr>
          <w:rFonts w:ascii="Times" w:hAnsi="Times"/>
          <w:sz w:val="20"/>
          <w:szCs w:val="20"/>
        </w:rPr>
        <w:t>or example, YUPELRI competes predominantly with short-acting nebulized bronchodilators used three to four times per day and the nebulized LAMA Lonhala</w:t>
      </w:r>
      <w:r>
        <w:rPr>
          <w:rFonts w:ascii="Times" w:hAnsi="Times"/>
          <w:sz w:val="15"/>
          <w:szCs w:val="15"/>
          <w:vertAlign w:val="superscript"/>
        </w:rPr>
        <w:t>TM</w:t>
      </w:r>
      <w:r>
        <w:rPr>
          <w:rFonts w:ascii="Times" w:hAnsi="Times"/>
          <w:sz w:val="20"/>
          <w:szCs w:val="20"/>
        </w:rPr>
        <w:t xml:space="preserve"> </w:t>
      </w:r>
      <w:r>
        <w:rPr>
          <w:rFonts w:ascii="Times" w:hAnsi="Times"/>
          <w:sz w:val="20"/>
          <w:szCs w:val="20"/>
        </w:rPr>
        <w:t>Magnair</w:t>
      </w:r>
      <w:r>
        <w:rPr>
          <w:rFonts w:ascii="Times" w:hAnsi="Times"/>
          <w:sz w:val="15"/>
          <w:szCs w:val="15"/>
          <w:vertAlign w:val="superscript"/>
        </w:rPr>
        <w:t>TM</w:t>
      </w:r>
      <w:r>
        <w:rPr>
          <w:rFonts w:ascii="Times" w:hAnsi="Times"/>
          <w:sz w:val="20"/>
          <w:szCs w:val="20"/>
        </w:rPr>
        <w:t xml:space="preserve"> </w:t>
      </w:r>
      <w:r>
        <w:rPr>
          <w:rFonts w:ascii="Times" w:hAnsi="Times"/>
          <w:sz w:val="20"/>
          <w:szCs w:val="20"/>
        </w:rPr>
        <w:t>(SUN-101/eFlow®) used twice per day. If we are not able to compete effectively against our cu</w:t>
      </w:r>
      <w:r>
        <w:rPr>
          <w:rFonts w:ascii="Times" w:hAnsi="Times"/>
          <w:sz w:val="20"/>
          <w:szCs w:val="20"/>
        </w:rPr>
        <w:t>rrent and future competitors, our business will not grow, our financial condition and operations will suffer and the price of our securities could fall.</w:t>
      </w:r>
      <w:r>
        <w:rPr>
          <w:rFonts w:ascii="Times" w:hAnsi="Times"/>
          <w:sz w:val="20"/>
          <w:szCs w:val="20"/>
        </w:rPr>
        <w:t xml:space="preserve"> </w:t>
      </w:r>
    </w:p>
    <w:p w14:paraId="2755FF2E" w14:textId="77777777" w:rsidR="00000000" w:rsidRDefault="00097612">
      <w:pPr>
        <w:pStyle w:val="a3"/>
        <w:spacing w:before="0" w:beforeAutospacing="0" w:after="0" w:afterAutospacing="0"/>
        <w:ind w:firstLine="720"/>
        <w:divId w:val="1699160583"/>
        <w:rPr>
          <w:rFonts w:ascii="Times" w:hAnsi="Times"/>
          <w:sz w:val="20"/>
          <w:szCs w:val="20"/>
        </w:rPr>
      </w:pPr>
      <w:r>
        <w:rPr>
          <w:rFonts w:ascii="Times" w:hAnsi="Times"/>
          <w:sz w:val="20"/>
          <w:szCs w:val="20"/>
        </w:rPr>
        <w:t>​</w:t>
      </w:r>
    </w:p>
    <w:p w14:paraId="292B48AD" w14:textId="77777777" w:rsidR="00000000" w:rsidRDefault="00097612">
      <w:pPr>
        <w:pStyle w:val="a3"/>
        <w:spacing w:before="0" w:beforeAutospacing="0" w:after="120" w:afterAutospacing="0"/>
        <w:divId w:val="1699160583"/>
        <w:rPr>
          <w:rFonts w:ascii="Times" w:hAnsi="Times"/>
          <w:b/>
          <w:bCs/>
          <w:i/>
          <w:iCs/>
          <w:sz w:val="20"/>
          <w:szCs w:val="20"/>
        </w:rPr>
      </w:pPr>
      <w:r>
        <w:rPr>
          <w:rFonts w:ascii="Times" w:hAnsi="Times"/>
          <w:b/>
          <w:bCs/>
          <w:i/>
          <w:iCs/>
          <w:sz w:val="20"/>
          <w:szCs w:val="20"/>
        </w:rPr>
        <w:t xml:space="preserve">If we are unable to enter into future collaboration arrangements or if any such collaborations with </w:t>
      </w:r>
      <w:r>
        <w:rPr>
          <w:rFonts w:ascii="Times" w:hAnsi="Times"/>
          <w:b/>
          <w:bCs/>
          <w:i/>
          <w:iCs/>
          <w:sz w:val="20"/>
          <w:szCs w:val="20"/>
        </w:rPr>
        <w:t>third parties are unsuccessful, we will be unable to fully develop and commercialize all of our product candidates and our business will be adversely affected.</w:t>
      </w:r>
      <w:r>
        <w:rPr>
          <w:rFonts w:ascii="Times" w:hAnsi="Times"/>
          <w:b/>
          <w:bCs/>
          <w:i/>
          <w:iCs/>
          <w:sz w:val="20"/>
          <w:szCs w:val="20"/>
        </w:rPr>
        <w:t xml:space="preserve"> </w:t>
      </w:r>
    </w:p>
    <w:p w14:paraId="7C8FDAD4" w14:textId="77777777" w:rsidR="00000000" w:rsidRDefault="00097612">
      <w:pPr>
        <w:pStyle w:val="a3"/>
        <w:spacing w:before="0" w:beforeAutospacing="0" w:after="0" w:afterAutospacing="0"/>
        <w:ind w:firstLine="720"/>
        <w:divId w:val="1699160583"/>
        <w:rPr>
          <w:rFonts w:ascii="Times" w:hAnsi="Times"/>
          <w:sz w:val="20"/>
          <w:szCs w:val="20"/>
        </w:rPr>
      </w:pPr>
      <w:r>
        <w:rPr>
          <w:rFonts w:ascii="Times" w:hAnsi="Times"/>
          <w:sz w:val="20"/>
          <w:szCs w:val="20"/>
        </w:rPr>
        <w:t>We have collaborations with a number of third parties including Janssen for TD-1473 and related</w:t>
      </w:r>
      <w:r>
        <w:rPr>
          <w:rFonts w:ascii="Times" w:hAnsi="Times"/>
          <w:sz w:val="20"/>
          <w:szCs w:val="20"/>
        </w:rPr>
        <w:t xml:space="preserve"> back-up compounds for inflammatory intestinal diseases, including ulcerative colitis and Crohn's disease and Mylan for the development and commercialization of a nebulized formulation of revefenacin, our LAMA compound (including YUPELRI). Also, through ou</w:t>
      </w:r>
      <w:r>
        <w:rPr>
          <w:rFonts w:ascii="Times" w:hAnsi="Times"/>
          <w:sz w:val="20"/>
          <w:szCs w:val="20"/>
        </w:rPr>
        <w:t>r interest in TRC we may participate economically in Innoviva’s collaborations with GSK with respect to the GSK-Partnered Respiratory Programs. Additional collaborations will likely be needed to fund later-stage development of certain programs that have no</w:t>
      </w:r>
      <w:r>
        <w:rPr>
          <w:rFonts w:ascii="Times" w:hAnsi="Times"/>
          <w:sz w:val="20"/>
          <w:szCs w:val="20"/>
        </w:rPr>
        <w:t>t been licensed to a collaborator, such as our NEP inhibitor program, and to commercialize the product candidates in our programs if approved by the necessary regulatory authorities. We evaluate commercial strategy on a product by product basis either to e</w:t>
      </w:r>
      <w:r>
        <w:rPr>
          <w:rFonts w:ascii="Times" w:hAnsi="Times"/>
          <w:sz w:val="20"/>
          <w:szCs w:val="20"/>
        </w:rPr>
        <w:t>ngage pharmaceutical or other healthcare companies with an existing sales and marketing organization and distribution system to market, sell and distribute our products or to commercialize a product ourselves. However, we may not be able to establish these</w:t>
      </w:r>
      <w:r>
        <w:rPr>
          <w:rFonts w:ascii="Times" w:hAnsi="Times"/>
          <w:sz w:val="20"/>
          <w:szCs w:val="20"/>
        </w:rPr>
        <w:t xml:space="preserve"> sales and distribution relationships on acceptable terms, or at all,</w:t>
      </w:r>
      <w:r>
        <w:rPr>
          <w:rFonts w:ascii="Times" w:hAnsi="Times"/>
          <w:sz w:val="20"/>
          <w:szCs w:val="20"/>
        </w:rPr>
        <w:t xml:space="preserve"> </w:t>
      </w:r>
    </w:p>
    <w:p w14:paraId="35CAE9E2" w14:textId="77777777" w:rsidR="00000000" w:rsidRDefault="00097612">
      <w:pPr>
        <w:pStyle w:val="a3"/>
        <w:spacing w:before="360" w:beforeAutospacing="0" w:after="0" w:afterAutospacing="0"/>
        <w:jc w:val="center"/>
        <w:divId w:val="77021888"/>
        <w:rPr>
          <w:sz w:val="20"/>
          <w:szCs w:val="20"/>
        </w:rPr>
      </w:pPr>
      <w:r>
        <w:rPr>
          <w:sz w:val="20"/>
          <w:szCs w:val="20"/>
        </w:rPr>
        <w:t>45</w:t>
      </w:r>
    </w:p>
    <w:p w14:paraId="447B481C" w14:textId="77777777" w:rsidR="00000000" w:rsidRDefault="00097612">
      <w:pPr>
        <w:pStyle w:val="a3"/>
        <w:spacing w:before="0" w:beforeAutospacing="0" w:after="600" w:afterAutospacing="0"/>
        <w:divId w:val="524907933"/>
        <w:rPr>
          <w:sz w:val="20"/>
          <w:szCs w:val="20"/>
        </w:rPr>
      </w:pPr>
      <w:hyperlink w:anchor="TOC" w:history="1">
        <w:r>
          <w:rPr>
            <w:rStyle w:val="a4"/>
            <w:sz w:val="20"/>
            <w:szCs w:val="20"/>
          </w:rPr>
          <w:t>Table of Contents</w:t>
        </w:r>
      </w:hyperlink>
    </w:p>
    <w:p w14:paraId="488A3F2D" w14:textId="77777777" w:rsidR="00000000" w:rsidRDefault="00097612">
      <w:pPr>
        <w:pStyle w:val="a3"/>
        <w:spacing w:before="0" w:beforeAutospacing="0" w:after="0" w:afterAutospacing="0"/>
        <w:divId w:val="591857004"/>
        <w:rPr>
          <w:rFonts w:ascii="Times" w:hAnsi="Times"/>
          <w:sz w:val="20"/>
          <w:szCs w:val="20"/>
        </w:rPr>
      </w:pPr>
      <w:r>
        <w:rPr>
          <w:rFonts w:ascii="Times" w:hAnsi="Times"/>
          <w:sz w:val="20"/>
          <w:szCs w:val="20"/>
        </w:rPr>
        <w:t>or may encounter difficulties in commercializing a product ourselves. For any of our product candidates that receive regulatory approval i</w:t>
      </w:r>
      <w:r>
        <w:rPr>
          <w:rFonts w:ascii="Times" w:hAnsi="Times"/>
          <w:sz w:val="20"/>
          <w:szCs w:val="20"/>
        </w:rPr>
        <w:t>n the future and are not covered by our current collaboration agreements, we will need a partner in order to commercialize such products unless we establish independent sales, marketing and distribution capabilities with appropriate technical expertise and</w:t>
      </w:r>
      <w:r>
        <w:rPr>
          <w:rFonts w:ascii="Times" w:hAnsi="Times"/>
          <w:sz w:val="20"/>
          <w:szCs w:val="20"/>
        </w:rPr>
        <w:t xml:space="preserve"> supporting infrastructure.</w:t>
      </w:r>
    </w:p>
    <w:p w14:paraId="7AA6757D" w14:textId="77777777" w:rsidR="00000000" w:rsidRDefault="00097612">
      <w:pPr>
        <w:pStyle w:val="a3"/>
        <w:spacing w:before="0" w:beforeAutospacing="0" w:after="0" w:afterAutospacing="0"/>
        <w:ind w:firstLine="720"/>
        <w:divId w:val="591857004"/>
        <w:rPr>
          <w:rFonts w:ascii="Times" w:hAnsi="Times"/>
          <w:sz w:val="20"/>
          <w:szCs w:val="20"/>
        </w:rPr>
      </w:pPr>
      <w:r>
        <w:rPr>
          <w:rFonts w:ascii="Times" w:hAnsi="Times"/>
          <w:sz w:val="20"/>
          <w:szCs w:val="20"/>
        </w:rPr>
        <w:t>​</w:t>
      </w:r>
    </w:p>
    <w:p w14:paraId="5EF63BF0" w14:textId="77777777" w:rsidR="00000000" w:rsidRDefault="00097612">
      <w:pPr>
        <w:pStyle w:val="a3"/>
        <w:spacing w:before="0" w:beforeAutospacing="0" w:after="0" w:afterAutospacing="0"/>
        <w:ind w:firstLine="720"/>
        <w:divId w:val="591857004"/>
        <w:rPr>
          <w:rFonts w:ascii="Times" w:hAnsi="Times"/>
          <w:sz w:val="20"/>
          <w:szCs w:val="20"/>
        </w:rPr>
      </w:pPr>
      <w:r>
        <w:rPr>
          <w:rFonts w:ascii="Times" w:hAnsi="Times"/>
          <w:sz w:val="20"/>
          <w:szCs w:val="20"/>
        </w:rPr>
        <w:t>Collaborations with third parties regarding our programs may require us to relinquish material rights, including revenue from commercialization of our medicines, or to assume material ongoing development obligations that we wo</w:t>
      </w:r>
      <w:r>
        <w:rPr>
          <w:rFonts w:ascii="Times" w:hAnsi="Times"/>
          <w:sz w:val="20"/>
          <w:szCs w:val="20"/>
        </w:rPr>
        <w:t>uld have to fund. These collaboration arrangements are complex and time-consuming to negotiate, and if we are unable to reach agreements with third-party collaborators, we may fail to meet our business objectives and our financial condition may be adversel</w:t>
      </w:r>
      <w:r>
        <w:rPr>
          <w:rFonts w:ascii="Times" w:hAnsi="Times"/>
          <w:sz w:val="20"/>
          <w:szCs w:val="20"/>
        </w:rPr>
        <w:t>y affected. We face significant competition in seeking third-party collaborators. We may be unable to find third parties to pursue product collaborations on a timely basis or on acceptable terms. Furthermore, for any collaboration, we may not be able to co</w:t>
      </w:r>
      <w:r>
        <w:rPr>
          <w:rFonts w:ascii="Times" w:hAnsi="Times"/>
          <w:sz w:val="20"/>
          <w:szCs w:val="20"/>
        </w:rPr>
        <w:t>ntrol the amount of time and resources that our partners devote to our product candidates and our partners may choose to prioritize alternative programs or otherwise be unsuccessful in their efforts with respect to our products or product candidates. In ad</w:t>
      </w:r>
      <w:r>
        <w:rPr>
          <w:rFonts w:ascii="Times" w:hAnsi="Times"/>
          <w:sz w:val="20"/>
          <w:szCs w:val="20"/>
        </w:rPr>
        <w:t>dition, effective collaboration with a partner requires coordination to achieve complex and detail-intensive goals between entities that potentially have different priorities, capabilities and processes and successful navigation of the challenges such coor</w:t>
      </w:r>
      <w:r>
        <w:rPr>
          <w:rFonts w:ascii="Times" w:hAnsi="Times"/>
          <w:sz w:val="20"/>
          <w:szCs w:val="20"/>
        </w:rPr>
        <w:t>dination entails. For example, Mylan has a substantial existing product portfolio and other considerations that influence its resource allocation, and other priorities and internal organizational processes that differ from our own. As a result of these dif</w:t>
      </w:r>
      <w:r>
        <w:rPr>
          <w:rFonts w:ascii="Times" w:hAnsi="Times"/>
          <w:sz w:val="20"/>
          <w:szCs w:val="20"/>
        </w:rPr>
        <w:t>fering interests and processes, Mylan may take actions that it believes are in its best interest but which might not be in the best interests of either us or our other shareholders. Our inability to successfully collaborate with third parties would increas</w:t>
      </w:r>
      <w:r>
        <w:rPr>
          <w:rFonts w:ascii="Times" w:hAnsi="Times"/>
          <w:sz w:val="20"/>
          <w:szCs w:val="20"/>
        </w:rPr>
        <w:t>e our development costs and may cause us to choose not to continue development of certain product candidates, would limit the likelihood of successful commercialization of some of our product candidates, may cause us not to continue commercialization of ou</w:t>
      </w:r>
      <w:r>
        <w:rPr>
          <w:rFonts w:ascii="Times" w:hAnsi="Times"/>
          <w:sz w:val="20"/>
          <w:szCs w:val="20"/>
        </w:rPr>
        <w:t>r authorized products and could cause the price of our securities to fall.</w:t>
      </w:r>
      <w:r>
        <w:rPr>
          <w:rFonts w:ascii="Times" w:hAnsi="Times"/>
          <w:sz w:val="20"/>
          <w:szCs w:val="20"/>
        </w:rPr>
        <w:t xml:space="preserve"> </w:t>
      </w:r>
    </w:p>
    <w:p w14:paraId="27664606" w14:textId="77777777" w:rsidR="00000000" w:rsidRDefault="00097612">
      <w:pPr>
        <w:pStyle w:val="a3"/>
        <w:spacing w:before="0" w:beforeAutospacing="0" w:after="0" w:afterAutospacing="0"/>
        <w:ind w:firstLine="720"/>
        <w:divId w:val="591857004"/>
        <w:rPr>
          <w:rFonts w:ascii="Times" w:hAnsi="Times"/>
          <w:sz w:val="20"/>
          <w:szCs w:val="20"/>
        </w:rPr>
      </w:pPr>
      <w:r>
        <w:rPr>
          <w:rFonts w:ascii="Times" w:hAnsi="Times"/>
          <w:sz w:val="20"/>
          <w:szCs w:val="20"/>
        </w:rPr>
        <w:t>​</w:t>
      </w:r>
    </w:p>
    <w:p w14:paraId="199913DF" w14:textId="77777777" w:rsidR="00000000" w:rsidRDefault="00097612">
      <w:pPr>
        <w:pStyle w:val="a3"/>
        <w:spacing w:before="0" w:beforeAutospacing="0" w:after="120" w:afterAutospacing="0"/>
        <w:divId w:val="591857004"/>
        <w:rPr>
          <w:rFonts w:ascii="Times" w:hAnsi="Times"/>
          <w:b/>
          <w:bCs/>
          <w:i/>
          <w:iCs/>
          <w:sz w:val="20"/>
          <w:szCs w:val="20"/>
        </w:rPr>
      </w:pPr>
      <w:r>
        <w:rPr>
          <w:rFonts w:ascii="Times" w:hAnsi="Times"/>
          <w:b/>
          <w:bCs/>
          <w:i/>
          <w:iCs/>
          <w:sz w:val="20"/>
          <w:szCs w:val="20"/>
        </w:rPr>
        <w:t>We depend on third parties in the conduct of our clinical studies for our product candidates.</w:t>
      </w:r>
      <w:r>
        <w:rPr>
          <w:rFonts w:ascii="Times" w:hAnsi="Times"/>
          <w:b/>
          <w:bCs/>
          <w:i/>
          <w:iCs/>
          <w:sz w:val="20"/>
          <w:szCs w:val="20"/>
        </w:rPr>
        <w:t xml:space="preserve"> </w:t>
      </w:r>
    </w:p>
    <w:p w14:paraId="209C14A0" w14:textId="77777777" w:rsidR="00000000" w:rsidRDefault="00097612">
      <w:pPr>
        <w:pStyle w:val="a3"/>
        <w:spacing w:before="0" w:beforeAutospacing="0" w:after="0" w:afterAutospacing="0"/>
        <w:ind w:firstLine="720"/>
        <w:divId w:val="591857004"/>
        <w:rPr>
          <w:rFonts w:ascii="Times" w:hAnsi="Times"/>
          <w:sz w:val="20"/>
          <w:szCs w:val="20"/>
        </w:rPr>
      </w:pPr>
      <w:r>
        <w:rPr>
          <w:rFonts w:ascii="Times" w:hAnsi="Times"/>
          <w:sz w:val="20"/>
          <w:szCs w:val="20"/>
        </w:rPr>
        <w:t>We depend on independent clinical investigators, contract research and manufacturin</w:t>
      </w:r>
      <w:r>
        <w:rPr>
          <w:rFonts w:ascii="Times" w:hAnsi="Times"/>
          <w:sz w:val="20"/>
          <w:szCs w:val="20"/>
        </w:rPr>
        <w:t>g organizations and other third-party service providers in the conduct of our non-clinical and clinical studies for our product candidates. We rely heavily on these parties for execution of our non-clinical and clinical studies, and control only certain as</w:t>
      </w:r>
      <w:r>
        <w:rPr>
          <w:rFonts w:ascii="Times" w:hAnsi="Times"/>
          <w:sz w:val="20"/>
          <w:szCs w:val="20"/>
        </w:rPr>
        <w:t>pects of their activities. Nevertheless, we are responsible for ensuring that our clinical studies are conducted in accordance with good clinical, laboratory and manufacturing practices (“GXPs”) and other regulations as required by the FDA and foreign regu</w:t>
      </w:r>
      <w:r>
        <w:rPr>
          <w:rFonts w:ascii="Times" w:hAnsi="Times"/>
          <w:sz w:val="20"/>
          <w:szCs w:val="20"/>
        </w:rPr>
        <w:t>latory authorities, and the applicable protocol. Failure by these parties to comply with applicable regulations and practices in conducting studies of our product candidates can result in a delay in our development programs or non-approval of our product c</w:t>
      </w:r>
      <w:r>
        <w:rPr>
          <w:rFonts w:ascii="Times" w:hAnsi="Times"/>
          <w:sz w:val="20"/>
          <w:szCs w:val="20"/>
        </w:rPr>
        <w:t>andidates by regulatory authorities.</w:t>
      </w:r>
      <w:r>
        <w:rPr>
          <w:rFonts w:ascii="Times" w:hAnsi="Times"/>
          <w:sz w:val="20"/>
          <w:szCs w:val="20"/>
        </w:rPr>
        <w:t xml:space="preserve"> </w:t>
      </w:r>
    </w:p>
    <w:p w14:paraId="1ED003F6" w14:textId="77777777" w:rsidR="00000000" w:rsidRDefault="00097612">
      <w:pPr>
        <w:pStyle w:val="a3"/>
        <w:spacing w:before="0" w:beforeAutospacing="0" w:after="0" w:afterAutospacing="0"/>
        <w:ind w:firstLine="720"/>
        <w:divId w:val="591857004"/>
        <w:rPr>
          <w:rFonts w:ascii="Times" w:hAnsi="Times"/>
          <w:sz w:val="20"/>
          <w:szCs w:val="20"/>
        </w:rPr>
      </w:pPr>
      <w:r>
        <w:rPr>
          <w:rFonts w:ascii="Times" w:hAnsi="Times"/>
          <w:sz w:val="20"/>
          <w:szCs w:val="20"/>
        </w:rPr>
        <w:t>​</w:t>
      </w:r>
    </w:p>
    <w:p w14:paraId="2D34B2EF" w14:textId="77777777" w:rsidR="00000000" w:rsidRDefault="00097612">
      <w:pPr>
        <w:pStyle w:val="a3"/>
        <w:spacing w:before="0" w:beforeAutospacing="0" w:after="0" w:afterAutospacing="0"/>
        <w:ind w:firstLine="720"/>
        <w:divId w:val="591857004"/>
        <w:rPr>
          <w:rFonts w:ascii="Times" w:hAnsi="Times"/>
          <w:sz w:val="20"/>
          <w:szCs w:val="20"/>
        </w:rPr>
      </w:pPr>
      <w:r>
        <w:rPr>
          <w:rFonts w:ascii="Times" w:hAnsi="Times"/>
          <w:sz w:val="20"/>
          <w:szCs w:val="20"/>
        </w:rPr>
        <w:t xml:space="preserve">The FDA, and equivalent authorities in other countries, enforces GXPs and other regulations through periodic inspections of trial sponsors, clinical research organizations (“CROs”), principal investigators and trial </w:t>
      </w:r>
      <w:r>
        <w:rPr>
          <w:rFonts w:ascii="Times" w:hAnsi="Times"/>
          <w:sz w:val="20"/>
          <w:szCs w:val="20"/>
        </w:rPr>
        <w:t xml:space="preserve">sites. If we or any of the third parties on which we have relied to conduct our clinical studies are determined to have failed to comply with GXPs (or other equivalent regulations outside the US), the study protocol or applicable regulations, the clinical </w:t>
      </w:r>
      <w:r>
        <w:rPr>
          <w:rFonts w:ascii="Times" w:hAnsi="Times"/>
          <w:sz w:val="20"/>
          <w:szCs w:val="20"/>
        </w:rPr>
        <w:t>data generated in our studies may be deemed unreliable. This could result in non-approval of our product candidates by the FDA, or equivalent authorities in other countries, or we, the FDA, or equivalent authorities in other countries may decide to conduct</w:t>
      </w:r>
      <w:r>
        <w:rPr>
          <w:rFonts w:ascii="Times" w:hAnsi="Times"/>
          <w:sz w:val="20"/>
          <w:szCs w:val="20"/>
        </w:rPr>
        <w:t xml:space="preserve"> additional audits or require additional clinical studies, which would delay our development programs, could result in significant additional costs and cause the price of our securities to fall.</w:t>
      </w:r>
      <w:r>
        <w:rPr>
          <w:rFonts w:ascii="Times" w:hAnsi="Times"/>
          <w:sz w:val="20"/>
          <w:szCs w:val="20"/>
        </w:rPr>
        <w:t xml:space="preserve"> </w:t>
      </w:r>
    </w:p>
    <w:p w14:paraId="59C14800" w14:textId="77777777" w:rsidR="00000000" w:rsidRDefault="00097612">
      <w:pPr>
        <w:pStyle w:val="a3"/>
        <w:spacing w:before="0" w:beforeAutospacing="0" w:after="0" w:afterAutospacing="0"/>
        <w:ind w:firstLine="720"/>
        <w:divId w:val="591857004"/>
        <w:rPr>
          <w:rFonts w:ascii="Times" w:hAnsi="Times"/>
          <w:sz w:val="20"/>
          <w:szCs w:val="20"/>
        </w:rPr>
      </w:pPr>
      <w:r>
        <w:rPr>
          <w:rFonts w:ascii="Times" w:hAnsi="Times"/>
          <w:sz w:val="20"/>
          <w:szCs w:val="20"/>
        </w:rPr>
        <w:t>​</w:t>
      </w:r>
    </w:p>
    <w:p w14:paraId="66F40549" w14:textId="77777777" w:rsidR="00000000" w:rsidRDefault="00097612">
      <w:pPr>
        <w:pStyle w:val="a3"/>
        <w:spacing w:before="0" w:beforeAutospacing="0" w:after="120" w:afterAutospacing="0"/>
        <w:divId w:val="591857004"/>
        <w:rPr>
          <w:rFonts w:ascii="Times" w:hAnsi="Times"/>
          <w:b/>
          <w:bCs/>
          <w:i/>
          <w:iCs/>
          <w:sz w:val="20"/>
          <w:szCs w:val="20"/>
        </w:rPr>
      </w:pPr>
      <w:r>
        <w:rPr>
          <w:rFonts w:ascii="Times" w:hAnsi="Times"/>
          <w:b/>
          <w:bCs/>
          <w:i/>
          <w:iCs/>
          <w:sz w:val="20"/>
          <w:szCs w:val="20"/>
        </w:rPr>
        <w:t>We rely on a single source of supply for a number of our p</w:t>
      </w:r>
      <w:r>
        <w:rPr>
          <w:rFonts w:ascii="Times" w:hAnsi="Times"/>
          <w:b/>
          <w:bCs/>
          <w:i/>
          <w:iCs/>
          <w:sz w:val="20"/>
          <w:szCs w:val="20"/>
        </w:rPr>
        <w:t>roduct candidates, and our business will be harmed if any of these single-source manufacturers are not able to satisfy demand and alternative sources are not available.</w:t>
      </w:r>
      <w:r>
        <w:rPr>
          <w:rFonts w:ascii="Times" w:hAnsi="Times"/>
          <w:b/>
          <w:bCs/>
          <w:i/>
          <w:iCs/>
          <w:sz w:val="20"/>
          <w:szCs w:val="20"/>
        </w:rPr>
        <w:t xml:space="preserve"> </w:t>
      </w:r>
    </w:p>
    <w:p w14:paraId="3A7BA0D4" w14:textId="77777777" w:rsidR="00000000" w:rsidRDefault="00097612">
      <w:pPr>
        <w:pStyle w:val="a3"/>
        <w:spacing w:before="0" w:beforeAutospacing="0" w:after="0" w:afterAutospacing="0"/>
        <w:ind w:firstLine="720"/>
        <w:divId w:val="591857004"/>
        <w:rPr>
          <w:rFonts w:ascii="Times" w:hAnsi="Times"/>
          <w:sz w:val="20"/>
          <w:szCs w:val="20"/>
        </w:rPr>
      </w:pPr>
      <w:r>
        <w:rPr>
          <w:rFonts w:ascii="Times" w:hAnsi="Times"/>
          <w:sz w:val="20"/>
          <w:szCs w:val="20"/>
        </w:rPr>
        <w:t>We have limited in-house production capabilities for preclinical and clinical study pu</w:t>
      </w:r>
      <w:r>
        <w:rPr>
          <w:rFonts w:ascii="Times" w:hAnsi="Times"/>
          <w:sz w:val="20"/>
          <w:szCs w:val="20"/>
        </w:rPr>
        <w:t>rposes, and depend primarily on a number of third-party Active Pharmaceutical Ingredient (“API”) and drug product manufacturers. We may not have long-term agreements with these third parties and our agreements with these parties may be terminable at will b</w:t>
      </w:r>
      <w:r>
        <w:rPr>
          <w:rFonts w:ascii="Times" w:hAnsi="Times"/>
          <w:sz w:val="20"/>
          <w:szCs w:val="20"/>
        </w:rPr>
        <w:t>y either party at any time. If, for any reason, these third parties are unable or unwilling to perform, or if their performance does not meet regulatory requirements, we may not be able to locate alternative manufacturers or enter into acceptable agreement</w:t>
      </w:r>
      <w:r>
        <w:rPr>
          <w:rFonts w:ascii="Times" w:hAnsi="Times"/>
          <w:sz w:val="20"/>
          <w:szCs w:val="20"/>
        </w:rPr>
        <w:t>s with them. Any inability to acquire sufficient quantities of API and drug product in a timely manner from these third parties could delay preclinical and clinical studies and prevent us from developing our product candidates in a cost-effective manner or</w:t>
      </w:r>
      <w:r>
        <w:rPr>
          <w:rFonts w:ascii="Times" w:hAnsi="Times"/>
          <w:sz w:val="20"/>
          <w:szCs w:val="20"/>
        </w:rPr>
        <w:t xml:space="preserve"> on a timely basis. In addition, manufacturers of our API and drug product are subject to the FDA’s current Good Manufacturing</w:t>
      </w:r>
      <w:r>
        <w:rPr>
          <w:rFonts w:ascii="Times" w:hAnsi="Times"/>
          <w:sz w:val="20"/>
          <w:szCs w:val="20"/>
        </w:rPr>
        <w:t xml:space="preserve"> </w:t>
      </w:r>
    </w:p>
    <w:p w14:paraId="33D5C0A7" w14:textId="77777777" w:rsidR="00000000" w:rsidRDefault="00097612">
      <w:pPr>
        <w:pStyle w:val="a3"/>
        <w:spacing w:before="360" w:beforeAutospacing="0" w:after="0" w:afterAutospacing="0"/>
        <w:jc w:val="center"/>
        <w:divId w:val="192964449"/>
        <w:rPr>
          <w:sz w:val="20"/>
          <w:szCs w:val="20"/>
        </w:rPr>
      </w:pPr>
      <w:r>
        <w:rPr>
          <w:sz w:val="20"/>
          <w:szCs w:val="20"/>
        </w:rPr>
        <w:t>46</w:t>
      </w:r>
    </w:p>
    <w:p w14:paraId="2A4CA621" w14:textId="77777777" w:rsidR="00000000" w:rsidRDefault="00097612">
      <w:pPr>
        <w:pStyle w:val="a3"/>
        <w:spacing w:before="0" w:beforeAutospacing="0" w:after="600" w:afterAutospacing="0"/>
        <w:divId w:val="1758549961"/>
        <w:rPr>
          <w:sz w:val="20"/>
          <w:szCs w:val="20"/>
        </w:rPr>
      </w:pPr>
      <w:hyperlink w:anchor="TOC" w:history="1">
        <w:r>
          <w:rPr>
            <w:rStyle w:val="a4"/>
            <w:sz w:val="20"/>
            <w:szCs w:val="20"/>
          </w:rPr>
          <w:t>Table of Contents</w:t>
        </w:r>
      </w:hyperlink>
    </w:p>
    <w:p w14:paraId="598E0333" w14:textId="77777777" w:rsidR="00000000" w:rsidRDefault="00097612">
      <w:pPr>
        <w:pStyle w:val="a3"/>
        <w:spacing w:before="0" w:beforeAutospacing="0" w:after="0" w:afterAutospacing="0"/>
        <w:divId w:val="2144077618"/>
        <w:rPr>
          <w:rFonts w:ascii="Times" w:hAnsi="Times"/>
          <w:sz w:val="20"/>
          <w:szCs w:val="20"/>
        </w:rPr>
      </w:pPr>
      <w:r>
        <w:rPr>
          <w:rFonts w:ascii="Times" w:hAnsi="Times"/>
          <w:sz w:val="20"/>
          <w:szCs w:val="20"/>
        </w:rPr>
        <w:t>Practice (“cGMP”) regulations and similar foreign standards and we do not have co</w:t>
      </w:r>
      <w:r>
        <w:rPr>
          <w:rFonts w:ascii="Times" w:hAnsi="Times"/>
          <w:sz w:val="20"/>
          <w:szCs w:val="20"/>
        </w:rPr>
        <w:t>ntrol over compliance with these regulations by our manufacturers.</w:t>
      </w:r>
      <w:r>
        <w:rPr>
          <w:rFonts w:ascii="Times" w:hAnsi="Times"/>
          <w:sz w:val="20"/>
          <w:szCs w:val="20"/>
        </w:rPr>
        <w:t xml:space="preserve"> </w:t>
      </w:r>
    </w:p>
    <w:p w14:paraId="381D92BF" w14:textId="77777777" w:rsidR="00000000" w:rsidRDefault="00097612">
      <w:pPr>
        <w:pStyle w:val="a3"/>
        <w:spacing w:before="0" w:beforeAutospacing="0" w:after="0" w:afterAutospacing="0"/>
        <w:ind w:firstLine="720"/>
        <w:divId w:val="2144077618"/>
        <w:rPr>
          <w:rFonts w:ascii="Times" w:hAnsi="Times"/>
          <w:sz w:val="20"/>
          <w:szCs w:val="20"/>
        </w:rPr>
      </w:pPr>
      <w:r>
        <w:rPr>
          <w:rFonts w:ascii="Times" w:hAnsi="Times"/>
          <w:sz w:val="20"/>
          <w:szCs w:val="20"/>
        </w:rPr>
        <w:t>​</w:t>
      </w:r>
    </w:p>
    <w:p w14:paraId="61936D58" w14:textId="77777777" w:rsidR="00000000" w:rsidRDefault="00097612">
      <w:pPr>
        <w:pStyle w:val="a3"/>
        <w:spacing w:before="0" w:beforeAutospacing="0" w:after="240" w:afterAutospacing="0"/>
        <w:ind w:firstLine="720"/>
        <w:divId w:val="2144077618"/>
        <w:rPr>
          <w:rFonts w:ascii="Times" w:hAnsi="Times"/>
          <w:sz w:val="20"/>
          <w:szCs w:val="20"/>
        </w:rPr>
      </w:pPr>
      <w:r>
        <w:rPr>
          <w:rFonts w:ascii="Times" w:hAnsi="Times"/>
          <w:sz w:val="20"/>
          <w:szCs w:val="20"/>
        </w:rPr>
        <w:t>Our manufacturing strategy presents the following additional risks: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85BFF2D" w14:textId="77777777">
        <w:trPr>
          <w:divId w:val="2144077618"/>
        </w:trPr>
        <w:tc>
          <w:tcPr>
            <w:tcW w:w="720" w:type="dxa"/>
            <w:vAlign w:val="center"/>
            <w:hideMark/>
          </w:tcPr>
          <w:p w14:paraId="6FD6BF81"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1C7D9F57"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A56A09A"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because of the complex nature of many of our compounds, our manufacturers may not be able to successfully manufacture our APIs and/or drug products in a cost-effective and/or timely manner and changing manufacturers for our APIs or drug products could invo</w:t>
            </w:r>
            <w:r>
              <w:rPr>
                <w:rFonts w:ascii="Times" w:eastAsia="Times New Roman" w:hAnsi="Times"/>
                <w:color w:val="000000"/>
                <w:sz w:val="20"/>
                <w:szCs w:val="20"/>
              </w:rPr>
              <w:t>lve lengthy technology transfer, validation and regulatory qualification activities for the new manufacturer;</w:t>
            </w:r>
            <w:r>
              <w:rPr>
                <w:rFonts w:ascii="Times" w:eastAsia="Times New Roman" w:hAnsi="Times"/>
                <w:color w:val="000000"/>
                <w:sz w:val="20"/>
                <w:szCs w:val="20"/>
              </w:rPr>
              <w:t xml:space="preserve"> </w:t>
            </w:r>
          </w:p>
        </w:tc>
      </w:tr>
    </w:tbl>
    <w:p w14:paraId="4C5922E9" w14:textId="77777777" w:rsidR="00000000" w:rsidRDefault="00097612">
      <w:pPr>
        <w:divId w:val="21440776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66D5D54" w14:textId="77777777">
        <w:trPr>
          <w:divId w:val="2144077618"/>
        </w:trPr>
        <w:tc>
          <w:tcPr>
            <w:tcW w:w="720" w:type="dxa"/>
            <w:vAlign w:val="center"/>
            <w:hideMark/>
          </w:tcPr>
          <w:p w14:paraId="129D1C04" w14:textId="77777777" w:rsidR="00000000" w:rsidRDefault="00097612">
            <w:pPr>
              <w:rPr>
                <w:rFonts w:eastAsia="Times New Roman"/>
              </w:rPr>
            </w:pPr>
          </w:p>
        </w:tc>
        <w:tc>
          <w:tcPr>
            <w:tcW w:w="360" w:type="dxa"/>
            <w:noWrap/>
            <w:tcMar>
              <w:top w:w="0" w:type="dxa"/>
              <w:left w:w="0" w:type="dxa"/>
              <w:bottom w:w="0" w:type="dxa"/>
              <w:right w:w="0" w:type="dxa"/>
            </w:tcMar>
            <w:hideMark/>
          </w:tcPr>
          <w:p w14:paraId="304870FD"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62361D7"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processes required to manufacture certain of our APIs and drug products are specialized and available only from a limited number of thir</w:t>
            </w:r>
            <w:r>
              <w:rPr>
                <w:rFonts w:ascii="Times" w:eastAsia="Times New Roman" w:hAnsi="Times"/>
                <w:color w:val="000000"/>
                <w:sz w:val="20"/>
                <w:szCs w:val="20"/>
              </w:rPr>
              <w:t>d-party manufacturers;</w:t>
            </w:r>
            <w:r>
              <w:rPr>
                <w:rFonts w:ascii="Times" w:eastAsia="Times New Roman" w:hAnsi="Times"/>
                <w:color w:val="000000"/>
                <w:sz w:val="20"/>
                <w:szCs w:val="20"/>
              </w:rPr>
              <w:t xml:space="preserve"> </w:t>
            </w:r>
          </w:p>
        </w:tc>
      </w:tr>
    </w:tbl>
    <w:p w14:paraId="5CA252C1" w14:textId="77777777" w:rsidR="00000000" w:rsidRDefault="00097612">
      <w:pPr>
        <w:divId w:val="21440776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44E9190" w14:textId="77777777">
        <w:trPr>
          <w:divId w:val="2144077618"/>
        </w:trPr>
        <w:tc>
          <w:tcPr>
            <w:tcW w:w="720" w:type="dxa"/>
            <w:vAlign w:val="center"/>
            <w:hideMark/>
          </w:tcPr>
          <w:p w14:paraId="5A4D9E0A" w14:textId="77777777" w:rsidR="00000000" w:rsidRDefault="00097612">
            <w:pPr>
              <w:rPr>
                <w:rFonts w:eastAsia="Times New Roman"/>
              </w:rPr>
            </w:pPr>
          </w:p>
        </w:tc>
        <w:tc>
          <w:tcPr>
            <w:tcW w:w="360" w:type="dxa"/>
            <w:noWrap/>
            <w:tcMar>
              <w:top w:w="0" w:type="dxa"/>
              <w:left w:w="0" w:type="dxa"/>
              <w:bottom w:w="0" w:type="dxa"/>
              <w:right w:w="0" w:type="dxa"/>
            </w:tcMar>
            <w:hideMark/>
          </w:tcPr>
          <w:p w14:paraId="6EB4BCFF"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6C37AE6"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some of the manufacturing processes for our APIs and drug products have not been scaled to quantities needed for continued clinical studies or commercial sales, and delays in scale-up to higher quantities could delay clinical s</w:t>
            </w:r>
            <w:r>
              <w:rPr>
                <w:rFonts w:ascii="Times" w:eastAsia="Times New Roman" w:hAnsi="Times"/>
                <w:color w:val="000000"/>
                <w:sz w:val="20"/>
                <w:szCs w:val="20"/>
              </w:rPr>
              <w:t>tudies, regulatory submissions and commercialization of our product candidates; and</w:t>
            </w:r>
            <w:r>
              <w:rPr>
                <w:rFonts w:ascii="Times" w:eastAsia="Times New Roman" w:hAnsi="Times"/>
                <w:color w:val="000000"/>
                <w:sz w:val="20"/>
                <w:szCs w:val="20"/>
              </w:rPr>
              <w:t xml:space="preserve"> </w:t>
            </w:r>
          </w:p>
        </w:tc>
      </w:tr>
    </w:tbl>
    <w:p w14:paraId="45330A25" w14:textId="77777777" w:rsidR="00000000" w:rsidRDefault="00097612">
      <w:pPr>
        <w:divId w:val="214407761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EBB31C6" w14:textId="77777777">
        <w:trPr>
          <w:divId w:val="2144077618"/>
        </w:trPr>
        <w:tc>
          <w:tcPr>
            <w:tcW w:w="720" w:type="dxa"/>
            <w:vAlign w:val="center"/>
            <w:hideMark/>
          </w:tcPr>
          <w:p w14:paraId="5218F632" w14:textId="77777777" w:rsidR="00000000" w:rsidRDefault="00097612">
            <w:pPr>
              <w:rPr>
                <w:rFonts w:eastAsia="Times New Roman"/>
              </w:rPr>
            </w:pPr>
          </w:p>
        </w:tc>
        <w:tc>
          <w:tcPr>
            <w:tcW w:w="360" w:type="dxa"/>
            <w:noWrap/>
            <w:tcMar>
              <w:top w:w="0" w:type="dxa"/>
              <w:left w:w="0" w:type="dxa"/>
              <w:bottom w:w="0" w:type="dxa"/>
              <w:right w:w="0" w:type="dxa"/>
            </w:tcMar>
            <w:hideMark/>
          </w:tcPr>
          <w:p w14:paraId="22A9C451"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5DD1D55" w14:textId="77777777" w:rsidR="00000000" w:rsidRDefault="00097612">
            <w:pPr>
              <w:rPr>
                <w:rFonts w:ascii="Times" w:eastAsia="Times New Roman" w:hAnsi="Times"/>
                <w:sz w:val="20"/>
                <w:szCs w:val="20"/>
              </w:rPr>
            </w:pPr>
            <w:r>
              <w:rPr>
                <w:rFonts w:ascii="Times" w:eastAsia="Times New Roman" w:hAnsi="Times"/>
                <w:color w:val="000000"/>
                <w:sz w:val="20"/>
                <w:szCs w:val="20"/>
              </w:rPr>
              <w:t>because some of the third-party manufacturers are located outside of the US, there may be difficulties in importing our APIs and drug products or their components int</w:t>
            </w:r>
            <w:r>
              <w:rPr>
                <w:rFonts w:ascii="Times" w:eastAsia="Times New Roman" w:hAnsi="Times"/>
                <w:color w:val="000000"/>
                <w:sz w:val="20"/>
                <w:szCs w:val="20"/>
              </w:rPr>
              <w:t>o the US as a result of, among other things, FDA import inspections, incomplete or inaccurate import documentation or defective packaging.</w:t>
            </w:r>
            <w:r>
              <w:rPr>
                <w:rFonts w:ascii="Times" w:eastAsia="Times New Roman" w:hAnsi="Times"/>
                <w:color w:val="000000"/>
                <w:sz w:val="20"/>
                <w:szCs w:val="20"/>
              </w:rPr>
              <w:t xml:space="preserve"> </w:t>
            </w:r>
          </w:p>
        </w:tc>
      </w:tr>
    </w:tbl>
    <w:p w14:paraId="1E71685A" w14:textId="77777777" w:rsidR="00000000" w:rsidRDefault="00097612">
      <w:pPr>
        <w:pStyle w:val="a3"/>
        <w:spacing w:before="0" w:beforeAutospacing="0" w:after="0" w:afterAutospacing="0"/>
        <w:divId w:val="2144077618"/>
        <w:rPr>
          <w:sz w:val="20"/>
          <w:szCs w:val="20"/>
        </w:rPr>
      </w:pPr>
      <w:r>
        <w:rPr>
          <w:b/>
          <w:bCs/>
          <w:i/>
          <w:iCs/>
          <w:sz w:val="20"/>
          <w:szCs w:val="20"/>
        </w:rPr>
        <w:t>We have a significant amount of debt, including our Non-Recourse 2033 Notes and Convertible Senior 2023 Notes, that</w:t>
      </w:r>
      <w:r>
        <w:rPr>
          <w:b/>
          <w:bCs/>
          <w:i/>
          <w:iCs/>
          <w:sz w:val="20"/>
          <w:szCs w:val="20"/>
        </w:rPr>
        <w:t xml:space="preserve"> are senior in capital structure and cash flow, respectively, to holders of our ordinary shares. Satisfying the obligations relating to our debt could adversely affect the amount or timing of distributions to our shareholders.</w:t>
      </w:r>
    </w:p>
    <w:p w14:paraId="7FBCFC10" w14:textId="77777777" w:rsidR="00000000" w:rsidRDefault="00097612">
      <w:pPr>
        <w:pStyle w:val="a3"/>
        <w:spacing w:before="0" w:beforeAutospacing="0" w:after="0" w:afterAutospacing="0"/>
        <w:ind w:firstLine="720"/>
        <w:divId w:val="2144077618"/>
        <w:rPr>
          <w:sz w:val="20"/>
          <w:szCs w:val="20"/>
        </w:rPr>
      </w:pPr>
      <w:r>
        <w:rPr>
          <w:sz w:val="20"/>
          <w:szCs w:val="20"/>
        </w:rPr>
        <w:t>​</w:t>
      </w:r>
    </w:p>
    <w:p w14:paraId="101EFAEF" w14:textId="77777777" w:rsidR="00000000" w:rsidRDefault="00097612">
      <w:pPr>
        <w:pStyle w:val="a3"/>
        <w:spacing w:before="0" w:beforeAutospacing="0" w:after="0" w:afterAutospacing="0"/>
        <w:ind w:firstLine="720"/>
        <w:divId w:val="2144077618"/>
        <w:rPr>
          <w:sz w:val="20"/>
          <w:szCs w:val="20"/>
        </w:rPr>
      </w:pPr>
      <w:r>
        <w:rPr>
          <w:sz w:val="20"/>
          <w:szCs w:val="20"/>
        </w:rPr>
        <w:t>As of September 30, 2019, we had approximately $519.3 million in total long-term liabilities outstanding, comprised primarily of $237.5 million in net principal that remains outstanding under the Issuer’s Non-Recourse 2033 Notes and $230.0 million in princ</w:t>
      </w:r>
      <w:r>
        <w:rPr>
          <w:sz w:val="20"/>
          <w:szCs w:val="20"/>
        </w:rPr>
        <w:t>ipal that remains outstanding under our Convertible Senior 2023 Notes (together with the Non-Recourse 2033 Notes, the “Notes”).</w:t>
      </w:r>
    </w:p>
    <w:p w14:paraId="0F8D65E3" w14:textId="77777777" w:rsidR="00000000" w:rsidRDefault="00097612">
      <w:pPr>
        <w:pStyle w:val="a3"/>
        <w:spacing w:before="0" w:beforeAutospacing="0" w:after="0" w:afterAutospacing="0"/>
        <w:ind w:firstLine="720"/>
        <w:divId w:val="2144077618"/>
        <w:rPr>
          <w:sz w:val="20"/>
          <w:szCs w:val="20"/>
        </w:rPr>
      </w:pPr>
      <w:r>
        <w:rPr>
          <w:sz w:val="20"/>
          <w:szCs w:val="20"/>
        </w:rPr>
        <w:t>​</w:t>
      </w:r>
    </w:p>
    <w:p w14:paraId="3E8A7EBF" w14:textId="77777777" w:rsidR="00000000" w:rsidRDefault="00097612">
      <w:pPr>
        <w:pStyle w:val="a3"/>
        <w:spacing w:before="0" w:beforeAutospacing="0" w:after="0" w:afterAutospacing="0"/>
        <w:ind w:firstLine="720"/>
        <w:divId w:val="2144077618"/>
        <w:rPr>
          <w:sz w:val="20"/>
          <w:szCs w:val="20"/>
        </w:rPr>
      </w:pPr>
      <w:r>
        <w:rPr>
          <w:sz w:val="20"/>
          <w:szCs w:val="20"/>
        </w:rPr>
        <w:t>The Convertible Senior 2023 Notes are unsecured debt and are not redeemable by us prior to the maturity date except for certai</w:t>
      </w:r>
      <w:r>
        <w:rPr>
          <w:sz w:val="20"/>
          <w:szCs w:val="20"/>
        </w:rPr>
        <w:t xml:space="preserve">n changes in tax law. Holders of the Convertible Senior 2023 Notes may require us to purchase all or any portion of their notes at 100% of their principal amount, plus any unpaid interest, upon a fundamental change such as a change of control of us or the </w:t>
      </w:r>
      <w:r>
        <w:rPr>
          <w:sz w:val="20"/>
          <w:szCs w:val="20"/>
        </w:rPr>
        <w:t>termination of trading of our ordinary shares in accordance with the indenture governing the Convertible Senior 2023 Notes.</w:t>
      </w:r>
    </w:p>
    <w:p w14:paraId="622D3196" w14:textId="77777777" w:rsidR="00000000" w:rsidRDefault="00097612">
      <w:pPr>
        <w:pStyle w:val="a3"/>
        <w:spacing w:before="0" w:beforeAutospacing="0" w:after="0" w:afterAutospacing="0"/>
        <w:ind w:firstLine="720"/>
        <w:divId w:val="2144077618"/>
        <w:rPr>
          <w:sz w:val="20"/>
          <w:szCs w:val="20"/>
        </w:rPr>
      </w:pPr>
      <w:r>
        <w:rPr>
          <w:sz w:val="20"/>
          <w:szCs w:val="20"/>
        </w:rPr>
        <w:t>​</w:t>
      </w:r>
    </w:p>
    <w:p w14:paraId="7AD43D47" w14:textId="77777777" w:rsidR="00000000" w:rsidRDefault="00097612">
      <w:pPr>
        <w:pStyle w:val="a3"/>
        <w:spacing w:before="0" w:beforeAutospacing="0" w:after="0" w:afterAutospacing="0"/>
        <w:ind w:firstLine="720"/>
        <w:divId w:val="2144077618"/>
        <w:rPr>
          <w:sz w:val="20"/>
          <w:szCs w:val="20"/>
        </w:rPr>
      </w:pPr>
      <w:r>
        <w:rPr>
          <w:sz w:val="20"/>
          <w:szCs w:val="20"/>
        </w:rPr>
        <w:t>Until the Non-Recourse 2033 Notes are paid in full, holders of the Non-Recourse 2033 Notes have a perfected security interest in t</w:t>
      </w:r>
      <w:r>
        <w:rPr>
          <w:sz w:val="20"/>
          <w:szCs w:val="20"/>
        </w:rPr>
        <w:t>he Issuer Class C Units that represent a 63.75% economic interest in any future payments that may be made by GSK to TRC under the strategic alliance agreement and under the portion of the collaboration agreement assigned to TRC by Innoviva (net of TRC expe</w:t>
      </w:r>
      <w:r>
        <w:rPr>
          <w:sz w:val="20"/>
          <w:szCs w:val="20"/>
        </w:rPr>
        <w:t xml:space="preserve">nses paid and the amount of cash, if any, expected to be used in over the next four fiscal quarters) relating to the GSK-Partnered Respiratory Programs, including the </w:t>
      </w:r>
      <w:r>
        <w:rPr>
          <w:caps/>
          <w:sz w:val="20"/>
          <w:szCs w:val="20"/>
        </w:rPr>
        <w:t>Trelegy Ellipta</w:t>
      </w:r>
      <w:r>
        <w:rPr>
          <w:sz w:val="20"/>
          <w:szCs w:val="20"/>
        </w:rPr>
        <w:t xml:space="preserve"> program.</w:t>
      </w:r>
    </w:p>
    <w:p w14:paraId="3B3FBB50" w14:textId="77777777" w:rsidR="00000000" w:rsidRDefault="00097612">
      <w:pPr>
        <w:pStyle w:val="a3"/>
        <w:spacing w:before="0" w:beforeAutospacing="0" w:after="0" w:afterAutospacing="0"/>
        <w:divId w:val="2144077618"/>
        <w:rPr>
          <w:sz w:val="20"/>
          <w:szCs w:val="20"/>
        </w:rPr>
      </w:pPr>
      <w:r>
        <w:rPr>
          <w:sz w:val="20"/>
          <w:szCs w:val="20"/>
        </w:rPr>
        <w:t>​</w:t>
      </w:r>
    </w:p>
    <w:p w14:paraId="1701C2E8" w14:textId="77777777" w:rsidR="00000000" w:rsidRDefault="00097612">
      <w:pPr>
        <w:pStyle w:val="a3"/>
        <w:spacing w:before="0" w:beforeAutospacing="0" w:after="0" w:afterAutospacing="0"/>
        <w:ind w:firstLine="720"/>
        <w:divId w:val="2144077618"/>
        <w:rPr>
          <w:sz w:val="20"/>
          <w:szCs w:val="20"/>
        </w:rPr>
      </w:pPr>
      <w:r>
        <w:rPr>
          <w:sz w:val="20"/>
          <w:szCs w:val="20"/>
        </w:rPr>
        <w:t>Through October 15, 2020, the terms of the Non-Recourse 2033 N</w:t>
      </w:r>
      <w:r>
        <w:rPr>
          <w:sz w:val="20"/>
          <w:szCs w:val="20"/>
        </w:rPr>
        <w:t>otes provide that to the extent there are insufficient funds to satisfy the Issuer’s scheduled quarterly interest obligations, the shortfall shall be added to the principal amount of the Non-Recourse 2033 Notes without a default or event of default occurri</w:t>
      </w:r>
      <w:r>
        <w:rPr>
          <w:sz w:val="20"/>
          <w:szCs w:val="20"/>
        </w:rPr>
        <w:t>ng. The terms of the Non-Recourse 2033 Notes also provide that, at Theravance Biopharma’s option, the quarterly interest payment obligations can be satisfied by making a capital contribution to the Issuer, but not for more than four (4) consecutive quarter</w:t>
      </w:r>
      <w:r>
        <w:rPr>
          <w:sz w:val="20"/>
          <w:szCs w:val="20"/>
        </w:rPr>
        <w:t>ly interest payment dates or for more than six (6) quarterly interest payment dates during the term of the notes. For the April 15, 2019 and July 15, 2019 interest payment dates, Theravance Biopharma R&amp;D, Inc. (parent entity of Issuer) made a capital contr</w:t>
      </w:r>
      <w:r>
        <w:rPr>
          <w:sz w:val="20"/>
          <w:szCs w:val="20"/>
        </w:rPr>
        <w:t xml:space="preserve">ibution to satisfy the interest payment obligations for these two scheduled payments while we arbitrated the dispute with Innoviva discussed above in Part II, Item 1 “Legal Proceedings.” </w:t>
      </w:r>
    </w:p>
    <w:p w14:paraId="399F05C3" w14:textId="77777777" w:rsidR="00000000" w:rsidRDefault="00097612">
      <w:pPr>
        <w:pStyle w:val="a3"/>
        <w:spacing w:before="0" w:beforeAutospacing="0" w:after="0" w:afterAutospacing="0"/>
        <w:ind w:firstLine="720"/>
        <w:divId w:val="2144077618"/>
        <w:rPr>
          <w:sz w:val="20"/>
          <w:szCs w:val="20"/>
        </w:rPr>
      </w:pPr>
      <w:r>
        <w:rPr>
          <w:sz w:val="20"/>
          <w:szCs w:val="20"/>
        </w:rPr>
        <w:t>​</w:t>
      </w:r>
    </w:p>
    <w:p w14:paraId="24ACEE9F" w14:textId="77777777" w:rsidR="00000000" w:rsidRDefault="00097612">
      <w:pPr>
        <w:pStyle w:val="a3"/>
        <w:spacing w:before="0" w:beforeAutospacing="0" w:after="0" w:afterAutospacing="0"/>
        <w:ind w:firstLine="720"/>
        <w:divId w:val="2144077618"/>
        <w:rPr>
          <w:sz w:val="20"/>
          <w:szCs w:val="20"/>
        </w:rPr>
      </w:pPr>
      <w:r>
        <w:rPr>
          <w:sz w:val="20"/>
          <w:szCs w:val="20"/>
        </w:rPr>
        <w:t>Satisfying the obligations of these Notes could adversely affect t</w:t>
      </w:r>
      <w:r>
        <w:rPr>
          <w:sz w:val="20"/>
          <w:szCs w:val="20"/>
        </w:rPr>
        <w:t xml:space="preserve">he amount or timing of any distributions to our shareholders. We may choose to satisfy, repurchase, or refinance these Notes through public or private equity or debt </w:t>
      </w:r>
    </w:p>
    <w:p w14:paraId="194B0901" w14:textId="77777777" w:rsidR="00000000" w:rsidRDefault="00097612">
      <w:pPr>
        <w:pStyle w:val="a3"/>
        <w:spacing w:before="360" w:beforeAutospacing="0" w:after="0" w:afterAutospacing="0"/>
        <w:jc w:val="center"/>
        <w:divId w:val="632835775"/>
        <w:rPr>
          <w:sz w:val="20"/>
          <w:szCs w:val="20"/>
        </w:rPr>
      </w:pPr>
      <w:r>
        <w:rPr>
          <w:sz w:val="20"/>
          <w:szCs w:val="20"/>
        </w:rPr>
        <w:t>47</w:t>
      </w:r>
    </w:p>
    <w:p w14:paraId="6EA52A86" w14:textId="77777777" w:rsidR="00000000" w:rsidRDefault="00097612">
      <w:pPr>
        <w:pStyle w:val="a3"/>
        <w:spacing w:before="0" w:beforeAutospacing="0" w:after="600" w:afterAutospacing="0"/>
        <w:divId w:val="1556699408"/>
        <w:rPr>
          <w:sz w:val="20"/>
          <w:szCs w:val="20"/>
        </w:rPr>
      </w:pPr>
      <w:hyperlink w:anchor="TOC" w:history="1">
        <w:r>
          <w:rPr>
            <w:rStyle w:val="a4"/>
            <w:sz w:val="20"/>
            <w:szCs w:val="20"/>
          </w:rPr>
          <w:t>Table of Contents</w:t>
        </w:r>
      </w:hyperlink>
    </w:p>
    <w:p w14:paraId="515D5B9A" w14:textId="77777777" w:rsidR="00000000" w:rsidRDefault="00097612">
      <w:pPr>
        <w:pStyle w:val="a3"/>
        <w:spacing w:before="0" w:beforeAutospacing="0" w:after="0" w:afterAutospacing="0"/>
        <w:divId w:val="1565524750"/>
        <w:rPr>
          <w:sz w:val="20"/>
          <w:szCs w:val="20"/>
        </w:rPr>
      </w:pPr>
      <w:r>
        <w:rPr>
          <w:sz w:val="20"/>
          <w:szCs w:val="20"/>
        </w:rPr>
        <w:t xml:space="preserve">financings if we deem such financings are </w:t>
      </w:r>
      <w:r>
        <w:rPr>
          <w:sz w:val="20"/>
          <w:szCs w:val="20"/>
        </w:rPr>
        <w:t>available on favorable terms. If any or all of the Convertible Senior 2023 Notes are not converted into our ordinary shares before the maturity date, we will have to pay the holders the full aggregate principal amount of the Convertible Senior 2023 Notes t</w:t>
      </w:r>
      <w:r>
        <w:rPr>
          <w:sz w:val="20"/>
          <w:szCs w:val="20"/>
        </w:rPr>
        <w:t>hen outstanding. If the Non-Recourse 2033 Notes are not refinanced or paid in full, the holders of the Non-Recourse 2033 Notes will have the right to foreclose on the Issuer Class C Units that represent a 63.75% economic interest in future royalties due on</w:t>
      </w:r>
      <w:r>
        <w:rPr>
          <w:sz w:val="20"/>
          <w:szCs w:val="20"/>
        </w:rPr>
        <w:t xml:space="preserve"> net sales of </w:t>
      </w:r>
      <w:r>
        <w:rPr>
          <w:caps/>
          <w:sz w:val="20"/>
          <w:szCs w:val="20"/>
        </w:rPr>
        <w:t>Trelegy Ellipta</w:t>
      </w:r>
      <w:r>
        <w:rPr>
          <w:sz w:val="20"/>
          <w:szCs w:val="20"/>
        </w:rPr>
        <w:t xml:space="preserve"> and related assets. If the Issuer Class C Units are foreclosed upon, we will lose any right to receive 75% of the future royalty payments made by GSK in connection with the net sales of </w:t>
      </w:r>
      <w:r>
        <w:rPr>
          <w:caps/>
          <w:sz w:val="20"/>
          <w:szCs w:val="20"/>
        </w:rPr>
        <w:t>Trelegy Ellipta</w:t>
      </w:r>
      <w:r>
        <w:rPr>
          <w:sz w:val="20"/>
          <w:szCs w:val="20"/>
        </w:rPr>
        <w:t xml:space="preserve"> </w:t>
      </w:r>
      <w:r>
        <w:rPr>
          <w:sz w:val="20"/>
          <w:szCs w:val="20"/>
        </w:rPr>
        <w:t xml:space="preserve">and related assets. Any of the above payments could have a material adverse effect on our cash position. Our failure to satisfy these obligations may result in a default under the applicable indenture governing these Notes, which could result in a default </w:t>
      </w:r>
      <w:r>
        <w:rPr>
          <w:sz w:val="20"/>
          <w:szCs w:val="20"/>
        </w:rPr>
        <w:t>under certain of our other debt instruments, if any. Any such default would harm our business and the price of our securities could fall.</w:t>
      </w:r>
    </w:p>
    <w:p w14:paraId="059005C8" w14:textId="77777777" w:rsidR="00000000" w:rsidRDefault="00097612">
      <w:pPr>
        <w:pStyle w:val="a3"/>
        <w:spacing w:before="0" w:beforeAutospacing="0" w:after="0" w:afterAutospacing="0"/>
        <w:ind w:firstLine="720"/>
        <w:divId w:val="1565524750"/>
        <w:rPr>
          <w:sz w:val="20"/>
          <w:szCs w:val="20"/>
        </w:rPr>
      </w:pPr>
      <w:r>
        <w:rPr>
          <w:sz w:val="20"/>
          <w:szCs w:val="20"/>
        </w:rPr>
        <w:t>​</w:t>
      </w:r>
    </w:p>
    <w:p w14:paraId="013A6D2D" w14:textId="77777777" w:rsidR="00000000" w:rsidRDefault="00097612">
      <w:pPr>
        <w:pStyle w:val="a3"/>
        <w:spacing w:before="0" w:beforeAutospacing="0" w:after="120" w:afterAutospacing="0"/>
        <w:divId w:val="1565524750"/>
        <w:rPr>
          <w:rFonts w:ascii="Times" w:hAnsi="Times"/>
          <w:b/>
          <w:bCs/>
          <w:i/>
          <w:iCs/>
          <w:sz w:val="20"/>
          <w:szCs w:val="20"/>
        </w:rPr>
      </w:pPr>
      <w:r>
        <w:rPr>
          <w:rFonts w:ascii="Times" w:hAnsi="Times"/>
          <w:b/>
          <w:bCs/>
          <w:i/>
          <w:iCs/>
          <w:sz w:val="20"/>
          <w:szCs w:val="20"/>
        </w:rPr>
        <w:t>Servicing our Convertible Senior 2023 Notes requires a significant amount of cash, and we may not have sufficient ca</w:t>
      </w:r>
      <w:r>
        <w:rPr>
          <w:rFonts w:ascii="Times" w:hAnsi="Times"/>
          <w:b/>
          <w:bCs/>
          <w:i/>
          <w:iCs/>
          <w:sz w:val="20"/>
          <w:szCs w:val="20"/>
        </w:rPr>
        <w:t>sh flow from our business to pay our debt. Additionally, holders may require us to repurchase our Convertible Senior 2023 Notes under certain circumstances, and we may not have sufficient cash to do so.</w:t>
      </w:r>
      <w:r>
        <w:rPr>
          <w:rFonts w:ascii="Times" w:hAnsi="Times"/>
          <w:b/>
          <w:bCs/>
          <w:i/>
          <w:iCs/>
          <w:sz w:val="20"/>
          <w:szCs w:val="20"/>
        </w:rPr>
        <w:t xml:space="preserve"> </w:t>
      </w:r>
    </w:p>
    <w:p w14:paraId="397B0E92" w14:textId="77777777" w:rsidR="00000000" w:rsidRDefault="00097612">
      <w:pPr>
        <w:pStyle w:val="a3"/>
        <w:spacing w:before="0" w:beforeAutospacing="0" w:after="0" w:afterAutospacing="0"/>
        <w:ind w:firstLine="720"/>
        <w:divId w:val="1565524750"/>
        <w:rPr>
          <w:sz w:val="20"/>
          <w:szCs w:val="20"/>
        </w:rPr>
      </w:pPr>
      <w:r>
        <w:rPr>
          <w:sz w:val="20"/>
          <w:szCs w:val="20"/>
        </w:rPr>
        <w:t>Our ability to make interest or principal payments w</w:t>
      </w:r>
      <w:r>
        <w:rPr>
          <w:sz w:val="20"/>
          <w:szCs w:val="20"/>
        </w:rPr>
        <w:t>hen due or to refinance the Convertible Senior 2023 Notes depends on our future performance, which is subject to economic, financial, competitive and other factors beyond our control. Our business may not generate cash flow from operations sufficient to sa</w:t>
      </w:r>
      <w:r>
        <w:rPr>
          <w:sz w:val="20"/>
          <w:szCs w:val="20"/>
        </w:rPr>
        <w:t>tisfy our obligations under the Convertible Senior 2023 Notes and any future indebtedness we may incur and to make necessary capital expenditures. In addition, the issuance of the Non-Recourse 2033 Notes reduced the cash available for us to make interest o</w:t>
      </w:r>
      <w:r>
        <w:rPr>
          <w:sz w:val="20"/>
          <w:szCs w:val="20"/>
        </w:rPr>
        <w:t xml:space="preserve">r principal payments on, or to refinance, the Convertible Senior 2023 Notes. We may be required to adopt one or more alternatives, such as reducing or delaying investments or capital expenditures, selling assets, refinancing or obtaining additional equity </w:t>
      </w:r>
      <w:r>
        <w:rPr>
          <w:sz w:val="20"/>
          <w:szCs w:val="20"/>
        </w:rPr>
        <w:t>capital on terms that may be onerous or highly dilutive. Our ability to refinance the Convertible Senior 2023 Notes or future indebtedness will depend on the capital markets and our financial condition at such time. We may not be able to engage in any of t</w:t>
      </w:r>
      <w:r>
        <w:rPr>
          <w:sz w:val="20"/>
          <w:szCs w:val="20"/>
        </w:rPr>
        <w:t xml:space="preserve">hese activities on desirable terms or at all, which could result in a default on the Convertible Senior 2023 Notes or future indebtedness. </w:t>
      </w:r>
    </w:p>
    <w:p w14:paraId="40EACBDC" w14:textId="77777777" w:rsidR="00000000" w:rsidRDefault="00097612">
      <w:pPr>
        <w:pStyle w:val="a3"/>
        <w:spacing w:before="0" w:beforeAutospacing="0" w:after="0" w:afterAutospacing="0"/>
        <w:ind w:firstLine="720"/>
        <w:divId w:val="1565524750"/>
        <w:rPr>
          <w:rFonts w:ascii="Times" w:hAnsi="Times"/>
          <w:sz w:val="20"/>
          <w:szCs w:val="20"/>
        </w:rPr>
      </w:pPr>
      <w:r>
        <w:rPr>
          <w:rFonts w:ascii="Times" w:hAnsi="Times"/>
          <w:sz w:val="20"/>
          <w:szCs w:val="20"/>
        </w:rPr>
        <w:t>​</w:t>
      </w:r>
    </w:p>
    <w:p w14:paraId="0A9B8D8B" w14:textId="77777777" w:rsidR="00000000" w:rsidRDefault="00097612">
      <w:pPr>
        <w:pStyle w:val="a3"/>
        <w:spacing w:before="0" w:beforeAutospacing="0" w:after="0" w:afterAutospacing="0"/>
        <w:ind w:firstLine="720"/>
        <w:divId w:val="1565524750"/>
        <w:rPr>
          <w:rFonts w:ascii="Times" w:hAnsi="Times"/>
          <w:sz w:val="20"/>
          <w:szCs w:val="20"/>
        </w:rPr>
      </w:pPr>
      <w:r>
        <w:rPr>
          <w:rFonts w:ascii="Times" w:hAnsi="Times"/>
          <w:sz w:val="20"/>
          <w:szCs w:val="20"/>
        </w:rPr>
        <w:t>The holders of the Convertible Senior 2023 Notes may have the right to require us to repurchase the Convertible Se</w:t>
      </w:r>
      <w:r>
        <w:rPr>
          <w:rFonts w:ascii="Times" w:hAnsi="Times"/>
          <w:sz w:val="20"/>
          <w:szCs w:val="20"/>
        </w:rPr>
        <w:t>nior 2023 Notes upon the occurrence of a</w:t>
      </w:r>
      <w:r>
        <w:rPr>
          <w:rFonts w:ascii="Times" w:hAnsi="Times"/>
          <w:sz w:val="20"/>
          <w:szCs w:val="20"/>
        </w:rPr>
        <w:t xml:space="preserve"> </w:t>
      </w:r>
      <w:r>
        <w:rPr>
          <w:rFonts w:ascii="Times" w:hAnsi="Times"/>
          <w:sz w:val="20"/>
          <w:szCs w:val="20"/>
        </w:rPr>
        <w:t>“fundamental change”</w:t>
      </w:r>
      <w:r>
        <w:rPr>
          <w:rFonts w:ascii="Times" w:hAnsi="Times"/>
          <w:sz w:val="20"/>
          <w:szCs w:val="20"/>
        </w:rPr>
        <w:t xml:space="preserve"> </w:t>
      </w:r>
      <w:r>
        <w:rPr>
          <w:rFonts w:ascii="Times" w:hAnsi="Times"/>
          <w:sz w:val="20"/>
          <w:szCs w:val="20"/>
        </w:rPr>
        <w:t>such as a change of control of our Company or the termination of trading of our ordinary shares, as defined in the indenture governing the Convertible Senior 2023 Notes. We may not have sufficie</w:t>
      </w:r>
      <w:r>
        <w:rPr>
          <w:rFonts w:ascii="Times" w:hAnsi="Times"/>
          <w:sz w:val="20"/>
          <w:szCs w:val="20"/>
        </w:rPr>
        <w:t>nt funds to repurchase the Convertible Senior 2023 Notes in cash or have the ability to arrange necessary financing on acceptable terms. Our failure to repurchase the Convertible Senior 2023 Notes when required would result in an event of default with resp</w:t>
      </w:r>
      <w:r>
        <w:rPr>
          <w:rFonts w:ascii="Times" w:hAnsi="Times"/>
          <w:sz w:val="20"/>
          <w:szCs w:val="20"/>
        </w:rPr>
        <w:t xml:space="preserve">ect to the Convertible Senior 2023 Notes. In addition, any acceleration of the repayment of the Convertible Senior 2023 Notes or future indebtedness after any applicable notice or grace periods could have a material adverse effect on our business, results </w:t>
      </w:r>
      <w:r>
        <w:rPr>
          <w:rFonts w:ascii="Times" w:hAnsi="Times"/>
          <w:sz w:val="20"/>
          <w:szCs w:val="20"/>
        </w:rPr>
        <w:t>of operations and financial condition.</w:t>
      </w:r>
      <w:r>
        <w:rPr>
          <w:rFonts w:ascii="Times" w:hAnsi="Times"/>
          <w:sz w:val="20"/>
          <w:szCs w:val="20"/>
        </w:rPr>
        <w:t xml:space="preserve"> </w:t>
      </w:r>
    </w:p>
    <w:p w14:paraId="0C91C013" w14:textId="77777777" w:rsidR="00000000" w:rsidRDefault="00097612">
      <w:pPr>
        <w:pStyle w:val="a3"/>
        <w:spacing w:before="0" w:beforeAutospacing="0" w:after="0" w:afterAutospacing="0"/>
        <w:ind w:firstLine="720"/>
        <w:divId w:val="1565524750"/>
        <w:rPr>
          <w:sz w:val="20"/>
          <w:szCs w:val="20"/>
        </w:rPr>
      </w:pPr>
      <w:r>
        <w:rPr>
          <w:b/>
          <w:bCs/>
          <w:sz w:val="20"/>
          <w:szCs w:val="20"/>
        </w:rPr>
        <w:t>​</w:t>
      </w:r>
    </w:p>
    <w:p w14:paraId="4E8263AE" w14:textId="77777777" w:rsidR="00000000" w:rsidRDefault="00097612">
      <w:pPr>
        <w:pStyle w:val="a3"/>
        <w:spacing w:before="0" w:beforeAutospacing="0" w:after="120" w:afterAutospacing="0"/>
        <w:divId w:val="1565524750"/>
        <w:rPr>
          <w:sz w:val="20"/>
          <w:szCs w:val="20"/>
        </w:rPr>
      </w:pPr>
      <w:r>
        <w:rPr>
          <w:rFonts w:ascii="Times" w:hAnsi="Times"/>
          <w:b/>
          <w:bCs/>
          <w:i/>
          <w:iCs/>
          <w:sz w:val="20"/>
          <w:szCs w:val="20"/>
        </w:rPr>
        <w:t>Our business and operations would suffer in the event of significant disruptions of information technology systems or security breaches.</w:t>
      </w:r>
      <w:r>
        <w:rPr>
          <w:rFonts w:ascii="Times" w:hAnsi="Times"/>
          <w:b/>
          <w:bCs/>
          <w:i/>
          <w:iCs/>
          <w:sz w:val="20"/>
          <w:szCs w:val="20"/>
        </w:rPr>
        <w:t xml:space="preserve"> </w:t>
      </w:r>
    </w:p>
    <w:p w14:paraId="7B36EEB0" w14:textId="77777777" w:rsidR="00000000" w:rsidRDefault="00097612">
      <w:pPr>
        <w:pStyle w:val="a3"/>
        <w:spacing w:before="0" w:beforeAutospacing="0" w:after="0" w:afterAutospacing="0"/>
        <w:ind w:firstLine="720"/>
        <w:divId w:val="1565524750"/>
        <w:rPr>
          <w:sz w:val="20"/>
          <w:szCs w:val="20"/>
        </w:rPr>
      </w:pPr>
      <w:r>
        <w:rPr>
          <w:sz w:val="20"/>
          <w:szCs w:val="20"/>
        </w:rPr>
        <w:t>We rely extensively on computer systems to maintain information and manage o</w:t>
      </w:r>
      <w:r>
        <w:rPr>
          <w:sz w:val="20"/>
          <w:szCs w:val="20"/>
        </w:rPr>
        <w:t>ur finances and business. In the ordinary course of business, we collect, store and transmit large amounts of confidential information (including but not limited to trade secrets or other intellectual property, proprietary business information and personal</w:t>
      </w:r>
      <w:r>
        <w:rPr>
          <w:sz w:val="20"/>
          <w:szCs w:val="20"/>
        </w:rPr>
        <w:t xml:space="preserve"> information) and it is critical that we maintain the confidentiality and integrity of such confidential information. Although we have security measures in place, our internal information technology systems and those of our CROs and other service providers</w:t>
      </w:r>
      <w:r>
        <w:rPr>
          <w:sz w:val="20"/>
          <w:szCs w:val="20"/>
        </w:rPr>
        <w:t>, including cloud-based and hosted applications, data and services, are vulnerable to service interruptions and security breaches from inadvertent or intentional actions by our employees, service providers and/or business partners, from cyber-attacks by ma</w:t>
      </w:r>
      <w:r>
        <w:rPr>
          <w:sz w:val="20"/>
          <w:szCs w:val="20"/>
        </w:rPr>
        <w:t>licious third parties, and/or from, natural disasters, terrorism, war and telecommunication and electrical failures. Cyber-attacks are increasing in their frequency, sophistication, and intensity, and have become increasingly difficult to detect. Significa</w:t>
      </w:r>
      <w:r>
        <w:rPr>
          <w:sz w:val="20"/>
          <w:szCs w:val="20"/>
        </w:rPr>
        <w:t xml:space="preserve">nt disruptions of information technology systems or security breaches could adversely affect our business operations and result in financial, legal, business and reputational harm to us, including significant liability and/or significant disruption to our </w:t>
      </w:r>
      <w:r>
        <w:rPr>
          <w:sz w:val="20"/>
          <w:szCs w:val="20"/>
        </w:rPr>
        <w:t>business. If a disruption of information technology systems or security breach results in a loss of or damage to our data or regulatory applications, unauthorized access, use, or disclosure of, or the prevention of access to, confidential information, or o</w:t>
      </w:r>
      <w:r>
        <w:rPr>
          <w:sz w:val="20"/>
          <w:szCs w:val="20"/>
        </w:rPr>
        <w:t>ther harm to our business, we could incur liability and reputational harm, we could be required to comply with federal and/or state breach notification laws and foreign law equivalents, we may incur legal expenses to protect our confidential information, t</w:t>
      </w:r>
      <w:r>
        <w:rPr>
          <w:sz w:val="20"/>
          <w:szCs w:val="20"/>
        </w:rPr>
        <w:t xml:space="preserve">he further development of our product candidates could be delayed and the price of our securities could fall. For </w:t>
      </w:r>
    </w:p>
    <w:p w14:paraId="056FC609" w14:textId="77777777" w:rsidR="00000000" w:rsidRDefault="00097612">
      <w:pPr>
        <w:pStyle w:val="a3"/>
        <w:spacing w:before="360" w:beforeAutospacing="0" w:after="0" w:afterAutospacing="0"/>
        <w:jc w:val="center"/>
        <w:divId w:val="1252662186"/>
        <w:rPr>
          <w:sz w:val="20"/>
          <w:szCs w:val="20"/>
        </w:rPr>
      </w:pPr>
      <w:r>
        <w:rPr>
          <w:sz w:val="20"/>
          <w:szCs w:val="20"/>
        </w:rPr>
        <w:t>48</w:t>
      </w:r>
    </w:p>
    <w:p w14:paraId="2C0CF08E" w14:textId="77777777" w:rsidR="00000000" w:rsidRDefault="00097612">
      <w:pPr>
        <w:pStyle w:val="a3"/>
        <w:spacing w:before="0" w:beforeAutospacing="0" w:after="600" w:afterAutospacing="0"/>
        <w:divId w:val="1468084043"/>
        <w:rPr>
          <w:sz w:val="20"/>
          <w:szCs w:val="20"/>
        </w:rPr>
      </w:pPr>
      <w:hyperlink w:anchor="TOC" w:history="1">
        <w:r>
          <w:rPr>
            <w:rStyle w:val="a4"/>
            <w:sz w:val="20"/>
            <w:szCs w:val="20"/>
          </w:rPr>
          <w:t>Table of Contents</w:t>
        </w:r>
      </w:hyperlink>
    </w:p>
    <w:p w14:paraId="077554A7" w14:textId="77777777" w:rsidR="00000000" w:rsidRDefault="00097612">
      <w:pPr>
        <w:pStyle w:val="a3"/>
        <w:spacing w:before="0" w:beforeAutospacing="0" w:after="0" w:afterAutospacing="0"/>
        <w:divId w:val="1769499550"/>
        <w:rPr>
          <w:sz w:val="20"/>
          <w:szCs w:val="20"/>
        </w:rPr>
      </w:pPr>
      <w:r>
        <w:rPr>
          <w:sz w:val="20"/>
          <w:szCs w:val="20"/>
        </w:rPr>
        <w:t>example, the loss of clinical trial data from completed or ongoing clinical trials of our prod</w:t>
      </w:r>
      <w:r>
        <w:rPr>
          <w:sz w:val="20"/>
          <w:szCs w:val="20"/>
        </w:rPr>
        <w:t xml:space="preserve">uct candidates could result in delays in our regulatory approval efforts and significantly increase our costs to recover or reproduce the data. As another example, we may incur penalties imposed by the competent authorities in the EU Member States in case </w:t>
      </w:r>
      <w:r>
        <w:rPr>
          <w:sz w:val="20"/>
          <w:szCs w:val="20"/>
        </w:rPr>
        <w:t>of breach of the EU rules governing the collection and processing of personal data, including unauthorized access to or disclosure of personal data. Although we have security and fraud prevention measures in place, we have been subject to immaterial paymen</w:t>
      </w:r>
      <w:r>
        <w:rPr>
          <w:sz w:val="20"/>
          <w:szCs w:val="20"/>
        </w:rPr>
        <w:t>t fraud activity. In 2017, we filed a lawsuit (which has since been resolved) against a former employee for misappropriation of our confidential, proprietary and trade secret information. Moreover, there can be no assurance that such security measures will</w:t>
      </w:r>
      <w:r>
        <w:rPr>
          <w:sz w:val="20"/>
          <w:szCs w:val="20"/>
        </w:rPr>
        <w:t xml:space="preserve"> prevent service interruptions or security breaches that could adversely affect our business.</w:t>
      </w:r>
    </w:p>
    <w:p w14:paraId="3B3D2EB6" w14:textId="77777777" w:rsidR="00000000" w:rsidRDefault="00097612">
      <w:pPr>
        <w:pStyle w:val="a3"/>
        <w:spacing w:before="0" w:beforeAutospacing="0" w:after="0" w:afterAutospacing="0"/>
        <w:divId w:val="1769499550"/>
        <w:rPr>
          <w:sz w:val="20"/>
          <w:szCs w:val="20"/>
        </w:rPr>
      </w:pPr>
      <w:r>
        <w:rPr>
          <w:sz w:val="20"/>
          <w:szCs w:val="20"/>
        </w:rPr>
        <w:t>​</w:t>
      </w:r>
    </w:p>
    <w:p w14:paraId="3535BDC1" w14:textId="77777777" w:rsidR="00000000" w:rsidRDefault="00097612">
      <w:pPr>
        <w:pStyle w:val="a3"/>
        <w:spacing w:before="0" w:beforeAutospacing="0" w:after="120" w:afterAutospacing="0"/>
        <w:divId w:val="1769499550"/>
        <w:rPr>
          <w:rFonts w:ascii="Times" w:hAnsi="Times"/>
          <w:b/>
          <w:bCs/>
          <w:i/>
          <w:iCs/>
          <w:sz w:val="20"/>
          <w:szCs w:val="20"/>
        </w:rPr>
      </w:pPr>
      <w:r>
        <w:rPr>
          <w:rFonts w:ascii="Times" w:hAnsi="Times"/>
          <w:b/>
          <w:bCs/>
          <w:i/>
          <w:iCs/>
          <w:sz w:val="20"/>
          <w:szCs w:val="20"/>
        </w:rPr>
        <w:t>If we lose key management or scientific personnel, or if we fail to attract and retain key employees, our ability to discover and develop our product candidates and commercialize our products, if any, will be impaired.</w:t>
      </w:r>
      <w:r>
        <w:rPr>
          <w:rFonts w:ascii="Times" w:hAnsi="Times"/>
          <w:b/>
          <w:bCs/>
          <w:i/>
          <w:iCs/>
          <w:sz w:val="20"/>
          <w:szCs w:val="20"/>
        </w:rPr>
        <w:t xml:space="preserve"> </w:t>
      </w:r>
    </w:p>
    <w:p w14:paraId="69BD7372" w14:textId="77777777" w:rsidR="00000000" w:rsidRDefault="00097612">
      <w:pPr>
        <w:pStyle w:val="a3"/>
        <w:spacing w:before="0" w:beforeAutospacing="0" w:after="0" w:afterAutospacing="0"/>
        <w:ind w:firstLine="720"/>
        <w:divId w:val="1769499550"/>
        <w:rPr>
          <w:rFonts w:ascii="Times" w:hAnsi="Times"/>
          <w:sz w:val="20"/>
          <w:szCs w:val="20"/>
        </w:rPr>
      </w:pPr>
      <w:r>
        <w:rPr>
          <w:rFonts w:ascii="Times" w:hAnsi="Times"/>
          <w:sz w:val="20"/>
          <w:szCs w:val="20"/>
        </w:rPr>
        <w:t>We are highly dependent on principal</w:t>
      </w:r>
      <w:r>
        <w:rPr>
          <w:rFonts w:ascii="Times" w:hAnsi="Times"/>
          <w:sz w:val="20"/>
          <w:szCs w:val="20"/>
        </w:rPr>
        <w:t xml:space="preserve"> members of our management team and scientific staff, and in particular, our Chief Executive Officer, Rick E Winningham, to operate our business. Mr. Winningham has significant pharmaceutical industry experience. The loss of Mr. Winningham’s services could</w:t>
      </w:r>
      <w:r>
        <w:rPr>
          <w:rFonts w:ascii="Times" w:hAnsi="Times"/>
          <w:sz w:val="20"/>
          <w:szCs w:val="20"/>
        </w:rPr>
        <w:t xml:space="preserve"> impair our ability to discover, develop and commercialize new medicines.</w:t>
      </w:r>
      <w:r>
        <w:rPr>
          <w:rFonts w:ascii="Times" w:hAnsi="Times"/>
          <w:sz w:val="20"/>
          <w:szCs w:val="20"/>
        </w:rPr>
        <w:t xml:space="preserve"> </w:t>
      </w:r>
    </w:p>
    <w:p w14:paraId="2402D08E" w14:textId="77777777" w:rsidR="00000000" w:rsidRDefault="00097612">
      <w:pPr>
        <w:pStyle w:val="a3"/>
        <w:spacing w:before="0" w:beforeAutospacing="0" w:after="0" w:afterAutospacing="0"/>
        <w:ind w:firstLine="720"/>
        <w:divId w:val="1769499550"/>
        <w:rPr>
          <w:rFonts w:ascii="Times" w:hAnsi="Times"/>
          <w:sz w:val="20"/>
          <w:szCs w:val="20"/>
        </w:rPr>
      </w:pPr>
      <w:r>
        <w:rPr>
          <w:rFonts w:ascii="Times" w:hAnsi="Times"/>
          <w:sz w:val="20"/>
          <w:szCs w:val="20"/>
        </w:rPr>
        <w:t>​</w:t>
      </w:r>
    </w:p>
    <w:p w14:paraId="1B079FE5" w14:textId="77777777" w:rsidR="00000000" w:rsidRDefault="00097612">
      <w:pPr>
        <w:pStyle w:val="a3"/>
        <w:spacing w:before="0" w:beforeAutospacing="0" w:after="0" w:afterAutospacing="0"/>
        <w:ind w:firstLine="720"/>
        <w:divId w:val="1769499550"/>
        <w:rPr>
          <w:rFonts w:ascii="Times" w:hAnsi="Times"/>
          <w:sz w:val="20"/>
          <w:szCs w:val="20"/>
        </w:rPr>
      </w:pPr>
      <w:r>
        <w:rPr>
          <w:rFonts w:ascii="Times" w:hAnsi="Times"/>
          <w:sz w:val="20"/>
          <w:szCs w:val="20"/>
        </w:rPr>
        <w:t>If we fail to retain our qualified personnel or replace them when they leave, we may be unable to continue our discovery, development and commercialization activities, which may c</w:t>
      </w:r>
      <w:r>
        <w:rPr>
          <w:rFonts w:ascii="Times" w:hAnsi="Times"/>
          <w:sz w:val="20"/>
          <w:szCs w:val="20"/>
        </w:rPr>
        <w:t>ause the price of our securities to fall.</w:t>
      </w:r>
      <w:r>
        <w:rPr>
          <w:rFonts w:ascii="Times" w:hAnsi="Times"/>
          <w:color w:val="FF0000"/>
          <w:sz w:val="20"/>
          <w:szCs w:val="20"/>
        </w:rPr>
        <w:t xml:space="preserve"> </w:t>
      </w:r>
    </w:p>
    <w:p w14:paraId="0E8DD289" w14:textId="77777777" w:rsidR="00000000" w:rsidRDefault="00097612">
      <w:pPr>
        <w:pStyle w:val="a3"/>
        <w:spacing w:before="0" w:beforeAutospacing="0" w:after="0" w:afterAutospacing="0"/>
        <w:ind w:firstLine="720"/>
        <w:divId w:val="1769499550"/>
        <w:rPr>
          <w:rFonts w:ascii="Times" w:hAnsi="Times"/>
          <w:sz w:val="20"/>
          <w:szCs w:val="20"/>
        </w:rPr>
      </w:pPr>
      <w:r>
        <w:rPr>
          <w:rFonts w:ascii="Times" w:hAnsi="Times"/>
          <w:sz w:val="20"/>
          <w:szCs w:val="20"/>
        </w:rPr>
        <w:t>​</w:t>
      </w:r>
    </w:p>
    <w:p w14:paraId="71D28A0A" w14:textId="77777777" w:rsidR="00000000" w:rsidRDefault="00097612">
      <w:pPr>
        <w:pStyle w:val="a3"/>
        <w:spacing w:before="0" w:beforeAutospacing="0" w:after="0" w:afterAutospacing="0"/>
        <w:ind w:firstLine="720"/>
        <w:divId w:val="1769499550"/>
        <w:rPr>
          <w:rFonts w:ascii="Times" w:hAnsi="Times"/>
          <w:sz w:val="20"/>
          <w:szCs w:val="20"/>
        </w:rPr>
      </w:pPr>
      <w:r>
        <w:rPr>
          <w:rFonts w:ascii="Times" w:hAnsi="Times"/>
          <w:sz w:val="20"/>
          <w:szCs w:val="20"/>
        </w:rPr>
        <w:t>In addition, our US operating subsidiary’s facility and most of its employees are located in northern California, headquarters to many other biotechnology and biopharmaceutical companies and many academic and re</w:t>
      </w:r>
      <w:r>
        <w:rPr>
          <w:rFonts w:ascii="Times" w:hAnsi="Times"/>
          <w:sz w:val="20"/>
          <w:szCs w:val="20"/>
        </w:rPr>
        <w:t>search institutions. As a result, competition for certain skilled personnel in our market is intense. None of our employees have employment commitments for any fixed period of time and they all may leave our employment at will. If we fail to retain our qua</w:t>
      </w:r>
      <w:r>
        <w:rPr>
          <w:rFonts w:ascii="Times" w:hAnsi="Times"/>
          <w:sz w:val="20"/>
          <w:szCs w:val="20"/>
        </w:rPr>
        <w:t>lified personnel or replace them when they leave, we may be unable to continue our development and commercialization activities and the price of our securities could fall.</w:t>
      </w:r>
      <w:r>
        <w:rPr>
          <w:rFonts w:ascii="Times" w:hAnsi="Times"/>
          <w:sz w:val="20"/>
          <w:szCs w:val="20"/>
        </w:rPr>
        <w:t xml:space="preserve"> </w:t>
      </w:r>
    </w:p>
    <w:p w14:paraId="35068B48" w14:textId="77777777" w:rsidR="00000000" w:rsidRDefault="00097612">
      <w:pPr>
        <w:pStyle w:val="a3"/>
        <w:spacing w:before="0" w:beforeAutospacing="0" w:after="0" w:afterAutospacing="0"/>
        <w:ind w:firstLine="720"/>
        <w:divId w:val="1769499550"/>
        <w:rPr>
          <w:rFonts w:ascii="Times" w:hAnsi="Times"/>
          <w:sz w:val="20"/>
          <w:szCs w:val="20"/>
        </w:rPr>
      </w:pPr>
      <w:r>
        <w:rPr>
          <w:rFonts w:ascii="Times" w:hAnsi="Times"/>
          <w:sz w:val="20"/>
          <w:szCs w:val="20"/>
        </w:rPr>
        <w:t>​</w:t>
      </w:r>
    </w:p>
    <w:p w14:paraId="571A277D" w14:textId="77777777" w:rsidR="00000000" w:rsidRDefault="00097612">
      <w:pPr>
        <w:pStyle w:val="a3"/>
        <w:spacing w:before="0" w:beforeAutospacing="0" w:after="120" w:afterAutospacing="0"/>
        <w:divId w:val="1769499550"/>
        <w:rPr>
          <w:rFonts w:ascii="Times" w:hAnsi="Times"/>
          <w:b/>
          <w:bCs/>
          <w:i/>
          <w:iCs/>
          <w:sz w:val="20"/>
          <w:szCs w:val="20"/>
        </w:rPr>
      </w:pPr>
      <w:r>
        <w:rPr>
          <w:rFonts w:ascii="Times" w:hAnsi="Times"/>
          <w:b/>
          <w:bCs/>
          <w:i/>
          <w:iCs/>
          <w:sz w:val="20"/>
          <w:szCs w:val="20"/>
        </w:rPr>
        <w:t xml:space="preserve">Global health and economic, political and social conditions may harm our ability </w:t>
      </w:r>
      <w:r>
        <w:rPr>
          <w:rFonts w:ascii="Times" w:hAnsi="Times"/>
          <w:b/>
          <w:bCs/>
          <w:i/>
          <w:iCs/>
          <w:sz w:val="20"/>
          <w:szCs w:val="20"/>
        </w:rPr>
        <w:t>to do business, increase our costs and negatively affect our stock price.</w:t>
      </w:r>
    </w:p>
    <w:p w14:paraId="2169DA8D" w14:textId="77777777" w:rsidR="00000000" w:rsidRDefault="00097612">
      <w:pPr>
        <w:pStyle w:val="a3"/>
        <w:spacing w:before="0" w:beforeAutospacing="0" w:after="0" w:afterAutospacing="0"/>
        <w:ind w:firstLine="720"/>
        <w:divId w:val="1769499550"/>
        <w:rPr>
          <w:rFonts w:ascii="Times" w:hAnsi="Times"/>
          <w:sz w:val="20"/>
          <w:szCs w:val="20"/>
        </w:rPr>
      </w:pPr>
      <w:r>
        <w:rPr>
          <w:rFonts w:ascii="Times" w:hAnsi="Times"/>
          <w:sz w:val="20"/>
          <w:szCs w:val="20"/>
        </w:rPr>
        <w:t>Worldwide economic conditions remain uncertain due to the decision by the United Kingdom to initiate the formal procedure of withdrawal from the EU (often referred to as</w:t>
      </w:r>
      <w:r>
        <w:rPr>
          <w:rFonts w:ascii="Times" w:hAnsi="Times"/>
          <w:sz w:val="20"/>
          <w:szCs w:val="20"/>
        </w:rPr>
        <w:t xml:space="preserve"> </w:t>
      </w:r>
      <w:r>
        <w:rPr>
          <w:rFonts w:ascii="Times" w:hAnsi="Times"/>
          <w:sz w:val="20"/>
          <w:szCs w:val="20"/>
        </w:rPr>
        <w:t>“Brexit”), c</w:t>
      </w:r>
      <w:r>
        <w:rPr>
          <w:rFonts w:ascii="Times" w:hAnsi="Times"/>
          <w:sz w:val="20"/>
          <w:szCs w:val="20"/>
        </w:rPr>
        <w:t>urrent economic challenges in Asia and other disruptions to global and regional economies and markets.</w:t>
      </w:r>
      <w:r>
        <w:rPr>
          <w:rFonts w:ascii="Times" w:hAnsi="Times"/>
          <w:sz w:val="20"/>
          <w:szCs w:val="20"/>
        </w:rPr>
        <w:t xml:space="preserve"> </w:t>
      </w:r>
    </w:p>
    <w:p w14:paraId="74F21B87" w14:textId="77777777" w:rsidR="00000000" w:rsidRDefault="00097612">
      <w:pPr>
        <w:pStyle w:val="a3"/>
        <w:spacing w:before="0" w:beforeAutospacing="0" w:after="0" w:afterAutospacing="0"/>
        <w:ind w:firstLine="720"/>
        <w:divId w:val="1769499550"/>
        <w:rPr>
          <w:rFonts w:ascii="Times" w:hAnsi="Times"/>
          <w:sz w:val="20"/>
          <w:szCs w:val="20"/>
        </w:rPr>
      </w:pPr>
      <w:r>
        <w:rPr>
          <w:rFonts w:ascii="Times" w:hAnsi="Times"/>
          <w:sz w:val="20"/>
          <w:szCs w:val="20"/>
        </w:rPr>
        <w:t>​</w:t>
      </w:r>
    </w:p>
    <w:p w14:paraId="0716EEC0" w14:textId="77777777" w:rsidR="00000000" w:rsidRDefault="00097612">
      <w:pPr>
        <w:pStyle w:val="a3"/>
        <w:spacing w:before="0" w:beforeAutospacing="0" w:after="0" w:afterAutospacing="0"/>
        <w:ind w:firstLine="720"/>
        <w:divId w:val="1769499550"/>
        <w:rPr>
          <w:sz w:val="20"/>
          <w:szCs w:val="20"/>
        </w:rPr>
      </w:pPr>
      <w:r>
        <w:rPr>
          <w:rFonts w:ascii="Times" w:hAnsi="Times"/>
          <w:sz w:val="20"/>
          <w:szCs w:val="20"/>
        </w:rPr>
        <w:t>Brexit has created significant uncertainty about the future relationship between the United Kingdom and the EU, including with respect to the laws and</w:t>
      </w:r>
      <w:r>
        <w:rPr>
          <w:rFonts w:ascii="Times" w:hAnsi="Times"/>
          <w:sz w:val="20"/>
          <w:szCs w:val="20"/>
        </w:rPr>
        <w:t xml:space="preserve"> regulations that will apply as the United Kingdom determines which EU laws to replace or replicate in the event of a withdrawal. From a regulatory perspective, the United Kingdom's withdrawal could bear significant complexity and risks. In addition, the e</w:t>
      </w:r>
      <w:r>
        <w:rPr>
          <w:rFonts w:ascii="Times" w:hAnsi="Times"/>
          <w:sz w:val="20"/>
          <w:szCs w:val="20"/>
        </w:rPr>
        <w:t>xact terms of the United Kingdom's withdrawal and the laws and regulations that will apply after the United Kingdom withdraws from the EU would affect manufacturing sites that hold an EU manufacturing authorization issued by the United Kingdom competent au</w:t>
      </w:r>
      <w:r>
        <w:rPr>
          <w:rFonts w:ascii="Times" w:hAnsi="Times"/>
          <w:sz w:val="20"/>
          <w:szCs w:val="20"/>
        </w:rPr>
        <w:t>thorities. The referendum could also give rise to calls for the governments of other EU Member States to consider withdrawal from the EU.</w:t>
      </w:r>
      <w:r>
        <w:rPr>
          <w:rFonts w:ascii="Times" w:hAnsi="Times"/>
          <w:sz w:val="20"/>
          <w:szCs w:val="20"/>
        </w:rPr>
        <w:t xml:space="preserve"> </w:t>
      </w:r>
    </w:p>
    <w:p w14:paraId="15D1F406" w14:textId="77777777" w:rsidR="00000000" w:rsidRDefault="00097612">
      <w:pPr>
        <w:pStyle w:val="a3"/>
        <w:spacing w:before="0" w:beforeAutospacing="0" w:after="0" w:afterAutospacing="0"/>
        <w:ind w:firstLine="720"/>
        <w:divId w:val="1769499550"/>
        <w:rPr>
          <w:sz w:val="20"/>
          <w:szCs w:val="20"/>
        </w:rPr>
      </w:pPr>
      <w:r>
        <w:rPr>
          <w:rFonts w:ascii="Times" w:hAnsi="Times"/>
          <w:sz w:val="20"/>
          <w:szCs w:val="20"/>
        </w:rPr>
        <w:t>​</w:t>
      </w:r>
    </w:p>
    <w:p w14:paraId="328B4D77" w14:textId="77777777" w:rsidR="00000000" w:rsidRDefault="00097612">
      <w:pPr>
        <w:pStyle w:val="a3"/>
        <w:spacing w:before="0" w:beforeAutospacing="0" w:after="0" w:afterAutospacing="0"/>
        <w:ind w:firstLine="720"/>
        <w:divId w:val="1769499550"/>
        <w:rPr>
          <w:sz w:val="20"/>
          <w:szCs w:val="20"/>
        </w:rPr>
      </w:pPr>
      <w:r>
        <w:rPr>
          <w:rFonts w:ascii="Times" w:hAnsi="Times"/>
          <w:sz w:val="20"/>
          <w:szCs w:val="20"/>
        </w:rPr>
        <w:t>Further, development of our product candidates and/or regulatory approval may be delayed for other political events</w:t>
      </w:r>
      <w:r>
        <w:rPr>
          <w:rFonts w:ascii="Times" w:hAnsi="Times"/>
          <w:sz w:val="20"/>
          <w:szCs w:val="20"/>
        </w:rPr>
        <w:t xml:space="preserve"> beyond our control. For example, a US federal government shutdown or budget sequestration, such as ones that occurred during 2013, 2018, and 2019, may result in significant reductions to the FDA’s budget, employees and operations, which may lead to slower</w:t>
      </w:r>
      <w:r>
        <w:rPr>
          <w:rFonts w:ascii="Times" w:hAnsi="Times"/>
          <w:sz w:val="20"/>
          <w:szCs w:val="20"/>
        </w:rPr>
        <w:t xml:space="preserve"> response times and longer review periods, potentially affecting our ability to progress development of our product candidates or obtain regulatory approval for our product candidates. Further, future government shutdowns could impact our ability to access</w:t>
      </w:r>
      <w:r>
        <w:rPr>
          <w:rFonts w:ascii="Times" w:hAnsi="Times"/>
          <w:sz w:val="20"/>
          <w:szCs w:val="20"/>
        </w:rPr>
        <w:t xml:space="preserve"> the public markets and obtain necessary capital in order to properly capitalize and continue our operations.</w:t>
      </w:r>
    </w:p>
    <w:p w14:paraId="2527AC6B" w14:textId="77777777" w:rsidR="00000000" w:rsidRDefault="00097612">
      <w:pPr>
        <w:pStyle w:val="a3"/>
        <w:spacing w:before="0" w:beforeAutospacing="0" w:after="0" w:afterAutospacing="0"/>
        <w:divId w:val="1769499550"/>
        <w:rPr>
          <w:rFonts w:ascii="Times" w:hAnsi="Times"/>
          <w:sz w:val="20"/>
          <w:szCs w:val="20"/>
        </w:rPr>
      </w:pPr>
      <w:r>
        <w:rPr>
          <w:rFonts w:ascii="Times" w:hAnsi="Times"/>
          <w:sz w:val="20"/>
          <w:szCs w:val="20"/>
        </w:rPr>
        <w:t>​</w:t>
      </w:r>
    </w:p>
    <w:p w14:paraId="7E0E44B5" w14:textId="77777777" w:rsidR="00000000" w:rsidRDefault="00097612">
      <w:pPr>
        <w:pStyle w:val="a3"/>
        <w:spacing w:before="0" w:beforeAutospacing="0" w:after="0" w:afterAutospacing="0"/>
        <w:ind w:firstLine="720"/>
        <w:divId w:val="1769499550"/>
        <w:rPr>
          <w:rFonts w:ascii="Times" w:hAnsi="Times"/>
          <w:sz w:val="20"/>
          <w:szCs w:val="20"/>
        </w:rPr>
      </w:pPr>
      <w:r>
        <w:rPr>
          <w:rFonts w:ascii="Times" w:hAnsi="Times"/>
          <w:sz w:val="20"/>
          <w:szCs w:val="20"/>
        </w:rPr>
        <w:t>Our operations also depend upon favorable trade relations between the US and those foreign countries in which our materials suppliers have opera</w:t>
      </w:r>
      <w:r>
        <w:rPr>
          <w:rFonts w:ascii="Times" w:hAnsi="Times"/>
          <w:sz w:val="20"/>
          <w:szCs w:val="20"/>
        </w:rPr>
        <w:t xml:space="preserve">tions. A protectionist trade environment in either the US or those foreign countries in which we do business, such as a change in the current tariff structures, export compliance or other trade policies, may materially and adversely affect our operations. </w:t>
      </w:r>
      <w:r>
        <w:rPr>
          <w:rFonts w:ascii="Times" w:hAnsi="Times"/>
          <w:sz w:val="20"/>
          <w:szCs w:val="20"/>
        </w:rPr>
        <w:t>External factors, such as potential terrorist attacks, acts of war, geopolitical and social turmoil or epidemics and other similar outbreaks in many parts of the world, could also prevent or hinder our ability to do business,</w:t>
      </w:r>
      <w:r>
        <w:rPr>
          <w:rFonts w:ascii="Times" w:hAnsi="Times"/>
          <w:sz w:val="20"/>
          <w:szCs w:val="20"/>
        </w:rPr>
        <w:t xml:space="preserve"> </w:t>
      </w:r>
    </w:p>
    <w:p w14:paraId="046ECAAB" w14:textId="77777777" w:rsidR="00000000" w:rsidRDefault="00097612">
      <w:pPr>
        <w:pStyle w:val="a3"/>
        <w:spacing w:before="360" w:beforeAutospacing="0" w:after="0" w:afterAutospacing="0"/>
        <w:jc w:val="center"/>
        <w:divId w:val="1044911828"/>
        <w:rPr>
          <w:sz w:val="20"/>
          <w:szCs w:val="20"/>
        </w:rPr>
      </w:pPr>
      <w:r>
        <w:rPr>
          <w:sz w:val="20"/>
          <w:szCs w:val="20"/>
        </w:rPr>
        <w:t>49</w:t>
      </w:r>
    </w:p>
    <w:p w14:paraId="2961BFCA" w14:textId="77777777" w:rsidR="00000000" w:rsidRDefault="00097612">
      <w:pPr>
        <w:pStyle w:val="a3"/>
        <w:spacing w:before="0" w:beforeAutospacing="0" w:after="600" w:afterAutospacing="0"/>
        <w:divId w:val="24063572"/>
        <w:rPr>
          <w:sz w:val="20"/>
          <w:szCs w:val="20"/>
        </w:rPr>
      </w:pPr>
      <w:hyperlink w:anchor="TOC" w:history="1">
        <w:r>
          <w:rPr>
            <w:rStyle w:val="a4"/>
            <w:sz w:val="20"/>
            <w:szCs w:val="20"/>
          </w:rPr>
          <w:t>Table of Contents</w:t>
        </w:r>
      </w:hyperlink>
    </w:p>
    <w:p w14:paraId="26076EAB" w14:textId="77777777" w:rsidR="00000000" w:rsidRDefault="00097612">
      <w:pPr>
        <w:pStyle w:val="a3"/>
        <w:spacing w:before="0" w:beforeAutospacing="0" w:after="0" w:afterAutospacing="0"/>
        <w:divId w:val="1206720862"/>
        <w:rPr>
          <w:rFonts w:ascii="Times" w:hAnsi="Times"/>
          <w:sz w:val="20"/>
          <w:szCs w:val="20"/>
        </w:rPr>
      </w:pPr>
      <w:r>
        <w:rPr>
          <w:rFonts w:ascii="Times" w:hAnsi="Times"/>
          <w:sz w:val="20"/>
          <w:szCs w:val="20"/>
        </w:rPr>
        <w:t>increase our costs and negatively affect our stock price. These geopolitical, social and economic conditions could harm our business.</w:t>
      </w:r>
      <w:r>
        <w:rPr>
          <w:rFonts w:ascii="Times" w:hAnsi="Times"/>
          <w:sz w:val="20"/>
          <w:szCs w:val="20"/>
        </w:rPr>
        <w:t xml:space="preserve"> </w:t>
      </w:r>
    </w:p>
    <w:p w14:paraId="062D5823" w14:textId="77777777" w:rsidR="00000000" w:rsidRDefault="00097612">
      <w:pPr>
        <w:pStyle w:val="a3"/>
        <w:spacing w:before="0" w:beforeAutospacing="0" w:after="0" w:afterAutospacing="0"/>
        <w:ind w:firstLine="720"/>
        <w:divId w:val="1206720862"/>
        <w:rPr>
          <w:rFonts w:ascii="Times" w:hAnsi="Times"/>
          <w:sz w:val="20"/>
          <w:szCs w:val="20"/>
        </w:rPr>
      </w:pPr>
      <w:r>
        <w:rPr>
          <w:rFonts w:ascii="Times" w:hAnsi="Times"/>
          <w:sz w:val="20"/>
          <w:szCs w:val="20"/>
        </w:rPr>
        <w:t>​</w:t>
      </w:r>
    </w:p>
    <w:p w14:paraId="149AEB2B" w14:textId="77777777" w:rsidR="00000000" w:rsidRDefault="00097612">
      <w:pPr>
        <w:pStyle w:val="a3"/>
        <w:spacing w:before="0" w:beforeAutospacing="0" w:after="120" w:afterAutospacing="0"/>
        <w:divId w:val="1206720862"/>
        <w:rPr>
          <w:rFonts w:ascii="Times" w:hAnsi="Times"/>
          <w:b/>
          <w:bCs/>
          <w:i/>
          <w:iCs/>
          <w:sz w:val="20"/>
          <w:szCs w:val="20"/>
        </w:rPr>
      </w:pPr>
      <w:r>
        <w:rPr>
          <w:rFonts w:ascii="Times" w:hAnsi="Times"/>
          <w:b/>
          <w:bCs/>
          <w:i/>
          <w:iCs/>
          <w:sz w:val="20"/>
          <w:szCs w:val="20"/>
        </w:rPr>
        <w:t>Our US operating subsidiary’s facility is located near known earthquake fault zones, and the occurren</w:t>
      </w:r>
      <w:r>
        <w:rPr>
          <w:rFonts w:ascii="Times" w:hAnsi="Times"/>
          <w:b/>
          <w:bCs/>
          <w:i/>
          <w:iCs/>
          <w:sz w:val="20"/>
          <w:szCs w:val="20"/>
        </w:rPr>
        <w:t>ce of an earthquake, extremist attack or other catastrophic disaster could cause damage to our facilities and equipment, which could require us to cease or curtail operations.</w:t>
      </w:r>
      <w:r>
        <w:rPr>
          <w:rFonts w:ascii="Times" w:hAnsi="Times"/>
          <w:b/>
          <w:bCs/>
          <w:i/>
          <w:iCs/>
          <w:sz w:val="20"/>
          <w:szCs w:val="20"/>
        </w:rPr>
        <w:t xml:space="preserve"> </w:t>
      </w:r>
    </w:p>
    <w:p w14:paraId="163C89CB" w14:textId="77777777" w:rsidR="00000000" w:rsidRDefault="00097612">
      <w:pPr>
        <w:pStyle w:val="a3"/>
        <w:spacing w:before="0" w:beforeAutospacing="0" w:after="0" w:afterAutospacing="0"/>
        <w:ind w:firstLine="720"/>
        <w:divId w:val="1206720862"/>
        <w:rPr>
          <w:rFonts w:ascii="Times" w:hAnsi="Times"/>
          <w:sz w:val="20"/>
          <w:szCs w:val="20"/>
        </w:rPr>
      </w:pPr>
      <w:r>
        <w:rPr>
          <w:rFonts w:ascii="Times" w:hAnsi="Times"/>
          <w:sz w:val="20"/>
          <w:szCs w:val="20"/>
        </w:rPr>
        <w:t>Our US operating subsidiary’s facility is located in the San Francisco Bay Area</w:t>
      </w:r>
      <w:r>
        <w:rPr>
          <w:rFonts w:ascii="Times" w:hAnsi="Times"/>
          <w:sz w:val="20"/>
          <w:szCs w:val="20"/>
        </w:rPr>
        <w:t xml:space="preserve"> near known earthquake fault zones and therefore will be vulnerable to damage from earthquakes. In October 1989, a major earthquake struck this area and caused significant property damage and a number of fatalities. We are also vulnerable to damage from ot</w:t>
      </w:r>
      <w:r>
        <w:rPr>
          <w:rFonts w:ascii="Times" w:hAnsi="Times"/>
          <w:sz w:val="20"/>
          <w:szCs w:val="20"/>
        </w:rPr>
        <w:t>her types of disasters, including power loss, attacks from extremist organizations, fire, floods, communications failures and similar events. If any disaster were to occur, our ability to operate our business could be seriously impaired. In addition, the u</w:t>
      </w:r>
      <w:r>
        <w:rPr>
          <w:rFonts w:ascii="Times" w:hAnsi="Times"/>
          <w:sz w:val="20"/>
          <w:szCs w:val="20"/>
        </w:rPr>
        <w:t>nique nature of our research activities and of much of our equipment could make it difficult and costly for us to recover from this type of disaster. We may not have adequate insurance to cover our losses resulting from disasters or other similar significa</w:t>
      </w:r>
      <w:r>
        <w:rPr>
          <w:rFonts w:ascii="Times" w:hAnsi="Times"/>
          <w:sz w:val="20"/>
          <w:szCs w:val="20"/>
        </w:rPr>
        <w:t xml:space="preserve">nt business interruptions and we do not plan to purchase additional insurance to cover such losses due to the cost of obtaining such coverage. Any significant losses that are not recoverable under our insurance policies could seriously impair our business </w:t>
      </w:r>
      <w:r>
        <w:rPr>
          <w:rFonts w:ascii="Times" w:hAnsi="Times"/>
          <w:sz w:val="20"/>
          <w:szCs w:val="20"/>
        </w:rPr>
        <w:t>and financial condition, which could cause the price of our securities to fall.</w:t>
      </w:r>
      <w:r>
        <w:rPr>
          <w:rFonts w:ascii="Times" w:hAnsi="Times"/>
          <w:sz w:val="20"/>
          <w:szCs w:val="20"/>
        </w:rPr>
        <w:t xml:space="preserve"> </w:t>
      </w:r>
    </w:p>
    <w:p w14:paraId="2B7EFAED" w14:textId="77777777" w:rsidR="00000000" w:rsidRDefault="00097612">
      <w:pPr>
        <w:pStyle w:val="a3"/>
        <w:spacing w:before="0" w:beforeAutospacing="0" w:after="0" w:afterAutospacing="0"/>
        <w:divId w:val="1206720862"/>
        <w:rPr>
          <w:sz w:val="20"/>
          <w:szCs w:val="20"/>
        </w:rPr>
      </w:pPr>
      <w:r>
        <w:rPr>
          <w:sz w:val="20"/>
          <w:szCs w:val="20"/>
        </w:rPr>
        <w:t>​</w:t>
      </w:r>
    </w:p>
    <w:p w14:paraId="416D2932" w14:textId="77777777" w:rsidR="00000000" w:rsidRDefault="00097612">
      <w:pPr>
        <w:pStyle w:val="a3"/>
        <w:spacing w:before="0" w:beforeAutospacing="0" w:after="120" w:afterAutospacing="0"/>
        <w:divId w:val="1206720862"/>
        <w:rPr>
          <w:sz w:val="20"/>
          <w:szCs w:val="20"/>
        </w:rPr>
      </w:pPr>
      <w:r>
        <w:rPr>
          <w:b/>
          <w:bCs/>
          <w:i/>
          <w:iCs/>
          <w:sz w:val="20"/>
          <w:szCs w:val="20"/>
        </w:rPr>
        <w:t xml:space="preserve">If YUPELRI is not broadly accepted by physicians, patients, third-party payors, or the medical community in general, we may never receive significant revenues from sales of this product. </w:t>
      </w:r>
    </w:p>
    <w:p w14:paraId="13D22780" w14:textId="77777777" w:rsidR="00000000" w:rsidRDefault="00097612">
      <w:pPr>
        <w:pStyle w:val="a3"/>
        <w:spacing w:before="0" w:beforeAutospacing="0" w:after="0" w:afterAutospacing="0"/>
        <w:ind w:firstLine="720"/>
        <w:divId w:val="1206720862"/>
        <w:rPr>
          <w:rFonts w:ascii="Times" w:hAnsi="Times"/>
          <w:sz w:val="20"/>
          <w:szCs w:val="20"/>
        </w:rPr>
      </w:pPr>
      <w:r>
        <w:rPr>
          <w:rFonts w:ascii="Times" w:hAnsi="Times"/>
          <w:sz w:val="20"/>
          <w:szCs w:val="20"/>
        </w:rPr>
        <w:t>The commercial success of YUPELRI depends upon its acceptance by phy</w:t>
      </w:r>
      <w:r>
        <w:rPr>
          <w:rFonts w:ascii="Times" w:hAnsi="Times"/>
          <w:sz w:val="20"/>
          <w:szCs w:val="20"/>
        </w:rPr>
        <w:t xml:space="preserve">sicians, patients, third-party payors and the medical community in general. YUPELRI may not be sufficiently accepted by these parties. YUPELRI competes with predominantly with short-acting nebulized bronchodilators used three to four times per day and the </w:t>
      </w:r>
      <w:r>
        <w:rPr>
          <w:rFonts w:ascii="Times" w:hAnsi="Times"/>
          <w:sz w:val="20"/>
          <w:szCs w:val="20"/>
        </w:rPr>
        <w:t>nebulized LAMA Lonhala</w:t>
      </w:r>
      <w:r>
        <w:rPr>
          <w:rFonts w:ascii="Times" w:hAnsi="Times"/>
          <w:sz w:val="15"/>
          <w:szCs w:val="15"/>
          <w:vertAlign w:val="superscript"/>
        </w:rPr>
        <w:t>TM</w:t>
      </w:r>
      <w:r>
        <w:rPr>
          <w:rFonts w:ascii="Times" w:hAnsi="Times"/>
          <w:sz w:val="20"/>
          <w:szCs w:val="20"/>
        </w:rPr>
        <w:t xml:space="preserve"> </w:t>
      </w:r>
      <w:r>
        <w:rPr>
          <w:rFonts w:ascii="Times" w:hAnsi="Times"/>
          <w:sz w:val="20"/>
          <w:szCs w:val="20"/>
        </w:rPr>
        <w:t>Magnair</w:t>
      </w:r>
      <w:r>
        <w:rPr>
          <w:rFonts w:ascii="Times" w:hAnsi="Times"/>
          <w:sz w:val="15"/>
          <w:szCs w:val="15"/>
          <w:vertAlign w:val="superscript"/>
        </w:rPr>
        <w:t>TM</w:t>
      </w:r>
      <w:r>
        <w:rPr>
          <w:rFonts w:ascii="Times" w:hAnsi="Times"/>
          <w:sz w:val="20"/>
          <w:szCs w:val="20"/>
        </w:rPr>
        <w:t xml:space="preserve"> </w:t>
      </w:r>
      <w:r>
        <w:rPr>
          <w:rFonts w:ascii="Times" w:hAnsi="Times"/>
          <w:sz w:val="20"/>
          <w:szCs w:val="20"/>
        </w:rPr>
        <w:t>(SUN-101/eFlow®) used twice per day. If YUPELRI is not widely accepted, our business and financial results could be materially harmed.</w:t>
      </w:r>
    </w:p>
    <w:p w14:paraId="00422628" w14:textId="77777777" w:rsidR="00000000" w:rsidRDefault="00097612">
      <w:pPr>
        <w:pStyle w:val="a3"/>
        <w:spacing w:before="0" w:beforeAutospacing="0" w:after="0" w:afterAutospacing="0"/>
        <w:ind w:firstLine="720"/>
        <w:divId w:val="1206720862"/>
        <w:rPr>
          <w:rFonts w:ascii="Times" w:hAnsi="Times"/>
          <w:sz w:val="20"/>
          <w:szCs w:val="20"/>
        </w:rPr>
      </w:pPr>
      <w:r>
        <w:rPr>
          <w:rFonts w:ascii="Times" w:hAnsi="Times"/>
          <w:sz w:val="20"/>
          <w:szCs w:val="20"/>
        </w:rPr>
        <w:t>​</w:t>
      </w:r>
    </w:p>
    <w:p w14:paraId="04BE790B" w14:textId="77777777" w:rsidR="00000000" w:rsidRDefault="00097612">
      <w:pPr>
        <w:pStyle w:val="a3"/>
        <w:spacing w:before="0" w:beforeAutospacing="0" w:after="120" w:afterAutospacing="0"/>
        <w:divId w:val="1206720862"/>
        <w:rPr>
          <w:rFonts w:ascii="Times" w:hAnsi="Times"/>
          <w:b/>
          <w:bCs/>
          <w:i/>
          <w:iCs/>
          <w:sz w:val="20"/>
          <w:szCs w:val="20"/>
        </w:rPr>
      </w:pPr>
      <w:r>
        <w:rPr>
          <w:rFonts w:ascii="Times" w:hAnsi="Times"/>
          <w:b/>
          <w:bCs/>
          <w:i/>
          <w:iCs/>
          <w:sz w:val="20"/>
          <w:szCs w:val="20"/>
        </w:rPr>
        <w:t>In collaboration with Mylan, we are responsible for marketing and sales of YUPELRI i</w:t>
      </w:r>
      <w:r>
        <w:rPr>
          <w:rFonts w:ascii="Times" w:hAnsi="Times"/>
          <w:b/>
          <w:bCs/>
          <w:i/>
          <w:iCs/>
          <w:sz w:val="20"/>
          <w:szCs w:val="20"/>
        </w:rPr>
        <w:t>n the US, which subjects us to certain risks.</w:t>
      </w:r>
      <w:r>
        <w:rPr>
          <w:rFonts w:ascii="Times" w:hAnsi="Times"/>
          <w:b/>
          <w:bCs/>
          <w:i/>
          <w:iCs/>
          <w:sz w:val="20"/>
          <w:szCs w:val="20"/>
        </w:rPr>
        <w:t xml:space="preserve"> </w:t>
      </w:r>
    </w:p>
    <w:p w14:paraId="1A364A6E" w14:textId="77777777" w:rsidR="00000000" w:rsidRDefault="00097612">
      <w:pPr>
        <w:pStyle w:val="a3"/>
        <w:spacing w:before="0" w:beforeAutospacing="0" w:after="0" w:afterAutospacing="0"/>
        <w:ind w:firstLine="720"/>
        <w:divId w:val="1206720862"/>
        <w:rPr>
          <w:rFonts w:ascii="Times" w:hAnsi="Times"/>
          <w:sz w:val="20"/>
          <w:szCs w:val="20"/>
        </w:rPr>
      </w:pPr>
      <w:r>
        <w:rPr>
          <w:rFonts w:ascii="Times" w:hAnsi="Times"/>
          <w:sz w:val="20"/>
          <w:szCs w:val="20"/>
        </w:rPr>
        <w:t xml:space="preserve">We currently maintain a sales force in the US and plan to continue to augment our sales and marketing personnel to support our co-promotion obligations for YUPELRI under our agreement with Mylan. The risks of </w:t>
      </w:r>
      <w:r>
        <w:rPr>
          <w:rFonts w:ascii="Times" w:hAnsi="Times"/>
          <w:sz w:val="20"/>
          <w:szCs w:val="20"/>
        </w:rPr>
        <w:t>fulfilling our US co-promotion obligations to Mylan include:</w:t>
      </w:r>
    </w:p>
    <w:p w14:paraId="2FD21EFC" w14:textId="77777777" w:rsidR="00000000" w:rsidRDefault="00097612">
      <w:pPr>
        <w:pStyle w:val="a3"/>
        <w:spacing w:before="0" w:beforeAutospacing="0" w:after="0" w:afterAutospacing="0"/>
        <w:ind w:firstLine="720"/>
        <w:divId w:val="1206720862"/>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C1DF387" w14:textId="77777777">
        <w:trPr>
          <w:divId w:val="1206720862"/>
        </w:trPr>
        <w:tc>
          <w:tcPr>
            <w:tcW w:w="720" w:type="dxa"/>
            <w:vAlign w:val="center"/>
            <w:hideMark/>
          </w:tcPr>
          <w:p w14:paraId="2AFB85F9"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0E4F6A2E"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7A911D6"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costs and expenses associated with creating and maintaining an independent sales and marketing organization with appropriate technical expertise and supporting infrastructure, including thir</w:t>
            </w:r>
            <w:r>
              <w:rPr>
                <w:rFonts w:ascii="Times" w:eastAsia="Times New Roman" w:hAnsi="Times"/>
                <w:color w:val="000000"/>
                <w:sz w:val="20"/>
                <w:szCs w:val="20"/>
              </w:rPr>
              <w:t>d-party vendor logistics and consultant support, which costs and expenses could, depending on the scope and method of the marketing effort, exceed any product revenue for several years;</w:t>
            </w:r>
            <w:r>
              <w:rPr>
                <w:rFonts w:ascii="Times" w:eastAsia="Times New Roman" w:hAnsi="Times"/>
                <w:color w:val="000000"/>
                <w:sz w:val="20"/>
                <w:szCs w:val="20"/>
              </w:rPr>
              <w:t xml:space="preserve"> </w:t>
            </w:r>
          </w:p>
        </w:tc>
      </w:tr>
    </w:tbl>
    <w:p w14:paraId="34146DC1" w14:textId="77777777" w:rsidR="00000000" w:rsidRDefault="00097612">
      <w:pPr>
        <w:divId w:val="12067208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E5DBD9C" w14:textId="77777777">
        <w:trPr>
          <w:divId w:val="1206720862"/>
        </w:trPr>
        <w:tc>
          <w:tcPr>
            <w:tcW w:w="720" w:type="dxa"/>
            <w:vAlign w:val="center"/>
            <w:hideMark/>
          </w:tcPr>
          <w:p w14:paraId="0EC34FE5" w14:textId="77777777" w:rsidR="00000000" w:rsidRDefault="00097612">
            <w:pPr>
              <w:rPr>
                <w:rFonts w:eastAsia="Times New Roman"/>
              </w:rPr>
            </w:pPr>
          </w:p>
        </w:tc>
        <w:tc>
          <w:tcPr>
            <w:tcW w:w="360" w:type="dxa"/>
            <w:noWrap/>
            <w:tcMar>
              <w:top w:w="0" w:type="dxa"/>
              <w:left w:w="0" w:type="dxa"/>
              <w:bottom w:w="0" w:type="dxa"/>
              <w:right w:w="0" w:type="dxa"/>
            </w:tcMar>
            <w:hideMark/>
          </w:tcPr>
          <w:p w14:paraId="75DCC24E"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1171A6E"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our ability to retain effective sales and marketing personnel and medical science liaisons in the US;</w:t>
            </w:r>
            <w:r>
              <w:rPr>
                <w:rFonts w:ascii="Times" w:eastAsia="Times New Roman" w:hAnsi="Times"/>
                <w:color w:val="000000"/>
                <w:sz w:val="20"/>
                <w:szCs w:val="20"/>
              </w:rPr>
              <w:t xml:space="preserve"> </w:t>
            </w:r>
          </w:p>
        </w:tc>
      </w:tr>
    </w:tbl>
    <w:p w14:paraId="4D3FE6BB" w14:textId="77777777" w:rsidR="00000000" w:rsidRDefault="00097612">
      <w:pPr>
        <w:divId w:val="12067208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CEAEE96" w14:textId="77777777">
        <w:trPr>
          <w:divId w:val="1206720862"/>
        </w:trPr>
        <w:tc>
          <w:tcPr>
            <w:tcW w:w="720" w:type="dxa"/>
            <w:vAlign w:val="center"/>
            <w:hideMark/>
          </w:tcPr>
          <w:p w14:paraId="278384B4" w14:textId="77777777" w:rsidR="00000000" w:rsidRDefault="00097612">
            <w:pPr>
              <w:rPr>
                <w:rFonts w:eastAsia="Times New Roman"/>
              </w:rPr>
            </w:pPr>
          </w:p>
        </w:tc>
        <w:tc>
          <w:tcPr>
            <w:tcW w:w="360" w:type="dxa"/>
            <w:noWrap/>
            <w:tcMar>
              <w:top w:w="0" w:type="dxa"/>
              <w:left w:w="0" w:type="dxa"/>
              <w:bottom w:w="0" w:type="dxa"/>
              <w:right w:w="0" w:type="dxa"/>
            </w:tcMar>
            <w:hideMark/>
          </w:tcPr>
          <w:p w14:paraId="7B86AF06"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8F57DE0"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ability of our sales and marketing personnel to obtain access to and educate adequate numbers of physicians about prescribing YUPELRI, in approp</w:t>
            </w:r>
            <w:r>
              <w:rPr>
                <w:rFonts w:ascii="Times" w:eastAsia="Times New Roman" w:hAnsi="Times"/>
                <w:color w:val="000000"/>
                <w:sz w:val="20"/>
                <w:szCs w:val="20"/>
              </w:rPr>
              <w:t>riate clinical situations; and</w:t>
            </w:r>
          </w:p>
        </w:tc>
      </w:tr>
    </w:tbl>
    <w:p w14:paraId="5BCFE634" w14:textId="77777777" w:rsidR="00000000" w:rsidRDefault="00097612">
      <w:pPr>
        <w:divId w:val="120672086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185F690" w14:textId="77777777">
        <w:trPr>
          <w:divId w:val="1206720862"/>
        </w:trPr>
        <w:tc>
          <w:tcPr>
            <w:tcW w:w="720" w:type="dxa"/>
            <w:vAlign w:val="center"/>
            <w:hideMark/>
          </w:tcPr>
          <w:p w14:paraId="51BF4084" w14:textId="77777777" w:rsidR="00000000" w:rsidRDefault="00097612">
            <w:pPr>
              <w:rPr>
                <w:rFonts w:eastAsia="Times New Roman"/>
              </w:rPr>
            </w:pPr>
          </w:p>
        </w:tc>
        <w:tc>
          <w:tcPr>
            <w:tcW w:w="360" w:type="dxa"/>
            <w:noWrap/>
            <w:tcMar>
              <w:top w:w="0" w:type="dxa"/>
              <w:left w:w="0" w:type="dxa"/>
              <w:bottom w:w="0" w:type="dxa"/>
              <w:right w:w="0" w:type="dxa"/>
            </w:tcMar>
            <w:hideMark/>
          </w:tcPr>
          <w:p w14:paraId="311AE9D0"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0888C94" w14:textId="77777777" w:rsidR="00000000" w:rsidRDefault="00097612">
            <w:pPr>
              <w:rPr>
                <w:rFonts w:ascii="Times" w:eastAsia="Times New Roman" w:hAnsi="Times"/>
                <w:sz w:val="20"/>
                <w:szCs w:val="20"/>
              </w:rPr>
            </w:pPr>
            <w:r>
              <w:rPr>
                <w:rFonts w:ascii="Times" w:eastAsia="Times New Roman" w:hAnsi="Times"/>
                <w:color w:val="000000"/>
                <w:sz w:val="20"/>
                <w:szCs w:val="20"/>
              </w:rPr>
              <w:t>the lack of complementary products to be offered by sales personnel, which may put us at a competitive disadvantage relative to companies with more extensive product lines.</w:t>
            </w:r>
          </w:p>
        </w:tc>
      </w:tr>
    </w:tbl>
    <w:p w14:paraId="4B50C243" w14:textId="77777777" w:rsidR="00000000" w:rsidRDefault="00097612">
      <w:pPr>
        <w:pStyle w:val="a3"/>
        <w:spacing w:before="0" w:beforeAutospacing="0" w:after="240" w:afterAutospacing="0"/>
        <w:ind w:firstLine="720"/>
        <w:divId w:val="1206720862"/>
        <w:rPr>
          <w:sz w:val="20"/>
          <w:szCs w:val="20"/>
        </w:rPr>
      </w:pPr>
      <w:r>
        <w:rPr>
          <w:sz w:val="20"/>
          <w:szCs w:val="20"/>
        </w:rPr>
        <w:t>If we are not successful in maintaining an internal sales and marketing organizati</w:t>
      </w:r>
      <w:r>
        <w:rPr>
          <w:sz w:val="20"/>
          <w:szCs w:val="20"/>
        </w:rPr>
        <w:t>on with appropriate experience, technical expertise, supporting infrastructure and the ability to obtain access to and educate adequate numbers of physicians about prescribing YUPELRI in appropriate clinical situations, we will have difficulty commercializ</w:t>
      </w:r>
      <w:r>
        <w:rPr>
          <w:sz w:val="20"/>
          <w:szCs w:val="20"/>
        </w:rPr>
        <w:t xml:space="preserve">ing YUPELRI, which would adversely affect our business and financial condition and the price of our securities could fall. </w:t>
      </w:r>
    </w:p>
    <w:p w14:paraId="743956E8" w14:textId="77777777" w:rsidR="00000000" w:rsidRDefault="00097612">
      <w:pPr>
        <w:pStyle w:val="a3"/>
        <w:spacing w:before="360" w:beforeAutospacing="0" w:after="0" w:afterAutospacing="0"/>
        <w:jc w:val="center"/>
        <w:divId w:val="1211695160"/>
        <w:rPr>
          <w:sz w:val="20"/>
          <w:szCs w:val="20"/>
        </w:rPr>
      </w:pPr>
      <w:r>
        <w:rPr>
          <w:sz w:val="20"/>
          <w:szCs w:val="20"/>
        </w:rPr>
        <w:t>50</w:t>
      </w:r>
    </w:p>
    <w:p w14:paraId="56C808ED" w14:textId="77777777" w:rsidR="00000000" w:rsidRDefault="00097612">
      <w:pPr>
        <w:pStyle w:val="a3"/>
        <w:spacing w:before="0" w:beforeAutospacing="0" w:after="600" w:afterAutospacing="0"/>
        <w:divId w:val="1805077322"/>
        <w:rPr>
          <w:sz w:val="20"/>
          <w:szCs w:val="20"/>
        </w:rPr>
      </w:pPr>
      <w:hyperlink w:anchor="TOC" w:history="1">
        <w:r>
          <w:rPr>
            <w:rStyle w:val="a4"/>
            <w:sz w:val="20"/>
            <w:szCs w:val="20"/>
          </w:rPr>
          <w:t>Table of Contents</w:t>
        </w:r>
      </w:hyperlink>
    </w:p>
    <w:p w14:paraId="530B55AC" w14:textId="77777777" w:rsidR="00000000" w:rsidRDefault="00097612">
      <w:pPr>
        <w:pStyle w:val="a3"/>
        <w:spacing w:before="0" w:beforeAutospacing="0" w:after="120" w:afterAutospacing="0"/>
        <w:divId w:val="1736321629"/>
        <w:rPr>
          <w:rFonts w:ascii="Times" w:hAnsi="Times"/>
          <w:b/>
          <w:bCs/>
          <w:i/>
          <w:iCs/>
          <w:sz w:val="20"/>
          <w:szCs w:val="20"/>
        </w:rPr>
      </w:pPr>
      <w:r>
        <w:rPr>
          <w:rFonts w:ascii="Times" w:hAnsi="Times"/>
          <w:b/>
          <w:bCs/>
          <w:i/>
          <w:iCs/>
          <w:sz w:val="20"/>
          <w:szCs w:val="20"/>
        </w:rPr>
        <w:t xml:space="preserve">We are subject to extensive and ongoing regulation, oversight and other requirements </w:t>
      </w:r>
      <w:r>
        <w:rPr>
          <w:rFonts w:ascii="Times" w:hAnsi="Times"/>
          <w:b/>
          <w:bCs/>
          <w:i/>
          <w:iCs/>
          <w:sz w:val="20"/>
          <w:szCs w:val="20"/>
        </w:rPr>
        <w:t>by the FDA and failure to comply with these regulations and requirements may subject us to penalties that may adversely affect our financial condition or our ability to commercialize any approved products.</w:t>
      </w:r>
      <w:r>
        <w:rPr>
          <w:rFonts w:ascii="Times" w:hAnsi="Times"/>
          <w:b/>
          <w:bCs/>
          <w:i/>
          <w:iCs/>
          <w:sz w:val="20"/>
          <w:szCs w:val="20"/>
        </w:rPr>
        <w:t xml:space="preserve"> </w:t>
      </w:r>
    </w:p>
    <w:p w14:paraId="74E27EB3"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Prescription drug advertising and promotion are c</w:t>
      </w:r>
      <w:r>
        <w:rPr>
          <w:rFonts w:ascii="Times" w:hAnsi="Times"/>
          <w:sz w:val="20"/>
          <w:szCs w:val="20"/>
        </w:rPr>
        <w:t>losely scrutinized by the FDA, including substantiation of promotional claims, disclosure of risks and safety information, and the use of themes and imagery in advertising and promotional materials. As with all companies selling and marketing products regu</w:t>
      </w:r>
      <w:r>
        <w:rPr>
          <w:rFonts w:ascii="Times" w:hAnsi="Times"/>
          <w:sz w:val="20"/>
          <w:szCs w:val="20"/>
        </w:rPr>
        <w:t>lated by the FDA in the US, we are prohibited from promoting any uses of an approved product, such as YUPELRI, that are outside the scope of those uses that have been expressly approved by the FDA as safe and effective on the product’s label.</w:t>
      </w:r>
      <w:r>
        <w:rPr>
          <w:rFonts w:ascii="Times" w:hAnsi="Times"/>
          <w:sz w:val="20"/>
          <w:szCs w:val="20"/>
        </w:rPr>
        <w:t xml:space="preserve"> </w:t>
      </w:r>
    </w:p>
    <w:p w14:paraId="3023835A" w14:textId="77777777" w:rsidR="00000000" w:rsidRDefault="00097612">
      <w:pPr>
        <w:pStyle w:val="a3"/>
        <w:spacing w:before="0" w:beforeAutospacing="0" w:after="0" w:afterAutospacing="0"/>
        <w:divId w:val="1736321629"/>
        <w:rPr>
          <w:rFonts w:ascii="Times" w:hAnsi="Times"/>
          <w:sz w:val="20"/>
          <w:szCs w:val="20"/>
        </w:rPr>
      </w:pPr>
      <w:r>
        <w:rPr>
          <w:rFonts w:ascii="Times" w:hAnsi="Times"/>
          <w:sz w:val="20"/>
          <w:szCs w:val="20"/>
        </w:rPr>
        <w:t>​</w:t>
      </w:r>
    </w:p>
    <w:p w14:paraId="5D72E3F1"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The manufa</w:t>
      </w:r>
      <w:r>
        <w:rPr>
          <w:rFonts w:ascii="Times" w:hAnsi="Times"/>
          <w:sz w:val="20"/>
          <w:szCs w:val="20"/>
        </w:rPr>
        <w:t>cturing, labeling, packaging, adverse event reporting, advertising, promotion and recordkeeping for an approved product remain subject to extensive and ongoing regulatory requirements. If we become aware of previously unknown problems with an approved prod</w:t>
      </w:r>
      <w:r>
        <w:rPr>
          <w:rFonts w:ascii="Times" w:hAnsi="Times"/>
          <w:sz w:val="20"/>
          <w:szCs w:val="20"/>
        </w:rPr>
        <w:t>uct in the US or overseas or at a contract manufacturer’s facilities, a regulatory authority may impose restrictions on the product, the contract manufacturers or on us, including requiring us to reformulate the product, conduct additional clinical studies</w:t>
      </w:r>
      <w:r>
        <w:rPr>
          <w:rFonts w:ascii="Times" w:hAnsi="Times"/>
          <w:sz w:val="20"/>
          <w:szCs w:val="20"/>
        </w:rPr>
        <w:t>, change the labeling of the product, withdraw the product from the market or require the contract manufacturer to implement changes to its facilities.</w:t>
      </w:r>
      <w:r>
        <w:rPr>
          <w:rFonts w:ascii="Times" w:hAnsi="Times"/>
          <w:sz w:val="20"/>
          <w:szCs w:val="20"/>
        </w:rPr>
        <w:t xml:space="preserve"> </w:t>
      </w:r>
    </w:p>
    <w:p w14:paraId="1B9F82FF"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w:t>
      </w:r>
    </w:p>
    <w:p w14:paraId="5171406F"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We are also subject to regulation by regional, national, state and local agencies, including the Depa</w:t>
      </w:r>
      <w:r>
        <w:rPr>
          <w:rFonts w:ascii="Times" w:hAnsi="Times"/>
          <w:sz w:val="20"/>
          <w:szCs w:val="20"/>
        </w:rPr>
        <w:t>rtment of Justice, the Federal Trade Commission, the Office of Inspector General of the US Department of Health and Human Services (“OIG”) and other regulatory bodies with respect to any approved product, such as YUPELRI, as well as governmental authoritie</w:t>
      </w:r>
      <w:r>
        <w:rPr>
          <w:rFonts w:ascii="Times" w:hAnsi="Times"/>
          <w:sz w:val="20"/>
          <w:szCs w:val="20"/>
        </w:rPr>
        <w:t>s in those foreign countries in which any product is approved for commercialization. The Federal Food, Drug, and Cosmetic Act, the Public Health Service Act and other federal and state statutes and regulations govern to varying degrees the research, develo</w:t>
      </w:r>
      <w:r>
        <w:rPr>
          <w:rFonts w:ascii="Times" w:hAnsi="Times"/>
          <w:sz w:val="20"/>
          <w:szCs w:val="20"/>
        </w:rPr>
        <w:t>pment, manufacturing and commercial activities relating to prescription pharmaceutical products, including non-clinical and clinical testing, approval, production, labeling, sale, distribution, import, export, post-market surveillance, advertising, dissemi</w:t>
      </w:r>
      <w:r>
        <w:rPr>
          <w:rFonts w:ascii="Times" w:hAnsi="Times"/>
          <w:sz w:val="20"/>
          <w:szCs w:val="20"/>
        </w:rPr>
        <w:t>nation of information and promotion. If we or any third parties that provide these services for us are unable to comply, we may be subject to regulatory or civil actions or penalties that could significantly and adversely affect our business.</w:t>
      </w:r>
      <w:r>
        <w:rPr>
          <w:rFonts w:ascii="Times" w:hAnsi="Times"/>
          <w:sz w:val="20"/>
          <w:szCs w:val="20"/>
        </w:rPr>
        <w:t xml:space="preserve"> </w:t>
      </w:r>
    </w:p>
    <w:p w14:paraId="00C1CD53"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w:t>
      </w:r>
    </w:p>
    <w:p w14:paraId="25EEAB51"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Regulatory</w:t>
      </w:r>
      <w:r>
        <w:rPr>
          <w:rFonts w:ascii="Times" w:hAnsi="Times"/>
          <w:sz w:val="20"/>
          <w:szCs w:val="20"/>
        </w:rPr>
        <w:t xml:space="preserve"> approval for our product candidates, if any, may include similar or other limitations on the indicated uses for which we can market our medicines or the patient population that may utilize our medicines, which may limit the market for our medicines or put</w:t>
      </w:r>
      <w:r>
        <w:rPr>
          <w:rFonts w:ascii="Times" w:hAnsi="Times"/>
          <w:sz w:val="20"/>
          <w:szCs w:val="20"/>
        </w:rPr>
        <w:t xml:space="preserve"> us at a competitive disadvantage relative to alternative therapies.</w:t>
      </w:r>
      <w:r>
        <w:rPr>
          <w:rFonts w:ascii="Times" w:hAnsi="Times"/>
          <w:sz w:val="20"/>
          <w:szCs w:val="20"/>
        </w:rPr>
        <w:t xml:space="preserve"> </w:t>
      </w:r>
    </w:p>
    <w:p w14:paraId="502F04D0"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w:t>
      </w:r>
    </w:p>
    <w:p w14:paraId="36D8825B"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 xml:space="preserve">Failure to satisfy required post-approval requirements and/or commitments may have implications for a product’s approval and may carry civil monetary penalties. Any failure to maintain regulatory approval will materially limit the ability to commercialize </w:t>
      </w:r>
      <w:r>
        <w:rPr>
          <w:rFonts w:ascii="Times" w:hAnsi="Times"/>
          <w:sz w:val="20"/>
          <w:szCs w:val="20"/>
        </w:rPr>
        <w:t>a product or any future product candidates and if we fail to comply with FDA regulations and requirements, the FDA could potentially take a number of enforcement actions against us, including the issuance of untitled letters, warning letters, preventing th</w:t>
      </w:r>
      <w:r>
        <w:rPr>
          <w:rFonts w:ascii="Times" w:hAnsi="Times"/>
          <w:sz w:val="20"/>
          <w:szCs w:val="20"/>
        </w:rPr>
        <w:t>e introduction or delivery of the product into interstate commerce in the US, misbranding charges, product seizures, injunctions, and civil monetary penalties, which would materially and adversely affect our business and financial condition and may cause t</w:t>
      </w:r>
      <w:r>
        <w:rPr>
          <w:rFonts w:ascii="Times" w:hAnsi="Times"/>
          <w:sz w:val="20"/>
          <w:szCs w:val="20"/>
        </w:rPr>
        <w:t>he price of our securities to fall.</w:t>
      </w:r>
      <w:r>
        <w:rPr>
          <w:rFonts w:ascii="Times" w:hAnsi="Times"/>
          <w:sz w:val="20"/>
          <w:szCs w:val="20"/>
        </w:rPr>
        <w:t xml:space="preserve"> </w:t>
      </w:r>
    </w:p>
    <w:p w14:paraId="2B0DB6AD"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w:t>
      </w:r>
    </w:p>
    <w:p w14:paraId="4825C79D"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The risks identified in this risk factor relating to regulatory actions and oversight by agencies in the US and throughout the world also apply to the commercialization of any partnered products by our collaboration p</w:t>
      </w:r>
      <w:r>
        <w:rPr>
          <w:rFonts w:ascii="Times" w:hAnsi="Times"/>
          <w:sz w:val="20"/>
          <w:szCs w:val="20"/>
        </w:rPr>
        <w:t>artners and those commercializing products with respect to which we have an economic interest or right to receive royalties, including GSK and Cumberland, and such regulatory actions and oversight may limit those parties’</w:t>
      </w:r>
      <w:r>
        <w:rPr>
          <w:rFonts w:ascii="Times" w:hAnsi="Times"/>
          <w:sz w:val="20"/>
          <w:szCs w:val="20"/>
        </w:rPr>
        <w:t xml:space="preserve"> </w:t>
      </w:r>
      <w:r>
        <w:rPr>
          <w:rFonts w:ascii="Times" w:hAnsi="Times"/>
          <w:sz w:val="20"/>
          <w:szCs w:val="20"/>
        </w:rPr>
        <w:t>ability to commercialize such prod</w:t>
      </w:r>
      <w:r>
        <w:rPr>
          <w:rFonts w:ascii="Times" w:hAnsi="Times"/>
          <w:sz w:val="20"/>
          <w:szCs w:val="20"/>
        </w:rPr>
        <w:t>ucts, which could materially and adversely affect our business and financial condition, and which may cause the price of our securities to fall.</w:t>
      </w:r>
      <w:r>
        <w:rPr>
          <w:rFonts w:ascii="Times" w:hAnsi="Times"/>
          <w:sz w:val="20"/>
          <w:szCs w:val="20"/>
        </w:rPr>
        <w:t xml:space="preserve"> </w:t>
      </w:r>
    </w:p>
    <w:p w14:paraId="6C67B7C9"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w:t>
      </w:r>
    </w:p>
    <w:p w14:paraId="62028D7B" w14:textId="77777777" w:rsidR="00000000" w:rsidRDefault="00097612">
      <w:pPr>
        <w:pStyle w:val="a3"/>
        <w:spacing w:before="0" w:beforeAutospacing="0" w:after="120" w:afterAutospacing="0"/>
        <w:divId w:val="1736321629"/>
        <w:rPr>
          <w:rFonts w:ascii="Times" w:hAnsi="Times"/>
          <w:b/>
          <w:bCs/>
          <w:i/>
          <w:iCs/>
          <w:sz w:val="20"/>
          <w:szCs w:val="20"/>
        </w:rPr>
      </w:pPr>
      <w:r>
        <w:rPr>
          <w:rFonts w:ascii="Times" w:hAnsi="Times"/>
          <w:b/>
          <w:bCs/>
          <w:i/>
          <w:iCs/>
          <w:sz w:val="20"/>
          <w:szCs w:val="20"/>
        </w:rPr>
        <w:t>We and/or our collaboration partners and those commercializing products with respect to which we have an eco</w:t>
      </w:r>
      <w:r>
        <w:rPr>
          <w:rFonts w:ascii="Times" w:hAnsi="Times"/>
          <w:b/>
          <w:bCs/>
          <w:i/>
          <w:iCs/>
          <w:sz w:val="20"/>
          <w:szCs w:val="20"/>
        </w:rPr>
        <w:t>nomic interest or right to receive royalties may face competition from companies seeking to market generic versions of any approved products in which we have an interest, such as TRELEGY ELLIPTA or YUPELRI.</w:t>
      </w:r>
      <w:r>
        <w:rPr>
          <w:rFonts w:ascii="Times" w:hAnsi="Times"/>
          <w:b/>
          <w:bCs/>
          <w:i/>
          <w:iCs/>
          <w:sz w:val="20"/>
          <w:szCs w:val="20"/>
        </w:rPr>
        <w:t xml:space="preserve"> </w:t>
      </w:r>
    </w:p>
    <w:p w14:paraId="16FAA471" w14:textId="77777777" w:rsidR="00000000" w:rsidRDefault="00097612">
      <w:pPr>
        <w:pStyle w:val="a3"/>
        <w:spacing w:before="0" w:beforeAutospacing="0" w:after="0" w:afterAutospacing="0"/>
        <w:ind w:firstLine="720"/>
        <w:divId w:val="1736321629"/>
        <w:rPr>
          <w:rFonts w:ascii="Times" w:hAnsi="Times"/>
          <w:sz w:val="20"/>
          <w:szCs w:val="20"/>
        </w:rPr>
      </w:pPr>
      <w:r>
        <w:rPr>
          <w:rFonts w:ascii="Times" w:hAnsi="Times"/>
          <w:sz w:val="20"/>
          <w:szCs w:val="20"/>
        </w:rPr>
        <w:t>Under the Drug Price Competition and Patent Term</w:t>
      </w:r>
      <w:r>
        <w:rPr>
          <w:rFonts w:ascii="Times" w:hAnsi="Times"/>
          <w:sz w:val="20"/>
          <w:szCs w:val="20"/>
        </w:rPr>
        <w:t xml:space="preserve"> Restoration Act of 1984, a company may submit an abbreviated new drug application (“ANDA”) under section 505(j) of the Federal Food, Drug, and Cosmetic Act to market a generic version of an approved drug. Because a generic applicant does not conduct its o</w:t>
      </w:r>
      <w:r>
        <w:rPr>
          <w:rFonts w:ascii="Times" w:hAnsi="Times"/>
          <w:sz w:val="20"/>
          <w:szCs w:val="20"/>
        </w:rPr>
        <w:t>wn clinical studies, but instead relies on the FDA’s finding of safety and effectiveness for the approved drug, it is able to introduce a competing product into the market at</w:t>
      </w:r>
      <w:r>
        <w:rPr>
          <w:rFonts w:ascii="Times" w:hAnsi="Times"/>
          <w:sz w:val="20"/>
          <w:szCs w:val="20"/>
        </w:rPr>
        <w:t xml:space="preserve"> </w:t>
      </w:r>
    </w:p>
    <w:p w14:paraId="28834716" w14:textId="77777777" w:rsidR="00000000" w:rsidRDefault="00097612">
      <w:pPr>
        <w:pStyle w:val="a3"/>
        <w:spacing w:before="360" w:beforeAutospacing="0" w:after="0" w:afterAutospacing="0"/>
        <w:jc w:val="center"/>
        <w:divId w:val="870725271"/>
        <w:rPr>
          <w:sz w:val="20"/>
          <w:szCs w:val="20"/>
        </w:rPr>
      </w:pPr>
      <w:r>
        <w:rPr>
          <w:sz w:val="20"/>
          <w:szCs w:val="20"/>
        </w:rPr>
        <w:t>51</w:t>
      </w:r>
    </w:p>
    <w:p w14:paraId="4F4AEE22" w14:textId="77777777" w:rsidR="00000000" w:rsidRDefault="00097612">
      <w:pPr>
        <w:pStyle w:val="a3"/>
        <w:spacing w:before="0" w:beforeAutospacing="0" w:after="600" w:afterAutospacing="0"/>
        <w:divId w:val="2073846599"/>
        <w:rPr>
          <w:sz w:val="20"/>
          <w:szCs w:val="20"/>
        </w:rPr>
      </w:pPr>
      <w:hyperlink w:anchor="TOC" w:history="1">
        <w:r>
          <w:rPr>
            <w:rStyle w:val="a4"/>
            <w:sz w:val="20"/>
            <w:szCs w:val="20"/>
          </w:rPr>
          <w:t>Table of Contents</w:t>
        </w:r>
      </w:hyperlink>
    </w:p>
    <w:p w14:paraId="089E71B6" w14:textId="77777777" w:rsidR="00000000" w:rsidRDefault="00097612">
      <w:pPr>
        <w:pStyle w:val="a3"/>
        <w:spacing w:before="0" w:beforeAutospacing="0" w:after="0" w:afterAutospacing="0"/>
        <w:divId w:val="956183477"/>
        <w:rPr>
          <w:rFonts w:ascii="Times" w:hAnsi="Times"/>
          <w:sz w:val="20"/>
          <w:szCs w:val="20"/>
        </w:rPr>
      </w:pPr>
      <w:r>
        <w:rPr>
          <w:rFonts w:ascii="Times" w:hAnsi="Times"/>
          <w:sz w:val="20"/>
          <w:szCs w:val="20"/>
        </w:rPr>
        <w:t>a cost significantly below that o</w:t>
      </w:r>
      <w:r>
        <w:rPr>
          <w:rFonts w:ascii="Times" w:hAnsi="Times"/>
          <w:sz w:val="20"/>
          <w:szCs w:val="20"/>
        </w:rPr>
        <w:t>f the original drug. Although we have multiple patents protecting YUPELRI until at least 2025 that are listed in the FDA’s Approved Drug Products with Therapeutic Equivalence Evaluations, commonly known as the Orange Book, and those commercializing product</w:t>
      </w:r>
      <w:r>
        <w:rPr>
          <w:rFonts w:ascii="Times" w:hAnsi="Times"/>
          <w:sz w:val="20"/>
          <w:szCs w:val="20"/>
        </w:rPr>
        <w:t>s with respect to which we have an economic interest or right to receive royalties similarly have patents protecting their products, such as TRELEGY ELLIPTA and VIBATIV, generic applicants could potentially submit</w:t>
      </w:r>
      <w:r>
        <w:rPr>
          <w:rFonts w:ascii="Times" w:hAnsi="Times"/>
          <w:sz w:val="20"/>
          <w:szCs w:val="20"/>
        </w:rPr>
        <w:t xml:space="preserve"> </w:t>
      </w:r>
      <w:r>
        <w:rPr>
          <w:rFonts w:ascii="Times" w:hAnsi="Times"/>
          <w:sz w:val="20"/>
          <w:szCs w:val="20"/>
        </w:rPr>
        <w:t>“paragraph IV certifications”</w:t>
      </w:r>
      <w:r>
        <w:rPr>
          <w:rFonts w:ascii="Times" w:hAnsi="Times"/>
          <w:sz w:val="20"/>
          <w:szCs w:val="20"/>
        </w:rPr>
        <w:t xml:space="preserve"> </w:t>
      </w:r>
      <w:r>
        <w:rPr>
          <w:rFonts w:ascii="Times" w:hAnsi="Times"/>
          <w:sz w:val="20"/>
          <w:szCs w:val="20"/>
        </w:rPr>
        <w:t>to FDA stati</w:t>
      </w:r>
      <w:r>
        <w:rPr>
          <w:rFonts w:ascii="Times" w:hAnsi="Times"/>
          <w:sz w:val="20"/>
          <w:szCs w:val="20"/>
        </w:rPr>
        <w:t>ng that such patents are invalid or will not be infringed by the applicant’s product. We have not received any such paragraph IV notifications nor are we aware of any with respect to products in which we have an economic interest or right to receive royalt</w:t>
      </w:r>
      <w:r>
        <w:rPr>
          <w:rFonts w:ascii="Times" w:hAnsi="Times"/>
          <w:sz w:val="20"/>
          <w:szCs w:val="20"/>
        </w:rPr>
        <w:t>ies, but if any competitors successfully challenge the patents related to these products, we and/or our collaboration partners and those commercializing products with respect to which we have an economic interest or right to receive royalties would face su</w:t>
      </w:r>
      <w:r>
        <w:rPr>
          <w:rFonts w:ascii="Times" w:hAnsi="Times"/>
          <w:sz w:val="20"/>
          <w:szCs w:val="20"/>
        </w:rPr>
        <w:t>bstantial competition. If we are not able to compete effectively against such future competition, our business will not grow, our financial condition and operations will suffer and the price of our securities could fall.</w:t>
      </w:r>
      <w:r>
        <w:rPr>
          <w:rFonts w:ascii="Times" w:hAnsi="Times"/>
          <w:sz w:val="20"/>
          <w:szCs w:val="20"/>
        </w:rPr>
        <w:t xml:space="preserve"> </w:t>
      </w:r>
    </w:p>
    <w:p w14:paraId="417D010C" w14:textId="77777777" w:rsidR="00000000" w:rsidRDefault="00097612">
      <w:pPr>
        <w:pStyle w:val="a3"/>
        <w:spacing w:before="0" w:beforeAutospacing="0" w:after="0" w:afterAutospacing="0"/>
        <w:divId w:val="956183477"/>
        <w:rPr>
          <w:sz w:val="20"/>
          <w:szCs w:val="20"/>
        </w:rPr>
      </w:pPr>
      <w:r>
        <w:rPr>
          <w:sz w:val="20"/>
          <w:szCs w:val="20"/>
        </w:rPr>
        <w:t>​</w:t>
      </w:r>
    </w:p>
    <w:p w14:paraId="739E1075" w14:textId="77777777" w:rsidR="00000000" w:rsidRDefault="00097612">
      <w:pPr>
        <w:pStyle w:val="a3"/>
        <w:spacing w:before="0" w:beforeAutospacing="0" w:after="240" w:afterAutospacing="0"/>
        <w:ind w:firstLine="720"/>
        <w:divId w:val="956183477"/>
        <w:rPr>
          <w:rFonts w:ascii="Times" w:hAnsi="Times"/>
          <w:sz w:val="20"/>
          <w:szCs w:val="20"/>
        </w:rPr>
      </w:pPr>
      <w:r>
        <w:rPr>
          <w:rFonts w:ascii="Times" w:hAnsi="Times"/>
          <w:sz w:val="20"/>
          <w:szCs w:val="20"/>
        </w:rPr>
        <w:t>For additional discussion of the</w:t>
      </w:r>
      <w:r>
        <w:rPr>
          <w:rFonts w:ascii="Times" w:hAnsi="Times"/>
          <w:sz w:val="20"/>
          <w:szCs w:val="20"/>
        </w:rPr>
        <w:t xml:space="preserve"> risk of generic competition to YUPELRI, please see the following risk factor below</w:t>
      </w:r>
      <w:r>
        <w:rPr>
          <w:rFonts w:ascii="Times" w:hAnsi="Times"/>
          <w:sz w:val="20"/>
          <w:szCs w:val="20"/>
        </w:rPr>
        <w:t xml:space="preserve"> </w:t>
      </w:r>
      <w:r>
        <w:rPr>
          <w:rFonts w:ascii="Times" w:hAnsi="Times"/>
          <w:sz w:val="20"/>
          <w:szCs w:val="20"/>
        </w:rPr>
        <w:t>“</w:t>
      </w:r>
      <w:r>
        <w:rPr>
          <w:rFonts w:ascii="Times" w:hAnsi="Times"/>
          <w:i/>
          <w:iCs/>
          <w:sz w:val="20"/>
          <w:szCs w:val="20"/>
        </w:rPr>
        <w:t>If our efforts to protect the proprietary nature of the intellectual property related to our technologies are not adequate, we may not be able to compete effectively in ou</w:t>
      </w:r>
      <w:r>
        <w:rPr>
          <w:rFonts w:ascii="Times" w:hAnsi="Times"/>
          <w:i/>
          <w:iCs/>
          <w:sz w:val="20"/>
          <w:szCs w:val="20"/>
        </w:rPr>
        <w:t>r current or future markets</w:t>
      </w:r>
      <w:r>
        <w:rPr>
          <w:rFonts w:ascii="Times" w:hAnsi="Times"/>
          <w:sz w:val="20"/>
          <w:szCs w:val="20"/>
        </w:rPr>
        <w:t>.”</w:t>
      </w:r>
      <w:r>
        <w:rPr>
          <w:rFonts w:ascii="Times" w:hAnsi="Times"/>
          <w:sz w:val="20"/>
          <w:szCs w:val="20"/>
        </w:rPr>
        <w:t xml:space="preserve"> </w:t>
      </w:r>
    </w:p>
    <w:p w14:paraId="11EA5650" w14:textId="77777777" w:rsidR="00000000" w:rsidRDefault="00097612">
      <w:pPr>
        <w:pStyle w:val="a3"/>
        <w:spacing w:before="0" w:beforeAutospacing="0" w:after="120" w:afterAutospacing="0"/>
        <w:divId w:val="956183477"/>
        <w:rPr>
          <w:rFonts w:ascii="Times" w:hAnsi="Times"/>
          <w:b/>
          <w:bCs/>
          <w:i/>
          <w:iCs/>
          <w:sz w:val="20"/>
          <w:szCs w:val="20"/>
        </w:rPr>
      </w:pPr>
      <w:r>
        <w:rPr>
          <w:rFonts w:ascii="Times" w:hAnsi="Times"/>
          <w:b/>
          <w:bCs/>
          <w:i/>
          <w:iCs/>
          <w:sz w:val="20"/>
          <w:szCs w:val="20"/>
        </w:rPr>
        <w:t>We may be treated as a US corporation for US federal income tax purposes.</w:t>
      </w:r>
      <w:r>
        <w:rPr>
          <w:rFonts w:ascii="Times" w:hAnsi="Times"/>
          <w:b/>
          <w:bCs/>
          <w:i/>
          <w:iCs/>
          <w:sz w:val="20"/>
          <w:szCs w:val="20"/>
        </w:rPr>
        <w:t xml:space="preserve"> </w:t>
      </w:r>
    </w:p>
    <w:p w14:paraId="65FDEDA3" w14:textId="77777777" w:rsidR="00000000" w:rsidRDefault="00097612">
      <w:pPr>
        <w:pStyle w:val="a3"/>
        <w:spacing w:before="0" w:beforeAutospacing="0" w:after="0" w:afterAutospacing="0"/>
        <w:ind w:firstLine="720"/>
        <w:divId w:val="956183477"/>
        <w:rPr>
          <w:rFonts w:ascii="Times" w:hAnsi="Times"/>
          <w:sz w:val="20"/>
          <w:szCs w:val="20"/>
        </w:rPr>
      </w:pPr>
      <w:r>
        <w:rPr>
          <w:rFonts w:ascii="Times" w:hAnsi="Times"/>
          <w:sz w:val="20"/>
          <w:szCs w:val="20"/>
        </w:rPr>
        <w:t>For US federal income tax purposes, a corporation generally is considered tax resident in the place of its incorporation. Theravance Biopharma is inco</w:t>
      </w:r>
      <w:r>
        <w:rPr>
          <w:rFonts w:ascii="Times" w:hAnsi="Times"/>
          <w:sz w:val="20"/>
          <w:szCs w:val="20"/>
        </w:rPr>
        <w:t>rporated under Cayman Islands law and established tax residency in Ireland effective July 1, 2015. Therefore, it should be a non-US corporation under this general rule. However, Section 7874 of the Internal Revenue Code of 1986, as amended (the</w:t>
      </w:r>
      <w:r>
        <w:rPr>
          <w:rFonts w:ascii="Times" w:hAnsi="Times"/>
          <w:sz w:val="20"/>
          <w:szCs w:val="20"/>
        </w:rPr>
        <w:t xml:space="preserve"> </w:t>
      </w:r>
      <w:r>
        <w:rPr>
          <w:rFonts w:ascii="Times" w:hAnsi="Times"/>
          <w:sz w:val="20"/>
          <w:szCs w:val="20"/>
        </w:rPr>
        <w:t>“Code”), co</w:t>
      </w:r>
      <w:r>
        <w:rPr>
          <w:rFonts w:ascii="Times" w:hAnsi="Times"/>
          <w:sz w:val="20"/>
          <w:szCs w:val="20"/>
        </w:rPr>
        <w:t>ntains rules that may result in a foreign corporation being treated as a US corporation for US federal income tax purposes. The application of these rules is complex and there is little guidance regarding certain aspects of their application.</w:t>
      </w:r>
      <w:r>
        <w:rPr>
          <w:rFonts w:ascii="Times" w:hAnsi="Times"/>
          <w:sz w:val="20"/>
          <w:szCs w:val="20"/>
        </w:rPr>
        <w:t xml:space="preserve"> </w:t>
      </w:r>
    </w:p>
    <w:p w14:paraId="5992775B" w14:textId="77777777" w:rsidR="00000000" w:rsidRDefault="00097612">
      <w:pPr>
        <w:pStyle w:val="a3"/>
        <w:spacing w:before="0" w:beforeAutospacing="0" w:after="0" w:afterAutospacing="0"/>
        <w:ind w:firstLine="720"/>
        <w:divId w:val="956183477"/>
        <w:rPr>
          <w:rFonts w:ascii="Times" w:hAnsi="Times"/>
          <w:sz w:val="20"/>
          <w:szCs w:val="20"/>
        </w:rPr>
      </w:pPr>
      <w:r>
        <w:rPr>
          <w:rFonts w:ascii="Times" w:hAnsi="Times"/>
          <w:sz w:val="20"/>
          <w:szCs w:val="20"/>
        </w:rPr>
        <w:t>​</w:t>
      </w:r>
    </w:p>
    <w:p w14:paraId="62F9C289" w14:textId="77777777" w:rsidR="00000000" w:rsidRDefault="00097612">
      <w:pPr>
        <w:pStyle w:val="a3"/>
        <w:spacing w:before="0" w:beforeAutospacing="0" w:after="0" w:afterAutospacing="0"/>
        <w:ind w:firstLine="720"/>
        <w:divId w:val="956183477"/>
        <w:rPr>
          <w:rFonts w:ascii="Times" w:hAnsi="Times"/>
          <w:sz w:val="20"/>
          <w:szCs w:val="20"/>
        </w:rPr>
      </w:pPr>
      <w:r>
        <w:rPr>
          <w:rFonts w:ascii="Times" w:hAnsi="Times"/>
          <w:sz w:val="20"/>
          <w:szCs w:val="20"/>
        </w:rPr>
        <w:t>Under Sect</w:t>
      </w:r>
      <w:r>
        <w:rPr>
          <w:rFonts w:ascii="Times" w:hAnsi="Times"/>
          <w:sz w:val="20"/>
          <w:szCs w:val="20"/>
        </w:rPr>
        <w:t>ion 7874 of the Code, a corporation created or organized outside the US will be treated as a US corporation for US federal tax purposes if (i) the foreign corporation directly or indirectly acquires substantially all of the properties held directly or indi</w:t>
      </w:r>
      <w:r>
        <w:rPr>
          <w:rFonts w:ascii="Times" w:hAnsi="Times"/>
          <w:sz w:val="20"/>
          <w:szCs w:val="20"/>
        </w:rPr>
        <w:t>rectly by a US corporation, (ii) the former shareholders of the acquired US corporation hold at least 80% of the vote or value of the shares of the foreign acquiring corporation by reason of holding stock in the US acquired corporation, and (iii) the forei</w:t>
      </w:r>
      <w:r>
        <w:rPr>
          <w:rFonts w:ascii="Times" w:hAnsi="Times"/>
          <w:sz w:val="20"/>
          <w:szCs w:val="20"/>
        </w:rPr>
        <w:t>gn corporation’s</w:t>
      </w:r>
      <w:r>
        <w:rPr>
          <w:rFonts w:ascii="Times" w:hAnsi="Times"/>
          <w:sz w:val="20"/>
          <w:szCs w:val="20"/>
        </w:rPr>
        <w:t xml:space="preserve"> </w:t>
      </w:r>
      <w:r>
        <w:rPr>
          <w:rFonts w:ascii="Times" w:hAnsi="Times"/>
          <w:sz w:val="20"/>
          <w:szCs w:val="20"/>
        </w:rPr>
        <w:t>“expanded affiliated group”</w:t>
      </w:r>
      <w:r>
        <w:rPr>
          <w:rFonts w:ascii="Times" w:hAnsi="Times"/>
          <w:sz w:val="20"/>
          <w:szCs w:val="20"/>
        </w:rPr>
        <w:t xml:space="preserve"> </w:t>
      </w:r>
      <w:r>
        <w:rPr>
          <w:rFonts w:ascii="Times" w:hAnsi="Times"/>
          <w:sz w:val="20"/>
          <w:szCs w:val="20"/>
        </w:rPr>
        <w:t>does not have</w:t>
      </w:r>
      <w:r>
        <w:rPr>
          <w:rFonts w:ascii="Times" w:hAnsi="Times"/>
          <w:sz w:val="20"/>
          <w:szCs w:val="20"/>
        </w:rPr>
        <w:t xml:space="preserve"> </w:t>
      </w:r>
      <w:r>
        <w:rPr>
          <w:rFonts w:ascii="Times" w:hAnsi="Times"/>
          <w:sz w:val="20"/>
          <w:szCs w:val="20"/>
        </w:rPr>
        <w:t>“substantial business activities”</w:t>
      </w:r>
      <w:r>
        <w:rPr>
          <w:rFonts w:ascii="Times" w:hAnsi="Times"/>
          <w:sz w:val="20"/>
          <w:szCs w:val="20"/>
        </w:rPr>
        <w:t xml:space="preserve"> </w:t>
      </w:r>
      <w:r>
        <w:rPr>
          <w:rFonts w:ascii="Times" w:hAnsi="Times"/>
          <w:sz w:val="20"/>
          <w:szCs w:val="20"/>
        </w:rPr>
        <w:t>in the foreign corporation’s country of incorporation relative to its expanded affiliated group’s worldwide activities. For this purpose,</w:t>
      </w:r>
      <w:r>
        <w:rPr>
          <w:rFonts w:ascii="Times" w:hAnsi="Times"/>
          <w:sz w:val="20"/>
          <w:szCs w:val="20"/>
        </w:rPr>
        <w:t xml:space="preserve"> </w:t>
      </w:r>
      <w:r>
        <w:rPr>
          <w:rFonts w:ascii="Times" w:hAnsi="Times"/>
          <w:sz w:val="20"/>
          <w:szCs w:val="20"/>
        </w:rPr>
        <w:t>“expanded affiliated grou</w:t>
      </w:r>
      <w:r>
        <w:rPr>
          <w:rFonts w:ascii="Times" w:hAnsi="Times"/>
          <w:sz w:val="20"/>
          <w:szCs w:val="20"/>
        </w:rPr>
        <w:t>p”</w:t>
      </w:r>
      <w:r>
        <w:rPr>
          <w:rFonts w:ascii="Times" w:hAnsi="Times"/>
          <w:sz w:val="20"/>
          <w:szCs w:val="20"/>
        </w:rPr>
        <w:t xml:space="preserve"> </w:t>
      </w:r>
      <w:r>
        <w:rPr>
          <w:rFonts w:ascii="Times" w:hAnsi="Times"/>
          <w:sz w:val="20"/>
          <w:szCs w:val="20"/>
        </w:rPr>
        <w:t>generally means the foreign corporation and all subsidiaries in which the foreign corporation, directly or indirectly, owns more than 50% of the stock by vote and value, and</w:t>
      </w:r>
      <w:r>
        <w:rPr>
          <w:rFonts w:ascii="Times" w:hAnsi="Times"/>
          <w:sz w:val="20"/>
          <w:szCs w:val="20"/>
        </w:rPr>
        <w:t xml:space="preserve"> </w:t>
      </w:r>
      <w:r>
        <w:rPr>
          <w:rFonts w:ascii="Times" w:hAnsi="Times"/>
          <w:sz w:val="20"/>
          <w:szCs w:val="20"/>
        </w:rPr>
        <w:t>“substantial business activities”</w:t>
      </w:r>
      <w:r>
        <w:rPr>
          <w:rFonts w:ascii="Times" w:hAnsi="Times"/>
          <w:sz w:val="20"/>
          <w:szCs w:val="20"/>
        </w:rPr>
        <w:t xml:space="preserve"> </w:t>
      </w:r>
      <w:r>
        <w:rPr>
          <w:rFonts w:ascii="Times" w:hAnsi="Times"/>
          <w:sz w:val="20"/>
          <w:szCs w:val="20"/>
        </w:rPr>
        <w:t>generally means at least 25% of employees (by</w:t>
      </w:r>
      <w:r>
        <w:rPr>
          <w:rFonts w:ascii="Times" w:hAnsi="Times"/>
          <w:sz w:val="20"/>
          <w:szCs w:val="20"/>
        </w:rPr>
        <w:t xml:space="preserve"> number and compensation), assets and gross income of our expanded affiliated group are based, located and derived, respectively, in the country of incorporation.</w:t>
      </w:r>
      <w:r>
        <w:rPr>
          <w:rFonts w:ascii="Times" w:hAnsi="Times"/>
          <w:sz w:val="20"/>
          <w:szCs w:val="20"/>
        </w:rPr>
        <w:t xml:space="preserve"> </w:t>
      </w:r>
    </w:p>
    <w:p w14:paraId="22A8F1DD" w14:textId="77777777" w:rsidR="00000000" w:rsidRDefault="00097612">
      <w:pPr>
        <w:pStyle w:val="a3"/>
        <w:spacing w:before="0" w:beforeAutospacing="0" w:after="0" w:afterAutospacing="0"/>
        <w:ind w:firstLine="720"/>
        <w:divId w:val="956183477"/>
        <w:rPr>
          <w:rFonts w:ascii="Times" w:hAnsi="Times"/>
          <w:sz w:val="20"/>
          <w:szCs w:val="20"/>
        </w:rPr>
      </w:pPr>
      <w:r>
        <w:rPr>
          <w:rFonts w:ascii="Times" w:hAnsi="Times"/>
          <w:sz w:val="20"/>
          <w:szCs w:val="20"/>
        </w:rPr>
        <w:t>​</w:t>
      </w:r>
    </w:p>
    <w:p w14:paraId="46537AEF" w14:textId="77777777" w:rsidR="00000000" w:rsidRDefault="00097612">
      <w:pPr>
        <w:pStyle w:val="a3"/>
        <w:spacing w:before="0" w:beforeAutospacing="0" w:after="0" w:afterAutospacing="0"/>
        <w:ind w:firstLine="720"/>
        <w:divId w:val="956183477"/>
        <w:rPr>
          <w:rFonts w:ascii="Times" w:hAnsi="Times"/>
          <w:sz w:val="20"/>
          <w:szCs w:val="20"/>
        </w:rPr>
      </w:pPr>
      <w:r>
        <w:rPr>
          <w:rFonts w:ascii="Times" w:hAnsi="Times"/>
          <w:sz w:val="20"/>
          <w:szCs w:val="20"/>
        </w:rPr>
        <w:t>We do not expect to be treated as a US corporation under Section 7874 of the Code, because</w:t>
      </w:r>
      <w:r>
        <w:rPr>
          <w:rFonts w:ascii="Times" w:hAnsi="Times"/>
          <w:sz w:val="20"/>
          <w:szCs w:val="20"/>
        </w:rPr>
        <w:t xml:space="preserve"> we do not believe that the assets contributed to us by Innoviva constituted</w:t>
      </w:r>
      <w:r>
        <w:rPr>
          <w:rFonts w:ascii="Times" w:hAnsi="Times"/>
          <w:sz w:val="20"/>
          <w:szCs w:val="20"/>
        </w:rPr>
        <w:t xml:space="preserve"> </w:t>
      </w:r>
      <w:r>
        <w:rPr>
          <w:rFonts w:ascii="Times" w:hAnsi="Times"/>
          <w:sz w:val="20"/>
          <w:szCs w:val="20"/>
        </w:rPr>
        <w:t>“substantially all”</w:t>
      </w:r>
      <w:r>
        <w:rPr>
          <w:rFonts w:ascii="Times" w:hAnsi="Times"/>
          <w:sz w:val="20"/>
          <w:szCs w:val="20"/>
        </w:rPr>
        <w:t xml:space="preserve"> </w:t>
      </w:r>
      <w:r>
        <w:rPr>
          <w:rFonts w:ascii="Times" w:hAnsi="Times"/>
          <w:sz w:val="20"/>
          <w:szCs w:val="20"/>
        </w:rPr>
        <w:t>of the properties of Innoviva (as determined on both a gross and net fair market value basis). However, the Internal Revenue Service may disagree with our conc</w:t>
      </w:r>
      <w:r>
        <w:rPr>
          <w:rFonts w:ascii="Times" w:hAnsi="Times"/>
          <w:sz w:val="20"/>
          <w:szCs w:val="20"/>
        </w:rPr>
        <w:t>lusion on this point and assert that, in its view, the assets contributed to us by Innoviva did constitute</w:t>
      </w:r>
      <w:r>
        <w:rPr>
          <w:rFonts w:ascii="Times" w:hAnsi="Times"/>
          <w:sz w:val="20"/>
          <w:szCs w:val="20"/>
        </w:rPr>
        <w:t xml:space="preserve"> </w:t>
      </w:r>
      <w:r>
        <w:rPr>
          <w:rFonts w:ascii="Times" w:hAnsi="Times"/>
          <w:sz w:val="20"/>
          <w:szCs w:val="20"/>
        </w:rPr>
        <w:t>“substantially all”</w:t>
      </w:r>
      <w:r>
        <w:rPr>
          <w:rFonts w:ascii="Times" w:hAnsi="Times"/>
          <w:sz w:val="20"/>
          <w:szCs w:val="20"/>
        </w:rPr>
        <w:t xml:space="preserve"> </w:t>
      </w:r>
      <w:r>
        <w:rPr>
          <w:rFonts w:ascii="Times" w:hAnsi="Times"/>
          <w:sz w:val="20"/>
          <w:szCs w:val="20"/>
        </w:rPr>
        <w:t>of the properties of Innoviva. In addition, there could be legislative proposals to expand the scope of US corporate tax residenc</w:t>
      </w:r>
      <w:r>
        <w:rPr>
          <w:rFonts w:ascii="Times" w:hAnsi="Times"/>
          <w:sz w:val="20"/>
          <w:szCs w:val="20"/>
        </w:rPr>
        <w:t>e and there could be changes to Section 7874 of the Code or the Treasury Regulations promulgated thereunder that could apply retroactively and could result in Theravance Biopharma being treated as a US corporation.</w:t>
      </w:r>
      <w:r>
        <w:rPr>
          <w:rFonts w:ascii="Times" w:hAnsi="Times"/>
          <w:sz w:val="20"/>
          <w:szCs w:val="20"/>
        </w:rPr>
        <w:t xml:space="preserve"> </w:t>
      </w:r>
    </w:p>
    <w:p w14:paraId="0B9FFFE4" w14:textId="77777777" w:rsidR="00000000" w:rsidRDefault="00097612">
      <w:pPr>
        <w:pStyle w:val="a3"/>
        <w:spacing w:before="0" w:beforeAutospacing="0" w:after="0" w:afterAutospacing="0"/>
        <w:ind w:firstLine="720"/>
        <w:divId w:val="956183477"/>
        <w:rPr>
          <w:rFonts w:ascii="Times" w:hAnsi="Times"/>
          <w:sz w:val="20"/>
          <w:szCs w:val="20"/>
        </w:rPr>
      </w:pPr>
      <w:r>
        <w:rPr>
          <w:rFonts w:ascii="Times" w:hAnsi="Times"/>
          <w:sz w:val="20"/>
          <w:szCs w:val="20"/>
        </w:rPr>
        <w:t>​</w:t>
      </w:r>
    </w:p>
    <w:p w14:paraId="142871DF" w14:textId="77777777" w:rsidR="00000000" w:rsidRDefault="00097612">
      <w:pPr>
        <w:pStyle w:val="a3"/>
        <w:spacing w:before="0" w:beforeAutospacing="0" w:after="0" w:afterAutospacing="0"/>
        <w:ind w:firstLine="720"/>
        <w:divId w:val="956183477"/>
        <w:rPr>
          <w:rFonts w:ascii="Times" w:hAnsi="Times"/>
          <w:sz w:val="20"/>
          <w:szCs w:val="20"/>
        </w:rPr>
      </w:pPr>
      <w:r>
        <w:rPr>
          <w:rFonts w:ascii="Times" w:hAnsi="Times"/>
          <w:sz w:val="20"/>
          <w:szCs w:val="20"/>
        </w:rPr>
        <w:t>If it were determined that we should b</w:t>
      </w:r>
      <w:r>
        <w:rPr>
          <w:rFonts w:ascii="Times" w:hAnsi="Times"/>
          <w:sz w:val="20"/>
          <w:szCs w:val="20"/>
        </w:rPr>
        <w:t>e treated as a US corporation for US federal income tax purposes, we could be liable for substantial additional US federal income tax on our post-Spin-Off taxable income. In addition, though we have no current plans to pay any dividends, payments of any di</w:t>
      </w:r>
      <w:r>
        <w:rPr>
          <w:rFonts w:ascii="Times" w:hAnsi="Times"/>
          <w:sz w:val="20"/>
          <w:szCs w:val="20"/>
        </w:rPr>
        <w:t>vidends to non-US holders may be subject to US withholding tax.</w:t>
      </w:r>
      <w:r>
        <w:rPr>
          <w:rFonts w:ascii="Times" w:hAnsi="Times"/>
          <w:sz w:val="20"/>
          <w:szCs w:val="20"/>
        </w:rPr>
        <w:t xml:space="preserve"> </w:t>
      </w:r>
    </w:p>
    <w:p w14:paraId="6EA539A5" w14:textId="77777777" w:rsidR="00000000" w:rsidRDefault="00097612">
      <w:pPr>
        <w:pStyle w:val="a3"/>
        <w:spacing w:before="0" w:beforeAutospacing="0" w:after="0" w:afterAutospacing="0"/>
        <w:divId w:val="956183477"/>
        <w:rPr>
          <w:rFonts w:ascii="Times" w:hAnsi="Times"/>
          <w:sz w:val="20"/>
          <w:szCs w:val="20"/>
        </w:rPr>
      </w:pPr>
      <w:r>
        <w:rPr>
          <w:rFonts w:ascii="Times" w:hAnsi="Times"/>
          <w:sz w:val="20"/>
          <w:szCs w:val="20"/>
        </w:rPr>
        <w:t>​</w:t>
      </w:r>
    </w:p>
    <w:p w14:paraId="53A173A3" w14:textId="77777777" w:rsidR="00000000" w:rsidRDefault="00097612">
      <w:pPr>
        <w:pStyle w:val="a3"/>
        <w:spacing w:before="0" w:beforeAutospacing="0" w:after="120" w:afterAutospacing="0"/>
        <w:divId w:val="956183477"/>
        <w:rPr>
          <w:rFonts w:ascii="Times" w:hAnsi="Times"/>
          <w:b/>
          <w:bCs/>
          <w:i/>
          <w:iCs/>
          <w:sz w:val="20"/>
          <w:szCs w:val="20"/>
        </w:rPr>
      </w:pPr>
      <w:r>
        <w:rPr>
          <w:rFonts w:ascii="Times" w:hAnsi="Times"/>
          <w:b/>
          <w:bCs/>
          <w:i/>
          <w:iCs/>
          <w:sz w:val="20"/>
          <w:szCs w:val="20"/>
        </w:rPr>
        <w:t>Taxing authorities may challenge our structure and transfer pricing arrangements.</w:t>
      </w:r>
    </w:p>
    <w:p w14:paraId="73DE286D" w14:textId="77777777" w:rsidR="00000000" w:rsidRDefault="00097612">
      <w:pPr>
        <w:pStyle w:val="a3"/>
        <w:spacing w:before="0" w:beforeAutospacing="0" w:after="0" w:afterAutospacing="0"/>
        <w:ind w:firstLine="720"/>
        <w:divId w:val="956183477"/>
        <w:rPr>
          <w:sz w:val="20"/>
          <w:szCs w:val="20"/>
        </w:rPr>
      </w:pPr>
      <w:r>
        <w:rPr>
          <w:sz w:val="20"/>
          <w:szCs w:val="20"/>
        </w:rPr>
        <w:t>We are incorporated in the Cayman Islands, maintain subsidiaries in the Cayman Islands, the US, the United Kingdom and Ireland, and effective July 1, 2015, we migrated our tax residency from the Cayman Islands to Ireland. Due to economic and political cond</w:t>
      </w:r>
      <w:r>
        <w:rPr>
          <w:sz w:val="20"/>
          <w:szCs w:val="20"/>
        </w:rPr>
        <w:t>itions, various countries are actively considering changes to existing tax laws. We cannot predict the form or timing of potential legislative changes that could have a material adverse impact on our results of operations.</w:t>
      </w:r>
      <w:r>
        <w:rPr>
          <w:i/>
          <w:iCs/>
          <w:sz w:val="20"/>
          <w:szCs w:val="20"/>
        </w:rPr>
        <w:t xml:space="preserve"> </w:t>
      </w:r>
      <w:r>
        <w:rPr>
          <w:sz w:val="20"/>
          <w:szCs w:val="20"/>
        </w:rPr>
        <w:t>We are aware that Ireland has imp</w:t>
      </w:r>
      <w:r>
        <w:rPr>
          <w:sz w:val="20"/>
          <w:szCs w:val="20"/>
        </w:rPr>
        <w:t xml:space="preserve">lemented certain tax law changes and is expected to implement additional tax law changes to </w:t>
      </w:r>
    </w:p>
    <w:p w14:paraId="2CC1D33D" w14:textId="77777777" w:rsidR="00000000" w:rsidRDefault="00097612">
      <w:pPr>
        <w:pStyle w:val="a3"/>
        <w:spacing w:before="360" w:beforeAutospacing="0" w:after="0" w:afterAutospacing="0"/>
        <w:jc w:val="center"/>
        <w:divId w:val="804009608"/>
        <w:rPr>
          <w:sz w:val="20"/>
          <w:szCs w:val="20"/>
        </w:rPr>
      </w:pPr>
      <w:r>
        <w:rPr>
          <w:sz w:val="20"/>
          <w:szCs w:val="20"/>
        </w:rPr>
        <w:t>52</w:t>
      </w:r>
    </w:p>
    <w:p w14:paraId="22D18588" w14:textId="77777777" w:rsidR="00000000" w:rsidRDefault="00097612">
      <w:pPr>
        <w:pStyle w:val="a3"/>
        <w:spacing w:before="0" w:beforeAutospacing="0" w:after="600" w:afterAutospacing="0"/>
        <w:divId w:val="1701122253"/>
        <w:rPr>
          <w:sz w:val="20"/>
          <w:szCs w:val="20"/>
        </w:rPr>
      </w:pPr>
      <w:hyperlink w:anchor="TOC" w:history="1">
        <w:r>
          <w:rPr>
            <w:rStyle w:val="a4"/>
            <w:sz w:val="20"/>
            <w:szCs w:val="20"/>
          </w:rPr>
          <w:t>Table of Contents</w:t>
        </w:r>
      </w:hyperlink>
    </w:p>
    <w:p w14:paraId="5AFC78FD" w14:textId="77777777" w:rsidR="00000000" w:rsidRDefault="00097612">
      <w:pPr>
        <w:pStyle w:val="a3"/>
        <w:spacing w:before="0" w:beforeAutospacing="0" w:after="0" w:afterAutospacing="0"/>
        <w:divId w:val="324552111"/>
        <w:rPr>
          <w:sz w:val="20"/>
          <w:szCs w:val="20"/>
        </w:rPr>
      </w:pPr>
      <w:r>
        <w:rPr>
          <w:sz w:val="20"/>
          <w:szCs w:val="20"/>
        </w:rPr>
        <w:t xml:space="preserve">comply with the European Union Anti-Tax Avoidance Directives. These changes include the first ever Irish controlled </w:t>
      </w:r>
      <w:r>
        <w:rPr>
          <w:sz w:val="20"/>
          <w:szCs w:val="20"/>
        </w:rPr>
        <w:t>foreign company (“CFC”) rules which came into effect on January 1, 2019. Due to provisions in</w:t>
      </w:r>
      <w:r>
        <w:rPr>
          <w:sz w:val="20"/>
          <w:szCs w:val="20"/>
        </w:rPr>
        <w:t xml:space="preserve"> </w:t>
      </w:r>
      <w:r>
        <w:rPr>
          <w:i/>
          <w:iCs/>
          <w:sz w:val="20"/>
          <w:szCs w:val="20"/>
        </w:rPr>
        <w:t>Finance Bill 2019</w:t>
      </w:r>
      <w:r>
        <w:rPr>
          <w:sz w:val="20"/>
          <w:szCs w:val="20"/>
        </w:rPr>
        <w:t>, Ireland will also implement certain transfer pricing rule changes, with effect from 2020. We are continuing to evaluate and monitor the applica</w:t>
      </w:r>
      <w:r>
        <w:rPr>
          <w:sz w:val="20"/>
          <w:szCs w:val="20"/>
        </w:rPr>
        <w:t xml:space="preserve">bility of the CFC rules published in </w:t>
      </w:r>
      <w:r>
        <w:rPr>
          <w:i/>
          <w:iCs/>
          <w:sz w:val="20"/>
          <w:szCs w:val="20"/>
        </w:rPr>
        <w:t>Finance Act 2018</w:t>
      </w:r>
      <w:r>
        <w:rPr>
          <w:sz w:val="20"/>
          <w:szCs w:val="20"/>
        </w:rPr>
        <w:t xml:space="preserve">, but our current assessment, based on the rules and guidance published to date, is that the rules are unlikely to have a material impact on our operations. Proposed statutory language has been provided </w:t>
      </w:r>
      <w:r>
        <w:rPr>
          <w:sz w:val="20"/>
          <w:szCs w:val="20"/>
        </w:rPr>
        <w:t xml:space="preserve">for transfer pricing rule changes, and we believe that the transfer pricing rules are unlikely to have a material impact on our operations. </w:t>
      </w:r>
      <w:r>
        <w:rPr>
          <w:rFonts w:ascii="Times" w:hAnsi="Times"/>
          <w:sz w:val="20"/>
          <w:szCs w:val="20"/>
        </w:rPr>
        <w:t>New United Kingdom tax legislation was introduced by the</w:t>
      </w:r>
      <w:r>
        <w:rPr>
          <w:rFonts w:ascii="Times" w:hAnsi="Times"/>
          <w:sz w:val="20"/>
          <w:szCs w:val="20"/>
        </w:rPr>
        <w:t xml:space="preserve"> </w:t>
      </w:r>
      <w:r>
        <w:rPr>
          <w:rFonts w:ascii="Times" w:hAnsi="Times"/>
          <w:i/>
          <w:iCs/>
          <w:sz w:val="20"/>
          <w:szCs w:val="20"/>
        </w:rPr>
        <w:t>Finance Act 2019</w:t>
      </w:r>
      <w:r>
        <w:rPr>
          <w:rFonts w:ascii="Times" w:hAnsi="Times"/>
          <w:sz w:val="20"/>
          <w:szCs w:val="20"/>
        </w:rPr>
        <w:t xml:space="preserve"> (“FA 2019”) that imposes a tax related to </w:t>
      </w:r>
      <w:r>
        <w:rPr>
          <w:rFonts w:ascii="Times" w:hAnsi="Times"/>
          <w:sz w:val="20"/>
          <w:szCs w:val="20"/>
        </w:rPr>
        <w:t>offshore receipts in respect of intangible property held in low tax jurisdictions (“ORIP”) and became effective in April 2019. FA 2019 also included a power for amendments to the ORIP legislation to be made by regulation by December 31, 2019.</w:t>
      </w:r>
      <w:r>
        <w:rPr>
          <w:rFonts w:ascii="Times" w:hAnsi="Times"/>
          <w:sz w:val="20"/>
          <w:szCs w:val="20"/>
        </w:rPr>
        <w:t xml:space="preserve"> </w:t>
      </w:r>
      <w:r>
        <w:rPr>
          <w:sz w:val="20"/>
          <w:szCs w:val="20"/>
        </w:rPr>
        <w:t>On October 15</w:t>
      </w:r>
      <w:r>
        <w:rPr>
          <w:sz w:val="20"/>
          <w:szCs w:val="20"/>
        </w:rPr>
        <w:t>, 2019, the United Kingdom published further guidance intended to facilitate the administration of the ORIP regime. However, a number of issues and areas of uncertainty remain</w:t>
      </w:r>
      <w:r>
        <w:rPr>
          <w:rFonts w:ascii="Helvetica" w:hAnsi="Helvetica"/>
          <w:color w:val="333333"/>
          <w:sz w:val="21"/>
          <w:szCs w:val="21"/>
          <w:shd w:val="clear" w:color="auto" w:fill="FFFFFF"/>
        </w:rPr>
        <w:t>.</w:t>
      </w:r>
      <w:r>
        <w:rPr>
          <w:sz w:val="20"/>
          <w:szCs w:val="20"/>
        </w:rPr>
        <w:t xml:space="preserve"> </w:t>
      </w:r>
      <w:r>
        <w:rPr>
          <w:sz w:val="20"/>
          <w:szCs w:val="20"/>
        </w:rPr>
        <w:t>We have reviewed the original legislation in conjunction with the guidance and believe that the ORIP regime may apply to certain cash receipts. Based on this analysis, we believe that the ORIP charge on UK-derived cash receipts through the third quarter of</w:t>
      </w:r>
      <w:r>
        <w:rPr>
          <w:sz w:val="20"/>
          <w:szCs w:val="20"/>
        </w:rPr>
        <w:t xml:space="preserve"> 2019 is not material, but we will continue to refine our ORIP conclusions as guidance evolves.</w:t>
      </w:r>
      <w:r>
        <w:rPr>
          <w:sz w:val="20"/>
          <w:szCs w:val="20"/>
        </w:rPr>
        <w:t xml:space="preserve"> </w:t>
      </w:r>
    </w:p>
    <w:p w14:paraId="22BA5FCC" w14:textId="77777777" w:rsidR="00000000" w:rsidRDefault="00097612">
      <w:pPr>
        <w:pStyle w:val="a3"/>
        <w:spacing w:before="0" w:beforeAutospacing="0" w:after="0" w:afterAutospacing="0"/>
        <w:divId w:val="324552111"/>
        <w:rPr>
          <w:rFonts w:ascii="Times" w:hAnsi="Times"/>
          <w:sz w:val="20"/>
          <w:szCs w:val="20"/>
        </w:rPr>
      </w:pPr>
      <w:r>
        <w:rPr>
          <w:rFonts w:ascii="Times" w:hAnsi="Times"/>
          <w:sz w:val="20"/>
          <w:szCs w:val="20"/>
        </w:rPr>
        <w:t>​</w:t>
      </w:r>
    </w:p>
    <w:p w14:paraId="62F9DF70" w14:textId="77777777" w:rsidR="00000000" w:rsidRDefault="00097612">
      <w:pPr>
        <w:pStyle w:val="a3"/>
        <w:spacing w:before="0" w:beforeAutospacing="0" w:after="0" w:afterAutospacing="0"/>
        <w:ind w:firstLine="720"/>
        <w:divId w:val="324552111"/>
        <w:rPr>
          <w:rFonts w:ascii="Times" w:hAnsi="Times"/>
          <w:sz w:val="20"/>
          <w:szCs w:val="20"/>
        </w:rPr>
      </w:pPr>
      <w:r>
        <w:rPr>
          <w:rFonts w:ascii="Times" w:hAnsi="Times"/>
          <w:sz w:val="20"/>
          <w:szCs w:val="20"/>
        </w:rPr>
        <w:t>In addition, significant judgment is required in determining our worldwide provision for income taxes. Various factors may have favorable or unfavorable effe</w:t>
      </w:r>
      <w:r>
        <w:rPr>
          <w:rFonts w:ascii="Times" w:hAnsi="Times"/>
          <w:sz w:val="20"/>
          <w:szCs w:val="20"/>
        </w:rPr>
        <w:t>cts on our income tax rate including, but not limited to the performance of certain functions and ownership of certain assets in tax-efficient jurisdictions such as the Cayman Islands and Ireland, together with intra-group transfer pricing agreements. Taxi</w:t>
      </w:r>
      <w:r>
        <w:rPr>
          <w:rFonts w:ascii="Times" w:hAnsi="Times"/>
          <w:sz w:val="20"/>
          <w:szCs w:val="20"/>
        </w:rPr>
        <w:t>ng authorities may challenge our structure and transfer pricing arrangements through an audit or lawsuit. Responding to or defending such a challenge could be expensive and consume time and other resources, and divert management’s time and focus from opera</w:t>
      </w:r>
      <w:r>
        <w:rPr>
          <w:rFonts w:ascii="Times" w:hAnsi="Times"/>
          <w:sz w:val="20"/>
          <w:szCs w:val="20"/>
        </w:rPr>
        <w:t>ting our business. We cannot predict whether taxing authorities will conduct an audit or file a lawsuit challenging this structure, the cost involved in responding to any such audit or lawsuit, or the outcome. We may be required to pay taxes for prior peri</w:t>
      </w:r>
      <w:r>
        <w:rPr>
          <w:rFonts w:ascii="Times" w:hAnsi="Times"/>
          <w:sz w:val="20"/>
          <w:szCs w:val="20"/>
        </w:rPr>
        <w:t>ods, interest, fines or penalties, and may be obligated to pay increased taxes in the future which could result in reduced cash flows and have a material adverse effect on our business, financial condition and growth prospects.</w:t>
      </w:r>
      <w:r>
        <w:rPr>
          <w:rFonts w:ascii="Times" w:hAnsi="Times"/>
          <w:sz w:val="20"/>
          <w:szCs w:val="20"/>
        </w:rPr>
        <w:t xml:space="preserve"> </w:t>
      </w:r>
    </w:p>
    <w:p w14:paraId="26FDACB9" w14:textId="77777777" w:rsidR="00000000" w:rsidRDefault="00097612">
      <w:pPr>
        <w:pStyle w:val="a3"/>
        <w:spacing w:before="0" w:beforeAutospacing="0" w:after="0" w:afterAutospacing="0"/>
        <w:divId w:val="324552111"/>
        <w:rPr>
          <w:sz w:val="20"/>
          <w:szCs w:val="20"/>
        </w:rPr>
      </w:pPr>
      <w:r>
        <w:rPr>
          <w:sz w:val="20"/>
          <w:szCs w:val="20"/>
        </w:rPr>
        <w:t>​</w:t>
      </w:r>
    </w:p>
    <w:p w14:paraId="6CD7F14C" w14:textId="77777777" w:rsidR="00000000" w:rsidRDefault="00097612">
      <w:pPr>
        <w:pStyle w:val="a3"/>
        <w:spacing w:before="0" w:beforeAutospacing="0" w:after="120" w:afterAutospacing="0"/>
        <w:divId w:val="324552111"/>
        <w:rPr>
          <w:rFonts w:ascii="Times" w:hAnsi="Times"/>
          <w:b/>
          <w:bCs/>
          <w:i/>
          <w:iCs/>
          <w:sz w:val="20"/>
          <w:szCs w:val="20"/>
        </w:rPr>
      </w:pPr>
      <w:r>
        <w:rPr>
          <w:rFonts w:ascii="Times" w:hAnsi="Times"/>
          <w:b/>
          <w:bCs/>
          <w:i/>
          <w:iCs/>
          <w:sz w:val="20"/>
          <w:szCs w:val="20"/>
        </w:rPr>
        <w:t>We were a passive foreign</w:t>
      </w:r>
      <w:r>
        <w:rPr>
          <w:rFonts w:ascii="Times" w:hAnsi="Times"/>
          <w:b/>
          <w:bCs/>
          <w:i/>
          <w:iCs/>
          <w:sz w:val="20"/>
          <w:szCs w:val="20"/>
        </w:rPr>
        <w:t xml:space="preserve"> investment company, or</w:t>
      </w:r>
      <w:r>
        <w:rPr>
          <w:rFonts w:ascii="Times" w:hAnsi="Times"/>
          <w:b/>
          <w:bCs/>
          <w:i/>
          <w:iCs/>
          <w:sz w:val="20"/>
          <w:szCs w:val="20"/>
        </w:rPr>
        <w:t xml:space="preserve"> </w:t>
      </w:r>
      <w:r>
        <w:rPr>
          <w:rFonts w:ascii="Times" w:hAnsi="Times"/>
          <w:b/>
          <w:bCs/>
          <w:i/>
          <w:iCs/>
          <w:sz w:val="20"/>
          <w:szCs w:val="20"/>
        </w:rPr>
        <w:t>“PFIC,”</w:t>
      </w:r>
      <w:r>
        <w:rPr>
          <w:rFonts w:ascii="Times" w:hAnsi="Times"/>
          <w:b/>
          <w:bCs/>
          <w:i/>
          <w:iCs/>
          <w:sz w:val="20"/>
          <w:szCs w:val="20"/>
        </w:rPr>
        <w:t xml:space="preserve"> </w:t>
      </w:r>
      <w:r>
        <w:rPr>
          <w:rFonts w:ascii="Times" w:hAnsi="Times"/>
          <w:b/>
          <w:bCs/>
          <w:i/>
          <w:iCs/>
          <w:sz w:val="20"/>
          <w:szCs w:val="20"/>
        </w:rPr>
        <w:t>for 2014, but we were not a PFIC from 2015 through 2018, and we do not expect to be a PFIC for the foreseeable future.</w:t>
      </w:r>
      <w:r>
        <w:rPr>
          <w:rFonts w:ascii="Times" w:hAnsi="Times"/>
          <w:b/>
          <w:bCs/>
          <w:i/>
          <w:iCs/>
          <w:sz w:val="20"/>
          <w:szCs w:val="20"/>
        </w:rPr>
        <w:t xml:space="preserve"> </w:t>
      </w:r>
    </w:p>
    <w:p w14:paraId="3350E460" w14:textId="77777777" w:rsidR="00000000" w:rsidRDefault="00097612">
      <w:pPr>
        <w:pStyle w:val="a3"/>
        <w:spacing w:before="0" w:beforeAutospacing="0" w:after="0" w:afterAutospacing="0"/>
        <w:ind w:firstLine="720"/>
        <w:divId w:val="324552111"/>
        <w:rPr>
          <w:rFonts w:ascii="Times" w:hAnsi="Times"/>
          <w:sz w:val="20"/>
          <w:szCs w:val="20"/>
        </w:rPr>
      </w:pPr>
      <w:r>
        <w:rPr>
          <w:rFonts w:ascii="Times" w:hAnsi="Times"/>
          <w:sz w:val="20"/>
          <w:szCs w:val="20"/>
        </w:rPr>
        <w:t>For US federal income tax purposes, we generally would be classified as a PFIC for any taxable year if e</w:t>
      </w:r>
      <w:r>
        <w:rPr>
          <w:rFonts w:ascii="Times" w:hAnsi="Times"/>
          <w:sz w:val="20"/>
          <w:szCs w:val="20"/>
        </w:rPr>
        <w:t>ither (i) 75% or more of our gross income (including gross income of certain 25% or more owned corporate subsidiaries) is</w:t>
      </w:r>
      <w:r>
        <w:rPr>
          <w:rFonts w:ascii="Times" w:hAnsi="Times"/>
          <w:sz w:val="20"/>
          <w:szCs w:val="20"/>
        </w:rPr>
        <w:t xml:space="preserve"> </w:t>
      </w:r>
      <w:r>
        <w:rPr>
          <w:rFonts w:ascii="Times" w:hAnsi="Times"/>
          <w:sz w:val="20"/>
          <w:szCs w:val="20"/>
        </w:rPr>
        <w:t>“passive income”</w:t>
      </w:r>
      <w:r>
        <w:rPr>
          <w:rFonts w:ascii="Times" w:hAnsi="Times"/>
          <w:sz w:val="20"/>
          <w:szCs w:val="20"/>
        </w:rPr>
        <w:t xml:space="preserve"> </w:t>
      </w:r>
      <w:r>
        <w:rPr>
          <w:rFonts w:ascii="Times" w:hAnsi="Times"/>
          <w:sz w:val="20"/>
          <w:szCs w:val="20"/>
        </w:rPr>
        <w:t>(as defined for such purposes) or (ii) the average percentage of our assets (including the assets of certain 25% or m</w:t>
      </w:r>
      <w:r>
        <w:rPr>
          <w:rFonts w:ascii="Times" w:hAnsi="Times"/>
          <w:sz w:val="20"/>
          <w:szCs w:val="20"/>
        </w:rPr>
        <w:t>ore owned corporate subsidiaries) that produce passive income or that are held for the production of passive income is at least 50%. In addition, whether our Company will be a PFIC for any taxable year depends on our assets and income over the course of ea</w:t>
      </w:r>
      <w:r>
        <w:rPr>
          <w:rFonts w:ascii="Times" w:hAnsi="Times"/>
          <w:sz w:val="20"/>
          <w:szCs w:val="20"/>
        </w:rPr>
        <w:t>ch such taxable year and, as a result, cannot be predicted with certainty until after the end of the year.</w:t>
      </w:r>
      <w:r>
        <w:rPr>
          <w:rFonts w:ascii="Times" w:hAnsi="Times"/>
          <w:sz w:val="20"/>
          <w:szCs w:val="20"/>
        </w:rPr>
        <w:t xml:space="preserve"> </w:t>
      </w:r>
    </w:p>
    <w:p w14:paraId="415602C7" w14:textId="77777777" w:rsidR="00000000" w:rsidRDefault="00097612">
      <w:pPr>
        <w:pStyle w:val="a3"/>
        <w:spacing w:before="0" w:beforeAutospacing="0" w:after="0" w:afterAutospacing="0"/>
        <w:ind w:firstLine="720"/>
        <w:divId w:val="324552111"/>
        <w:rPr>
          <w:rFonts w:ascii="Times" w:hAnsi="Times"/>
          <w:sz w:val="20"/>
          <w:szCs w:val="20"/>
        </w:rPr>
      </w:pPr>
      <w:r>
        <w:rPr>
          <w:rFonts w:ascii="Times" w:hAnsi="Times"/>
          <w:sz w:val="20"/>
          <w:szCs w:val="20"/>
        </w:rPr>
        <w:t>​</w:t>
      </w:r>
    </w:p>
    <w:p w14:paraId="1BB56636" w14:textId="77777777" w:rsidR="00000000" w:rsidRDefault="00097612">
      <w:pPr>
        <w:pStyle w:val="a3"/>
        <w:spacing w:before="0" w:beforeAutospacing="0" w:after="0" w:afterAutospacing="0"/>
        <w:ind w:firstLine="720"/>
        <w:divId w:val="324552111"/>
        <w:rPr>
          <w:rFonts w:ascii="Times" w:hAnsi="Times"/>
          <w:sz w:val="20"/>
          <w:szCs w:val="20"/>
        </w:rPr>
      </w:pPr>
      <w:r>
        <w:rPr>
          <w:rFonts w:ascii="Times" w:hAnsi="Times"/>
          <w:sz w:val="20"/>
          <w:szCs w:val="20"/>
        </w:rPr>
        <w:t>Based upon our assets and income during the course of 2014, we believe that our Company and one of our Company’s wholly-owned subsidiaries, Therav</w:t>
      </w:r>
      <w:r>
        <w:rPr>
          <w:rFonts w:ascii="Times" w:hAnsi="Times"/>
          <w:sz w:val="20"/>
          <w:szCs w:val="20"/>
        </w:rPr>
        <w:t>ance Biopharma R&amp;D, Inc. was a PFIC for 2014. Based upon our assets and income from 2015 through 2018, we do not believe that our company is a PFIC during these four years. We do not expect to be a PFIC for the foreseeable future based on our current busin</w:t>
      </w:r>
      <w:r>
        <w:rPr>
          <w:rFonts w:ascii="Times" w:hAnsi="Times"/>
          <w:sz w:val="20"/>
          <w:szCs w:val="20"/>
        </w:rPr>
        <w:t xml:space="preserve">ess plans and current business model. For any taxable year (or portion thereof) in which our Company is a PFIC that is included in the holding period of a US holder, the US holder is generally subject to additional US federal income taxes plus an interest </w:t>
      </w:r>
      <w:r>
        <w:rPr>
          <w:rFonts w:ascii="Times" w:hAnsi="Times"/>
          <w:sz w:val="20"/>
          <w:szCs w:val="20"/>
        </w:rPr>
        <w:t xml:space="preserve">charge with respect to certain distributions from Theravance Biopharma or gain recognized on a sale of Theravance Biopharma shares. Similar rules would apply with respect to distributions from or gain recognized on an indirect sale of Theravance Biopharma </w:t>
      </w:r>
      <w:r>
        <w:rPr>
          <w:rFonts w:ascii="Times" w:hAnsi="Times"/>
          <w:sz w:val="20"/>
          <w:szCs w:val="20"/>
        </w:rPr>
        <w:t>Ireland Limited. US holders of our ordinary shares may have filed an election with respect to Company shares held at any time during 2014 to be treated as owning an interest in a</w:t>
      </w:r>
      <w:r>
        <w:rPr>
          <w:rFonts w:ascii="Times" w:hAnsi="Times"/>
          <w:sz w:val="20"/>
          <w:szCs w:val="20"/>
        </w:rPr>
        <w:t xml:space="preserve"> </w:t>
      </w:r>
      <w:r>
        <w:rPr>
          <w:rFonts w:ascii="Times" w:hAnsi="Times"/>
          <w:sz w:val="20"/>
          <w:szCs w:val="20"/>
        </w:rPr>
        <w:t>“qualified electing fund”</w:t>
      </w:r>
      <w:r>
        <w:rPr>
          <w:rFonts w:ascii="Times" w:hAnsi="Times"/>
          <w:sz w:val="20"/>
          <w:szCs w:val="20"/>
        </w:rPr>
        <w:t xml:space="preserve"> </w:t>
      </w:r>
      <w:r>
        <w:rPr>
          <w:rFonts w:ascii="Times" w:hAnsi="Times"/>
          <w:sz w:val="20"/>
          <w:szCs w:val="20"/>
        </w:rPr>
        <w:t>(“QEF”) or to</w:t>
      </w:r>
      <w:r>
        <w:rPr>
          <w:rFonts w:ascii="Times" w:hAnsi="Times"/>
          <w:sz w:val="20"/>
          <w:szCs w:val="20"/>
        </w:rPr>
        <w:t xml:space="preserve"> </w:t>
      </w:r>
      <w:r>
        <w:rPr>
          <w:rFonts w:ascii="Times" w:hAnsi="Times"/>
          <w:sz w:val="20"/>
          <w:szCs w:val="20"/>
        </w:rPr>
        <w:t>“mark to market”</w:t>
      </w:r>
      <w:r>
        <w:rPr>
          <w:rFonts w:ascii="Times" w:hAnsi="Times"/>
          <w:sz w:val="20"/>
          <w:szCs w:val="20"/>
        </w:rPr>
        <w:t xml:space="preserve"> </w:t>
      </w:r>
      <w:r>
        <w:rPr>
          <w:rFonts w:ascii="Times" w:hAnsi="Times"/>
          <w:sz w:val="20"/>
          <w:szCs w:val="20"/>
        </w:rPr>
        <w:t>their ordinary share</w:t>
      </w:r>
      <w:r>
        <w:rPr>
          <w:rFonts w:ascii="Times" w:hAnsi="Times"/>
          <w:sz w:val="20"/>
          <w:szCs w:val="20"/>
        </w:rPr>
        <w:t xml:space="preserve">s to avoid the otherwise applicable interest charge consequences of PFIC treatment with respect to our ordinary shares. A foreign corporation will not be treated as a QEF for any taxable year in which such foreign corporation is not treated as a PFIC. QEF </w:t>
      </w:r>
      <w:r>
        <w:rPr>
          <w:rFonts w:ascii="Times" w:hAnsi="Times"/>
          <w:sz w:val="20"/>
          <w:szCs w:val="20"/>
        </w:rPr>
        <w:t>and mark to market elections generally apply to the taxable year for which the election is made and all subsequent taxable years unless the election is revoked with consent of the Secretary of Treasury. US holders of our ordinary shares should consult thei</w:t>
      </w:r>
      <w:r>
        <w:rPr>
          <w:rFonts w:ascii="Times" w:hAnsi="Times"/>
          <w:sz w:val="20"/>
          <w:szCs w:val="20"/>
        </w:rPr>
        <w:t>r tax advisers regarding the tax reporting implications with respect to any QEF and mark to market elections made with respect to our company and with respect to their indirect interests in Theravance Biopharma R&amp;D, Inc.</w:t>
      </w:r>
      <w:r>
        <w:rPr>
          <w:rFonts w:ascii="Times" w:hAnsi="Times"/>
          <w:sz w:val="20"/>
          <w:szCs w:val="20"/>
        </w:rPr>
        <w:t xml:space="preserve"> </w:t>
      </w:r>
    </w:p>
    <w:p w14:paraId="191ED7E6" w14:textId="77777777" w:rsidR="00000000" w:rsidRDefault="00097612">
      <w:pPr>
        <w:pStyle w:val="a3"/>
        <w:spacing w:before="0" w:beforeAutospacing="0" w:after="0" w:afterAutospacing="0"/>
        <w:divId w:val="324552111"/>
        <w:rPr>
          <w:sz w:val="20"/>
          <w:szCs w:val="20"/>
        </w:rPr>
      </w:pPr>
      <w:r>
        <w:rPr>
          <w:sz w:val="20"/>
          <w:szCs w:val="20"/>
        </w:rPr>
        <w:t>​</w:t>
      </w:r>
    </w:p>
    <w:p w14:paraId="4F4D4176" w14:textId="77777777" w:rsidR="00000000" w:rsidRDefault="00097612">
      <w:pPr>
        <w:pStyle w:val="a3"/>
        <w:spacing w:before="360" w:beforeAutospacing="0" w:after="0" w:afterAutospacing="0"/>
        <w:jc w:val="center"/>
        <w:divId w:val="1737556857"/>
        <w:rPr>
          <w:sz w:val="20"/>
          <w:szCs w:val="20"/>
        </w:rPr>
      </w:pPr>
      <w:r>
        <w:rPr>
          <w:sz w:val="20"/>
          <w:szCs w:val="20"/>
        </w:rPr>
        <w:t>53</w:t>
      </w:r>
    </w:p>
    <w:p w14:paraId="61D51A77" w14:textId="77777777" w:rsidR="00000000" w:rsidRDefault="00097612">
      <w:pPr>
        <w:pStyle w:val="a3"/>
        <w:spacing w:before="0" w:beforeAutospacing="0" w:after="600" w:afterAutospacing="0"/>
        <w:divId w:val="1263496170"/>
        <w:rPr>
          <w:sz w:val="20"/>
          <w:szCs w:val="20"/>
        </w:rPr>
      </w:pPr>
      <w:hyperlink w:anchor="TOC" w:history="1">
        <w:r>
          <w:rPr>
            <w:rStyle w:val="a4"/>
            <w:sz w:val="20"/>
            <w:szCs w:val="20"/>
          </w:rPr>
          <w:t>Tab</w:t>
        </w:r>
        <w:r>
          <w:rPr>
            <w:rStyle w:val="a4"/>
            <w:sz w:val="20"/>
            <w:szCs w:val="20"/>
          </w:rPr>
          <w:t>le of Contents</w:t>
        </w:r>
      </w:hyperlink>
    </w:p>
    <w:p w14:paraId="476535D3" w14:textId="77777777" w:rsidR="00000000" w:rsidRDefault="00097612">
      <w:pPr>
        <w:pStyle w:val="a3"/>
        <w:spacing w:before="0" w:beforeAutospacing="0" w:after="120" w:afterAutospacing="0"/>
        <w:divId w:val="338655630"/>
        <w:rPr>
          <w:rFonts w:ascii="Times" w:hAnsi="Times"/>
          <w:b/>
          <w:bCs/>
          <w:i/>
          <w:iCs/>
          <w:sz w:val="20"/>
          <w:szCs w:val="20"/>
        </w:rPr>
      </w:pPr>
      <w:r>
        <w:rPr>
          <w:rFonts w:ascii="Times" w:hAnsi="Times"/>
          <w:b/>
          <w:bCs/>
          <w:i/>
          <w:iCs/>
          <w:sz w:val="20"/>
          <w:szCs w:val="20"/>
        </w:rPr>
        <w:t>If we are unable to maintain effective internal controls, our business, financial position and results of operations could be adversely affected.</w:t>
      </w:r>
      <w:r>
        <w:rPr>
          <w:rFonts w:ascii="Times" w:hAnsi="Times"/>
          <w:b/>
          <w:bCs/>
          <w:i/>
          <w:iCs/>
          <w:sz w:val="20"/>
          <w:szCs w:val="20"/>
        </w:rPr>
        <w:t xml:space="preserve"> </w:t>
      </w:r>
    </w:p>
    <w:p w14:paraId="10CEBD64" w14:textId="77777777" w:rsidR="00000000" w:rsidRDefault="00097612">
      <w:pPr>
        <w:pStyle w:val="a3"/>
        <w:spacing w:before="0" w:beforeAutospacing="0" w:after="0" w:afterAutospacing="0"/>
        <w:ind w:firstLine="720"/>
        <w:divId w:val="338655630"/>
        <w:rPr>
          <w:rFonts w:ascii="Times" w:hAnsi="Times"/>
          <w:sz w:val="20"/>
          <w:szCs w:val="20"/>
        </w:rPr>
      </w:pPr>
      <w:r>
        <w:rPr>
          <w:rFonts w:ascii="Times" w:hAnsi="Times"/>
          <w:sz w:val="20"/>
          <w:szCs w:val="20"/>
        </w:rPr>
        <w:t>If we are unable to maintain effective internal controls, our business, financial position and</w:t>
      </w:r>
      <w:r>
        <w:rPr>
          <w:rFonts w:ascii="Times" w:hAnsi="Times"/>
          <w:sz w:val="20"/>
          <w:szCs w:val="20"/>
        </w:rPr>
        <w:t xml:space="preserve"> results of operations could be adversely affected. We are subject to the reporting and other obligations under the Exchange Act, including the requirements of Section 404 of the Sarbanes-Oxley Act of 2002, which require annual management assessments of th</w:t>
      </w:r>
      <w:r>
        <w:rPr>
          <w:rFonts w:ascii="Times" w:hAnsi="Times"/>
          <w:sz w:val="20"/>
          <w:szCs w:val="20"/>
        </w:rPr>
        <w:t>e effectiveness of our internal control over financial reporting. Our management is responsible for establishing and maintaining adequate internal control over financial reporting as defined in Rules 13a-15(f) under the Exchange Act. Our internal control o</w:t>
      </w:r>
      <w:r>
        <w:rPr>
          <w:rFonts w:ascii="Times" w:hAnsi="Times"/>
          <w:sz w:val="20"/>
          <w:szCs w:val="20"/>
        </w:rPr>
        <w:t xml:space="preserve">ver financial reporting is a process designed to provide reasonable assurance regarding the reliability of financial reporting and the preparation of financial statements for external purposes in accordance with accounting principles generally accepted in </w:t>
      </w:r>
      <w:r>
        <w:rPr>
          <w:rFonts w:ascii="Times" w:hAnsi="Times"/>
          <w:sz w:val="20"/>
          <w:szCs w:val="20"/>
        </w:rPr>
        <w:t xml:space="preserve">the US. Any failure to achieve and maintain effective internal controls could have an adverse effect on our business, financial position and results of operations. In addition, our independent registered public accounting firm is required to attest to the </w:t>
      </w:r>
      <w:r>
        <w:rPr>
          <w:rFonts w:ascii="Times" w:hAnsi="Times"/>
          <w:sz w:val="20"/>
          <w:szCs w:val="20"/>
        </w:rPr>
        <w:t>effectiveness of our internal control over financial reporting annually. If our independent registered public accounting firm is unable to attest to the effectiveness of our internal control over financial reporting, investor confidence in our reported res</w:t>
      </w:r>
      <w:r>
        <w:rPr>
          <w:rFonts w:ascii="Times" w:hAnsi="Times"/>
          <w:sz w:val="20"/>
          <w:szCs w:val="20"/>
        </w:rPr>
        <w:t>ults will be harmed and the price of our securities may fall. These reporting and other obligations place significant demands on our management and administrative and operational resources, including accounting resources.</w:t>
      </w:r>
      <w:r>
        <w:rPr>
          <w:rFonts w:ascii="Times" w:hAnsi="Times"/>
          <w:sz w:val="20"/>
          <w:szCs w:val="20"/>
        </w:rPr>
        <w:t xml:space="preserve"> </w:t>
      </w:r>
    </w:p>
    <w:p w14:paraId="664461B8" w14:textId="77777777" w:rsidR="00000000" w:rsidRDefault="00097612">
      <w:pPr>
        <w:pStyle w:val="a3"/>
        <w:spacing w:before="0" w:beforeAutospacing="0" w:after="0" w:afterAutospacing="0"/>
        <w:ind w:firstLine="720"/>
        <w:divId w:val="338655630"/>
        <w:rPr>
          <w:rFonts w:ascii="Times" w:hAnsi="Times"/>
          <w:sz w:val="20"/>
          <w:szCs w:val="20"/>
        </w:rPr>
      </w:pPr>
      <w:r>
        <w:rPr>
          <w:rFonts w:ascii="Times" w:hAnsi="Times"/>
          <w:sz w:val="20"/>
          <w:szCs w:val="20"/>
        </w:rPr>
        <w:t>​</w:t>
      </w:r>
    </w:p>
    <w:p w14:paraId="6865B91E" w14:textId="77777777" w:rsidR="00000000" w:rsidRDefault="00097612">
      <w:pPr>
        <w:pStyle w:val="a3"/>
        <w:spacing w:before="0" w:beforeAutospacing="0" w:after="120" w:afterAutospacing="0"/>
        <w:divId w:val="338655630"/>
        <w:rPr>
          <w:rFonts w:ascii="Times" w:hAnsi="Times"/>
          <w:b/>
          <w:bCs/>
          <w:i/>
          <w:iCs/>
          <w:sz w:val="20"/>
          <w:szCs w:val="20"/>
        </w:rPr>
      </w:pPr>
      <w:r>
        <w:rPr>
          <w:rFonts w:ascii="Times" w:hAnsi="Times"/>
          <w:b/>
          <w:bCs/>
          <w:i/>
          <w:iCs/>
          <w:sz w:val="20"/>
          <w:szCs w:val="20"/>
        </w:rPr>
        <w:t>Agreements entered into with or</w:t>
      </w:r>
      <w:r>
        <w:rPr>
          <w:rFonts w:ascii="Times" w:hAnsi="Times"/>
          <w:b/>
          <w:bCs/>
          <w:i/>
          <w:iCs/>
          <w:sz w:val="20"/>
          <w:szCs w:val="20"/>
        </w:rPr>
        <w:t xml:space="preserve"> for the benefit of GSK in connection with the Spin-Off may significantly restrict our business and affairs.</w:t>
      </w:r>
      <w:r>
        <w:rPr>
          <w:rFonts w:ascii="Times" w:hAnsi="Times"/>
          <w:b/>
          <w:bCs/>
          <w:i/>
          <w:iCs/>
          <w:sz w:val="20"/>
          <w:szCs w:val="20"/>
        </w:rPr>
        <w:t xml:space="preserve"> </w:t>
      </w:r>
    </w:p>
    <w:p w14:paraId="217B959B" w14:textId="77777777" w:rsidR="00000000" w:rsidRDefault="00097612">
      <w:pPr>
        <w:pStyle w:val="a3"/>
        <w:spacing w:before="0" w:beforeAutospacing="0" w:after="0" w:afterAutospacing="0"/>
        <w:ind w:firstLine="720"/>
        <w:divId w:val="338655630"/>
        <w:rPr>
          <w:rFonts w:ascii="Times" w:hAnsi="Times"/>
          <w:sz w:val="20"/>
          <w:szCs w:val="20"/>
        </w:rPr>
      </w:pPr>
      <w:r>
        <w:rPr>
          <w:rFonts w:ascii="Times" w:hAnsi="Times"/>
          <w:sz w:val="20"/>
          <w:szCs w:val="20"/>
        </w:rPr>
        <w:t>On March 3, 2014, in connection with the Spin-Off, we, Innoviva and GSK entered into a number of agreements that may significantly restrict our bu</w:t>
      </w:r>
      <w:r>
        <w:rPr>
          <w:rFonts w:ascii="Times" w:hAnsi="Times"/>
          <w:sz w:val="20"/>
          <w:szCs w:val="20"/>
        </w:rPr>
        <w:t>siness and affairs. In particular, we, Innoviva and GSK entered into the Master Agreement which, among other things, requires GSK’s consent to make any changes to (i) a Separation and Distribution Agreement and ancillary agreements that would, individually</w:t>
      </w:r>
      <w:r>
        <w:rPr>
          <w:rFonts w:ascii="Times" w:hAnsi="Times"/>
          <w:sz w:val="20"/>
          <w:szCs w:val="20"/>
        </w:rPr>
        <w:t xml:space="preserve"> or in the aggregate, reasonably be expected to adversely affect GSK in any material respect or (ii) the TRC LLC Agreement, which consent is not to be unreasonably withheld, conditioned or delayed, provided that GSK may withhold, condition or delay such co</w:t>
      </w:r>
      <w:r>
        <w:rPr>
          <w:rFonts w:ascii="Times" w:hAnsi="Times"/>
          <w:sz w:val="20"/>
          <w:szCs w:val="20"/>
        </w:rPr>
        <w:t xml:space="preserve">nsent in its sole discretion with respect to certain sections of the TRC LLC Agreement and any changes to the governance structure of TRC, the confidentiality restrictions, the consent rights, and the transfer restrictions in the TRC LLC Agreement. We and </w:t>
      </w:r>
      <w:r>
        <w:rPr>
          <w:rFonts w:ascii="Times" w:hAnsi="Times"/>
          <w:sz w:val="20"/>
          <w:szCs w:val="20"/>
        </w:rPr>
        <w:t>GSK also entered into (i) the Governance Agreement that expired on December 31, 2017, (ii) a registration rights agreement that gives GSK certain registration rights with respect to our ordinary shares held by GSK and (iii) an extension agreement that exte</w:t>
      </w:r>
      <w:r>
        <w:rPr>
          <w:rFonts w:ascii="Times" w:hAnsi="Times"/>
          <w:sz w:val="20"/>
          <w:szCs w:val="20"/>
        </w:rPr>
        <w:t>nds to us certain restrictive covenants similar to those applicable to Innoviva under the GSK Agreements. There can be no assurance that these restrictions will not materially harm our business, particularly given that GSK’s interests may not be aligned wi</w:t>
      </w:r>
      <w:r>
        <w:rPr>
          <w:rFonts w:ascii="Times" w:hAnsi="Times"/>
          <w:sz w:val="20"/>
          <w:szCs w:val="20"/>
        </w:rPr>
        <w:t>th the interests of our business or our other shareholders.</w:t>
      </w:r>
      <w:r>
        <w:rPr>
          <w:rFonts w:ascii="Times" w:hAnsi="Times"/>
          <w:sz w:val="20"/>
          <w:szCs w:val="20"/>
        </w:rPr>
        <w:t xml:space="preserve"> </w:t>
      </w:r>
    </w:p>
    <w:p w14:paraId="1D272FC1" w14:textId="77777777" w:rsidR="00000000" w:rsidRDefault="00097612">
      <w:pPr>
        <w:pStyle w:val="a3"/>
        <w:spacing w:before="0" w:beforeAutospacing="0" w:after="0" w:afterAutospacing="0"/>
        <w:ind w:firstLine="720"/>
        <w:divId w:val="338655630"/>
        <w:rPr>
          <w:rFonts w:ascii="Times" w:hAnsi="Times"/>
          <w:sz w:val="20"/>
          <w:szCs w:val="20"/>
        </w:rPr>
      </w:pPr>
      <w:r>
        <w:rPr>
          <w:rFonts w:ascii="Times" w:hAnsi="Times"/>
          <w:sz w:val="20"/>
          <w:szCs w:val="20"/>
        </w:rPr>
        <w:t>​</w:t>
      </w:r>
    </w:p>
    <w:p w14:paraId="035FCDCB" w14:textId="77777777" w:rsidR="00000000" w:rsidRDefault="00097612">
      <w:pPr>
        <w:pStyle w:val="a3"/>
        <w:spacing w:before="0" w:beforeAutospacing="0" w:after="120" w:afterAutospacing="0"/>
        <w:divId w:val="338655630"/>
        <w:rPr>
          <w:rFonts w:ascii="Times" w:hAnsi="Times"/>
          <w:b/>
          <w:bCs/>
          <w:i/>
          <w:iCs/>
          <w:sz w:val="20"/>
          <w:szCs w:val="20"/>
        </w:rPr>
      </w:pPr>
      <w:r>
        <w:rPr>
          <w:rFonts w:ascii="Times" w:hAnsi="Times"/>
          <w:b/>
          <w:bCs/>
          <w:i/>
          <w:iCs/>
          <w:sz w:val="20"/>
          <w:szCs w:val="20"/>
        </w:rPr>
        <w:t>Certain of our directors and officers may have actual or potential conflicts of interest because of their equity ownership in Innoviva, which actual or potential conflicts may harm our business</w:t>
      </w:r>
      <w:r>
        <w:rPr>
          <w:rFonts w:ascii="Times" w:hAnsi="Times"/>
          <w:b/>
          <w:bCs/>
          <w:i/>
          <w:iCs/>
          <w:sz w:val="20"/>
          <w:szCs w:val="20"/>
        </w:rPr>
        <w:t>, prospects and financial condition and result in the diversion of corporate opportunities to Innoviva.</w:t>
      </w:r>
      <w:r>
        <w:rPr>
          <w:rFonts w:ascii="Times" w:hAnsi="Times"/>
          <w:b/>
          <w:bCs/>
          <w:i/>
          <w:iCs/>
          <w:sz w:val="20"/>
          <w:szCs w:val="20"/>
        </w:rPr>
        <w:t xml:space="preserve"> </w:t>
      </w:r>
    </w:p>
    <w:p w14:paraId="0D668D96" w14:textId="77777777" w:rsidR="00000000" w:rsidRDefault="00097612">
      <w:pPr>
        <w:pStyle w:val="a3"/>
        <w:spacing w:before="0" w:beforeAutospacing="0" w:after="0" w:afterAutospacing="0"/>
        <w:ind w:firstLine="720"/>
        <w:divId w:val="338655630"/>
        <w:rPr>
          <w:rFonts w:ascii="Times" w:hAnsi="Times"/>
          <w:sz w:val="20"/>
          <w:szCs w:val="20"/>
        </w:rPr>
      </w:pPr>
      <w:r>
        <w:rPr>
          <w:rFonts w:ascii="Times" w:hAnsi="Times"/>
          <w:sz w:val="20"/>
          <w:szCs w:val="20"/>
        </w:rPr>
        <w:t>Certain of our directors and executive officers hold shares of Innoviva’s common stock or rights to acquire such shares, and these holdings may be sign</w:t>
      </w:r>
      <w:r>
        <w:rPr>
          <w:rFonts w:ascii="Times" w:hAnsi="Times"/>
          <w:sz w:val="20"/>
          <w:szCs w:val="20"/>
        </w:rPr>
        <w:t xml:space="preserve">ificant for some of these individuals compared to their total assets. This ownership of Innoviva common stock by certain of our officers and directors may create, or may create the appearance of, conflicts of interest when these directors and officers are </w:t>
      </w:r>
      <w:r>
        <w:rPr>
          <w:rFonts w:ascii="Times" w:hAnsi="Times"/>
          <w:sz w:val="20"/>
          <w:szCs w:val="20"/>
        </w:rPr>
        <w:t>faced with decisions that could have different implications for Innoviva and for us. For example, potential or actual conflicts could arise relating to: our relationship with Innoviva, including Innoviva’s and our respective rights and obligations under ag</w:t>
      </w:r>
      <w:r>
        <w:rPr>
          <w:rFonts w:ascii="Times" w:hAnsi="Times"/>
          <w:sz w:val="20"/>
          <w:szCs w:val="20"/>
        </w:rPr>
        <w:t>reements entered into in connection with the Spin-Off; Innoviva’s management of TRC, particularly given that we and Innoviva have different economic interests in TRC; and corporate opportunities that may be available to both companies in the future. Althou</w:t>
      </w:r>
      <w:r>
        <w:rPr>
          <w:rFonts w:ascii="Times" w:hAnsi="Times"/>
          <w:sz w:val="20"/>
          <w:szCs w:val="20"/>
        </w:rPr>
        <w:t>gh we and Innoviva have implemented policies and procedures to identify and properly address such potential and actual conflicts of interest, there can be no assurance that, when such conflicts are resolved in accordance with applicable laws, such conflict</w:t>
      </w:r>
      <w:r>
        <w:rPr>
          <w:rFonts w:ascii="Times" w:hAnsi="Times"/>
          <w:sz w:val="20"/>
          <w:szCs w:val="20"/>
        </w:rPr>
        <w:t>s of interest will not harm our business, prospects and financial condition and result in the diversion of corporate opportunities to Innoviva.</w:t>
      </w:r>
      <w:r>
        <w:rPr>
          <w:rFonts w:ascii="Times" w:hAnsi="Times"/>
          <w:sz w:val="20"/>
          <w:szCs w:val="20"/>
        </w:rPr>
        <w:t xml:space="preserve"> </w:t>
      </w:r>
    </w:p>
    <w:p w14:paraId="325266BF" w14:textId="77777777" w:rsidR="00000000" w:rsidRDefault="00097612">
      <w:pPr>
        <w:pStyle w:val="a3"/>
        <w:spacing w:before="0" w:beforeAutospacing="0" w:after="0" w:afterAutospacing="0"/>
        <w:divId w:val="338655630"/>
        <w:rPr>
          <w:sz w:val="20"/>
          <w:szCs w:val="20"/>
        </w:rPr>
      </w:pPr>
      <w:r>
        <w:rPr>
          <w:sz w:val="20"/>
          <w:szCs w:val="20"/>
        </w:rPr>
        <w:t>​</w:t>
      </w:r>
    </w:p>
    <w:p w14:paraId="1E3C6A28" w14:textId="77777777" w:rsidR="00000000" w:rsidRDefault="00097612">
      <w:pPr>
        <w:pStyle w:val="a3"/>
        <w:spacing w:before="0" w:beforeAutospacing="0" w:after="120" w:afterAutospacing="0"/>
        <w:divId w:val="338655630"/>
        <w:rPr>
          <w:rFonts w:ascii="Times" w:hAnsi="Times"/>
          <w:b/>
          <w:bCs/>
          <w:i/>
          <w:iCs/>
          <w:sz w:val="20"/>
          <w:szCs w:val="20"/>
        </w:rPr>
      </w:pPr>
      <w:r>
        <w:rPr>
          <w:rFonts w:ascii="Times" w:hAnsi="Times"/>
          <w:b/>
          <w:bCs/>
          <w:i/>
          <w:iCs/>
          <w:sz w:val="20"/>
          <w:szCs w:val="20"/>
        </w:rPr>
        <w:t>If we are required to indemnify Innoviva or Cumberland, or if we are not able to enforce our indemnification rights against Innoviva or Cumberland, our business prospects and financial condition may be harmed.</w:t>
      </w:r>
      <w:r>
        <w:rPr>
          <w:rFonts w:ascii="Times" w:hAnsi="Times"/>
          <w:b/>
          <w:bCs/>
          <w:i/>
          <w:iCs/>
          <w:sz w:val="20"/>
          <w:szCs w:val="20"/>
        </w:rPr>
        <w:t xml:space="preserve"> </w:t>
      </w:r>
    </w:p>
    <w:p w14:paraId="0EC13FED" w14:textId="77777777" w:rsidR="00000000" w:rsidRDefault="00097612">
      <w:pPr>
        <w:pStyle w:val="a3"/>
        <w:spacing w:before="0" w:beforeAutospacing="0" w:after="0" w:afterAutospacing="0"/>
        <w:ind w:firstLine="720"/>
        <w:divId w:val="338655630"/>
        <w:rPr>
          <w:rFonts w:ascii="Times" w:hAnsi="Times"/>
          <w:sz w:val="20"/>
          <w:szCs w:val="20"/>
        </w:rPr>
      </w:pPr>
      <w:r>
        <w:rPr>
          <w:rFonts w:ascii="Times" w:hAnsi="Times"/>
          <w:sz w:val="20"/>
          <w:szCs w:val="20"/>
        </w:rPr>
        <w:t>We agreed to indemnify Innoviva from and afte</w:t>
      </w:r>
      <w:r>
        <w:rPr>
          <w:rFonts w:ascii="Times" w:hAnsi="Times"/>
          <w:sz w:val="20"/>
          <w:szCs w:val="20"/>
        </w:rPr>
        <w:t>r the Spin-Off with respect to (i) all debts, liabilities and obligations transferred to us in connection with the Spin-Off (including our failure to pay, perform or otherwise promptly discharge any such debts, liabilities or obligations after the Spin-Off</w:t>
      </w:r>
      <w:r>
        <w:rPr>
          <w:rFonts w:ascii="Times" w:hAnsi="Times"/>
          <w:sz w:val="20"/>
          <w:szCs w:val="20"/>
        </w:rPr>
        <w:t>), (ii) any misstatement or omission of a material fact resulting in a</w:t>
      </w:r>
      <w:r>
        <w:rPr>
          <w:rFonts w:ascii="Times" w:hAnsi="Times"/>
          <w:sz w:val="20"/>
          <w:szCs w:val="20"/>
        </w:rPr>
        <w:t xml:space="preserve"> </w:t>
      </w:r>
    </w:p>
    <w:p w14:paraId="26BE0DD6" w14:textId="77777777" w:rsidR="00000000" w:rsidRDefault="00097612">
      <w:pPr>
        <w:pStyle w:val="a3"/>
        <w:spacing w:before="360" w:beforeAutospacing="0" w:after="0" w:afterAutospacing="0"/>
        <w:jc w:val="center"/>
        <w:divId w:val="1627198801"/>
        <w:rPr>
          <w:sz w:val="20"/>
          <w:szCs w:val="20"/>
        </w:rPr>
      </w:pPr>
      <w:r>
        <w:rPr>
          <w:sz w:val="20"/>
          <w:szCs w:val="20"/>
        </w:rPr>
        <w:t>54</w:t>
      </w:r>
    </w:p>
    <w:p w14:paraId="6425A10F" w14:textId="77777777" w:rsidR="00000000" w:rsidRDefault="00097612">
      <w:pPr>
        <w:pStyle w:val="a3"/>
        <w:spacing w:before="0" w:beforeAutospacing="0" w:after="600" w:afterAutospacing="0"/>
        <w:divId w:val="398939286"/>
        <w:rPr>
          <w:sz w:val="20"/>
          <w:szCs w:val="20"/>
        </w:rPr>
      </w:pPr>
      <w:hyperlink w:anchor="TOC" w:history="1">
        <w:r>
          <w:rPr>
            <w:rStyle w:val="a4"/>
            <w:sz w:val="20"/>
            <w:szCs w:val="20"/>
          </w:rPr>
          <w:t>Table of Contents</w:t>
        </w:r>
      </w:hyperlink>
    </w:p>
    <w:p w14:paraId="12A09FE2" w14:textId="77777777" w:rsidR="00000000" w:rsidRDefault="00097612">
      <w:pPr>
        <w:pStyle w:val="a3"/>
        <w:spacing w:before="0" w:beforeAutospacing="0" w:after="0" w:afterAutospacing="0"/>
        <w:divId w:val="318731305"/>
        <w:rPr>
          <w:rFonts w:ascii="Times" w:hAnsi="Times"/>
          <w:sz w:val="20"/>
          <w:szCs w:val="20"/>
        </w:rPr>
      </w:pPr>
      <w:r>
        <w:rPr>
          <w:rFonts w:ascii="Times" w:hAnsi="Times"/>
          <w:sz w:val="20"/>
          <w:szCs w:val="20"/>
        </w:rPr>
        <w:t>misleading statement in our Information Statement distributed to Innoviva stockholders in connection with the Spin-Off and (iii) any brea</w:t>
      </w:r>
      <w:r>
        <w:rPr>
          <w:rFonts w:ascii="Times" w:hAnsi="Times"/>
          <w:sz w:val="20"/>
          <w:szCs w:val="20"/>
        </w:rPr>
        <w:t>ch by us of certain agreements entered into with Innoviva in connection with the Spin-Off (namely, the Separation and Distribution Agreement, a Transition Services Agreement, an Employee Matters Agreement, a Tax Matters Agreement, and a Facility Sublease A</w:t>
      </w:r>
      <w:r>
        <w:rPr>
          <w:rFonts w:ascii="Times" w:hAnsi="Times"/>
          <w:sz w:val="20"/>
          <w:szCs w:val="20"/>
        </w:rPr>
        <w:t>greement). We are not aware of any existing indemnification obligations at this time, but any such indemnification obligations that may arise could be significant. Under the terms of the Separation and Distribution Agreement, Innoviva agreed to indemnify u</w:t>
      </w:r>
      <w:r>
        <w:rPr>
          <w:rFonts w:ascii="Times" w:hAnsi="Times"/>
          <w:sz w:val="20"/>
          <w:szCs w:val="20"/>
        </w:rPr>
        <w:t>s from and after the Spin-Off with respect to (i) all debts, liabilities and obligations retained by Innoviva after the Spin-Off (including its failure to pay, perform or otherwise promptly discharge any such debts, liabilities or obligations after the Spi</w:t>
      </w:r>
      <w:r>
        <w:rPr>
          <w:rFonts w:ascii="Times" w:hAnsi="Times"/>
          <w:sz w:val="20"/>
          <w:szCs w:val="20"/>
        </w:rPr>
        <w:t>n-Off) and (ii) any breach by Innoviva of the Separation and Distribution Agreement, the Transition Services Agreement, the Employee Matters Agreement, the Tax Matters Agreement, and the Facility Sublease Agreement. Our and Innoviva’s ability to satisfy th</w:t>
      </w:r>
      <w:r>
        <w:rPr>
          <w:rFonts w:ascii="Times" w:hAnsi="Times"/>
          <w:sz w:val="20"/>
          <w:szCs w:val="20"/>
        </w:rPr>
        <w:t>ese indemnities, if called upon to do so, will depend upon our and Innoviva’s future financial strength. If we are required to indemnify Innoviva, or if we are not able to enforce our indemnification rights against Innoviva, our business prospects and fina</w:t>
      </w:r>
      <w:r>
        <w:rPr>
          <w:rFonts w:ascii="Times" w:hAnsi="Times"/>
          <w:sz w:val="20"/>
          <w:szCs w:val="20"/>
        </w:rPr>
        <w:t>ncial condition may be harmed.</w:t>
      </w:r>
      <w:r>
        <w:rPr>
          <w:rFonts w:ascii="Times" w:hAnsi="Times"/>
          <w:sz w:val="20"/>
          <w:szCs w:val="20"/>
        </w:rPr>
        <w:t xml:space="preserve"> </w:t>
      </w:r>
    </w:p>
    <w:p w14:paraId="37225600" w14:textId="77777777" w:rsidR="00000000" w:rsidRDefault="00097612">
      <w:pPr>
        <w:pStyle w:val="a3"/>
        <w:spacing w:before="0" w:beforeAutospacing="0" w:after="0" w:afterAutospacing="0"/>
        <w:ind w:firstLine="720"/>
        <w:divId w:val="318731305"/>
        <w:rPr>
          <w:rFonts w:ascii="Times" w:hAnsi="Times"/>
          <w:sz w:val="20"/>
          <w:szCs w:val="20"/>
        </w:rPr>
      </w:pPr>
      <w:r>
        <w:rPr>
          <w:rFonts w:ascii="Times" w:hAnsi="Times"/>
          <w:sz w:val="20"/>
          <w:szCs w:val="20"/>
        </w:rPr>
        <w:t>​</w:t>
      </w:r>
    </w:p>
    <w:p w14:paraId="3B4A20FB" w14:textId="77777777" w:rsidR="00000000" w:rsidRDefault="00097612">
      <w:pPr>
        <w:pStyle w:val="a3"/>
        <w:spacing w:before="0" w:beforeAutospacing="0" w:after="0" w:afterAutospacing="0"/>
        <w:ind w:firstLine="720"/>
        <w:divId w:val="318731305"/>
        <w:rPr>
          <w:rFonts w:ascii="Times" w:hAnsi="Times"/>
          <w:sz w:val="20"/>
          <w:szCs w:val="20"/>
        </w:rPr>
      </w:pPr>
      <w:r>
        <w:rPr>
          <w:rFonts w:ascii="Times" w:hAnsi="Times"/>
          <w:sz w:val="20"/>
          <w:szCs w:val="20"/>
        </w:rPr>
        <w:t>In addition, the agreement relating to the sale of VIBATIV to Cumberland contains indemnification obligations of both us and Cumberland.</w:t>
      </w:r>
      <w:r>
        <w:rPr>
          <w:rFonts w:ascii="Times" w:hAnsi="Times"/>
          <w:sz w:val="20"/>
          <w:szCs w:val="20"/>
        </w:rPr>
        <w:t xml:space="preserve"> </w:t>
      </w:r>
      <w:r>
        <w:rPr>
          <w:rFonts w:ascii="Times" w:hAnsi="Times"/>
          <w:sz w:val="20"/>
          <w:szCs w:val="20"/>
        </w:rPr>
        <w:t>If we are required to indemnify Cumberland or if we are unable to enforce our indemni</w:t>
      </w:r>
      <w:r>
        <w:rPr>
          <w:rFonts w:ascii="Times" w:hAnsi="Times"/>
          <w:sz w:val="20"/>
          <w:szCs w:val="20"/>
        </w:rPr>
        <w:t>fication rights against Cumberland for any reason, our business and financial condition may be harmed.</w:t>
      </w:r>
      <w:r>
        <w:rPr>
          <w:rFonts w:ascii="Times" w:hAnsi="Times"/>
          <w:sz w:val="20"/>
          <w:szCs w:val="20"/>
        </w:rPr>
        <w:t xml:space="preserve"> </w:t>
      </w:r>
    </w:p>
    <w:p w14:paraId="25E01500" w14:textId="77777777" w:rsidR="00000000" w:rsidRDefault="00097612">
      <w:pPr>
        <w:pStyle w:val="a3"/>
        <w:spacing w:before="0" w:beforeAutospacing="0" w:after="0" w:afterAutospacing="0"/>
        <w:ind w:firstLine="720"/>
        <w:divId w:val="318731305"/>
        <w:rPr>
          <w:rFonts w:ascii="Times" w:hAnsi="Times"/>
          <w:sz w:val="20"/>
          <w:szCs w:val="20"/>
        </w:rPr>
      </w:pPr>
      <w:r>
        <w:rPr>
          <w:rFonts w:ascii="Times" w:hAnsi="Times"/>
          <w:sz w:val="20"/>
          <w:szCs w:val="20"/>
        </w:rPr>
        <w:t>​</w:t>
      </w:r>
    </w:p>
    <w:p w14:paraId="20927658" w14:textId="77777777" w:rsidR="00000000" w:rsidRDefault="00097612">
      <w:pPr>
        <w:pStyle w:val="a3"/>
        <w:spacing w:before="0" w:beforeAutospacing="0" w:after="0" w:afterAutospacing="0"/>
        <w:divId w:val="318731305"/>
        <w:rPr>
          <w:sz w:val="20"/>
          <w:szCs w:val="20"/>
        </w:rPr>
      </w:pPr>
      <w:r>
        <w:rPr>
          <w:b/>
          <w:bCs/>
          <w:i/>
          <w:iCs/>
          <w:sz w:val="20"/>
          <w:szCs w:val="20"/>
        </w:rPr>
        <w:t>We commenced a workforce restructuring during the first quarter of 2019 to focus our efforts on our key programs. Even after giving effect to this res</w:t>
      </w:r>
      <w:r>
        <w:rPr>
          <w:b/>
          <w:bCs/>
          <w:i/>
          <w:iCs/>
          <w:sz w:val="20"/>
          <w:szCs w:val="20"/>
        </w:rPr>
        <w:t>tructuring, we will not have sufficient cash to fully execute on our key programs, and the restructuring may impact our ability to execute our business plan.</w:t>
      </w:r>
    </w:p>
    <w:p w14:paraId="2DD2E38A" w14:textId="77777777" w:rsidR="00000000" w:rsidRDefault="00097612">
      <w:pPr>
        <w:pStyle w:val="a3"/>
        <w:spacing w:before="0" w:beforeAutospacing="0" w:after="0" w:afterAutospacing="0"/>
        <w:divId w:val="318731305"/>
        <w:rPr>
          <w:sz w:val="10"/>
          <w:szCs w:val="10"/>
        </w:rPr>
      </w:pPr>
      <w:r>
        <w:rPr>
          <w:sz w:val="10"/>
          <w:szCs w:val="10"/>
        </w:rPr>
        <w:t> </w:t>
      </w:r>
    </w:p>
    <w:p w14:paraId="0E6FE93F" w14:textId="77777777" w:rsidR="00000000" w:rsidRDefault="00097612">
      <w:pPr>
        <w:pStyle w:val="a3"/>
        <w:spacing w:before="0" w:beforeAutospacing="0" w:after="0" w:afterAutospacing="0"/>
        <w:ind w:firstLine="720"/>
        <w:divId w:val="318731305"/>
        <w:rPr>
          <w:sz w:val="20"/>
          <w:szCs w:val="20"/>
        </w:rPr>
      </w:pPr>
      <w:r>
        <w:rPr>
          <w:sz w:val="20"/>
          <w:szCs w:val="20"/>
        </w:rPr>
        <w:t>During the first quarter of 2019, we commenced a workforce restructuring involving the reduction</w:t>
      </w:r>
      <w:r>
        <w:rPr>
          <w:sz w:val="20"/>
          <w:szCs w:val="20"/>
        </w:rPr>
        <w:t xml:space="preserve"> of our overall headcount by 51 individuals, with affected employees primarily focused on early research or the infrastructure in support of VIBATIV. There can be no assurance that we will be able to reduce spending as planned or that unanticipated costs w</w:t>
      </w:r>
      <w:r>
        <w:rPr>
          <w:sz w:val="20"/>
          <w:szCs w:val="20"/>
        </w:rPr>
        <w:t>ill not occur. Our restructuring efforts to focus on key programs may not prove successful due to a variety of factors, including, without limitation, risks that a smaller workforce may have difficulty achieving our goals. In addition, we may in the future</w:t>
      </w:r>
      <w:r>
        <w:rPr>
          <w:sz w:val="20"/>
          <w:szCs w:val="20"/>
        </w:rPr>
        <w:t xml:space="preserve"> decide to restructure operations and reduce expenses further by taking such measures as additional reductions in our workforce and program spending. Any restructuring places a substantial strain on remaining management and employees and on operational res</w:t>
      </w:r>
      <w:r>
        <w:rPr>
          <w:sz w:val="20"/>
          <w:szCs w:val="20"/>
        </w:rPr>
        <w:t xml:space="preserve">ources and there is a risk that our business will be adversely affected by the diversion of management time to the restructuring efforts. </w:t>
      </w:r>
    </w:p>
    <w:p w14:paraId="7653CDA1" w14:textId="77777777" w:rsidR="00000000" w:rsidRDefault="00097612">
      <w:pPr>
        <w:pStyle w:val="a3"/>
        <w:spacing w:before="0" w:beforeAutospacing="0" w:after="0" w:afterAutospacing="0"/>
        <w:divId w:val="318731305"/>
        <w:rPr>
          <w:sz w:val="20"/>
          <w:szCs w:val="20"/>
        </w:rPr>
      </w:pPr>
      <w:r>
        <w:rPr>
          <w:rFonts w:ascii="Times" w:hAnsi="Times"/>
          <w:b/>
          <w:bCs/>
          <w:sz w:val="20"/>
          <w:szCs w:val="20"/>
        </w:rPr>
        <w:t>​</w:t>
      </w:r>
    </w:p>
    <w:p w14:paraId="08049F17" w14:textId="77777777" w:rsidR="00000000" w:rsidRDefault="00097612">
      <w:pPr>
        <w:pStyle w:val="a3"/>
        <w:spacing w:before="0" w:beforeAutospacing="0" w:after="240" w:afterAutospacing="0"/>
        <w:ind w:hanging="202"/>
        <w:divId w:val="318731305"/>
        <w:rPr>
          <w:sz w:val="20"/>
          <w:szCs w:val="20"/>
        </w:rPr>
      </w:pPr>
      <w:r>
        <w:rPr>
          <w:rFonts w:ascii="Times" w:hAnsi="Times"/>
          <w:b/>
          <w:bCs/>
          <w:sz w:val="20"/>
          <w:szCs w:val="20"/>
        </w:rPr>
        <w:t>RISKS RELATED TO LEGAL AND REGULATORY UNCERTAINTY</w:t>
      </w:r>
      <w:r>
        <w:rPr>
          <w:rFonts w:ascii="Times" w:hAnsi="Times"/>
          <w:b/>
          <w:bCs/>
          <w:sz w:val="20"/>
          <w:szCs w:val="20"/>
        </w:rPr>
        <w:t xml:space="preserve"> </w:t>
      </w:r>
    </w:p>
    <w:p w14:paraId="3457E3BD" w14:textId="77777777" w:rsidR="00000000" w:rsidRDefault="00097612">
      <w:pPr>
        <w:pStyle w:val="a3"/>
        <w:spacing w:before="0" w:beforeAutospacing="0" w:after="120" w:afterAutospacing="0"/>
        <w:divId w:val="318731305"/>
        <w:rPr>
          <w:rFonts w:ascii="Times" w:hAnsi="Times"/>
          <w:b/>
          <w:bCs/>
          <w:i/>
          <w:iCs/>
          <w:sz w:val="20"/>
          <w:szCs w:val="20"/>
        </w:rPr>
      </w:pPr>
      <w:r>
        <w:rPr>
          <w:rFonts w:ascii="Times" w:hAnsi="Times"/>
          <w:b/>
          <w:bCs/>
          <w:i/>
          <w:iCs/>
          <w:sz w:val="20"/>
          <w:szCs w:val="20"/>
        </w:rPr>
        <w:t>If our efforts to protect the proprietary nature of the intellec</w:t>
      </w:r>
      <w:r>
        <w:rPr>
          <w:rFonts w:ascii="Times" w:hAnsi="Times"/>
          <w:b/>
          <w:bCs/>
          <w:i/>
          <w:iCs/>
          <w:sz w:val="20"/>
          <w:szCs w:val="20"/>
        </w:rPr>
        <w:t>tual property related to our technologies are not adequate, we may not be able to compete effectively in our current or future markets.</w:t>
      </w:r>
      <w:r>
        <w:rPr>
          <w:rFonts w:ascii="Times" w:hAnsi="Times"/>
          <w:b/>
          <w:bCs/>
          <w:i/>
          <w:iCs/>
          <w:sz w:val="20"/>
          <w:szCs w:val="20"/>
        </w:rPr>
        <w:t xml:space="preserve"> </w:t>
      </w:r>
    </w:p>
    <w:p w14:paraId="2AC88DD9" w14:textId="77777777" w:rsidR="00000000" w:rsidRDefault="00097612">
      <w:pPr>
        <w:pStyle w:val="a3"/>
        <w:spacing w:before="0" w:beforeAutospacing="0" w:after="0" w:afterAutospacing="0"/>
        <w:ind w:firstLine="720"/>
        <w:divId w:val="318731305"/>
        <w:rPr>
          <w:rFonts w:ascii="Times" w:hAnsi="Times"/>
          <w:sz w:val="20"/>
          <w:szCs w:val="20"/>
        </w:rPr>
      </w:pPr>
      <w:r>
        <w:rPr>
          <w:rFonts w:ascii="Times" w:hAnsi="Times"/>
          <w:sz w:val="20"/>
          <w:szCs w:val="20"/>
        </w:rPr>
        <w:t>We rely upon a combination of patents, patent applications, trade secret protection and confidentiality agreements to p</w:t>
      </w:r>
      <w:r>
        <w:rPr>
          <w:rFonts w:ascii="Times" w:hAnsi="Times"/>
          <w:sz w:val="20"/>
          <w:szCs w:val="20"/>
        </w:rPr>
        <w:t>rotect the intellectual property related to our technologies. Any involuntary disclosure to or misappropriation by third parties of this proprietary information could enable competitors to quickly duplicate or surpass our technological achievements, thus e</w:t>
      </w:r>
      <w:r>
        <w:rPr>
          <w:rFonts w:ascii="Times" w:hAnsi="Times"/>
          <w:sz w:val="20"/>
          <w:szCs w:val="20"/>
        </w:rPr>
        <w:t>roding our competitive position in our market. The status of patents in the biotechnology and pharmaceutical field involves complex legal and scientific questions and is very uncertain. As of September 30, 2019, we owned 437 issued US patents and 1,576 gra</w:t>
      </w:r>
      <w:r>
        <w:rPr>
          <w:rFonts w:ascii="Times" w:hAnsi="Times"/>
          <w:sz w:val="20"/>
          <w:szCs w:val="20"/>
        </w:rPr>
        <w:t>nted foreign patents, as well as additional pending US and foreign patent applications. Our patent applications may be challenged or fail to result in issued patents and our existing or future patents may be invalidated or be too narrow to prevent third pa</w:t>
      </w:r>
      <w:r>
        <w:rPr>
          <w:rFonts w:ascii="Times" w:hAnsi="Times"/>
          <w:sz w:val="20"/>
          <w:szCs w:val="20"/>
        </w:rPr>
        <w:t>rties from developing or designing around these patents. If the sufficiency of the breadth or strength of protection provided by our patents with respect to a product candidate is threatened, it could dissuade companies from collaborating with us to develo</w:t>
      </w:r>
      <w:r>
        <w:rPr>
          <w:rFonts w:ascii="Times" w:hAnsi="Times"/>
          <w:sz w:val="20"/>
          <w:szCs w:val="20"/>
        </w:rPr>
        <w:t>p product candidates and threaten our ability to commercialize products. Further, if we encounter delays in our clinical trials or in obtaining regulatory approval of our product candidates, the patent lives of the related product candidates would be reduc</w:t>
      </w:r>
      <w:r>
        <w:rPr>
          <w:rFonts w:ascii="Times" w:hAnsi="Times"/>
          <w:sz w:val="20"/>
          <w:szCs w:val="20"/>
        </w:rPr>
        <w:t>ed.</w:t>
      </w:r>
      <w:r>
        <w:rPr>
          <w:rFonts w:ascii="Times" w:hAnsi="Times"/>
          <w:sz w:val="20"/>
          <w:szCs w:val="20"/>
        </w:rPr>
        <w:t xml:space="preserve"> </w:t>
      </w:r>
    </w:p>
    <w:p w14:paraId="6AF67C8B" w14:textId="77777777" w:rsidR="00000000" w:rsidRDefault="00097612">
      <w:pPr>
        <w:pStyle w:val="a3"/>
        <w:spacing w:before="0" w:beforeAutospacing="0" w:after="0" w:afterAutospacing="0"/>
        <w:ind w:firstLine="720"/>
        <w:divId w:val="318731305"/>
        <w:rPr>
          <w:rFonts w:ascii="Times" w:hAnsi="Times"/>
          <w:sz w:val="20"/>
          <w:szCs w:val="20"/>
        </w:rPr>
      </w:pPr>
      <w:r>
        <w:rPr>
          <w:rFonts w:ascii="Times" w:hAnsi="Times"/>
          <w:sz w:val="20"/>
          <w:szCs w:val="20"/>
        </w:rPr>
        <w:t>​</w:t>
      </w:r>
    </w:p>
    <w:p w14:paraId="0D14E1FA" w14:textId="77777777" w:rsidR="00000000" w:rsidRDefault="00097612">
      <w:pPr>
        <w:pStyle w:val="a3"/>
        <w:spacing w:before="0" w:beforeAutospacing="0" w:after="0" w:afterAutospacing="0"/>
        <w:ind w:firstLine="720"/>
        <w:divId w:val="318731305"/>
        <w:rPr>
          <w:rFonts w:ascii="Times" w:hAnsi="Times"/>
          <w:sz w:val="20"/>
          <w:szCs w:val="20"/>
        </w:rPr>
      </w:pPr>
      <w:r>
        <w:rPr>
          <w:rFonts w:ascii="Times" w:hAnsi="Times"/>
          <w:sz w:val="20"/>
          <w:szCs w:val="20"/>
        </w:rPr>
        <w:t>In addition, we rely on trade secret protection and confidentiality agreements to protect proprietary know-how that is not patentable, for processes for which patents are difficult to enforce and for any other elements of our drug discovery and deve</w:t>
      </w:r>
      <w:r>
        <w:rPr>
          <w:rFonts w:ascii="Times" w:hAnsi="Times"/>
          <w:sz w:val="20"/>
          <w:szCs w:val="20"/>
        </w:rPr>
        <w:t>lopment processes that involve proprietary know-how, information and technology that is not covered by patent applications. Although</w:t>
      </w:r>
      <w:r>
        <w:rPr>
          <w:rFonts w:ascii="Times" w:hAnsi="Times"/>
          <w:sz w:val="20"/>
          <w:szCs w:val="20"/>
        </w:rPr>
        <w:t xml:space="preserve"> </w:t>
      </w:r>
      <w:r>
        <w:rPr>
          <w:rFonts w:ascii="Times" w:hAnsi="Times"/>
          <w:sz w:val="20"/>
          <w:szCs w:val="20"/>
        </w:rPr>
        <w:t>we require our employees, consultants, advisors and any third parties who have access to our proprietary know-how, informat</w:t>
      </w:r>
      <w:r>
        <w:rPr>
          <w:rFonts w:ascii="Times" w:hAnsi="Times"/>
          <w:sz w:val="20"/>
          <w:szCs w:val="20"/>
        </w:rPr>
        <w:t>ion and technology to enter into confidentiality agreements, we cannot be certain that this know-how, information and technology will not be misappropriated, disclosed or used for unauthorized purposes or that</w:t>
      </w:r>
      <w:r>
        <w:rPr>
          <w:rFonts w:ascii="Times" w:hAnsi="Times"/>
          <w:sz w:val="20"/>
          <w:szCs w:val="20"/>
        </w:rPr>
        <w:t xml:space="preserve"> </w:t>
      </w:r>
    </w:p>
    <w:p w14:paraId="752DE27F" w14:textId="77777777" w:rsidR="00000000" w:rsidRDefault="00097612">
      <w:pPr>
        <w:pStyle w:val="a3"/>
        <w:spacing w:before="360" w:beforeAutospacing="0" w:after="0" w:afterAutospacing="0"/>
        <w:jc w:val="center"/>
        <w:divId w:val="111675131"/>
        <w:rPr>
          <w:sz w:val="20"/>
          <w:szCs w:val="20"/>
        </w:rPr>
      </w:pPr>
      <w:r>
        <w:rPr>
          <w:sz w:val="20"/>
          <w:szCs w:val="20"/>
        </w:rPr>
        <w:t>55</w:t>
      </w:r>
    </w:p>
    <w:p w14:paraId="7C57288E" w14:textId="77777777" w:rsidR="00000000" w:rsidRDefault="00097612">
      <w:pPr>
        <w:pStyle w:val="a3"/>
        <w:spacing w:before="0" w:beforeAutospacing="0" w:after="600" w:afterAutospacing="0"/>
        <w:divId w:val="6837681"/>
        <w:rPr>
          <w:sz w:val="20"/>
          <w:szCs w:val="20"/>
        </w:rPr>
      </w:pPr>
      <w:hyperlink w:anchor="TOC" w:history="1">
        <w:r>
          <w:rPr>
            <w:rStyle w:val="a4"/>
            <w:sz w:val="20"/>
            <w:szCs w:val="20"/>
          </w:rPr>
          <w:t>Table of Content</w:t>
        </w:r>
        <w:r>
          <w:rPr>
            <w:rStyle w:val="a4"/>
            <w:sz w:val="20"/>
            <w:szCs w:val="20"/>
          </w:rPr>
          <w:t>s</w:t>
        </w:r>
      </w:hyperlink>
    </w:p>
    <w:p w14:paraId="36BBCAB2" w14:textId="77777777" w:rsidR="00000000" w:rsidRDefault="00097612">
      <w:pPr>
        <w:pStyle w:val="a3"/>
        <w:spacing w:before="0" w:beforeAutospacing="0" w:after="0" w:afterAutospacing="0"/>
        <w:divId w:val="252279919"/>
        <w:rPr>
          <w:rFonts w:ascii="Times" w:hAnsi="Times"/>
          <w:sz w:val="20"/>
          <w:szCs w:val="20"/>
        </w:rPr>
      </w:pPr>
      <w:r>
        <w:rPr>
          <w:rFonts w:ascii="Times" w:hAnsi="Times"/>
          <w:sz w:val="20"/>
          <w:szCs w:val="20"/>
        </w:rPr>
        <w:t xml:space="preserve">competitors will not otherwise gain access to our trade secrets or independently develop substantially equivalent information and techniques. Further, the laws of some foreign countries do not protect proprietary rights to the same extent as the laws of </w:t>
      </w:r>
      <w:r>
        <w:rPr>
          <w:rFonts w:ascii="Times" w:hAnsi="Times"/>
          <w:sz w:val="20"/>
          <w:szCs w:val="20"/>
        </w:rPr>
        <w:t>the US. As a result, we may encounter significant problems in protecting and defending our intellectual property both in the US and abroad. If we are unable to prevent material disclosure of the intellectual property related to our technologies to third pa</w:t>
      </w:r>
      <w:r>
        <w:rPr>
          <w:rFonts w:ascii="Times" w:hAnsi="Times"/>
          <w:sz w:val="20"/>
          <w:szCs w:val="20"/>
        </w:rPr>
        <w:t>rties, we will not be able to establish or, if established, maintain a competitive advantage in our market, which could materially adversely affect our business, financial condition and results of operations, which could cause the price of our securities t</w:t>
      </w:r>
      <w:r>
        <w:rPr>
          <w:rFonts w:ascii="Times" w:hAnsi="Times"/>
          <w:sz w:val="20"/>
          <w:szCs w:val="20"/>
        </w:rPr>
        <w:t>o fall.</w:t>
      </w:r>
      <w:r>
        <w:rPr>
          <w:rFonts w:ascii="Times" w:hAnsi="Times"/>
          <w:sz w:val="20"/>
          <w:szCs w:val="20"/>
        </w:rPr>
        <w:t xml:space="preserve"> </w:t>
      </w:r>
    </w:p>
    <w:p w14:paraId="5D5BD2EC" w14:textId="77777777" w:rsidR="00000000" w:rsidRDefault="00097612">
      <w:pPr>
        <w:pStyle w:val="a3"/>
        <w:spacing w:before="0" w:beforeAutospacing="0" w:after="0" w:afterAutospacing="0"/>
        <w:divId w:val="252279919"/>
        <w:rPr>
          <w:rFonts w:ascii="Times" w:hAnsi="Times"/>
          <w:sz w:val="20"/>
          <w:szCs w:val="20"/>
        </w:rPr>
      </w:pPr>
      <w:r>
        <w:rPr>
          <w:rFonts w:ascii="Times" w:hAnsi="Times"/>
          <w:sz w:val="20"/>
          <w:szCs w:val="20"/>
        </w:rPr>
        <w:t>​</w:t>
      </w:r>
    </w:p>
    <w:p w14:paraId="26B793C8" w14:textId="77777777" w:rsidR="00000000" w:rsidRDefault="00097612">
      <w:pPr>
        <w:pStyle w:val="a3"/>
        <w:spacing w:before="0" w:beforeAutospacing="0" w:after="120" w:afterAutospacing="0"/>
        <w:divId w:val="252279919"/>
        <w:rPr>
          <w:rFonts w:ascii="Times" w:hAnsi="Times"/>
          <w:b/>
          <w:bCs/>
          <w:i/>
          <w:iCs/>
          <w:sz w:val="20"/>
          <w:szCs w:val="20"/>
        </w:rPr>
      </w:pPr>
      <w:r>
        <w:rPr>
          <w:rFonts w:ascii="Times" w:hAnsi="Times"/>
          <w:b/>
          <w:bCs/>
          <w:i/>
          <w:iCs/>
          <w:sz w:val="20"/>
          <w:szCs w:val="20"/>
        </w:rPr>
        <w:t>Litigation to protect or defend our intellectual property or third-party claims of intellectual property infringement would require us to divert resources and may prevent or delay our drug discovery and development efforts.</w:t>
      </w:r>
      <w:r>
        <w:rPr>
          <w:rFonts w:ascii="Times" w:hAnsi="Times"/>
          <w:b/>
          <w:bCs/>
          <w:i/>
          <w:iCs/>
          <w:sz w:val="20"/>
          <w:szCs w:val="20"/>
        </w:rPr>
        <w:t xml:space="preserve"> </w:t>
      </w:r>
    </w:p>
    <w:p w14:paraId="6BAD36A5" w14:textId="77777777" w:rsidR="00000000" w:rsidRDefault="00097612">
      <w:pPr>
        <w:pStyle w:val="a3"/>
        <w:spacing w:before="0" w:beforeAutospacing="0" w:after="0" w:afterAutospacing="0"/>
        <w:ind w:firstLine="720"/>
        <w:divId w:val="252279919"/>
        <w:rPr>
          <w:rFonts w:ascii="Times" w:hAnsi="Times"/>
          <w:sz w:val="20"/>
          <w:szCs w:val="20"/>
        </w:rPr>
      </w:pPr>
      <w:r>
        <w:rPr>
          <w:rFonts w:ascii="Times" w:hAnsi="Times"/>
          <w:sz w:val="20"/>
          <w:szCs w:val="20"/>
        </w:rPr>
        <w:t>Our commercial success depends in part on us and our partners not infringing the patents and proprietary rights of third parties. Third parties may assert that we or our partners are using their proprietary rights without authorization. There are third-par</w:t>
      </w:r>
      <w:r>
        <w:rPr>
          <w:rFonts w:ascii="Times" w:hAnsi="Times"/>
          <w:sz w:val="20"/>
          <w:szCs w:val="20"/>
        </w:rPr>
        <w:t>ty patents that may cover materials or methods for treatment related to our product candidates. At present, we are not aware of any patent infringement claims with merit that would adversely and materially affect our ability to develop our product candidat</w:t>
      </w:r>
      <w:r>
        <w:rPr>
          <w:rFonts w:ascii="Times" w:hAnsi="Times"/>
          <w:sz w:val="20"/>
          <w:szCs w:val="20"/>
        </w:rPr>
        <w:t>es, but nevertheless the possibility of third-party allegations cannot be ruled out. In addition, third parties may obtain patents in the future and claim that use of our technologies infringes upon these patents. Furthermore, parties making claims against</w:t>
      </w:r>
      <w:r>
        <w:rPr>
          <w:rFonts w:ascii="Times" w:hAnsi="Times"/>
          <w:sz w:val="20"/>
          <w:szCs w:val="20"/>
        </w:rPr>
        <w:t xml:space="preserve"> us or our partners may obtain injunctive or other equitable relief, which could effectively block our ability to further develop and commercialize one or more of our product candidates. Defense against these claims, regardless of their merit, would involv</w:t>
      </w:r>
      <w:r>
        <w:rPr>
          <w:rFonts w:ascii="Times" w:hAnsi="Times"/>
          <w:sz w:val="20"/>
          <w:szCs w:val="20"/>
        </w:rPr>
        <w:t>e substantial litigation expense and would be a substantial diversion of employee resources from our business.</w:t>
      </w:r>
      <w:r>
        <w:rPr>
          <w:rFonts w:ascii="Times" w:hAnsi="Times"/>
          <w:sz w:val="20"/>
          <w:szCs w:val="20"/>
        </w:rPr>
        <w:t xml:space="preserve"> </w:t>
      </w:r>
    </w:p>
    <w:p w14:paraId="6F1653B8" w14:textId="77777777" w:rsidR="00000000" w:rsidRDefault="00097612">
      <w:pPr>
        <w:pStyle w:val="a3"/>
        <w:spacing w:before="0" w:beforeAutospacing="0" w:after="0" w:afterAutospacing="0"/>
        <w:ind w:firstLine="720"/>
        <w:divId w:val="252279919"/>
        <w:rPr>
          <w:rFonts w:ascii="Times" w:hAnsi="Times"/>
          <w:sz w:val="20"/>
          <w:szCs w:val="20"/>
        </w:rPr>
      </w:pPr>
      <w:r>
        <w:rPr>
          <w:rFonts w:ascii="Times" w:hAnsi="Times"/>
          <w:sz w:val="20"/>
          <w:szCs w:val="20"/>
        </w:rPr>
        <w:t>​</w:t>
      </w:r>
    </w:p>
    <w:p w14:paraId="4696BCBE" w14:textId="77777777" w:rsidR="00000000" w:rsidRDefault="00097612">
      <w:pPr>
        <w:pStyle w:val="a3"/>
        <w:spacing w:before="0" w:beforeAutospacing="0" w:after="0" w:afterAutospacing="0"/>
        <w:ind w:firstLine="720"/>
        <w:divId w:val="252279919"/>
        <w:rPr>
          <w:rFonts w:ascii="Times" w:hAnsi="Times"/>
          <w:sz w:val="20"/>
          <w:szCs w:val="20"/>
        </w:rPr>
      </w:pPr>
      <w:r>
        <w:rPr>
          <w:rFonts w:ascii="Times" w:hAnsi="Times"/>
          <w:sz w:val="20"/>
          <w:szCs w:val="20"/>
        </w:rPr>
        <w:t xml:space="preserve">In the event of a successful claim of infringement against us, we may have to pay substantial damages, obtain one or more licenses from third </w:t>
      </w:r>
      <w:r>
        <w:rPr>
          <w:rFonts w:ascii="Times" w:hAnsi="Times"/>
          <w:sz w:val="20"/>
          <w:szCs w:val="20"/>
        </w:rPr>
        <w:t xml:space="preserve">parties or pay royalties. In addition, even in the absence of litigation, we may need to obtain licenses from third parties to advance our research or allow commercialization of our product candidates, and we have done so from time to time. We may fail to </w:t>
      </w:r>
      <w:r>
        <w:rPr>
          <w:rFonts w:ascii="Times" w:hAnsi="Times"/>
          <w:sz w:val="20"/>
          <w:szCs w:val="20"/>
        </w:rPr>
        <w:t>obtain any of these licenses at a reasonable cost or on reasonable terms, if at all. In that event, we would be unable to further develop and commercialize one or more of our product candidates, which could harm our business significantly.</w:t>
      </w:r>
      <w:r>
        <w:rPr>
          <w:rFonts w:ascii="Times" w:hAnsi="Times"/>
          <w:sz w:val="20"/>
          <w:szCs w:val="20"/>
        </w:rPr>
        <w:t xml:space="preserve"> </w:t>
      </w:r>
    </w:p>
    <w:p w14:paraId="1FD3AB74" w14:textId="77777777" w:rsidR="00000000" w:rsidRDefault="00097612">
      <w:pPr>
        <w:pStyle w:val="a3"/>
        <w:spacing w:before="0" w:beforeAutospacing="0" w:after="0" w:afterAutospacing="0"/>
        <w:ind w:firstLine="720"/>
        <w:divId w:val="252279919"/>
        <w:rPr>
          <w:rFonts w:ascii="Times" w:hAnsi="Times"/>
          <w:sz w:val="20"/>
          <w:szCs w:val="20"/>
        </w:rPr>
      </w:pPr>
      <w:r>
        <w:rPr>
          <w:rFonts w:ascii="Times" w:hAnsi="Times"/>
          <w:sz w:val="20"/>
          <w:szCs w:val="20"/>
        </w:rPr>
        <w:t>​</w:t>
      </w:r>
    </w:p>
    <w:p w14:paraId="1665403C" w14:textId="77777777" w:rsidR="00000000" w:rsidRDefault="00097612">
      <w:pPr>
        <w:pStyle w:val="a3"/>
        <w:spacing w:before="0" w:beforeAutospacing="0" w:after="0" w:afterAutospacing="0"/>
        <w:ind w:firstLine="720"/>
        <w:divId w:val="252279919"/>
        <w:rPr>
          <w:rFonts w:ascii="Times" w:hAnsi="Times"/>
          <w:sz w:val="20"/>
          <w:szCs w:val="20"/>
        </w:rPr>
      </w:pPr>
      <w:r>
        <w:rPr>
          <w:rFonts w:ascii="Times" w:hAnsi="Times"/>
          <w:sz w:val="20"/>
          <w:szCs w:val="20"/>
        </w:rPr>
        <w:t xml:space="preserve">In addition, </w:t>
      </w:r>
      <w:r>
        <w:rPr>
          <w:rFonts w:ascii="Times" w:hAnsi="Times"/>
          <w:sz w:val="20"/>
          <w:szCs w:val="20"/>
        </w:rPr>
        <w:t>in the future we could be required to initiate litigation to enforce our proprietary rights against infringement by third parties, prevent the unauthorized use or disclosure of our trade secrets and confidential information, or defend the validity of our p</w:t>
      </w:r>
      <w:r>
        <w:rPr>
          <w:rFonts w:ascii="Times" w:hAnsi="Times"/>
          <w:sz w:val="20"/>
          <w:szCs w:val="20"/>
        </w:rPr>
        <w:t>atents. For example, in 2017, we filed a lawsuit against a former employee for misappropriation of certain of our confidential, proprietary and trade secret information. While this litigation has since been resolved, prosecution of claims to enforce or def</w:t>
      </w:r>
      <w:r>
        <w:rPr>
          <w:rFonts w:ascii="Times" w:hAnsi="Times"/>
          <w:sz w:val="20"/>
          <w:szCs w:val="20"/>
        </w:rPr>
        <w:t>end our rights against others involve substantial litigation expenses and divert substantial employee resources from our business but may not result in adequate remedy to us or sufficiently mitigate the harm to our business caused by any intellectual prope</w:t>
      </w:r>
      <w:r>
        <w:rPr>
          <w:rFonts w:ascii="Times" w:hAnsi="Times"/>
          <w:sz w:val="20"/>
          <w:szCs w:val="20"/>
        </w:rPr>
        <w:t>rty infringement, unauthorized access, use or disclosure of trade secrets. If we fail to effectively enforce our proprietary rights against others, our business will be harmed and the price of our securities could fall.</w:t>
      </w:r>
      <w:r>
        <w:rPr>
          <w:rFonts w:ascii="Times" w:hAnsi="Times"/>
          <w:sz w:val="20"/>
          <w:szCs w:val="20"/>
        </w:rPr>
        <w:t xml:space="preserve"> </w:t>
      </w:r>
    </w:p>
    <w:p w14:paraId="455DEF06" w14:textId="77777777" w:rsidR="00000000" w:rsidRDefault="00097612">
      <w:pPr>
        <w:pStyle w:val="a3"/>
        <w:spacing w:before="0" w:beforeAutospacing="0" w:after="0" w:afterAutospacing="0"/>
        <w:divId w:val="252279919"/>
        <w:rPr>
          <w:sz w:val="20"/>
          <w:szCs w:val="20"/>
        </w:rPr>
      </w:pPr>
      <w:r>
        <w:rPr>
          <w:sz w:val="20"/>
          <w:szCs w:val="20"/>
        </w:rPr>
        <w:t>​</w:t>
      </w:r>
    </w:p>
    <w:p w14:paraId="3FA79FFB" w14:textId="77777777" w:rsidR="00000000" w:rsidRDefault="00097612">
      <w:pPr>
        <w:pStyle w:val="a3"/>
        <w:spacing w:before="0" w:beforeAutospacing="0" w:after="120" w:afterAutospacing="0"/>
        <w:divId w:val="252279919"/>
        <w:rPr>
          <w:sz w:val="20"/>
          <w:szCs w:val="20"/>
        </w:rPr>
      </w:pPr>
      <w:r>
        <w:rPr>
          <w:rFonts w:ascii="Times" w:hAnsi="Times"/>
          <w:b/>
          <w:bCs/>
          <w:i/>
          <w:iCs/>
          <w:sz w:val="20"/>
          <w:szCs w:val="20"/>
        </w:rPr>
        <w:t>If the efforts of our partners or</w:t>
      </w:r>
      <w:r>
        <w:rPr>
          <w:rFonts w:ascii="Times" w:hAnsi="Times"/>
          <w:b/>
          <w:bCs/>
          <w:i/>
          <w:iCs/>
          <w:sz w:val="20"/>
          <w:szCs w:val="20"/>
        </w:rPr>
        <w:t xml:space="preserve"> future partners to protect the proprietary nature of the intellectual property related to collaboration assets are not adequate, the future commercialization of any medicines resulting from collaborations could be delayed or prevented, which would materia</w:t>
      </w:r>
      <w:r>
        <w:rPr>
          <w:rFonts w:ascii="Times" w:hAnsi="Times"/>
          <w:b/>
          <w:bCs/>
          <w:i/>
          <w:iCs/>
          <w:sz w:val="20"/>
          <w:szCs w:val="20"/>
        </w:rPr>
        <w:t>lly harm our business and could cause the price of our securities to fall.</w:t>
      </w:r>
      <w:r>
        <w:rPr>
          <w:rFonts w:ascii="Times" w:hAnsi="Times"/>
          <w:b/>
          <w:bCs/>
          <w:i/>
          <w:iCs/>
          <w:sz w:val="20"/>
          <w:szCs w:val="20"/>
        </w:rPr>
        <w:t xml:space="preserve"> </w:t>
      </w:r>
    </w:p>
    <w:p w14:paraId="1CB1421E" w14:textId="77777777" w:rsidR="00000000" w:rsidRDefault="00097612">
      <w:pPr>
        <w:pStyle w:val="a3"/>
        <w:spacing w:before="0" w:beforeAutospacing="0" w:after="0" w:afterAutospacing="0"/>
        <w:ind w:firstLine="720"/>
        <w:divId w:val="252279919"/>
        <w:rPr>
          <w:rFonts w:ascii="Times" w:hAnsi="Times"/>
          <w:sz w:val="20"/>
          <w:szCs w:val="20"/>
        </w:rPr>
      </w:pPr>
      <w:r>
        <w:rPr>
          <w:rFonts w:ascii="Times" w:hAnsi="Times"/>
          <w:sz w:val="20"/>
          <w:szCs w:val="20"/>
        </w:rPr>
        <w:t xml:space="preserve">The risks identified in the two preceding risk factors may also apply to the intellectual property protection efforts of our partners or future partners and to GSK with respect to </w:t>
      </w:r>
      <w:r>
        <w:rPr>
          <w:rFonts w:ascii="Times" w:hAnsi="Times"/>
          <w:sz w:val="20"/>
          <w:szCs w:val="20"/>
        </w:rPr>
        <w:t>the GSK-Partnered Respiratory Programs in which we hold an economic interest. To the extent the intellectual property protection of any partnered assets are successfully challenged or encounter problems with the US Patent and Trademark Office or other comp</w:t>
      </w:r>
      <w:r>
        <w:rPr>
          <w:rFonts w:ascii="Times" w:hAnsi="Times"/>
          <w:sz w:val="20"/>
          <w:szCs w:val="20"/>
        </w:rPr>
        <w:t xml:space="preserve">arable agencies throughout the world, the future commercialization of these potential medicines could be delayed or prevented. Any challenge to the intellectual property protection of a late-stage development asset, particularly those of the GSK-Partnered </w:t>
      </w:r>
      <w:r>
        <w:rPr>
          <w:rFonts w:ascii="Times" w:hAnsi="Times"/>
          <w:sz w:val="20"/>
          <w:szCs w:val="20"/>
        </w:rPr>
        <w:t>Respiratory Programs in which we hold an economic interest, could harm our business and cause the price of our securities to fall.</w:t>
      </w:r>
      <w:r>
        <w:rPr>
          <w:rFonts w:ascii="Times" w:hAnsi="Times"/>
          <w:sz w:val="20"/>
          <w:szCs w:val="20"/>
        </w:rPr>
        <w:t xml:space="preserve"> </w:t>
      </w:r>
    </w:p>
    <w:p w14:paraId="57423BE2" w14:textId="77777777" w:rsidR="00000000" w:rsidRDefault="00097612">
      <w:pPr>
        <w:pStyle w:val="a3"/>
        <w:spacing w:before="0" w:beforeAutospacing="0" w:after="0" w:afterAutospacing="0"/>
        <w:divId w:val="252279919"/>
        <w:rPr>
          <w:sz w:val="20"/>
          <w:szCs w:val="20"/>
        </w:rPr>
      </w:pPr>
      <w:r>
        <w:rPr>
          <w:sz w:val="20"/>
          <w:szCs w:val="20"/>
        </w:rPr>
        <w:t>​</w:t>
      </w:r>
    </w:p>
    <w:p w14:paraId="230035C7" w14:textId="77777777" w:rsidR="00000000" w:rsidRDefault="00097612">
      <w:pPr>
        <w:pStyle w:val="a3"/>
        <w:spacing w:before="0" w:beforeAutospacing="0" w:after="120" w:afterAutospacing="0"/>
        <w:divId w:val="252279919"/>
        <w:rPr>
          <w:rFonts w:ascii="Times" w:hAnsi="Times"/>
          <w:b/>
          <w:bCs/>
          <w:i/>
          <w:iCs/>
          <w:sz w:val="20"/>
          <w:szCs w:val="20"/>
        </w:rPr>
      </w:pPr>
      <w:r>
        <w:rPr>
          <w:rFonts w:ascii="Times" w:hAnsi="Times"/>
          <w:b/>
          <w:bCs/>
          <w:i/>
          <w:iCs/>
          <w:sz w:val="20"/>
          <w:szCs w:val="20"/>
        </w:rPr>
        <w:t>Product liability and other lawsuits could divert our resources, result in substantial liabilities and reduce the commerci</w:t>
      </w:r>
      <w:r>
        <w:rPr>
          <w:rFonts w:ascii="Times" w:hAnsi="Times"/>
          <w:b/>
          <w:bCs/>
          <w:i/>
          <w:iCs/>
          <w:sz w:val="20"/>
          <w:szCs w:val="20"/>
        </w:rPr>
        <w:t>al potential of our medicines.</w:t>
      </w:r>
      <w:r>
        <w:rPr>
          <w:rFonts w:ascii="Times" w:hAnsi="Times"/>
          <w:b/>
          <w:bCs/>
          <w:i/>
          <w:iCs/>
          <w:sz w:val="20"/>
          <w:szCs w:val="20"/>
        </w:rPr>
        <w:t xml:space="preserve"> </w:t>
      </w:r>
    </w:p>
    <w:p w14:paraId="5A1BE39D" w14:textId="77777777" w:rsidR="00000000" w:rsidRDefault="00097612">
      <w:pPr>
        <w:pStyle w:val="a3"/>
        <w:spacing w:before="0" w:beforeAutospacing="0" w:after="0" w:afterAutospacing="0"/>
        <w:ind w:firstLine="720"/>
        <w:divId w:val="252279919"/>
        <w:rPr>
          <w:rFonts w:ascii="Times" w:hAnsi="Times"/>
          <w:sz w:val="20"/>
          <w:szCs w:val="20"/>
        </w:rPr>
      </w:pPr>
      <w:r>
        <w:rPr>
          <w:rFonts w:ascii="Times" w:hAnsi="Times"/>
          <w:sz w:val="20"/>
          <w:szCs w:val="20"/>
        </w:rPr>
        <w:t>The risk that we may be sued on product liability claims is inherent in the development and commercialization of pharmaceutical products. Side effects of, or manufacturing defects in, products that we or our partners develop</w:t>
      </w:r>
      <w:r>
        <w:rPr>
          <w:rFonts w:ascii="Times" w:hAnsi="Times"/>
          <w:sz w:val="20"/>
          <w:szCs w:val="20"/>
        </w:rPr>
        <w:t xml:space="preserve"> or commercialize could result in the deterioration of a patient’s condition, injury or even death. Once a product is approved for</w:t>
      </w:r>
      <w:r>
        <w:rPr>
          <w:rFonts w:ascii="Times" w:hAnsi="Times"/>
          <w:sz w:val="20"/>
          <w:szCs w:val="20"/>
        </w:rPr>
        <w:t xml:space="preserve"> </w:t>
      </w:r>
    </w:p>
    <w:p w14:paraId="7AF7F372" w14:textId="77777777" w:rsidR="00000000" w:rsidRDefault="00097612">
      <w:pPr>
        <w:pStyle w:val="a3"/>
        <w:spacing w:before="360" w:beforeAutospacing="0" w:after="0" w:afterAutospacing="0"/>
        <w:jc w:val="center"/>
        <w:divId w:val="1255017860"/>
        <w:rPr>
          <w:sz w:val="20"/>
          <w:szCs w:val="20"/>
        </w:rPr>
      </w:pPr>
      <w:r>
        <w:rPr>
          <w:sz w:val="20"/>
          <w:szCs w:val="20"/>
        </w:rPr>
        <w:t>56</w:t>
      </w:r>
    </w:p>
    <w:p w14:paraId="15434E75" w14:textId="77777777" w:rsidR="00000000" w:rsidRDefault="00097612">
      <w:pPr>
        <w:pStyle w:val="a3"/>
        <w:spacing w:before="0" w:beforeAutospacing="0" w:after="600" w:afterAutospacing="0"/>
        <w:divId w:val="106195018"/>
        <w:rPr>
          <w:sz w:val="20"/>
          <w:szCs w:val="20"/>
        </w:rPr>
      </w:pPr>
      <w:hyperlink w:anchor="TOC" w:history="1">
        <w:r>
          <w:rPr>
            <w:rStyle w:val="a4"/>
            <w:sz w:val="20"/>
            <w:szCs w:val="20"/>
          </w:rPr>
          <w:t>Table of Contents</w:t>
        </w:r>
      </w:hyperlink>
    </w:p>
    <w:p w14:paraId="5225A3A9" w14:textId="77777777" w:rsidR="00000000" w:rsidRDefault="00097612">
      <w:pPr>
        <w:pStyle w:val="a3"/>
        <w:spacing w:before="0" w:beforeAutospacing="0" w:after="0" w:afterAutospacing="0"/>
        <w:divId w:val="374080492"/>
        <w:rPr>
          <w:rFonts w:ascii="Times" w:hAnsi="Times"/>
          <w:sz w:val="18"/>
          <w:szCs w:val="18"/>
        </w:rPr>
      </w:pPr>
      <w:r>
        <w:rPr>
          <w:rFonts w:ascii="Times" w:hAnsi="Times"/>
          <w:sz w:val="20"/>
          <w:szCs w:val="20"/>
        </w:rPr>
        <w:t>sale and commercialized, the likelihood of product liability lawsuits tends t</w:t>
      </w:r>
      <w:r>
        <w:rPr>
          <w:rFonts w:ascii="Times" w:hAnsi="Times"/>
          <w:sz w:val="20"/>
          <w:szCs w:val="20"/>
        </w:rPr>
        <w:t>o increase. Claims may be brought by individuals seeking relief for themselves or by individuals or groups seeking to represent a class, asserting injuries based both on potential adverse effects described in the label as well as adverse events not yet obs</w:t>
      </w:r>
      <w:r>
        <w:rPr>
          <w:rFonts w:ascii="Times" w:hAnsi="Times"/>
          <w:sz w:val="20"/>
          <w:szCs w:val="20"/>
        </w:rPr>
        <w:t>erved. We also face</w:t>
      </w:r>
      <w:r>
        <w:rPr>
          <w:rFonts w:ascii="Times" w:hAnsi="Times"/>
          <w:sz w:val="20"/>
          <w:szCs w:val="20"/>
        </w:rPr>
        <w:t xml:space="preserve"> </w:t>
      </w:r>
      <w:r>
        <w:rPr>
          <w:sz w:val="19"/>
          <w:szCs w:val="19"/>
        </w:rPr>
        <w:t>an inherent risk of product liability exposure related to the testing of our product candidates in human clinical trials. In addition</w:t>
      </w:r>
      <w:r>
        <w:rPr>
          <w:rFonts w:ascii="Times" w:hAnsi="Times"/>
          <w:sz w:val="20"/>
          <w:szCs w:val="20"/>
        </w:rPr>
        <w:t xml:space="preserve">, changes in laws outside the US are expanding our potential liability for injuries that occur during clinical trials. Product liability claims could harm our reputation, regardless of the merit or ultimate success of the claim, which may adversely affect </w:t>
      </w:r>
      <w:r>
        <w:rPr>
          <w:rFonts w:ascii="Times" w:hAnsi="Times"/>
          <w:sz w:val="20"/>
          <w:szCs w:val="20"/>
        </w:rPr>
        <w:t>our and our partners’</w:t>
      </w:r>
      <w:r>
        <w:rPr>
          <w:rFonts w:ascii="Times" w:hAnsi="Times"/>
          <w:sz w:val="20"/>
          <w:szCs w:val="20"/>
        </w:rPr>
        <w:t xml:space="preserve"> </w:t>
      </w:r>
      <w:r>
        <w:rPr>
          <w:rFonts w:ascii="Times" w:hAnsi="Times"/>
          <w:sz w:val="20"/>
          <w:szCs w:val="20"/>
        </w:rPr>
        <w:t>ability to commercialize our products and cause the price of our securities to fall. These lawsuits may divert our management from pursuing our business strategy and may be costly to defend. In addition, if we are held liable in any o</w:t>
      </w:r>
      <w:r>
        <w:rPr>
          <w:rFonts w:ascii="Times" w:hAnsi="Times"/>
          <w:sz w:val="20"/>
          <w:szCs w:val="20"/>
        </w:rPr>
        <w:t>f these lawsuits, we may incur substantial liabilities and may be forced to limit or forgo further commercialization of the applicable products.</w:t>
      </w:r>
      <w:r>
        <w:rPr>
          <w:rFonts w:ascii="Times" w:hAnsi="Times"/>
          <w:sz w:val="20"/>
          <w:szCs w:val="20"/>
        </w:rPr>
        <w:t xml:space="preserve"> </w:t>
      </w:r>
    </w:p>
    <w:p w14:paraId="09047D57" w14:textId="77777777" w:rsidR="00000000" w:rsidRDefault="00097612">
      <w:pPr>
        <w:pStyle w:val="a3"/>
        <w:spacing w:before="0" w:beforeAutospacing="0" w:after="0" w:afterAutospacing="0"/>
        <w:ind w:firstLine="720"/>
        <w:divId w:val="374080492"/>
        <w:rPr>
          <w:rFonts w:ascii="Times" w:hAnsi="Times"/>
          <w:sz w:val="20"/>
          <w:szCs w:val="20"/>
        </w:rPr>
      </w:pPr>
      <w:r>
        <w:rPr>
          <w:rFonts w:ascii="Times" w:hAnsi="Times"/>
          <w:sz w:val="20"/>
          <w:szCs w:val="20"/>
        </w:rPr>
        <w:t>​</w:t>
      </w:r>
    </w:p>
    <w:p w14:paraId="0C491826" w14:textId="77777777" w:rsidR="00000000" w:rsidRDefault="00097612">
      <w:pPr>
        <w:pStyle w:val="a3"/>
        <w:spacing w:before="0" w:beforeAutospacing="0" w:after="0" w:afterAutospacing="0"/>
        <w:ind w:firstLine="720"/>
        <w:divId w:val="374080492"/>
        <w:rPr>
          <w:rFonts w:ascii="Times" w:hAnsi="Times"/>
          <w:sz w:val="20"/>
          <w:szCs w:val="20"/>
        </w:rPr>
      </w:pPr>
      <w:r>
        <w:rPr>
          <w:rFonts w:ascii="Times" w:hAnsi="Times"/>
          <w:sz w:val="20"/>
          <w:szCs w:val="20"/>
        </w:rPr>
        <w:t>Although we maintain general liability and product liability insurance, this insurance may not fully cover p</w:t>
      </w:r>
      <w:r>
        <w:rPr>
          <w:rFonts w:ascii="Times" w:hAnsi="Times"/>
          <w:sz w:val="20"/>
          <w:szCs w:val="20"/>
        </w:rPr>
        <w:t xml:space="preserve">otential liabilities and we cannot be sure that our insurer will not disclaim coverage as to a future claim. In addition, inability to obtain or maintain sufficient insurance coverage at an acceptable cost or to otherwise protect against potential product </w:t>
      </w:r>
      <w:r>
        <w:rPr>
          <w:rFonts w:ascii="Times" w:hAnsi="Times"/>
          <w:sz w:val="20"/>
          <w:szCs w:val="20"/>
        </w:rPr>
        <w:t>liability claims could prevent or inhibit the commercial production and sale of our products, which could adversely affect our business.</w:t>
      </w:r>
      <w:r>
        <w:rPr>
          <w:rFonts w:ascii="Times" w:hAnsi="Times"/>
          <w:sz w:val="20"/>
          <w:szCs w:val="20"/>
        </w:rPr>
        <w:t xml:space="preserve"> </w:t>
      </w:r>
    </w:p>
    <w:p w14:paraId="6B301D5A" w14:textId="77777777" w:rsidR="00000000" w:rsidRDefault="00097612">
      <w:pPr>
        <w:pStyle w:val="a3"/>
        <w:spacing w:before="0" w:beforeAutospacing="0" w:after="0" w:afterAutospacing="0"/>
        <w:ind w:firstLine="720"/>
        <w:divId w:val="374080492"/>
        <w:rPr>
          <w:rFonts w:ascii="Times" w:hAnsi="Times"/>
          <w:sz w:val="20"/>
          <w:szCs w:val="20"/>
        </w:rPr>
      </w:pPr>
      <w:r>
        <w:rPr>
          <w:rFonts w:ascii="Times" w:hAnsi="Times"/>
          <w:sz w:val="20"/>
          <w:szCs w:val="20"/>
        </w:rPr>
        <w:t>​</w:t>
      </w:r>
    </w:p>
    <w:p w14:paraId="2FE304B3" w14:textId="77777777" w:rsidR="00000000" w:rsidRDefault="00097612">
      <w:pPr>
        <w:pStyle w:val="a3"/>
        <w:spacing w:before="0" w:beforeAutospacing="0" w:after="0" w:afterAutospacing="0"/>
        <w:ind w:firstLine="720"/>
        <w:divId w:val="374080492"/>
        <w:rPr>
          <w:rFonts w:ascii="Times" w:hAnsi="Times"/>
          <w:sz w:val="20"/>
          <w:szCs w:val="20"/>
        </w:rPr>
      </w:pPr>
      <w:r>
        <w:rPr>
          <w:rFonts w:ascii="Times" w:hAnsi="Times"/>
          <w:sz w:val="20"/>
          <w:szCs w:val="20"/>
        </w:rPr>
        <w:t>We may also be required to prosecute or defend general commercial, intellectual property, securities and other lawsu</w:t>
      </w:r>
      <w:r>
        <w:rPr>
          <w:rFonts w:ascii="Times" w:hAnsi="Times"/>
          <w:sz w:val="20"/>
          <w:szCs w:val="20"/>
        </w:rPr>
        <w:t xml:space="preserve">its. Litigation typically involves substantial expenses and diverts substantial employee resources from our business. The cost of defending any product liability litigation or engaging in any other legal proceeding, even if resolved in our favor, could be </w:t>
      </w:r>
      <w:r>
        <w:rPr>
          <w:rFonts w:ascii="Times" w:hAnsi="Times"/>
          <w:sz w:val="20"/>
          <w:szCs w:val="20"/>
        </w:rPr>
        <w:t>substantial and uncertainties resulting from the initiation and continuation of the litigation or other proceedings could have a material adverse effect on our ability to compete in the marketplace and achieve our business goals.</w:t>
      </w:r>
      <w:r>
        <w:rPr>
          <w:rFonts w:ascii="Times" w:hAnsi="Times"/>
          <w:sz w:val="20"/>
          <w:szCs w:val="20"/>
        </w:rPr>
        <w:t xml:space="preserve"> </w:t>
      </w:r>
    </w:p>
    <w:p w14:paraId="33381C5F" w14:textId="77777777" w:rsidR="00000000" w:rsidRDefault="00097612">
      <w:pPr>
        <w:pStyle w:val="a3"/>
        <w:spacing w:before="0" w:beforeAutospacing="0" w:after="0" w:afterAutospacing="0"/>
        <w:ind w:firstLine="720"/>
        <w:divId w:val="374080492"/>
        <w:rPr>
          <w:rFonts w:ascii="Times" w:hAnsi="Times"/>
          <w:sz w:val="20"/>
          <w:szCs w:val="20"/>
        </w:rPr>
      </w:pPr>
      <w:r>
        <w:rPr>
          <w:rFonts w:ascii="Times" w:hAnsi="Times"/>
          <w:sz w:val="20"/>
          <w:szCs w:val="20"/>
        </w:rPr>
        <w:t>​</w:t>
      </w:r>
    </w:p>
    <w:p w14:paraId="0AA53E15" w14:textId="77777777" w:rsidR="00000000" w:rsidRDefault="00097612">
      <w:pPr>
        <w:pStyle w:val="a3"/>
        <w:spacing w:before="0" w:beforeAutospacing="0" w:after="120" w:afterAutospacing="0"/>
        <w:divId w:val="374080492"/>
        <w:rPr>
          <w:rFonts w:ascii="Times" w:hAnsi="Times"/>
          <w:b/>
          <w:bCs/>
          <w:i/>
          <w:iCs/>
          <w:sz w:val="20"/>
          <w:szCs w:val="20"/>
        </w:rPr>
      </w:pPr>
      <w:r>
        <w:rPr>
          <w:rFonts w:ascii="Times" w:hAnsi="Times"/>
          <w:b/>
          <w:bCs/>
          <w:i/>
          <w:iCs/>
          <w:sz w:val="20"/>
          <w:szCs w:val="20"/>
        </w:rPr>
        <w:t>If we fail to comply wi</w:t>
      </w:r>
      <w:r>
        <w:rPr>
          <w:rFonts w:ascii="Times" w:hAnsi="Times"/>
          <w:b/>
          <w:bCs/>
          <w:i/>
          <w:iCs/>
          <w:sz w:val="20"/>
          <w:szCs w:val="20"/>
        </w:rPr>
        <w:t>th data protection laws and regulations, we could be subject to government enforcement actions (which could include civil or criminal penalties), private litigation and/or adverse publicity, which could negatively affect our operating results and business.</w:t>
      </w:r>
      <w:r>
        <w:rPr>
          <w:rFonts w:ascii="Times" w:hAnsi="Times"/>
          <w:b/>
          <w:bCs/>
          <w:i/>
          <w:iCs/>
          <w:sz w:val="20"/>
          <w:szCs w:val="20"/>
        </w:rPr>
        <w:t xml:space="preserve"> </w:t>
      </w:r>
    </w:p>
    <w:p w14:paraId="004B6FBE" w14:textId="77777777" w:rsidR="00000000" w:rsidRDefault="00097612">
      <w:pPr>
        <w:pStyle w:val="a3"/>
        <w:spacing w:before="0" w:beforeAutospacing="0" w:after="0" w:afterAutospacing="0"/>
        <w:ind w:firstLine="720"/>
        <w:divId w:val="374080492"/>
        <w:rPr>
          <w:rFonts w:ascii="Times" w:hAnsi="Times"/>
          <w:sz w:val="20"/>
          <w:szCs w:val="20"/>
        </w:rPr>
      </w:pPr>
      <w:r>
        <w:rPr>
          <w:rFonts w:ascii="Times" w:hAnsi="Times"/>
          <w:sz w:val="20"/>
          <w:szCs w:val="20"/>
        </w:rPr>
        <w:t>We are subject to data protection laws and regulations (i.e., laws and regulations that address privacy and data security). In the US, numerous federal and state laws and regulations, including state data breach notification laws, state health informatio</w:t>
      </w:r>
      <w:r>
        <w:rPr>
          <w:rFonts w:ascii="Times" w:hAnsi="Times"/>
          <w:sz w:val="20"/>
          <w:szCs w:val="20"/>
        </w:rPr>
        <w:t>n privacy laws, and federal and state consumer protection laws (e.g., Section 5 of the FTC Act), govern the collection, use, disclosure, and protection of health-related and other personal information. Failure to comply with data protection laws and regula</w:t>
      </w:r>
      <w:r>
        <w:rPr>
          <w:rFonts w:ascii="Times" w:hAnsi="Times"/>
          <w:sz w:val="20"/>
          <w:szCs w:val="20"/>
        </w:rPr>
        <w:t>tions could result in government enforcement actions and create liability for us (which could include civil and/or criminal penalties), private litigation and/or adverse publicity that could negatively affect our operating results and business. In addition</w:t>
      </w:r>
      <w:r>
        <w:rPr>
          <w:rFonts w:ascii="Times" w:hAnsi="Times"/>
          <w:sz w:val="20"/>
          <w:szCs w:val="20"/>
        </w:rPr>
        <w:t>, we may obtain health information from third parties (e.g., healthcare providers who prescribe our products) that are subject to privacy and security requirements under the Health Insurance Portability and Accountability Act of 1996, as amended by the Hea</w:t>
      </w:r>
      <w:r>
        <w:rPr>
          <w:rFonts w:ascii="Times" w:hAnsi="Times"/>
          <w:sz w:val="20"/>
          <w:szCs w:val="20"/>
        </w:rPr>
        <w:t>lth Information Technology for Economic and Clinical Health Act (“HIPAA”). Although we are not directly subject to HIPAA—other than with respect to providing certain employee benefits—we could be subject to criminal penalties if we knowingly obtain or disc</w:t>
      </w:r>
      <w:r>
        <w:rPr>
          <w:rFonts w:ascii="Times" w:hAnsi="Times"/>
          <w:sz w:val="20"/>
          <w:szCs w:val="20"/>
        </w:rPr>
        <w:t>lose individually identifiable health information maintained by a HIPAA-covered entity in a manner that is not authorized or permitted by HIPAA. HIPAA generally requires that healthcare providers and other covered entities obtain written authorizations fro</w:t>
      </w:r>
      <w:r>
        <w:rPr>
          <w:rFonts w:ascii="Times" w:hAnsi="Times"/>
          <w:sz w:val="20"/>
          <w:szCs w:val="20"/>
        </w:rPr>
        <w:t xml:space="preserve">m patients prior to disclosing protected health information of the patient (unless an exception to the authorization requirement applies). If authorization is required and the patient fails to execute an authorization or the authorization fails to contain </w:t>
      </w:r>
      <w:r>
        <w:rPr>
          <w:rFonts w:ascii="Times" w:hAnsi="Times"/>
          <w:sz w:val="20"/>
          <w:szCs w:val="20"/>
        </w:rPr>
        <w:t>all required provisions, then we may not be allowed access to and use of the patient’s information and our research efforts could be impaired or delayed. Furthermore, use of protected health information that is provided to us pursuant to a valid patient au</w:t>
      </w:r>
      <w:r>
        <w:rPr>
          <w:rFonts w:ascii="Times" w:hAnsi="Times"/>
          <w:sz w:val="20"/>
          <w:szCs w:val="20"/>
        </w:rPr>
        <w:t>thorization is subject to the limits set forth in the authorization (e.g., for use in research and in submissions to regulatory authorities for product approvals). In addition, HIPAA does not replace federal, state, international or other laws that may gra</w:t>
      </w:r>
      <w:r>
        <w:rPr>
          <w:rFonts w:ascii="Times" w:hAnsi="Times"/>
          <w:sz w:val="20"/>
          <w:szCs w:val="20"/>
        </w:rPr>
        <w:t>nt individuals even greater privacy protections.</w:t>
      </w:r>
      <w:r>
        <w:rPr>
          <w:rFonts w:ascii="Times" w:hAnsi="Times"/>
          <w:sz w:val="20"/>
          <w:szCs w:val="20"/>
        </w:rPr>
        <w:t xml:space="preserve"> </w:t>
      </w:r>
    </w:p>
    <w:p w14:paraId="690A83C5" w14:textId="77777777" w:rsidR="00000000" w:rsidRDefault="00097612">
      <w:pPr>
        <w:pStyle w:val="a3"/>
        <w:spacing w:before="0" w:beforeAutospacing="0" w:after="0" w:afterAutospacing="0"/>
        <w:ind w:firstLine="720"/>
        <w:divId w:val="374080492"/>
        <w:rPr>
          <w:rFonts w:ascii="Times" w:hAnsi="Times"/>
          <w:sz w:val="20"/>
          <w:szCs w:val="20"/>
        </w:rPr>
      </w:pPr>
      <w:r>
        <w:rPr>
          <w:rFonts w:ascii="Times" w:hAnsi="Times"/>
          <w:sz w:val="20"/>
          <w:szCs w:val="20"/>
        </w:rPr>
        <w:t>​</w:t>
      </w:r>
    </w:p>
    <w:p w14:paraId="536DFBCD" w14:textId="77777777" w:rsidR="00000000" w:rsidRDefault="00097612">
      <w:pPr>
        <w:pStyle w:val="a3"/>
        <w:spacing w:before="0" w:beforeAutospacing="0" w:after="0" w:afterAutospacing="0"/>
        <w:ind w:firstLine="720"/>
        <w:divId w:val="374080492"/>
        <w:rPr>
          <w:sz w:val="20"/>
          <w:szCs w:val="20"/>
        </w:rPr>
      </w:pPr>
      <w:r>
        <w:rPr>
          <w:sz w:val="20"/>
          <w:szCs w:val="20"/>
        </w:rPr>
        <w:t>EU Member States and other jurisdictions where we operate have adopted data protection laws and regulations, which impose significant compliance obligations. For example, the General Data Protection Regul</w:t>
      </w:r>
      <w:r>
        <w:rPr>
          <w:sz w:val="20"/>
          <w:szCs w:val="20"/>
        </w:rPr>
        <w:t>ation (“GDPR”) which become applicable on May 25, 2018, replacing the EU Data Protection Directive, imposes strict obligations and restrictions on the ability to collect, analyze and transfer personal data, including health data from clinical trials and ad</w:t>
      </w:r>
      <w:r>
        <w:rPr>
          <w:sz w:val="20"/>
          <w:szCs w:val="20"/>
        </w:rPr>
        <w:t xml:space="preserve">verse event reporting. </w:t>
      </w:r>
    </w:p>
    <w:p w14:paraId="3D61CA87" w14:textId="77777777" w:rsidR="00000000" w:rsidRDefault="00097612">
      <w:pPr>
        <w:pStyle w:val="a3"/>
        <w:spacing w:before="0" w:beforeAutospacing="0" w:after="0" w:afterAutospacing="0"/>
        <w:ind w:firstLine="720"/>
        <w:divId w:val="374080492"/>
        <w:rPr>
          <w:sz w:val="20"/>
          <w:szCs w:val="20"/>
        </w:rPr>
      </w:pPr>
      <w:r>
        <w:rPr>
          <w:sz w:val="20"/>
          <w:szCs w:val="20"/>
        </w:rPr>
        <w:t>​</w:t>
      </w:r>
    </w:p>
    <w:p w14:paraId="6BA37BD3" w14:textId="77777777" w:rsidR="00000000" w:rsidRDefault="00097612">
      <w:pPr>
        <w:pStyle w:val="a3"/>
        <w:spacing w:before="360" w:beforeAutospacing="0" w:after="0" w:afterAutospacing="0"/>
        <w:jc w:val="center"/>
        <w:divId w:val="2064212843"/>
        <w:rPr>
          <w:sz w:val="20"/>
          <w:szCs w:val="20"/>
        </w:rPr>
      </w:pPr>
      <w:r>
        <w:rPr>
          <w:sz w:val="20"/>
          <w:szCs w:val="20"/>
        </w:rPr>
        <w:t>57</w:t>
      </w:r>
    </w:p>
    <w:p w14:paraId="79D2453C" w14:textId="77777777" w:rsidR="00000000" w:rsidRDefault="00097612">
      <w:pPr>
        <w:pStyle w:val="a3"/>
        <w:spacing w:before="0" w:beforeAutospacing="0" w:after="600" w:afterAutospacing="0"/>
        <w:divId w:val="1286888813"/>
        <w:rPr>
          <w:sz w:val="20"/>
          <w:szCs w:val="20"/>
        </w:rPr>
      </w:pPr>
      <w:hyperlink w:anchor="TOC" w:history="1">
        <w:r>
          <w:rPr>
            <w:rStyle w:val="a4"/>
            <w:sz w:val="20"/>
            <w:szCs w:val="20"/>
          </w:rPr>
          <w:t>Table of Contents</w:t>
        </w:r>
      </w:hyperlink>
    </w:p>
    <w:p w14:paraId="12B70B1B" w14:textId="77777777" w:rsidR="00000000" w:rsidRDefault="00097612">
      <w:pPr>
        <w:pStyle w:val="a3"/>
        <w:spacing w:before="0" w:beforeAutospacing="0" w:after="0" w:afterAutospacing="0"/>
        <w:ind w:firstLine="720"/>
        <w:divId w:val="1443112472"/>
        <w:rPr>
          <w:sz w:val="20"/>
          <w:szCs w:val="20"/>
        </w:rPr>
      </w:pPr>
      <w:r>
        <w:rPr>
          <w:sz w:val="20"/>
          <w:szCs w:val="20"/>
        </w:rPr>
        <w:t xml:space="preserve">Switzerland has adopted similar restrictions. These obligations and restrictions concern, in particular, the consent of the individuals to whom the personal data relate, the information provided to the individuals, the transfer of personal data out of the </w:t>
      </w:r>
      <w:r>
        <w:rPr>
          <w:sz w:val="20"/>
          <w:szCs w:val="20"/>
        </w:rPr>
        <w:t>European Economic Area (“EEA”) or Switzerland, security breach notifications, security and confidentiality of the personal data, as well as substantial potential fines for breaches of the data protection obligations. Data protection authorities from the di</w:t>
      </w:r>
      <w:r>
        <w:rPr>
          <w:sz w:val="20"/>
          <w:szCs w:val="20"/>
        </w:rPr>
        <w:t xml:space="preserve">fferent EU Member States may interpret the GDPR and applicable related national laws differently and impose requirements additional to those provided in the GDPR. In addition, guidance on implementation and compliance practices may be updated or otherwise </w:t>
      </w:r>
      <w:r>
        <w:rPr>
          <w:sz w:val="20"/>
          <w:szCs w:val="20"/>
        </w:rPr>
        <w:t>revised, which adds to the complexity of processing personal data in the EU. When processing personal data of subjects in the EU, we have to comply with the applicable data protection laws. In particular, as we rely on services providers processing persona</w:t>
      </w:r>
      <w:r>
        <w:rPr>
          <w:sz w:val="20"/>
          <w:szCs w:val="20"/>
        </w:rPr>
        <w:t>l data of subjects in the EU, we have to enter into suitable contract terms with such providers and receive sufficient guarantees that such providers meet the requirements of the applicable data protection laws, particularly the GDPR which imposes specific</w:t>
      </w:r>
      <w:r>
        <w:rPr>
          <w:sz w:val="20"/>
          <w:szCs w:val="20"/>
        </w:rPr>
        <w:t xml:space="preserve"> and relevant obligations.</w:t>
      </w:r>
    </w:p>
    <w:p w14:paraId="1331CB7A" w14:textId="77777777" w:rsidR="00000000" w:rsidRDefault="00097612">
      <w:pPr>
        <w:pStyle w:val="a3"/>
        <w:spacing w:before="0" w:beforeAutospacing="0" w:after="0" w:afterAutospacing="0"/>
        <w:ind w:firstLine="720"/>
        <w:divId w:val="1443112472"/>
        <w:rPr>
          <w:sz w:val="20"/>
          <w:szCs w:val="20"/>
        </w:rPr>
      </w:pPr>
      <w:r>
        <w:rPr>
          <w:sz w:val="20"/>
          <w:szCs w:val="20"/>
        </w:rPr>
        <w:t>​</w:t>
      </w:r>
    </w:p>
    <w:p w14:paraId="7857B16D" w14:textId="77777777" w:rsidR="00000000" w:rsidRDefault="00097612">
      <w:pPr>
        <w:pStyle w:val="a3"/>
        <w:spacing w:before="0" w:beforeAutospacing="0" w:after="0" w:afterAutospacing="0"/>
        <w:ind w:firstLine="720"/>
        <w:divId w:val="1443112472"/>
        <w:rPr>
          <w:sz w:val="20"/>
          <w:szCs w:val="20"/>
        </w:rPr>
      </w:pPr>
      <w:r>
        <w:rPr>
          <w:sz w:val="20"/>
          <w:szCs w:val="20"/>
        </w:rPr>
        <w:t>Although there are legal mechanisms to allow for the transfer of personal data from the EEA to the US, a decision of the European Court of Justice in the Schrems case (Case C-362/14 Maximillian Schrems v. Data Protection Commis</w:t>
      </w:r>
      <w:r>
        <w:rPr>
          <w:sz w:val="20"/>
          <w:szCs w:val="20"/>
        </w:rPr>
        <w:t>sioner) that invalidated the safe harbor framework has increased uncertainty around compliance with EU privacy law requirements. As a result of the decision, it was no longer possible to rely on the safe harbor certification as a legal basis for the transf</w:t>
      </w:r>
      <w:r>
        <w:rPr>
          <w:sz w:val="20"/>
          <w:szCs w:val="20"/>
        </w:rPr>
        <w:t>er of personal data from the EU to entities in the US. On February 29, 2016, however, the European Commission announced an agreement with the US Department of Commerce (“DOC”) to replace the invalidated Safe Harbor framework with a new EU-US “Privacy Shiel</w:t>
      </w:r>
      <w:r>
        <w:rPr>
          <w:sz w:val="20"/>
          <w:szCs w:val="20"/>
        </w:rPr>
        <w:t>d.” On July 12, 2016, the European Commission adopted a decision on the adequacy of the protection provided by the Privacy Shield. The Privacy Shield is intended to address the requirements set out by the European Court of Justice in its ruling by imposing</w:t>
      </w:r>
      <w:r>
        <w:rPr>
          <w:sz w:val="20"/>
          <w:szCs w:val="20"/>
        </w:rPr>
        <w:t xml:space="preserve"> more stringent obligations on companies, providing stronger monitoring and enforcement by the DOC and Federal Trade Commission, and making commitments on the part of public authorities regarding access to information. US companies have been able to certif</w:t>
      </w:r>
      <w:r>
        <w:rPr>
          <w:sz w:val="20"/>
          <w:szCs w:val="20"/>
        </w:rPr>
        <w:t xml:space="preserve">y to the US Department of Commerce their compliance with the privacy principles of the Privacy Shield since August 1, 2016. </w:t>
      </w:r>
    </w:p>
    <w:p w14:paraId="573EA5F2" w14:textId="77777777" w:rsidR="00000000" w:rsidRDefault="00097612">
      <w:pPr>
        <w:pStyle w:val="a3"/>
        <w:spacing w:before="0" w:beforeAutospacing="0" w:after="0" w:afterAutospacing="0"/>
        <w:ind w:firstLine="720"/>
        <w:divId w:val="1443112472"/>
        <w:rPr>
          <w:sz w:val="20"/>
          <w:szCs w:val="20"/>
        </w:rPr>
      </w:pPr>
      <w:r>
        <w:rPr>
          <w:sz w:val="20"/>
          <w:szCs w:val="20"/>
        </w:rPr>
        <w:t>​</w:t>
      </w:r>
    </w:p>
    <w:p w14:paraId="19711ECA" w14:textId="77777777" w:rsidR="00000000" w:rsidRDefault="00097612">
      <w:pPr>
        <w:pStyle w:val="a3"/>
        <w:spacing w:before="0" w:beforeAutospacing="0" w:after="0" w:afterAutospacing="0"/>
        <w:ind w:firstLine="720"/>
        <w:divId w:val="1443112472"/>
        <w:rPr>
          <w:sz w:val="20"/>
          <w:szCs w:val="20"/>
        </w:rPr>
      </w:pPr>
      <w:r>
        <w:rPr>
          <w:sz w:val="20"/>
          <w:szCs w:val="20"/>
        </w:rPr>
        <w:t>On September 16, 2016, an Irish privacy advocacy group brought an action for annulment of the European Commission decision on the</w:t>
      </w:r>
      <w:r>
        <w:rPr>
          <w:sz w:val="20"/>
          <w:szCs w:val="20"/>
        </w:rPr>
        <w:t xml:space="preserve"> adequacy of the Privacy Shield before the European Court of Justice (Case T-670/16). In October 2016, a further action for annulment was brought by three French digital rights advocacy groups (Case T-738/16). Case T-670/16 was declared inadmissible and Ca</w:t>
      </w:r>
      <w:r>
        <w:rPr>
          <w:sz w:val="20"/>
          <w:szCs w:val="20"/>
        </w:rPr>
        <w:t>se T-738/16 is still pending before the European Court of Justice. The US was admitted as an intervener in the action on September 4, 2018. If the European Court of Justice invalidates the Privacy Shield, it will no longer be possible to rely on the Privac</w:t>
      </w:r>
      <w:r>
        <w:rPr>
          <w:sz w:val="20"/>
          <w:szCs w:val="20"/>
        </w:rPr>
        <w:t>y Shield certification to support transfer of personal data from the EU to entities in the US. Adherence to the Privacy Shield is not, however, mandatory. US-based companies are permitted to rely either on their adherence to the Privacy Shield or on the ot</w:t>
      </w:r>
      <w:r>
        <w:rPr>
          <w:sz w:val="20"/>
          <w:szCs w:val="20"/>
        </w:rPr>
        <w:t>her authorized means and procedures to transfer personal data provided by the GDPR. If we or our vendors fail to comply with applicable data privacy laws, or if the legal mechanisms we or our vendors rely upon to allow for the transfer of personal data fro</w:t>
      </w:r>
      <w:r>
        <w:rPr>
          <w:sz w:val="20"/>
          <w:szCs w:val="20"/>
        </w:rPr>
        <w:t>m the EEA or Switzerland to the US (or other countries not considered by the European Commission to provide an adequate level of data protection) are not considered adequate, we could be subject to government enforcement actions and significant penalties a</w:t>
      </w:r>
      <w:r>
        <w:rPr>
          <w:sz w:val="20"/>
          <w:szCs w:val="20"/>
        </w:rPr>
        <w:t xml:space="preserve">gainst us, and our business could be adversely impacted if our ability to transfer personal data outside of the EEA or Switzerland is restricted, which could adversely impact our operating results. </w:t>
      </w:r>
    </w:p>
    <w:p w14:paraId="23B6F81D" w14:textId="77777777" w:rsidR="00000000" w:rsidRDefault="00097612">
      <w:pPr>
        <w:pStyle w:val="a3"/>
        <w:spacing w:before="0" w:beforeAutospacing="0" w:after="0" w:afterAutospacing="0"/>
        <w:divId w:val="1443112472"/>
        <w:rPr>
          <w:sz w:val="20"/>
          <w:szCs w:val="20"/>
        </w:rPr>
      </w:pPr>
      <w:r>
        <w:rPr>
          <w:sz w:val="20"/>
          <w:szCs w:val="20"/>
        </w:rPr>
        <w:t>​</w:t>
      </w:r>
    </w:p>
    <w:p w14:paraId="3D592403" w14:textId="77777777" w:rsidR="00000000" w:rsidRDefault="00097612">
      <w:pPr>
        <w:pStyle w:val="a3"/>
        <w:spacing w:before="0" w:beforeAutospacing="0" w:after="120" w:afterAutospacing="0"/>
        <w:divId w:val="1443112472"/>
        <w:rPr>
          <w:rFonts w:ascii="Times" w:hAnsi="Times"/>
          <w:b/>
          <w:bCs/>
          <w:i/>
          <w:iCs/>
          <w:sz w:val="20"/>
          <w:szCs w:val="20"/>
        </w:rPr>
      </w:pPr>
      <w:r>
        <w:rPr>
          <w:rFonts w:ascii="Times" w:hAnsi="Times"/>
          <w:b/>
          <w:bCs/>
          <w:i/>
          <w:iCs/>
          <w:sz w:val="20"/>
          <w:szCs w:val="20"/>
        </w:rPr>
        <w:t>Changes in healthcare law and implementing regulations,</w:t>
      </w:r>
      <w:r>
        <w:rPr>
          <w:rFonts w:ascii="Times" w:hAnsi="Times"/>
          <w:b/>
          <w:bCs/>
          <w:i/>
          <w:iCs/>
          <w:sz w:val="20"/>
          <w:szCs w:val="20"/>
        </w:rPr>
        <w:t xml:space="preserve"> including government restrictions on pricing and reimbursement, as well as healthcare policy and other healthcare payor cost-containment initiatives, may negatively impact us, our collaboration partners, or those commercializing products with respect to w</w:t>
      </w:r>
      <w:r>
        <w:rPr>
          <w:rFonts w:ascii="Times" w:hAnsi="Times"/>
          <w:b/>
          <w:bCs/>
          <w:i/>
          <w:iCs/>
          <w:sz w:val="20"/>
          <w:szCs w:val="20"/>
        </w:rPr>
        <w:t>hich we have an economic interest or right to receive royalties.</w:t>
      </w:r>
      <w:r>
        <w:rPr>
          <w:rFonts w:ascii="Times" w:hAnsi="Times"/>
          <w:b/>
          <w:bCs/>
          <w:i/>
          <w:iCs/>
          <w:sz w:val="20"/>
          <w:szCs w:val="20"/>
        </w:rPr>
        <w:t xml:space="preserve"> </w:t>
      </w:r>
    </w:p>
    <w:p w14:paraId="1FC758C4" w14:textId="77777777" w:rsidR="00000000" w:rsidRDefault="00097612">
      <w:pPr>
        <w:pStyle w:val="a3"/>
        <w:spacing w:before="0" w:beforeAutospacing="0" w:after="0" w:afterAutospacing="0"/>
        <w:ind w:firstLine="720"/>
        <w:divId w:val="1443112472"/>
        <w:rPr>
          <w:rFonts w:ascii="Times" w:hAnsi="Times"/>
          <w:sz w:val="20"/>
          <w:szCs w:val="20"/>
        </w:rPr>
      </w:pPr>
      <w:r>
        <w:rPr>
          <w:rFonts w:ascii="Times" w:hAnsi="Times"/>
          <w:sz w:val="20"/>
          <w:szCs w:val="20"/>
        </w:rPr>
        <w:t>The continuing efforts of the government, insurance companies, managed care organizations and other payors of health care costs to contain or reduce costs of health care may adversely affect</w:t>
      </w:r>
      <w:r>
        <w:rPr>
          <w:rFonts w:ascii="Times" w:hAnsi="Times"/>
          <w:sz w:val="20"/>
          <w:szCs w:val="20"/>
        </w:rPr>
        <w:t xml:space="preserve"> us, our collaboration partners, or those commercializing products with respect to which we have an economic interest or right to receive royalties in regard to one or more of the following:</w:t>
      </w:r>
    </w:p>
    <w:p w14:paraId="3DA50A3B" w14:textId="77777777" w:rsidR="00000000" w:rsidRDefault="00097612">
      <w:pPr>
        <w:pStyle w:val="a3"/>
        <w:spacing w:before="0" w:beforeAutospacing="0" w:after="0" w:afterAutospacing="0"/>
        <w:ind w:firstLine="720"/>
        <w:divId w:val="1443112472"/>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05BDC69" w14:textId="77777777">
        <w:trPr>
          <w:divId w:val="1443112472"/>
        </w:trPr>
        <w:tc>
          <w:tcPr>
            <w:tcW w:w="720" w:type="dxa"/>
            <w:vAlign w:val="center"/>
            <w:hideMark/>
          </w:tcPr>
          <w:p w14:paraId="7F8647A8"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5D77EA25"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C5E7FDB"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ability to set and collect a price believed to be reason</w:t>
            </w:r>
            <w:r>
              <w:rPr>
                <w:rFonts w:ascii="Times" w:eastAsia="Times New Roman" w:hAnsi="Times"/>
                <w:color w:val="000000"/>
                <w:sz w:val="20"/>
                <w:szCs w:val="20"/>
              </w:rPr>
              <w:t>able for products;</w:t>
            </w:r>
            <w:r>
              <w:rPr>
                <w:rFonts w:ascii="Times" w:eastAsia="Times New Roman" w:hAnsi="Times"/>
                <w:color w:val="000000"/>
                <w:sz w:val="20"/>
                <w:szCs w:val="20"/>
              </w:rPr>
              <w:t xml:space="preserve"> </w:t>
            </w:r>
          </w:p>
        </w:tc>
      </w:tr>
    </w:tbl>
    <w:p w14:paraId="4F23788B" w14:textId="77777777" w:rsidR="00000000" w:rsidRDefault="00097612">
      <w:pPr>
        <w:divId w:val="14431124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FF3D0F1" w14:textId="77777777">
        <w:trPr>
          <w:divId w:val="1443112472"/>
        </w:trPr>
        <w:tc>
          <w:tcPr>
            <w:tcW w:w="720" w:type="dxa"/>
            <w:vAlign w:val="center"/>
            <w:hideMark/>
          </w:tcPr>
          <w:p w14:paraId="1ED44284" w14:textId="77777777" w:rsidR="00000000" w:rsidRDefault="00097612">
            <w:pPr>
              <w:rPr>
                <w:rFonts w:eastAsia="Times New Roman"/>
              </w:rPr>
            </w:pPr>
          </w:p>
        </w:tc>
        <w:tc>
          <w:tcPr>
            <w:tcW w:w="360" w:type="dxa"/>
            <w:noWrap/>
            <w:tcMar>
              <w:top w:w="0" w:type="dxa"/>
              <w:left w:w="0" w:type="dxa"/>
              <w:bottom w:w="0" w:type="dxa"/>
              <w:right w:w="0" w:type="dxa"/>
            </w:tcMar>
            <w:hideMark/>
          </w:tcPr>
          <w:p w14:paraId="50088982"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2902BF8"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ability to generate revenues and achieve profitability; and</w:t>
            </w:r>
            <w:r>
              <w:rPr>
                <w:rFonts w:ascii="Times" w:eastAsia="Times New Roman" w:hAnsi="Times"/>
                <w:color w:val="000000"/>
                <w:sz w:val="20"/>
                <w:szCs w:val="20"/>
              </w:rPr>
              <w:t xml:space="preserve"> </w:t>
            </w:r>
          </w:p>
        </w:tc>
      </w:tr>
    </w:tbl>
    <w:p w14:paraId="67A36D2A" w14:textId="77777777" w:rsidR="00000000" w:rsidRDefault="00097612">
      <w:pPr>
        <w:divId w:val="14431124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6E8A030" w14:textId="77777777">
        <w:trPr>
          <w:divId w:val="1443112472"/>
        </w:trPr>
        <w:tc>
          <w:tcPr>
            <w:tcW w:w="720" w:type="dxa"/>
            <w:vAlign w:val="center"/>
            <w:hideMark/>
          </w:tcPr>
          <w:p w14:paraId="039FC645" w14:textId="77777777" w:rsidR="00000000" w:rsidRDefault="00097612">
            <w:pPr>
              <w:rPr>
                <w:rFonts w:eastAsia="Times New Roman"/>
              </w:rPr>
            </w:pPr>
          </w:p>
        </w:tc>
        <w:tc>
          <w:tcPr>
            <w:tcW w:w="360" w:type="dxa"/>
            <w:noWrap/>
            <w:tcMar>
              <w:top w:w="0" w:type="dxa"/>
              <w:left w:w="0" w:type="dxa"/>
              <w:bottom w:w="0" w:type="dxa"/>
              <w:right w:w="0" w:type="dxa"/>
            </w:tcMar>
            <w:hideMark/>
          </w:tcPr>
          <w:p w14:paraId="2385E8A9"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33B5995" w14:textId="77777777" w:rsidR="00000000" w:rsidRDefault="00097612">
            <w:pPr>
              <w:rPr>
                <w:rFonts w:ascii="Times" w:eastAsia="Times New Roman" w:hAnsi="Times"/>
                <w:sz w:val="20"/>
                <w:szCs w:val="20"/>
              </w:rPr>
            </w:pPr>
            <w:r>
              <w:rPr>
                <w:rFonts w:ascii="Times" w:eastAsia="Times New Roman" w:hAnsi="Times"/>
                <w:color w:val="000000"/>
                <w:sz w:val="20"/>
                <w:szCs w:val="20"/>
              </w:rPr>
              <w:t>the availability of capital.</w:t>
            </w:r>
            <w:r>
              <w:rPr>
                <w:rFonts w:ascii="Times" w:eastAsia="Times New Roman" w:hAnsi="Times"/>
                <w:color w:val="000000"/>
                <w:sz w:val="20"/>
                <w:szCs w:val="20"/>
              </w:rPr>
              <w:t xml:space="preserve"> </w:t>
            </w:r>
          </w:p>
        </w:tc>
      </w:tr>
    </w:tbl>
    <w:p w14:paraId="55564354" w14:textId="77777777" w:rsidR="00000000" w:rsidRDefault="00097612">
      <w:pPr>
        <w:pStyle w:val="a3"/>
        <w:spacing w:before="360" w:beforeAutospacing="0" w:after="0" w:afterAutospacing="0"/>
        <w:jc w:val="center"/>
        <w:divId w:val="1797677557"/>
        <w:rPr>
          <w:sz w:val="20"/>
          <w:szCs w:val="20"/>
        </w:rPr>
      </w:pPr>
      <w:r>
        <w:rPr>
          <w:sz w:val="20"/>
          <w:szCs w:val="20"/>
        </w:rPr>
        <w:t>58</w:t>
      </w:r>
    </w:p>
    <w:p w14:paraId="6961CAF3" w14:textId="77777777" w:rsidR="00000000" w:rsidRDefault="00097612">
      <w:pPr>
        <w:pStyle w:val="a3"/>
        <w:spacing w:before="0" w:beforeAutospacing="0" w:after="600" w:afterAutospacing="0"/>
        <w:divId w:val="85809598"/>
        <w:rPr>
          <w:sz w:val="20"/>
          <w:szCs w:val="20"/>
        </w:rPr>
      </w:pPr>
      <w:hyperlink w:anchor="TOC" w:history="1">
        <w:r>
          <w:rPr>
            <w:rStyle w:val="a4"/>
            <w:sz w:val="20"/>
            <w:szCs w:val="20"/>
          </w:rPr>
          <w:t>Table of Contents</w:t>
        </w:r>
      </w:hyperlink>
    </w:p>
    <w:p w14:paraId="67B3B985" w14:textId="77777777" w:rsidR="00000000" w:rsidRDefault="00097612">
      <w:pPr>
        <w:pStyle w:val="a3"/>
        <w:spacing w:before="0" w:beforeAutospacing="0" w:after="0" w:afterAutospacing="0"/>
        <w:ind w:firstLine="720"/>
        <w:divId w:val="1953246235"/>
        <w:rPr>
          <w:rFonts w:ascii="Times" w:hAnsi="Times"/>
          <w:sz w:val="20"/>
          <w:szCs w:val="20"/>
        </w:rPr>
      </w:pPr>
      <w:r>
        <w:rPr>
          <w:rFonts w:ascii="Times" w:hAnsi="Times"/>
          <w:sz w:val="20"/>
          <w:szCs w:val="20"/>
        </w:rPr>
        <w:t>The pricing and reimbursement environment for products may change in the future and become more challenging due to, among other reasons, policies advanced by the current or new presidential administrations, federal agencies, new healthcare legislation pass</w:t>
      </w:r>
      <w:r>
        <w:rPr>
          <w:rFonts w:ascii="Times" w:hAnsi="Times"/>
          <w:sz w:val="20"/>
          <w:szCs w:val="20"/>
        </w:rPr>
        <w:t xml:space="preserve">ed by Congress or fiscal challenges faced by all levels of government health administration authorities. Among policy makers and payors in the US and elsewhere, there is significant interest in promoting changes in healthcare systems with the stated goals </w:t>
      </w:r>
      <w:r>
        <w:rPr>
          <w:rFonts w:ascii="Times" w:hAnsi="Times"/>
          <w:sz w:val="20"/>
          <w:szCs w:val="20"/>
        </w:rPr>
        <w:t>of containing healthcare costs, improving quality and expanding access to healthcare. In the US, the pharmaceutical industry has been a particular focus of these efforts and has been and may in the future be significantly affected by major legislative init</w:t>
      </w:r>
      <w:r>
        <w:rPr>
          <w:rFonts w:ascii="Times" w:hAnsi="Times"/>
          <w:sz w:val="20"/>
          <w:szCs w:val="20"/>
        </w:rPr>
        <w:t>iatives. For instance, in the fourth quarter of 2018, the Centers for Medicare</w:t>
      </w:r>
      <w:r>
        <w:rPr>
          <w:rFonts w:ascii="Times" w:hAnsi="Times"/>
          <w:sz w:val="20"/>
          <w:szCs w:val="20"/>
        </w:rPr>
        <w:t xml:space="preserve"> </w:t>
      </w:r>
      <w:r>
        <w:rPr>
          <w:rFonts w:ascii="Times" w:hAnsi="Times"/>
          <w:sz w:val="20"/>
          <w:szCs w:val="20"/>
        </w:rPr>
        <w:t>&amp;</w:t>
      </w:r>
      <w:r>
        <w:rPr>
          <w:rFonts w:ascii="Times" w:hAnsi="Times"/>
          <w:sz w:val="20"/>
          <w:szCs w:val="20"/>
        </w:rPr>
        <w:t xml:space="preserve"> </w:t>
      </w:r>
      <w:r>
        <w:rPr>
          <w:rFonts w:ascii="Times" w:hAnsi="Times"/>
          <w:sz w:val="20"/>
          <w:szCs w:val="20"/>
        </w:rPr>
        <w:t xml:space="preserve">Medicaid Services (“CMS”), the federal agency that administers the Medicare and Medicaid programs, released an advance notice of proposed rule-making to solicit feedback on a </w:t>
      </w:r>
      <w:r>
        <w:rPr>
          <w:rFonts w:ascii="Times" w:hAnsi="Times"/>
          <w:sz w:val="20"/>
          <w:szCs w:val="20"/>
        </w:rPr>
        <w:t xml:space="preserve">potential change in the way Medicare Part B pays for certain physician-administered drugs. Under Part B’s current reimbursement policy, Medicare pays providers the average sales price of the drug plus 6% (reduced to 4.3% as a result of sequestration). CMS </w:t>
      </w:r>
      <w:r>
        <w:rPr>
          <w:rFonts w:ascii="Times" w:hAnsi="Times"/>
          <w:sz w:val="20"/>
          <w:szCs w:val="20"/>
        </w:rPr>
        <w:t>is considering a proposal that would more closely align payment for these drugs with prices in certain countries (such as Canada, the United Kingdom, Japan, and Germany), allow private-sector vendors to negotiate prices, and pay providers a flat add-on pay</w:t>
      </w:r>
      <w:r>
        <w:rPr>
          <w:rFonts w:ascii="Times" w:hAnsi="Times"/>
          <w:sz w:val="20"/>
          <w:szCs w:val="20"/>
        </w:rPr>
        <w:t>ment not tied to the price of the drug. We expect we, our collaboration partners or those commercializing products with respect to which we have an economic interest or right to receive royalties may experience pricing pressures in connection with the sale</w:t>
      </w:r>
      <w:r>
        <w:rPr>
          <w:rFonts w:ascii="Times" w:hAnsi="Times"/>
          <w:sz w:val="20"/>
          <w:szCs w:val="20"/>
        </w:rPr>
        <w:t xml:space="preserve"> of drug products, due to the trend toward managed healthcare, the increasing influence of health maintenance organizations and additional legislative enactments.</w:t>
      </w:r>
      <w:r>
        <w:rPr>
          <w:rFonts w:ascii="Times" w:hAnsi="Times"/>
          <w:sz w:val="20"/>
          <w:szCs w:val="20"/>
        </w:rPr>
        <w:t xml:space="preserve"> </w:t>
      </w:r>
    </w:p>
    <w:p w14:paraId="74E11D12" w14:textId="77777777" w:rsidR="00000000" w:rsidRDefault="00097612">
      <w:pPr>
        <w:pStyle w:val="a3"/>
        <w:spacing w:before="0" w:beforeAutospacing="0" w:after="0" w:afterAutospacing="0"/>
        <w:ind w:firstLine="720"/>
        <w:divId w:val="1953246235"/>
        <w:rPr>
          <w:rFonts w:ascii="Times" w:hAnsi="Times"/>
          <w:sz w:val="20"/>
          <w:szCs w:val="20"/>
        </w:rPr>
      </w:pPr>
      <w:r>
        <w:rPr>
          <w:rFonts w:ascii="Times" w:hAnsi="Times"/>
          <w:sz w:val="20"/>
          <w:szCs w:val="20"/>
        </w:rPr>
        <w:t>​</w:t>
      </w:r>
    </w:p>
    <w:p w14:paraId="7B25421B" w14:textId="77777777" w:rsidR="00000000" w:rsidRDefault="00097612">
      <w:pPr>
        <w:pStyle w:val="a3"/>
        <w:spacing w:before="0" w:beforeAutospacing="0" w:after="0" w:afterAutospacing="0"/>
        <w:ind w:firstLine="720"/>
        <w:divId w:val="1953246235"/>
        <w:rPr>
          <w:rFonts w:ascii="Times" w:hAnsi="Times"/>
          <w:sz w:val="20"/>
          <w:szCs w:val="20"/>
        </w:rPr>
      </w:pPr>
      <w:r>
        <w:rPr>
          <w:rFonts w:ascii="Times" w:hAnsi="Times"/>
          <w:sz w:val="20"/>
          <w:szCs w:val="20"/>
        </w:rPr>
        <w:t>The Patient Protection and Affordable Care Act, as amended by the Health Care and Educatio</w:t>
      </w:r>
      <w:r>
        <w:rPr>
          <w:rFonts w:ascii="Times" w:hAnsi="Times"/>
          <w:sz w:val="20"/>
          <w:szCs w:val="20"/>
        </w:rPr>
        <w:t>n Reconciliation Act of 2010 (together the</w:t>
      </w:r>
      <w:r>
        <w:rPr>
          <w:rFonts w:ascii="Times" w:hAnsi="Times"/>
          <w:sz w:val="20"/>
          <w:szCs w:val="20"/>
        </w:rPr>
        <w:t xml:space="preserve"> </w:t>
      </w:r>
      <w:r>
        <w:rPr>
          <w:rFonts w:ascii="Times" w:hAnsi="Times"/>
          <w:sz w:val="20"/>
          <w:szCs w:val="20"/>
        </w:rPr>
        <w:t>“Healthcare Reform Act”), is a sweeping measure intended to expand healthcare coverage within the US, primarily through the imposition of health insurance mandates on employers and individuals and expansion of the</w:t>
      </w:r>
      <w:r>
        <w:rPr>
          <w:rFonts w:ascii="Times" w:hAnsi="Times"/>
          <w:sz w:val="20"/>
          <w:szCs w:val="20"/>
        </w:rPr>
        <w:t xml:space="preserve"> Medicaid program. This law has substantially changed the way healthcare is financed by both governmental and private insurers, and significantly impacts the pharmaceutical industry. The Healthcare Reform Act contains a number of provisions that impact our</w:t>
      </w:r>
      <w:r>
        <w:rPr>
          <w:rFonts w:ascii="Times" w:hAnsi="Times"/>
          <w:sz w:val="20"/>
          <w:szCs w:val="20"/>
        </w:rPr>
        <w:t xml:space="preserve"> business and operations, including those governing enrollment in federal healthcare programs, reimbursement changes, benefits for patients within a coverage gap in the Medicare Part D prescription drug program (commonly known as the</w:t>
      </w:r>
      <w:r>
        <w:rPr>
          <w:rFonts w:ascii="Times" w:hAnsi="Times"/>
          <w:sz w:val="20"/>
          <w:szCs w:val="20"/>
        </w:rPr>
        <w:t xml:space="preserve"> </w:t>
      </w:r>
      <w:r>
        <w:rPr>
          <w:rFonts w:ascii="Times" w:hAnsi="Times"/>
          <w:sz w:val="20"/>
          <w:szCs w:val="20"/>
        </w:rPr>
        <w:t>“donut hole”), rules r</w:t>
      </w:r>
      <w:r>
        <w:rPr>
          <w:rFonts w:ascii="Times" w:hAnsi="Times"/>
          <w:sz w:val="20"/>
          <w:szCs w:val="20"/>
        </w:rPr>
        <w:t>egarding prescription drug benefits under the health insurance exchanges, changes to the Medicare Drug Rebate program, expansion of the Public Health Service’s 340B drug pricing program, fraud and abuse and enforcement. These changes have impacted previous</w:t>
      </w:r>
      <w:r>
        <w:rPr>
          <w:rFonts w:ascii="Times" w:hAnsi="Times"/>
          <w:sz w:val="20"/>
          <w:szCs w:val="20"/>
        </w:rPr>
        <w:t>ly existing government healthcare programs and have resulted in the development of new programs, including Medicare payment for performance initiatives and improvements to the physician quality reporting system and feedback program.</w:t>
      </w:r>
      <w:r>
        <w:rPr>
          <w:rFonts w:ascii="Times" w:hAnsi="Times"/>
          <w:sz w:val="20"/>
          <w:szCs w:val="20"/>
        </w:rPr>
        <w:t xml:space="preserve"> </w:t>
      </w:r>
    </w:p>
    <w:p w14:paraId="5F660EB3" w14:textId="77777777" w:rsidR="00000000" w:rsidRDefault="00097612">
      <w:pPr>
        <w:pStyle w:val="a3"/>
        <w:spacing w:before="0" w:beforeAutospacing="0" w:after="0" w:afterAutospacing="0"/>
        <w:ind w:firstLine="720"/>
        <w:divId w:val="1953246235"/>
        <w:rPr>
          <w:rFonts w:ascii="Times" w:hAnsi="Times"/>
          <w:sz w:val="20"/>
          <w:szCs w:val="20"/>
        </w:rPr>
      </w:pPr>
      <w:r>
        <w:rPr>
          <w:rFonts w:ascii="Times" w:hAnsi="Times"/>
          <w:sz w:val="20"/>
          <w:szCs w:val="20"/>
        </w:rPr>
        <w:t>​</w:t>
      </w:r>
    </w:p>
    <w:p w14:paraId="694EE3D5" w14:textId="77777777" w:rsidR="00000000" w:rsidRDefault="00097612">
      <w:pPr>
        <w:pStyle w:val="a3"/>
        <w:spacing w:before="0" w:beforeAutospacing="0" w:after="0" w:afterAutospacing="0"/>
        <w:ind w:firstLine="720"/>
        <w:divId w:val="1953246235"/>
        <w:rPr>
          <w:rFonts w:ascii="Times" w:hAnsi="Times"/>
          <w:sz w:val="20"/>
          <w:szCs w:val="20"/>
        </w:rPr>
      </w:pPr>
      <w:r>
        <w:rPr>
          <w:rFonts w:ascii="Times" w:hAnsi="Times"/>
          <w:sz w:val="20"/>
          <w:szCs w:val="20"/>
        </w:rPr>
        <w:t>In particular, CMS i</w:t>
      </w:r>
      <w:r>
        <w:rPr>
          <w:rFonts w:ascii="Times" w:hAnsi="Times"/>
          <w:sz w:val="20"/>
          <w:szCs w:val="20"/>
        </w:rPr>
        <w:t>ssued final regulations to implement the changes to the Medicaid Drug Rebate program under the Healthcare Reform Act. These regulations became effective on April 1, 2016. Congress could enact additional legislation that further increases Medicaid drug reba</w:t>
      </w:r>
      <w:r>
        <w:rPr>
          <w:rFonts w:ascii="Times" w:hAnsi="Times"/>
          <w:sz w:val="20"/>
          <w:szCs w:val="20"/>
        </w:rPr>
        <w:t>tes or other costs and charges associated with participating in the Medicaid Drug Rebate program. The issuance of regulations and coverage expansion by various governmental agencies relating to the Medicaid Drug Rebate program has and will continue to incr</w:t>
      </w:r>
      <w:r>
        <w:rPr>
          <w:rFonts w:ascii="Times" w:hAnsi="Times"/>
          <w:sz w:val="20"/>
          <w:szCs w:val="20"/>
        </w:rPr>
        <w:t>ease the costs and the complexity of compliance, has been and will be time-consuming, and could have a material adverse effect on results of operations for us, our collaboration partners, or those commercializing products with respect to which we have an e</w:t>
      </w:r>
      <w:r>
        <w:rPr>
          <w:rFonts w:ascii="Times" w:hAnsi="Times"/>
          <w:sz w:val="20"/>
          <w:szCs w:val="20"/>
        </w:rPr>
        <w:t>conomic interest or right to receive royalties.</w:t>
      </w:r>
      <w:r>
        <w:rPr>
          <w:rFonts w:ascii="Times" w:hAnsi="Times"/>
          <w:sz w:val="20"/>
          <w:szCs w:val="20"/>
        </w:rPr>
        <w:t xml:space="preserve"> </w:t>
      </w:r>
    </w:p>
    <w:p w14:paraId="1287576C" w14:textId="77777777" w:rsidR="00000000" w:rsidRDefault="00097612">
      <w:pPr>
        <w:pStyle w:val="a3"/>
        <w:spacing w:before="0" w:beforeAutospacing="0" w:after="0" w:afterAutospacing="0"/>
        <w:ind w:firstLine="720"/>
        <w:divId w:val="1953246235"/>
        <w:rPr>
          <w:rFonts w:ascii="Times" w:hAnsi="Times"/>
          <w:sz w:val="20"/>
          <w:szCs w:val="20"/>
        </w:rPr>
      </w:pPr>
      <w:r>
        <w:rPr>
          <w:rFonts w:ascii="Times" w:hAnsi="Times"/>
          <w:sz w:val="20"/>
          <w:szCs w:val="20"/>
        </w:rPr>
        <w:t>​</w:t>
      </w:r>
    </w:p>
    <w:p w14:paraId="6D317311" w14:textId="77777777" w:rsidR="00000000" w:rsidRDefault="00097612">
      <w:pPr>
        <w:pStyle w:val="a3"/>
        <w:spacing w:before="0" w:beforeAutospacing="0" w:after="0" w:afterAutospacing="0"/>
        <w:ind w:firstLine="720"/>
        <w:divId w:val="1953246235"/>
        <w:rPr>
          <w:rFonts w:ascii="Times" w:hAnsi="Times"/>
          <w:sz w:val="20"/>
          <w:szCs w:val="20"/>
        </w:rPr>
      </w:pPr>
      <w:r>
        <w:rPr>
          <w:rFonts w:ascii="Times" w:hAnsi="Times"/>
          <w:sz w:val="20"/>
          <w:szCs w:val="20"/>
        </w:rPr>
        <w:t>Some states have elected not to expand their Medicaid programs by raising the income limit to 133% of the federal poverty level, as is permitted under the Healthcare Reform Act. For each state that does no</w:t>
      </w:r>
      <w:r>
        <w:rPr>
          <w:rFonts w:ascii="Times" w:hAnsi="Times"/>
          <w:sz w:val="20"/>
          <w:szCs w:val="20"/>
        </w:rPr>
        <w:t>t choose to expand its Medicaid program, there may be fewer insured patients overall, which could impact the sales, business and financial condition of us, our collaboration partners, or those commercializing products with respect to which we have an econo</w:t>
      </w:r>
      <w:r>
        <w:rPr>
          <w:rFonts w:ascii="Times" w:hAnsi="Times"/>
          <w:sz w:val="20"/>
          <w:szCs w:val="20"/>
        </w:rPr>
        <w:t>mic interest or right to receive royalties. Where Medicaid patients receive insurance coverage under any of the new options made available through the Healthcare Reform Act, manufacturers may be required to pay Medicaid rebates on drugs used under these ci</w:t>
      </w:r>
      <w:r>
        <w:rPr>
          <w:rFonts w:ascii="Times" w:hAnsi="Times"/>
          <w:sz w:val="20"/>
          <w:szCs w:val="20"/>
        </w:rPr>
        <w:t>rcumstances, which could impact manufacturer revenues. In addition, there have been delays in the implementation of key provisions of the Healthcare Reform Act.</w:t>
      </w:r>
      <w:r>
        <w:rPr>
          <w:rFonts w:ascii="Times" w:hAnsi="Times"/>
          <w:sz w:val="20"/>
          <w:szCs w:val="20"/>
        </w:rPr>
        <w:t xml:space="preserve"> </w:t>
      </w:r>
    </w:p>
    <w:p w14:paraId="1D185328" w14:textId="77777777" w:rsidR="00000000" w:rsidRDefault="00097612">
      <w:pPr>
        <w:pStyle w:val="a3"/>
        <w:spacing w:before="0" w:beforeAutospacing="0" w:after="0" w:afterAutospacing="0"/>
        <w:ind w:firstLine="720"/>
        <w:divId w:val="1953246235"/>
        <w:rPr>
          <w:rFonts w:ascii="Times" w:hAnsi="Times"/>
          <w:sz w:val="20"/>
          <w:szCs w:val="20"/>
        </w:rPr>
      </w:pPr>
      <w:r>
        <w:rPr>
          <w:rFonts w:ascii="Times" w:hAnsi="Times"/>
          <w:sz w:val="20"/>
          <w:szCs w:val="20"/>
        </w:rPr>
        <w:t>​</w:t>
      </w:r>
    </w:p>
    <w:p w14:paraId="493AE24C" w14:textId="77777777" w:rsidR="00000000" w:rsidRDefault="00097612">
      <w:pPr>
        <w:pStyle w:val="a3"/>
        <w:spacing w:before="0" w:beforeAutospacing="0" w:after="0" w:afterAutospacing="0"/>
        <w:ind w:firstLine="720"/>
        <w:divId w:val="1953246235"/>
        <w:rPr>
          <w:rFonts w:ascii="Times" w:hAnsi="Times"/>
          <w:sz w:val="20"/>
          <w:szCs w:val="20"/>
        </w:rPr>
      </w:pPr>
      <w:r>
        <w:rPr>
          <w:rFonts w:ascii="Times" w:hAnsi="Times"/>
          <w:sz w:val="20"/>
          <w:szCs w:val="20"/>
        </w:rPr>
        <w:t xml:space="preserve">Moreover, certain legislative changes to and regulatory changes under the Healthcare Reform </w:t>
      </w:r>
      <w:r>
        <w:rPr>
          <w:rFonts w:ascii="Times" w:hAnsi="Times"/>
          <w:sz w:val="20"/>
          <w:szCs w:val="20"/>
        </w:rPr>
        <w:t>Act have occurred in the 115th US Congress and under the Trump Administration. For example, the Tax Cuts and Jobs Act enacted on December 22, 2017, eliminated the shared responsibility payment for individuals who fail to maintain minimum essential coverage</w:t>
      </w:r>
      <w:r>
        <w:rPr>
          <w:rFonts w:ascii="Times" w:hAnsi="Times"/>
          <w:sz w:val="20"/>
          <w:szCs w:val="20"/>
        </w:rPr>
        <w:t xml:space="preserve"> under section 5000A of the Internal Revenue Code of 1986, commonly referred to as the individual mandate, effective January 1, 2019. Additional legislative changes to and regulatory changes under the Healthcare Reform Act remain possible, but the nature a</w:t>
      </w:r>
      <w:r>
        <w:rPr>
          <w:rFonts w:ascii="Times" w:hAnsi="Times"/>
          <w:sz w:val="20"/>
          <w:szCs w:val="20"/>
        </w:rPr>
        <w:t>nd extent of such potential additional changes are uncertain at this time. We expect that the Healthcare</w:t>
      </w:r>
      <w:r>
        <w:rPr>
          <w:rFonts w:ascii="Times" w:hAnsi="Times"/>
          <w:sz w:val="20"/>
          <w:szCs w:val="20"/>
        </w:rPr>
        <w:t xml:space="preserve"> </w:t>
      </w:r>
    </w:p>
    <w:p w14:paraId="7308635C" w14:textId="77777777" w:rsidR="00000000" w:rsidRDefault="00097612">
      <w:pPr>
        <w:pStyle w:val="a3"/>
        <w:spacing w:before="360" w:beforeAutospacing="0" w:after="0" w:afterAutospacing="0"/>
        <w:jc w:val="center"/>
        <w:divId w:val="546331993"/>
        <w:rPr>
          <w:sz w:val="20"/>
          <w:szCs w:val="20"/>
        </w:rPr>
      </w:pPr>
      <w:r>
        <w:rPr>
          <w:sz w:val="20"/>
          <w:szCs w:val="20"/>
        </w:rPr>
        <w:t>59</w:t>
      </w:r>
    </w:p>
    <w:p w14:paraId="23D8B3E3" w14:textId="77777777" w:rsidR="00000000" w:rsidRDefault="00097612">
      <w:pPr>
        <w:pStyle w:val="a3"/>
        <w:spacing w:before="0" w:beforeAutospacing="0" w:after="600" w:afterAutospacing="0"/>
        <w:divId w:val="1222445743"/>
        <w:rPr>
          <w:sz w:val="20"/>
          <w:szCs w:val="20"/>
        </w:rPr>
      </w:pPr>
      <w:hyperlink w:anchor="TOC" w:history="1">
        <w:r>
          <w:rPr>
            <w:rStyle w:val="a4"/>
            <w:sz w:val="20"/>
            <w:szCs w:val="20"/>
          </w:rPr>
          <w:t>Table of Contents</w:t>
        </w:r>
      </w:hyperlink>
    </w:p>
    <w:p w14:paraId="4B79E1DB" w14:textId="77777777" w:rsidR="00000000" w:rsidRDefault="00097612">
      <w:pPr>
        <w:pStyle w:val="a3"/>
        <w:spacing w:before="0" w:beforeAutospacing="0" w:after="0" w:afterAutospacing="0"/>
        <w:divId w:val="1758211267"/>
        <w:rPr>
          <w:rFonts w:ascii="Times" w:hAnsi="Times"/>
          <w:sz w:val="20"/>
          <w:szCs w:val="20"/>
        </w:rPr>
      </w:pPr>
      <w:r>
        <w:rPr>
          <w:rFonts w:ascii="Times" w:hAnsi="Times"/>
          <w:sz w:val="20"/>
          <w:szCs w:val="20"/>
        </w:rPr>
        <w:t>Reform Act, as currently enacted or as it may be amended in the future, and other healthcare reform measures that may be adopted in the future, could have a material adverse effect on our industry generally and on the ability of us, our collaboration partn</w:t>
      </w:r>
      <w:r>
        <w:rPr>
          <w:rFonts w:ascii="Times" w:hAnsi="Times"/>
          <w:sz w:val="20"/>
          <w:szCs w:val="20"/>
        </w:rPr>
        <w:t>ers, or those commercializing products with respect to which we have an economic interest or right to receive royalties to maintain or increase sales of existing products or to successfully commercialize product candidates, if approved.</w:t>
      </w:r>
      <w:r>
        <w:rPr>
          <w:rFonts w:ascii="Times" w:hAnsi="Times"/>
          <w:sz w:val="20"/>
          <w:szCs w:val="20"/>
        </w:rPr>
        <w:t xml:space="preserve"> </w:t>
      </w:r>
    </w:p>
    <w:p w14:paraId="1DDA78F6" w14:textId="77777777" w:rsidR="00000000" w:rsidRDefault="00097612">
      <w:pPr>
        <w:pStyle w:val="a3"/>
        <w:spacing w:before="0" w:beforeAutospacing="0" w:after="0" w:afterAutospacing="0"/>
        <w:ind w:firstLine="720"/>
        <w:divId w:val="1758211267"/>
        <w:rPr>
          <w:rFonts w:ascii="Times" w:hAnsi="Times"/>
          <w:sz w:val="20"/>
          <w:szCs w:val="20"/>
        </w:rPr>
      </w:pPr>
      <w:r>
        <w:rPr>
          <w:rFonts w:ascii="Times" w:hAnsi="Times"/>
          <w:sz w:val="20"/>
          <w:szCs w:val="20"/>
        </w:rPr>
        <w:t>​</w:t>
      </w:r>
    </w:p>
    <w:p w14:paraId="615F2625" w14:textId="77777777" w:rsidR="00000000" w:rsidRDefault="00097612">
      <w:pPr>
        <w:pStyle w:val="a3"/>
        <w:spacing w:before="0" w:beforeAutospacing="0" w:after="0" w:afterAutospacing="0"/>
        <w:ind w:firstLine="720"/>
        <w:divId w:val="1758211267"/>
        <w:rPr>
          <w:rFonts w:ascii="Times" w:hAnsi="Times"/>
          <w:sz w:val="20"/>
          <w:szCs w:val="20"/>
        </w:rPr>
      </w:pPr>
      <w:r>
        <w:rPr>
          <w:rFonts w:ascii="Times" w:hAnsi="Times"/>
          <w:sz w:val="20"/>
          <w:szCs w:val="20"/>
        </w:rPr>
        <w:t>In addition, the</w:t>
      </w:r>
      <w:r>
        <w:rPr>
          <w:rFonts w:ascii="Times" w:hAnsi="Times"/>
          <w:sz w:val="20"/>
          <w:szCs w:val="20"/>
        </w:rPr>
        <w:t xml:space="preserve">re have been proposals to impose federal rebates on Medicare Part D drugs, requiring federally-mandated rebates on all drugs dispensed to Medicare Part D enrollees or on only those drugs dispensed to certain groups of lower income beneficiaries. If any of </w:t>
      </w:r>
      <w:r>
        <w:rPr>
          <w:rFonts w:ascii="Times" w:hAnsi="Times"/>
          <w:sz w:val="20"/>
          <w:szCs w:val="20"/>
        </w:rPr>
        <w:t xml:space="preserve">these proposals are adopted and result in additional rebates, this could have a negative impact on revenues for our collaboration partners, or those commercializing products with respect to which we have an economic interest or right to receive royalties, </w:t>
      </w:r>
      <w:r>
        <w:rPr>
          <w:rFonts w:ascii="Times" w:hAnsi="Times"/>
          <w:sz w:val="20"/>
          <w:szCs w:val="20"/>
        </w:rPr>
        <w:t>which could impact our revenues.</w:t>
      </w:r>
      <w:r>
        <w:rPr>
          <w:rFonts w:ascii="Times" w:hAnsi="Times"/>
          <w:sz w:val="20"/>
          <w:szCs w:val="20"/>
        </w:rPr>
        <w:t xml:space="preserve"> </w:t>
      </w:r>
    </w:p>
    <w:p w14:paraId="1A473CCD" w14:textId="77777777" w:rsidR="00000000" w:rsidRDefault="00097612">
      <w:pPr>
        <w:pStyle w:val="a3"/>
        <w:spacing w:before="0" w:beforeAutospacing="0" w:after="0" w:afterAutospacing="0"/>
        <w:ind w:firstLine="720"/>
        <w:divId w:val="1758211267"/>
        <w:rPr>
          <w:rFonts w:ascii="Times" w:hAnsi="Times"/>
          <w:sz w:val="20"/>
          <w:szCs w:val="20"/>
        </w:rPr>
      </w:pPr>
      <w:r>
        <w:rPr>
          <w:rFonts w:ascii="Times" w:hAnsi="Times"/>
          <w:sz w:val="20"/>
          <w:szCs w:val="20"/>
        </w:rPr>
        <w:t>​</w:t>
      </w:r>
    </w:p>
    <w:p w14:paraId="39F43268" w14:textId="77777777" w:rsidR="00000000" w:rsidRDefault="00097612">
      <w:pPr>
        <w:pStyle w:val="a3"/>
        <w:spacing w:before="0" w:beforeAutospacing="0" w:after="0" w:afterAutospacing="0"/>
        <w:ind w:firstLine="720"/>
        <w:divId w:val="1758211267"/>
        <w:rPr>
          <w:rFonts w:ascii="Times" w:hAnsi="Times"/>
          <w:sz w:val="20"/>
          <w:szCs w:val="20"/>
        </w:rPr>
      </w:pPr>
      <w:r>
        <w:rPr>
          <w:rFonts w:ascii="Times" w:hAnsi="Times"/>
          <w:sz w:val="20"/>
          <w:szCs w:val="20"/>
        </w:rPr>
        <w:t>Beginning on April 1, 2013, Medicare payments for all items and services under Part A and B, including drugs and biologicals, were reduced by 2% under the sequestration (i.e., automatic spending reductions) as required b</w:t>
      </w:r>
      <w:r>
        <w:rPr>
          <w:rFonts w:ascii="Times" w:hAnsi="Times"/>
          <w:sz w:val="20"/>
          <w:szCs w:val="20"/>
        </w:rPr>
        <w:t>y federal law, which requires sequestration for most federal programs, excluding Medicaid, Social Security, and certain other programs. The law caps the cuts to Medicare payments for items and services at 2% and this will continue to 2027. As long as these</w:t>
      </w:r>
      <w:r>
        <w:rPr>
          <w:rFonts w:ascii="Times" w:hAnsi="Times"/>
          <w:sz w:val="20"/>
          <w:szCs w:val="20"/>
        </w:rPr>
        <w:t xml:space="preserve"> cuts remain in effect, they could adversely impact payment for any products that are reimbursed under Medicare. We expect that additional state and federal healthcare reform measures will be adopted in the future, any of which could limit the amounts that</w:t>
      </w:r>
      <w:r>
        <w:rPr>
          <w:rFonts w:ascii="Times" w:hAnsi="Times"/>
          <w:sz w:val="20"/>
          <w:szCs w:val="20"/>
        </w:rPr>
        <w:t xml:space="preserve"> federal and state governments will pay for healthcare products and services, which could result in reduced demand for product or additional pricing pressures for our collaboration partners, or those commercializing products with respect to which we have a</w:t>
      </w:r>
      <w:r>
        <w:rPr>
          <w:rFonts w:ascii="Times" w:hAnsi="Times"/>
          <w:sz w:val="20"/>
          <w:szCs w:val="20"/>
        </w:rPr>
        <w:t>n economic interest or right to receive royalties, which could impact our revenues.</w:t>
      </w:r>
      <w:r>
        <w:rPr>
          <w:rFonts w:ascii="Times" w:hAnsi="Times"/>
          <w:sz w:val="20"/>
          <w:szCs w:val="20"/>
        </w:rPr>
        <w:t xml:space="preserve"> </w:t>
      </w:r>
    </w:p>
    <w:p w14:paraId="683E8084" w14:textId="77777777" w:rsidR="00000000" w:rsidRDefault="00097612">
      <w:pPr>
        <w:pStyle w:val="a3"/>
        <w:spacing w:before="0" w:beforeAutospacing="0" w:after="0" w:afterAutospacing="0"/>
        <w:divId w:val="1758211267"/>
        <w:rPr>
          <w:sz w:val="20"/>
          <w:szCs w:val="20"/>
        </w:rPr>
      </w:pPr>
      <w:r>
        <w:rPr>
          <w:sz w:val="20"/>
          <w:szCs w:val="20"/>
        </w:rPr>
        <w:t>​</w:t>
      </w:r>
    </w:p>
    <w:p w14:paraId="40D545C2" w14:textId="77777777" w:rsidR="00000000" w:rsidRDefault="00097612">
      <w:pPr>
        <w:pStyle w:val="a3"/>
        <w:spacing w:before="0" w:beforeAutospacing="0" w:after="120" w:afterAutospacing="0"/>
        <w:divId w:val="1758211267"/>
        <w:rPr>
          <w:rFonts w:ascii="Times" w:hAnsi="Times"/>
          <w:b/>
          <w:bCs/>
          <w:i/>
          <w:iCs/>
          <w:sz w:val="20"/>
          <w:szCs w:val="20"/>
        </w:rPr>
      </w:pPr>
      <w:r>
        <w:rPr>
          <w:rFonts w:ascii="Times" w:hAnsi="Times"/>
          <w:b/>
          <w:bCs/>
          <w:i/>
          <w:iCs/>
          <w:sz w:val="20"/>
          <w:szCs w:val="20"/>
        </w:rPr>
        <w:t>If we failed to comply with our reporting and payment obligations under the Medicaid Drug Rebate program or other governmental pricing programs, we could be subject to a</w:t>
      </w:r>
      <w:r>
        <w:rPr>
          <w:rFonts w:ascii="Times" w:hAnsi="Times"/>
          <w:b/>
          <w:bCs/>
          <w:i/>
          <w:iCs/>
          <w:sz w:val="20"/>
          <w:szCs w:val="20"/>
        </w:rPr>
        <w:t>dditional reimbursement requirements, penalties, sanctions and fines, which could have a material adverse effect on our business, financial condition, results of operations and growth prospects.</w:t>
      </w:r>
      <w:r>
        <w:rPr>
          <w:rFonts w:ascii="Times" w:hAnsi="Times"/>
          <w:b/>
          <w:bCs/>
          <w:i/>
          <w:iCs/>
          <w:sz w:val="20"/>
          <w:szCs w:val="20"/>
        </w:rPr>
        <w:t xml:space="preserve"> </w:t>
      </w:r>
    </w:p>
    <w:p w14:paraId="50E1FC57" w14:textId="77777777" w:rsidR="00000000" w:rsidRDefault="00097612">
      <w:pPr>
        <w:pStyle w:val="a3"/>
        <w:spacing w:before="0" w:beforeAutospacing="0" w:after="0" w:afterAutospacing="0"/>
        <w:ind w:firstLine="720"/>
        <w:divId w:val="1758211267"/>
        <w:rPr>
          <w:sz w:val="20"/>
          <w:szCs w:val="20"/>
        </w:rPr>
      </w:pPr>
      <w:r>
        <w:rPr>
          <w:sz w:val="20"/>
          <w:szCs w:val="20"/>
        </w:rPr>
        <w:t>Prior to the sale of VIBATIV to Cumberland, we had certain p</w:t>
      </w:r>
      <w:r>
        <w:rPr>
          <w:sz w:val="20"/>
          <w:szCs w:val="20"/>
        </w:rPr>
        <w:t>rice reporting obligations to the Medicaid Drug Rebate program and other governmental pricing programs, and we had obligations to report average sales price under the Medicare program. Following the consummation of the transaction with Cumberland, our pric</w:t>
      </w:r>
      <w:r>
        <w:rPr>
          <w:sz w:val="20"/>
          <w:szCs w:val="20"/>
        </w:rPr>
        <w:t xml:space="preserve">e reporting obligations related to VIBATIV have been transitioned to Cumberland, and price reporting obligations for YUPELRI reside with Mylan. However, we retain liability related to price reporting for VIBATIV for historic periods. </w:t>
      </w:r>
    </w:p>
    <w:p w14:paraId="089A7FC8" w14:textId="77777777" w:rsidR="00000000" w:rsidRDefault="00097612">
      <w:pPr>
        <w:pStyle w:val="a3"/>
        <w:spacing w:before="0" w:beforeAutospacing="0" w:after="0" w:afterAutospacing="0"/>
        <w:ind w:firstLine="720"/>
        <w:divId w:val="1758211267"/>
        <w:rPr>
          <w:rFonts w:ascii="Times" w:hAnsi="Times"/>
          <w:sz w:val="20"/>
          <w:szCs w:val="20"/>
        </w:rPr>
      </w:pPr>
      <w:r>
        <w:rPr>
          <w:rFonts w:ascii="Times" w:hAnsi="Times"/>
          <w:sz w:val="20"/>
          <w:szCs w:val="20"/>
        </w:rPr>
        <w:t>​</w:t>
      </w:r>
    </w:p>
    <w:p w14:paraId="2A24DDE5" w14:textId="77777777" w:rsidR="00000000" w:rsidRDefault="00097612">
      <w:pPr>
        <w:pStyle w:val="a3"/>
        <w:spacing w:before="0" w:beforeAutospacing="0" w:after="0" w:afterAutospacing="0"/>
        <w:ind w:firstLine="720"/>
        <w:divId w:val="1758211267"/>
        <w:rPr>
          <w:sz w:val="20"/>
          <w:szCs w:val="20"/>
        </w:rPr>
      </w:pPr>
      <w:r>
        <w:rPr>
          <w:sz w:val="20"/>
          <w:szCs w:val="20"/>
        </w:rPr>
        <w:t xml:space="preserve">Under the Medicaid </w:t>
      </w:r>
      <w:r>
        <w:rPr>
          <w:sz w:val="20"/>
          <w:szCs w:val="20"/>
        </w:rPr>
        <w:t>Drug Rebate program, a manufacturer is required to pay a rebate to each state Medicaid program for its covered outpatient drugs that are dispensed to Medicaid beneficiaries and paid for by a state Medicaid program as a condition of having federal funds bei</w:t>
      </w:r>
      <w:r>
        <w:rPr>
          <w:sz w:val="20"/>
          <w:szCs w:val="20"/>
        </w:rPr>
        <w:t>ng made available to the states for our drugs under Medicaid and Medicare Part B. Those rebates are based on pricing data reported by the manufacturer on a monthly and quarterly basis to CMS, the federal agency that administers the Medicaid Drug Rebate pro</w:t>
      </w:r>
      <w:r>
        <w:rPr>
          <w:sz w:val="20"/>
          <w:szCs w:val="20"/>
        </w:rPr>
        <w:t>gram. These data include the average manufacturer price and, in the case of innovator products, the best price for each drug which, in general, represents the lowest price available from the manufacturer to any entity in the US in any pricing structure, ca</w:t>
      </w:r>
      <w:r>
        <w:rPr>
          <w:sz w:val="20"/>
          <w:szCs w:val="20"/>
        </w:rPr>
        <w:t xml:space="preserve">lculated to include all sales and associated rebates, discounts and other price concessions. </w:t>
      </w:r>
    </w:p>
    <w:p w14:paraId="6361638B" w14:textId="77777777" w:rsidR="00000000" w:rsidRDefault="00097612">
      <w:pPr>
        <w:pStyle w:val="a3"/>
        <w:spacing w:before="0" w:beforeAutospacing="0" w:after="0" w:afterAutospacing="0"/>
        <w:divId w:val="1758211267"/>
        <w:rPr>
          <w:sz w:val="20"/>
          <w:szCs w:val="20"/>
        </w:rPr>
      </w:pPr>
      <w:r>
        <w:rPr>
          <w:sz w:val="20"/>
          <w:szCs w:val="20"/>
        </w:rPr>
        <w:t>​</w:t>
      </w:r>
    </w:p>
    <w:p w14:paraId="2A34C508" w14:textId="77777777" w:rsidR="00000000" w:rsidRDefault="00097612">
      <w:pPr>
        <w:pStyle w:val="a3"/>
        <w:spacing w:before="0" w:beforeAutospacing="0" w:after="0" w:afterAutospacing="0"/>
        <w:ind w:firstLine="720"/>
        <w:divId w:val="1758211267"/>
        <w:rPr>
          <w:rFonts w:ascii="Times" w:hAnsi="Times"/>
          <w:sz w:val="20"/>
          <w:szCs w:val="20"/>
        </w:rPr>
      </w:pPr>
      <w:r>
        <w:rPr>
          <w:rFonts w:ascii="Times" w:hAnsi="Times"/>
          <w:sz w:val="20"/>
          <w:szCs w:val="20"/>
        </w:rPr>
        <w:t>Federal law requires that any company that participates in the Medicaid Drug Rebate program also participate in the Public Health Service’s 340B drug pricing pr</w:t>
      </w:r>
      <w:r>
        <w:rPr>
          <w:rFonts w:ascii="Times" w:hAnsi="Times"/>
          <w:sz w:val="20"/>
          <w:szCs w:val="20"/>
        </w:rPr>
        <w:t>ogram in order for federal funds to be available for the manufacturer’s drugs under Medicaid and Medicare Part B. The 340B program requires participating manufacturers to agree to charge no more than the 340B</w:t>
      </w:r>
      <w:r>
        <w:rPr>
          <w:rFonts w:ascii="Times" w:hAnsi="Times"/>
          <w:sz w:val="20"/>
          <w:szCs w:val="20"/>
        </w:rPr>
        <w:t xml:space="preserve"> </w:t>
      </w:r>
      <w:r>
        <w:rPr>
          <w:rFonts w:ascii="Times" w:hAnsi="Times"/>
          <w:sz w:val="20"/>
          <w:szCs w:val="20"/>
        </w:rPr>
        <w:t>“ceiling price”</w:t>
      </w:r>
      <w:r>
        <w:rPr>
          <w:rFonts w:ascii="Times" w:hAnsi="Times"/>
          <w:sz w:val="20"/>
          <w:szCs w:val="20"/>
        </w:rPr>
        <w:t xml:space="preserve"> </w:t>
      </w:r>
      <w:r>
        <w:rPr>
          <w:rFonts w:ascii="Times" w:hAnsi="Times"/>
          <w:sz w:val="20"/>
          <w:szCs w:val="20"/>
        </w:rPr>
        <w:t xml:space="preserve">for the manufacturer’s covered </w:t>
      </w:r>
      <w:r>
        <w:rPr>
          <w:rFonts w:ascii="Times" w:hAnsi="Times"/>
          <w:sz w:val="20"/>
          <w:szCs w:val="20"/>
        </w:rPr>
        <w:t>outpatient drugs to a variety of community health clinics and other entities that receive health services grants from the Public Health Service, as well as hospitals that serve a disproportionate share of low-income patients. A final regulation regarding t</w:t>
      </w:r>
      <w:r>
        <w:rPr>
          <w:rFonts w:ascii="Times" w:hAnsi="Times"/>
          <w:sz w:val="20"/>
          <w:szCs w:val="20"/>
        </w:rPr>
        <w:t>he calculation of the 340B ceiling price and the imposition of civil monetary penalties on manufacturers that knowingly and intentionally overcharge covered entities became effective on January 1, 2019.</w:t>
      </w:r>
      <w:r>
        <w:rPr>
          <w:rFonts w:ascii="Times" w:hAnsi="Times"/>
          <w:sz w:val="20"/>
          <w:szCs w:val="20"/>
        </w:rPr>
        <w:t xml:space="preserve"> </w:t>
      </w:r>
    </w:p>
    <w:p w14:paraId="45778F36" w14:textId="77777777" w:rsidR="00000000" w:rsidRDefault="00097612">
      <w:pPr>
        <w:pStyle w:val="a3"/>
        <w:spacing w:before="0" w:beforeAutospacing="0" w:after="0" w:afterAutospacing="0"/>
        <w:ind w:firstLine="720"/>
        <w:divId w:val="1758211267"/>
        <w:rPr>
          <w:rFonts w:ascii="Times" w:hAnsi="Times"/>
          <w:sz w:val="20"/>
          <w:szCs w:val="20"/>
        </w:rPr>
      </w:pPr>
      <w:r>
        <w:rPr>
          <w:rFonts w:ascii="Times" w:hAnsi="Times"/>
          <w:sz w:val="20"/>
          <w:szCs w:val="20"/>
        </w:rPr>
        <w:t>​</w:t>
      </w:r>
    </w:p>
    <w:p w14:paraId="16BDD327" w14:textId="77777777" w:rsidR="00000000" w:rsidRDefault="00097612">
      <w:pPr>
        <w:pStyle w:val="a3"/>
        <w:spacing w:before="0" w:beforeAutospacing="0" w:after="0" w:afterAutospacing="0"/>
        <w:ind w:firstLine="720"/>
        <w:divId w:val="1758211267"/>
        <w:rPr>
          <w:rFonts w:ascii="Times" w:hAnsi="Times"/>
          <w:sz w:val="20"/>
          <w:szCs w:val="20"/>
        </w:rPr>
      </w:pPr>
      <w:r>
        <w:rPr>
          <w:rFonts w:ascii="Times" w:hAnsi="Times"/>
          <w:sz w:val="20"/>
          <w:szCs w:val="20"/>
        </w:rPr>
        <w:t>Federal law also requires that a company that part</w:t>
      </w:r>
      <w:r>
        <w:rPr>
          <w:rFonts w:ascii="Times" w:hAnsi="Times"/>
          <w:sz w:val="20"/>
          <w:szCs w:val="20"/>
        </w:rPr>
        <w:t xml:space="preserve">icipates in the Medicaid Drug Rebate program report average sales price information each quarter to CMS for certain categories of drugs that are paid under the Medicare Part B program. Manufacturers calculate the average sales price based on a statutorily </w:t>
      </w:r>
      <w:r>
        <w:rPr>
          <w:rFonts w:ascii="Times" w:hAnsi="Times"/>
          <w:sz w:val="20"/>
          <w:szCs w:val="20"/>
        </w:rPr>
        <w:t>defined formula as well as regulations and interpretations of the statute by CMS. CMS uses these submissions to determine payment rates for drugs under Medicare Part B.</w:t>
      </w:r>
      <w:r>
        <w:rPr>
          <w:rFonts w:ascii="Times" w:hAnsi="Times"/>
          <w:sz w:val="20"/>
          <w:szCs w:val="20"/>
        </w:rPr>
        <w:t xml:space="preserve"> </w:t>
      </w:r>
    </w:p>
    <w:p w14:paraId="0B5A2C0E" w14:textId="77777777" w:rsidR="00000000" w:rsidRDefault="00097612">
      <w:pPr>
        <w:pStyle w:val="a3"/>
        <w:spacing w:before="360" w:beforeAutospacing="0" w:after="0" w:afterAutospacing="0"/>
        <w:jc w:val="center"/>
        <w:divId w:val="1426997943"/>
        <w:rPr>
          <w:sz w:val="20"/>
          <w:szCs w:val="20"/>
        </w:rPr>
      </w:pPr>
      <w:r>
        <w:rPr>
          <w:sz w:val="20"/>
          <w:szCs w:val="20"/>
        </w:rPr>
        <w:t>60</w:t>
      </w:r>
    </w:p>
    <w:p w14:paraId="1D58C0FF" w14:textId="77777777" w:rsidR="00000000" w:rsidRDefault="00097612">
      <w:pPr>
        <w:pStyle w:val="a3"/>
        <w:spacing w:before="0" w:beforeAutospacing="0" w:after="600" w:afterAutospacing="0"/>
        <w:divId w:val="132143958"/>
        <w:rPr>
          <w:sz w:val="20"/>
          <w:szCs w:val="20"/>
        </w:rPr>
      </w:pPr>
      <w:hyperlink w:anchor="TOC" w:history="1">
        <w:r>
          <w:rPr>
            <w:rStyle w:val="a4"/>
            <w:sz w:val="20"/>
            <w:szCs w:val="20"/>
          </w:rPr>
          <w:t>Table of Contents</w:t>
        </w:r>
      </w:hyperlink>
    </w:p>
    <w:p w14:paraId="70F0BB0B" w14:textId="77777777" w:rsidR="00000000" w:rsidRDefault="00097612">
      <w:pPr>
        <w:pStyle w:val="a3"/>
        <w:spacing w:before="0" w:beforeAutospacing="0" w:after="0" w:afterAutospacing="0"/>
        <w:ind w:firstLine="720"/>
        <w:divId w:val="1100835600"/>
        <w:rPr>
          <w:rFonts w:ascii="Times" w:hAnsi="Times"/>
          <w:sz w:val="20"/>
          <w:szCs w:val="20"/>
        </w:rPr>
      </w:pPr>
      <w:r>
        <w:rPr>
          <w:rFonts w:ascii="Times" w:hAnsi="Times"/>
          <w:sz w:val="20"/>
          <w:szCs w:val="20"/>
        </w:rPr>
        <w:t>​</w:t>
      </w:r>
    </w:p>
    <w:p w14:paraId="5E448EFA" w14:textId="77777777" w:rsidR="00000000" w:rsidRDefault="00097612">
      <w:pPr>
        <w:pStyle w:val="a3"/>
        <w:spacing w:before="0" w:beforeAutospacing="0" w:after="0" w:afterAutospacing="0"/>
        <w:ind w:firstLine="720"/>
        <w:divId w:val="1100835600"/>
        <w:rPr>
          <w:rFonts w:ascii="Times" w:hAnsi="Times"/>
          <w:sz w:val="20"/>
          <w:szCs w:val="20"/>
        </w:rPr>
      </w:pPr>
      <w:r>
        <w:rPr>
          <w:rFonts w:ascii="Times" w:hAnsi="Times"/>
          <w:sz w:val="20"/>
          <w:szCs w:val="20"/>
        </w:rPr>
        <w:t xml:space="preserve">Pricing and rebate calculations vary </w:t>
      </w:r>
      <w:r>
        <w:rPr>
          <w:rFonts w:ascii="Times" w:hAnsi="Times"/>
          <w:sz w:val="20"/>
          <w:szCs w:val="20"/>
        </w:rPr>
        <w:t xml:space="preserve">across products and programs, are complex, and are often subject to interpretation by the manufacturer, governmental or regulatory agencies and the courts. A manufacturer that becomes aware that its Medicaid reporting for a prior quarter was incorrect, or </w:t>
      </w:r>
      <w:r>
        <w:rPr>
          <w:rFonts w:ascii="Times" w:hAnsi="Times"/>
          <w:sz w:val="20"/>
          <w:szCs w:val="20"/>
        </w:rPr>
        <w:t>has changed as a result of recalculation of the pricing data, is are obligated to resubmit the corrected data for up to three years after those data originally were due. Such restatements and recalculations increase the costs for complying with the laws an</w:t>
      </w:r>
      <w:r>
        <w:rPr>
          <w:rFonts w:ascii="Times" w:hAnsi="Times"/>
          <w:sz w:val="20"/>
          <w:szCs w:val="20"/>
        </w:rPr>
        <w:t>d regulations governing the Medicaid Drug Rebate program and could result in an overage or underage in our rebate liability for past quarters. Price recalculations also may affect the 340B ceiling price.</w:t>
      </w:r>
      <w:r>
        <w:rPr>
          <w:rFonts w:ascii="Times" w:hAnsi="Times"/>
          <w:sz w:val="20"/>
          <w:szCs w:val="20"/>
        </w:rPr>
        <w:t xml:space="preserve"> </w:t>
      </w:r>
    </w:p>
    <w:p w14:paraId="072E01F0" w14:textId="77777777" w:rsidR="00000000" w:rsidRDefault="00097612">
      <w:pPr>
        <w:pStyle w:val="a3"/>
        <w:spacing w:before="0" w:beforeAutospacing="0" w:after="0" w:afterAutospacing="0"/>
        <w:ind w:firstLine="720"/>
        <w:divId w:val="1100835600"/>
        <w:rPr>
          <w:rFonts w:ascii="Times" w:hAnsi="Times"/>
          <w:sz w:val="20"/>
          <w:szCs w:val="20"/>
        </w:rPr>
      </w:pPr>
      <w:r>
        <w:rPr>
          <w:rFonts w:ascii="Times" w:hAnsi="Times"/>
          <w:sz w:val="20"/>
          <w:szCs w:val="20"/>
        </w:rPr>
        <w:t>​</w:t>
      </w:r>
    </w:p>
    <w:p w14:paraId="0B0D03FF" w14:textId="77777777" w:rsidR="00000000" w:rsidRDefault="00097612">
      <w:pPr>
        <w:pStyle w:val="a3"/>
        <w:spacing w:before="0" w:beforeAutospacing="0" w:after="0" w:afterAutospacing="0"/>
        <w:ind w:firstLine="720"/>
        <w:divId w:val="1100835600"/>
        <w:rPr>
          <w:rFonts w:ascii="Times" w:hAnsi="Times"/>
          <w:sz w:val="20"/>
          <w:szCs w:val="20"/>
        </w:rPr>
      </w:pPr>
      <w:r>
        <w:rPr>
          <w:rFonts w:ascii="Times" w:hAnsi="Times"/>
          <w:sz w:val="20"/>
          <w:szCs w:val="20"/>
        </w:rPr>
        <w:t>We are liable for errors associated with our subm</w:t>
      </w:r>
      <w:r>
        <w:rPr>
          <w:rFonts w:ascii="Times" w:hAnsi="Times"/>
          <w:sz w:val="20"/>
          <w:szCs w:val="20"/>
        </w:rPr>
        <w:t xml:space="preserve">ission of pricing data. In addition to retroactive rebates and the potential for 340B program refunds, if we are found to have knowingly submitted any false price information to the government, we may be liable for significant civil monetary penalties per </w:t>
      </w:r>
      <w:r>
        <w:rPr>
          <w:rFonts w:ascii="Times" w:hAnsi="Times"/>
          <w:sz w:val="20"/>
          <w:szCs w:val="20"/>
        </w:rPr>
        <w:t>item of false information. If we are found to have made a misrepresentation in the reporting of our average sales price, the Medicare statute provides for significant civil monetary penalties for each misrepresentation for each day in which the misrepresen</w:t>
      </w:r>
      <w:r>
        <w:rPr>
          <w:rFonts w:ascii="Times" w:hAnsi="Times"/>
          <w:sz w:val="20"/>
          <w:szCs w:val="20"/>
        </w:rPr>
        <w:t>tation was applied. Our failure to submit the required price data on a timely basis could result in a significant civil monetary penalty per day for each day the information is late beyond the due date. Such failure also could be grounds for CMS to termina</w:t>
      </w:r>
      <w:r>
        <w:rPr>
          <w:rFonts w:ascii="Times" w:hAnsi="Times"/>
          <w:sz w:val="20"/>
          <w:szCs w:val="20"/>
        </w:rPr>
        <w:t>te our Medicaid drug rebate agreement, pursuant to which we participate in the Medicaid program. In the event that CMS terminates our rebate agreement, federal payments may not be available under Medicaid or Medicare Part B for our covered outpatient drugs</w:t>
      </w:r>
      <w:r>
        <w:rPr>
          <w:rFonts w:ascii="Times" w:hAnsi="Times"/>
          <w:sz w:val="20"/>
          <w:szCs w:val="20"/>
        </w:rPr>
        <w:t>.</w:t>
      </w:r>
      <w:r>
        <w:rPr>
          <w:rFonts w:ascii="Times" w:hAnsi="Times"/>
          <w:sz w:val="20"/>
          <w:szCs w:val="20"/>
        </w:rPr>
        <w:t xml:space="preserve"> </w:t>
      </w:r>
    </w:p>
    <w:p w14:paraId="0D5EFCC5" w14:textId="77777777" w:rsidR="00000000" w:rsidRDefault="00097612">
      <w:pPr>
        <w:pStyle w:val="a3"/>
        <w:spacing w:before="0" w:beforeAutospacing="0" w:after="0" w:afterAutospacing="0"/>
        <w:ind w:firstLine="720"/>
        <w:divId w:val="1100835600"/>
        <w:rPr>
          <w:rFonts w:ascii="Times" w:hAnsi="Times"/>
          <w:sz w:val="20"/>
          <w:szCs w:val="20"/>
        </w:rPr>
      </w:pPr>
      <w:r>
        <w:rPr>
          <w:rFonts w:ascii="Times" w:hAnsi="Times"/>
          <w:sz w:val="20"/>
          <w:szCs w:val="20"/>
        </w:rPr>
        <w:t>​</w:t>
      </w:r>
    </w:p>
    <w:p w14:paraId="1013CEB6" w14:textId="77777777" w:rsidR="00000000" w:rsidRDefault="00097612">
      <w:pPr>
        <w:pStyle w:val="a3"/>
        <w:spacing w:before="0" w:beforeAutospacing="0" w:after="0" w:afterAutospacing="0"/>
        <w:ind w:firstLine="720"/>
        <w:divId w:val="1100835600"/>
        <w:rPr>
          <w:rFonts w:ascii="Times" w:hAnsi="Times"/>
          <w:sz w:val="20"/>
          <w:szCs w:val="20"/>
        </w:rPr>
      </w:pPr>
      <w:r>
        <w:rPr>
          <w:rFonts w:ascii="Times" w:hAnsi="Times"/>
          <w:sz w:val="20"/>
          <w:szCs w:val="20"/>
        </w:rPr>
        <w:t xml:space="preserve">In order to be eligible to have its products paid for with federal funds under the Medicaid and Medicare Part B programs and purchased by the Department of Veterans Affairs (“VA”), Department of Defense (“DoD”), Public Health Service, and Coast Guard </w:t>
      </w:r>
      <w:r>
        <w:rPr>
          <w:rFonts w:ascii="Times" w:hAnsi="Times"/>
          <w:sz w:val="20"/>
          <w:szCs w:val="20"/>
        </w:rPr>
        <w:t>(the</w:t>
      </w:r>
      <w:r>
        <w:rPr>
          <w:rFonts w:ascii="Times" w:hAnsi="Times"/>
          <w:sz w:val="20"/>
          <w:szCs w:val="20"/>
        </w:rPr>
        <w:t xml:space="preserve"> </w:t>
      </w:r>
      <w:r>
        <w:rPr>
          <w:rFonts w:ascii="Times" w:hAnsi="Times"/>
          <w:sz w:val="20"/>
          <w:szCs w:val="20"/>
        </w:rPr>
        <w:t>“Big Four agencies”) and certain federal grantees, a manufacturer is required to participate in the VA Federal Supply Schedule (“FSS”) pricing program, established under Section 603 of the Veterans Health Care Act of 1992. Under this program, the manu</w:t>
      </w:r>
      <w:r>
        <w:rPr>
          <w:rFonts w:ascii="Times" w:hAnsi="Times"/>
          <w:sz w:val="20"/>
          <w:szCs w:val="20"/>
        </w:rPr>
        <w:t xml:space="preserve">facturer is obligated to make its covered drugs available for procurement on an FSS contract and charge a price to the Big Four agencies that is no higher than the Federal Ceiling Price (“FCP”), which is a price calculated pursuant to a statutory formula. </w:t>
      </w:r>
      <w:r>
        <w:rPr>
          <w:rFonts w:ascii="Times" w:hAnsi="Times"/>
          <w:sz w:val="20"/>
          <w:szCs w:val="20"/>
        </w:rPr>
        <w:t>The FCP is derived from a calculated price point called the</w:t>
      </w:r>
      <w:r>
        <w:rPr>
          <w:rFonts w:ascii="Times" w:hAnsi="Times"/>
          <w:sz w:val="20"/>
          <w:szCs w:val="20"/>
        </w:rPr>
        <w:t xml:space="preserve"> </w:t>
      </w:r>
      <w:r>
        <w:rPr>
          <w:rFonts w:ascii="Times" w:hAnsi="Times"/>
          <w:sz w:val="20"/>
          <w:szCs w:val="20"/>
        </w:rPr>
        <w:t>“non-federal average manufacturer price”</w:t>
      </w:r>
      <w:r>
        <w:rPr>
          <w:rFonts w:ascii="Times" w:hAnsi="Times"/>
          <w:sz w:val="20"/>
          <w:szCs w:val="20"/>
        </w:rPr>
        <w:t xml:space="preserve"> </w:t>
      </w:r>
      <w:r>
        <w:rPr>
          <w:rFonts w:ascii="Times" w:hAnsi="Times"/>
          <w:sz w:val="20"/>
          <w:szCs w:val="20"/>
        </w:rPr>
        <w:t>(“Non-FAMP”), which the manufacturer calculates and reports to the VA on a quarterly and annual basis. Pursuant to applicable law, knowing provision of fal</w:t>
      </w:r>
      <w:r>
        <w:rPr>
          <w:rFonts w:ascii="Times" w:hAnsi="Times"/>
          <w:sz w:val="20"/>
          <w:szCs w:val="20"/>
        </w:rPr>
        <w:t>se information in connection with a Non-FAMP filing can subject a manufacturer to significant penalties for each item of false information. The FSS contract also contains extensive disclosure and certification requirements.</w:t>
      </w:r>
      <w:r>
        <w:rPr>
          <w:rFonts w:ascii="Times" w:hAnsi="Times"/>
          <w:sz w:val="20"/>
          <w:szCs w:val="20"/>
        </w:rPr>
        <w:t xml:space="preserve"> </w:t>
      </w:r>
    </w:p>
    <w:p w14:paraId="62EDD7FC" w14:textId="77777777" w:rsidR="00000000" w:rsidRDefault="00097612">
      <w:pPr>
        <w:pStyle w:val="a3"/>
        <w:spacing w:before="0" w:beforeAutospacing="0" w:after="0" w:afterAutospacing="0"/>
        <w:ind w:firstLine="720"/>
        <w:divId w:val="1100835600"/>
        <w:rPr>
          <w:rFonts w:ascii="Times" w:hAnsi="Times"/>
          <w:sz w:val="20"/>
          <w:szCs w:val="20"/>
        </w:rPr>
      </w:pPr>
      <w:r>
        <w:rPr>
          <w:rFonts w:ascii="Times" w:hAnsi="Times"/>
          <w:sz w:val="20"/>
          <w:szCs w:val="20"/>
        </w:rPr>
        <w:t>​</w:t>
      </w:r>
    </w:p>
    <w:p w14:paraId="5983BD68" w14:textId="77777777" w:rsidR="00000000" w:rsidRDefault="00097612">
      <w:pPr>
        <w:pStyle w:val="a3"/>
        <w:spacing w:before="0" w:beforeAutospacing="0" w:after="0" w:afterAutospacing="0"/>
        <w:ind w:firstLine="720"/>
        <w:divId w:val="1100835600"/>
        <w:rPr>
          <w:rFonts w:ascii="Times" w:hAnsi="Times"/>
          <w:sz w:val="20"/>
          <w:szCs w:val="20"/>
        </w:rPr>
      </w:pPr>
      <w:r>
        <w:rPr>
          <w:rFonts w:ascii="Times" w:hAnsi="Times"/>
          <w:sz w:val="20"/>
          <w:szCs w:val="20"/>
        </w:rPr>
        <w:t>Under Section </w:t>
      </w:r>
      <w:r>
        <w:rPr>
          <w:rFonts w:ascii="Times" w:hAnsi="Times"/>
          <w:sz w:val="20"/>
          <w:szCs w:val="20"/>
        </w:rPr>
        <w:t>703 of the National Defense Authorization Act for FY 2008, the manufacturer is required to pay quarterly rebates to DoD on utilization of its innovator products that are dispensed through DoD’s Tricare network pharmacies to Tricare beneficiaries. The rebat</w:t>
      </w:r>
      <w:r>
        <w:rPr>
          <w:rFonts w:ascii="Times" w:hAnsi="Times"/>
          <w:sz w:val="20"/>
          <w:szCs w:val="20"/>
        </w:rPr>
        <w:t>es are calculated as the difference between the annual Non-FAMP and FCP for the calendar year that the product was dispensed. A manufacturer that overcharges the government in connection with the FSS contract or Tricare Retail Pharmacy Rebate Program, whet</w:t>
      </w:r>
      <w:r>
        <w:rPr>
          <w:rFonts w:ascii="Times" w:hAnsi="Times"/>
          <w:sz w:val="20"/>
          <w:szCs w:val="20"/>
        </w:rPr>
        <w:t>her due to a misstated FCP or otherwise, is required to refund the difference to the government. Failure to make necessary disclosures and/or to identify contract overcharges can result in allegations against us under the False Claims Act and other laws an</w:t>
      </w:r>
      <w:r>
        <w:rPr>
          <w:rFonts w:ascii="Times" w:hAnsi="Times"/>
          <w:sz w:val="20"/>
          <w:szCs w:val="20"/>
        </w:rPr>
        <w:t>d regulations.</w:t>
      </w:r>
      <w:r>
        <w:rPr>
          <w:rFonts w:ascii="Times" w:hAnsi="Times"/>
          <w:sz w:val="20"/>
          <w:szCs w:val="20"/>
        </w:rPr>
        <w:t xml:space="preserve"> </w:t>
      </w:r>
    </w:p>
    <w:p w14:paraId="2E0616F9" w14:textId="77777777" w:rsidR="00000000" w:rsidRDefault="00097612">
      <w:pPr>
        <w:pStyle w:val="a3"/>
        <w:spacing w:before="0" w:beforeAutospacing="0" w:after="0" w:afterAutospacing="0"/>
        <w:divId w:val="1100835600"/>
        <w:rPr>
          <w:sz w:val="20"/>
          <w:szCs w:val="20"/>
        </w:rPr>
      </w:pPr>
      <w:r>
        <w:rPr>
          <w:sz w:val="20"/>
          <w:szCs w:val="20"/>
        </w:rPr>
        <w:t>​</w:t>
      </w:r>
    </w:p>
    <w:p w14:paraId="3AAC2048" w14:textId="77777777" w:rsidR="00000000" w:rsidRDefault="00097612">
      <w:pPr>
        <w:pStyle w:val="a3"/>
        <w:spacing w:before="0" w:beforeAutospacing="0" w:after="0" w:afterAutospacing="0"/>
        <w:divId w:val="1100835600"/>
        <w:rPr>
          <w:rFonts w:ascii="Times" w:hAnsi="Times"/>
          <w:b/>
          <w:bCs/>
          <w:i/>
          <w:iCs/>
          <w:sz w:val="20"/>
          <w:szCs w:val="20"/>
        </w:rPr>
      </w:pPr>
      <w:r>
        <w:rPr>
          <w:rFonts w:ascii="Times" w:hAnsi="Times"/>
          <w:b/>
          <w:bCs/>
          <w:i/>
          <w:iCs/>
          <w:sz w:val="20"/>
          <w:szCs w:val="20"/>
        </w:rPr>
        <w:t>Our relationships with customers and third-party payors are subject to applicable anti-kickback, fraud and abuse, transparency and other healthcare laws and regulations, which could expose us to criminal sanctions, civil penalties, exclus</w:t>
      </w:r>
      <w:r>
        <w:rPr>
          <w:rFonts w:ascii="Times" w:hAnsi="Times"/>
          <w:b/>
          <w:bCs/>
          <w:i/>
          <w:iCs/>
          <w:sz w:val="20"/>
          <w:szCs w:val="20"/>
        </w:rPr>
        <w:t>ion, contractual damages, reputational harm and diminished profits and future earnings.</w:t>
      </w:r>
      <w:r>
        <w:rPr>
          <w:rFonts w:ascii="Times" w:hAnsi="Times"/>
          <w:b/>
          <w:bCs/>
          <w:i/>
          <w:iCs/>
          <w:sz w:val="20"/>
          <w:szCs w:val="20"/>
        </w:rPr>
        <w:t xml:space="preserve"> </w:t>
      </w:r>
    </w:p>
    <w:p w14:paraId="785F2B1E" w14:textId="77777777" w:rsidR="00000000" w:rsidRDefault="00097612">
      <w:pPr>
        <w:pStyle w:val="a3"/>
        <w:spacing w:before="0" w:beforeAutospacing="0" w:after="0" w:afterAutospacing="0"/>
        <w:ind w:firstLine="720"/>
        <w:divId w:val="1100835600"/>
        <w:rPr>
          <w:rFonts w:ascii="Times" w:hAnsi="Times"/>
          <w:sz w:val="20"/>
          <w:szCs w:val="20"/>
        </w:rPr>
      </w:pPr>
      <w:r>
        <w:rPr>
          <w:rFonts w:ascii="Times" w:hAnsi="Times"/>
          <w:sz w:val="10"/>
          <w:szCs w:val="10"/>
        </w:rPr>
        <w:t>​</w:t>
      </w:r>
    </w:p>
    <w:p w14:paraId="76060A3E" w14:textId="77777777" w:rsidR="00000000" w:rsidRDefault="00097612">
      <w:pPr>
        <w:pStyle w:val="a3"/>
        <w:spacing w:before="0" w:beforeAutospacing="0" w:after="0" w:afterAutospacing="0"/>
        <w:ind w:firstLine="720"/>
        <w:divId w:val="1100835600"/>
        <w:rPr>
          <w:rFonts w:ascii="Times" w:hAnsi="Times"/>
          <w:sz w:val="20"/>
          <w:szCs w:val="20"/>
        </w:rPr>
      </w:pPr>
      <w:r>
        <w:rPr>
          <w:rFonts w:ascii="Times" w:hAnsi="Times"/>
          <w:sz w:val="20"/>
          <w:szCs w:val="20"/>
        </w:rPr>
        <w:t xml:space="preserve">Healthcare providers, physicians, distributors and third-party payors play a primary role in the distribution, recommendation and prescription of any pharmaceutical </w:t>
      </w:r>
      <w:r>
        <w:rPr>
          <w:rFonts w:ascii="Times" w:hAnsi="Times"/>
          <w:sz w:val="20"/>
          <w:szCs w:val="20"/>
        </w:rPr>
        <w:t>product for which we obtain marketing approval. Our arrangements with third-party payors and customers expose us to broadly applicable fraud and abuse and other healthcare laws and regulations that may constrain the business or financial arrangements throu</w:t>
      </w:r>
      <w:r>
        <w:rPr>
          <w:rFonts w:ascii="Times" w:hAnsi="Times"/>
          <w:sz w:val="20"/>
          <w:szCs w:val="20"/>
        </w:rPr>
        <w:t>gh which we market, sell and distribute any products for which we have obtained or may obtain marketing approval. Restrictions under applicable federal and state healthcare laws and regulations include the following:</w:t>
      </w:r>
    </w:p>
    <w:p w14:paraId="60C3DF89" w14:textId="77777777" w:rsidR="00000000" w:rsidRDefault="00097612">
      <w:pPr>
        <w:pStyle w:val="a3"/>
        <w:spacing w:before="0" w:beforeAutospacing="0" w:after="0" w:afterAutospacing="0"/>
        <w:ind w:firstLine="720"/>
        <w:divId w:val="1100835600"/>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D7FA7CF" w14:textId="77777777">
        <w:trPr>
          <w:divId w:val="1100835600"/>
        </w:trPr>
        <w:tc>
          <w:tcPr>
            <w:tcW w:w="720" w:type="dxa"/>
            <w:vAlign w:val="center"/>
            <w:hideMark/>
          </w:tcPr>
          <w:p w14:paraId="55638414"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65CED006"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A0F7170"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US federal healthcare Anti-Kickback Statute prohibits any person from, among other things, knowingly and willfully offering, paying, soliciting, or receiving remuneration, directly or indirectly, in cash or in kind, to induce or reward either the refer</w:t>
            </w:r>
            <w:r>
              <w:rPr>
                <w:rFonts w:ascii="Times" w:eastAsia="Times New Roman" w:hAnsi="Times"/>
                <w:color w:val="000000"/>
                <w:sz w:val="20"/>
                <w:szCs w:val="20"/>
              </w:rPr>
              <w:t>ral of an individual for, or the purchasing, leasing, ordering or arranging for or recommending of any good or service for which payment may be made, in whole or in part, under federal and state healthcare programs such as Medicare and Medicaid. The term</w:t>
            </w:r>
            <w:r>
              <w:rPr>
                <w:rFonts w:ascii="Times" w:eastAsia="Times New Roman" w:hAnsi="Times"/>
                <w:color w:val="000000"/>
                <w:sz w:val="20"/>
                <w:szCs w:val="20"/>
              </w:rPr>
              <w:t xml:space="preserve"> </w:t>
            </w:r>
            <w:r>
              <w:rPr>
                <w:rFonts w:ascii="Times" w:eastAsia="Times New Roman" w:hAnsi="Times"/>
                <w:color w:val="000000"/>
                <w:sz w:val="20"/>
                <w:szCs w:val="20"/>
              </w:rPr>
              <w:t>“</w:t>
            </w:r>
            <w:r>
              <w:rPr>
                <w:rFonts w:ascii="Times" w:eastAsia="Times New Roman" w:hAnsi="Times"/>
                <w:color w:val="000000"/>
                <w:sz w:val="20"/>
                <w:szCs w:val="20"/>
              </w:rPr>
              <w:t>remuneration”</w:t>
            </w:r>
            <w:r>
              <w:rPr>
                <w:rFonts w:ascii="Times" w:eastAsia="Times New Roman" w:hAnsi="Times"/>
                <w:color w:val="000000"/>
                <w:sz w:val="20"/>
                <w:szCs w:val="20"/>
              </w:rPr>
              <w:t xml:space="preserve"> </w:t>
            </w:r>
            <w:r>
              <w:rPr>
                <w:rFonts w:ascii="Times" w:eastAsia="Times New Roman" w:hAnsi="Times"/>
                <w:color w:val="000000"/>
                <w:sz w:val="20"/>
                <w:szCs w:val="20"/>
              </w:rPr>
              <w:t>has been broadly</w:t>
            </w:r>
            <w:r>
              <w:rPr>
                <w:rFonts w:ascii="Times" w:eastAsia="Times New Roman" w:hAnsi="Times"/>
                <w:color w:val="000000"/>
                <w:sz w:val="20"/>
                <w:szCs w:val="20"/>
              </w:rPr>
              <w:t xml:space="preserve"> </w:t>
            </w:r>
          </w:p>
        </w:tc>
      </w:tr>
    </w:tbl>
    <w:p w14:paraId="35558D09" w14:textId="77777777" w:rsidR="00000000" w:rsidRDefault="00097612">
      <w:pPr>
        <w:pStyle w:val="a3"/>
        <w:spacing w:before="360" w:beforeAutospacing="0" w:after="0" w:afterAutospacing="0"/>
        <w:jc w:val="center"/>
        <w:divId w:val="1787579578"/>
        <w:rPr>
          <w:sz w:val="20"/>
          <w:szCs w:val="20"/>
        </w:rPr>
      </w:pPr>
      <w:r>
        <w:rPr>
          <w:sz w:val="20"/>
          <w:szCs w:val="20"/>
        </w:rPr>
        <w:t>61</w:t>
      </w:r>
    </w:p>
    <w:p w14:paraId="2E106E22" w14:textId="77777777" w:rsidR="00000000" w:rsidRDefault="00097612">
      <w:pPr>
        <w:pStyle w:val="a3"/>
        <w:spacing w:before="0" w:beforeAutospacing="0" w:after="600" w:afterAutospacing="0"/>
        <w:divId w:val="176129421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14:paraId="3BB28C98" w14:textId="77777777">
        <w:trPr>
          <w:divId w:val="2129621938"/>
        </w:trPr>
        <w:tc>
          <w:tcPr>
            <w:tcW w:w="720" w:type="dxa"/>
            <w:vAlign w:val="center"/>
            <w:hideMark/>
          </w:tcPr>
          <w:p w14:paraId="475DDC5A" w14:textId="77777777" w:rsidR="00000000" w:rsidRDefault="00097612">
            <w:pPr>
              <w:rPr>
                <w:sz w:val="20"/>
                <w:szCs w:val="20"/>
              </w:rPr>
            </w:pPr>
          </w:p>
        </w:tc>
        <w:tc>
          <w:tcPr>
            <w:tcW w:w="360" w:type="dxa"/>
            <w:noWrap/>
            <w:tcMar>
              <w:top w:w="0" w:type="dxa"/>
              <w:left w:w="0" w:type="dxa"/>
              <w:bottom w:w="0" w:type="dxa"/>
              <w:right w:w="0" w:type="dxa"/>
            </w:tcMar>
            <w:hideMark/>
          </w:tcPr>
          <w:p w14:paraId="76DB45E7" w14:textId="77777777" w:rsidR="00000000" w:rsidRDefault="00097612">
            <w:pPr>
              <w:spacing w:after="240"/>
              <w:rPr>
                <w:rFonts w:eastAsia="Times New Roman"/>
                <w:sz w:val="20"/>
                <w:szCs w:val="20"/>
              </w:rPr>
            </w:pPr>
          </w:p>
        </w:tc>
        <w:tc>
          <w:tcPr>
            <w:tcW w:w="0" w:type="auto"/>
            <w:tcMar>
              <w:top w:w="0" w:type="dxa"/>
              <w:left w:w="0" w:type="dxa"/>
              <w:bottom w:w="0" w:type="dxa"/>
              <w:right w:w="0" w:type="dxa"/>
            </w:tcMar>
            <w:vAlign w:val="center"/>
            <w:hideMark/>
          </w:tcPr>
          <w:p w14:paraId="5515AD9F"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interpreted to include anything of value. The Anti-Kickback Statute</w:t>
            </w:r>
            <w:r>
              <w:rPr>
                <w:rFonts w:ascii="Times" w:eastAsia="Times New Roman" w:hAnsi="Times"/>
                <w:color w:val="000000"/>
                <w:sz w:val="20"/>
                <w:szCs w:val="20"/>
              </w:rPr>
              <w:t xml:space="preserve"> </w:t>
            </w:r>
            <w:r>
              <w:rPr>
                <w:rFonts w:ascii="Times" w:eastAsia="Times New Roman" w:hAnsi="Times"/>
                <w:color w:val="000000"/>
                <w:sz w:val="20"/>
                <w:szCs w:val="20"/>
              </w:rPr>
              <w:t>is subject to evolving interpretation and has been applied by government enforcement officials to a number</w:t>
            </w:r>
            <w:r>
              <w:rPr>
                <w:rFonts w:ascii="Times" w:eastAsia="Times New Roman" w:hAnsi="Times"/>
                <w:color w:val="000000"/>
                <w:sz w:val="20"/>
                <w:szCs w:val="20"/>
              </w:rPr>
              <w:t xml:space="preserve"> of common business arrangements in the pharmaceutical industry. The government can establish a violation of the Anti-Kickback Statute without proving that a person or entity had actual knowledge of the statute or specific intent to violate it. There are a</w:t>
            </w:r>
            <w:r>
              <w:rPr>
                <w:rFonts w:ascii="Times" w:eastAsia="Times New Roman" w:hAnsi="Times"/>
                <w:color w:val="000000"/>
                <w:sz w:val="20"/>
                <w:szCs w:val="20"/>
              </w:rPr>
              <w:t xml:space="preserve"> number of statutory exemptions and regulatory safe harbors protecting some common activities from prosecution; however, those exceptions and safe harbors are drawn narrowly. Failure to meet all of the requirements of a particular statutory exception or re</w:t>
            </w:r>
            <w:r>
              <w:rPr>
                <w:rFonts w:ascii="Times" w:eastAsia="Times New Roman" w:hAnsi="Times"/>
                <w:color w:val="000000"/>
                <w:sz w:val="20"/>
                <w:szCs w:val="20"/>
              </w:rPr>
              <w:t>gulatory safe harbor does not make the conduct per se illegal under the Anti-Kickback Statute, but the legality of the arrangement will be evaluated on a case-by-case basis based on the totality of the facts and circumstances. We seek to comply with the av</w:t>
            </w:r>
            <w:r>
              <w:rPr>
                <w:rFonts w:ascii="Times" w:eastAsia="Times New Roman" w:hAnsi="Times"/>
                <w:color w:val="000000"/>
                <w:sz w:val="20"/>
                <w:szCs w:val="20"/>
              </w:rPr>
              <w:t>ailable statutory exemptions and safe harbors whenever possible, but our practices may not in all cases meet all of the criteria for safe harbor protection from anti-kickback liability. Moreover, there are no safe harbors for many common practices, such as</w:t>
            </w:r>
            <w:r>
              <w:rPr>
                <w:rFonts w:ascii="Times" w:eastAsia="Times New Roman" w:hAnsi="Times"/>
                <w:color w:val="000000"/>
                <w:sz w:val="20"/>
                <w:szCs w:val="20"/>
              </w:rPr>
              <w:t xml:space="preserve"> educational and research grants or patient or product assistance programs.</w:t>
            </w:r>
            <w:r>
              <w:rPr>
                <w:rFonts w:ascii="Times" w:eastAsia="Times New Roman" w:hAnsi="Times"/>
                <w:color w:val="000000"/>
                <w:sz w:val="20"/>
                <w:szCs w:val="20"/>
              </w:rPr>
              <w:t xml:space="preserve"> </w:t>
            </w:r>
          </w:p>
        </w:tc>
      </w:tr>
    </w:tbl>
    <w:p w14:paraId="4BC88945" w14:textId="77777777" w:rsidR="00000000" w:rsidRDefault="00097612">
      <w:pPr>
        <w:divId w:val="21296219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31C9216" w14:textId="77777777">
        <w:trPr>
          <w:divId w:val="2129621938"/>
        </w:trPr>
        <w:tc>
          <w:tcPr>
            <w:tcW w:w="720" w:type="dxa"/>
            <w:vAlign w:val="center"/>
            <w:hideMark/>
          </w:tcPr>
          <w:p w14:paraId="6747050A" w14:textId="77777777" w:rsidR="00000000" w:rsidRDefault="00097612">
            <w:pPr>
              <w:rPr>
                <w:rFonts w:eastAsia="Times New Roman"/>
              </w:rPr>
            </w:pPr>
          </w:p>
        </w:tc>
        <w:tc>
          <w:tcPr>
            <w:tcW w:w="360" w:type="dxa"/>
            <w:noWrap/>
            <w:tcMar>
              <w:top w:w="0" w:type="dxa"/>
              <w:left w:w="0" w:type="dxa"/>
              <w:bottom w:w="0" w:type="dxa"/>
              <w:right w:w="0" w:type="dxa"/>
            </w:tcMar>
            <w:hideMark/>
          </w:tcPr>
          <w:p w14:paraId="2A993CD5"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3BF75F1"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federal civil False Claims Act prohibits, among other things, knowingly presenting, or causing to be presented, claims for payment of government funds that are false or fraudulent, or knowingly making, or using or causing to be made or used, a false re</w:t>
            </w:r>
            <w:r>
              <w:rPr>
                <w:rFonts w:ascii="Times" w:eastAsia="Times New Roman" w:hAnsi="Times"/>
                <w:color w:val="000000"/>
                <w:sz w:val="20"/>
                <w:szCs w:val="20"/>
              </w:rPr>
              <w:t>cord or statement material to a false or fraudulent claim to avoid, decrease, or conceal an obligation to pay money to the federal government. Private individuals, commonly known as</w:t>
            </w:r>
            <w:r>
              <w:rPr>
                <w:rFonts w:ascii="Times" w:eastAsia="Times New Roman" w:hAnsi="Times"/>
                <w:color w:val="000000"/>
                <w:sz w:val="20"/>
                <w:szCs w:val="20"/>
              </w:rPr>
              <w:t xml:space="preserve"> </w:t>
            </w:r>
            <w:r>
              <w:rPr>
                <w:rFonts w:ascii="Times" w:eastAsia="Times New Roman" w:hAnsi="Times"/>
                <w:color w:val="000000"/>
                <w:sz w:val="20"/>
                <w:szCs w:val="20"/>
              </w:rPr>
              <w:t>“whistleblowers,”</w:t>
            </w:r>
            <w:r>
              <w:rPr>
                <w:rFonts w:ascii="Times" w:eastAsia="Times New Roman" w:hAnsi="Times"/>
                <w:color w:val="000000"/>
                <w:sz w:val="20"/>
                <w:szCs w:val="20"/>
              </w:rPr>
              <w:t xml:space="preserve"> </w:t>
            </w:r>
            <w:r>
              <w:rPr>
                <w:rFonts w:ascii="Times" w:eastAsia="Times New Roman" w:hAnsi="Times"/>
                <w:color w:val="000000"/>
                <w:sz w:val="20"/>
                <w:szCs w:val="20"/>
              </w:rPr>
              <w:t>can bring civil False Claims Act</w:t>
            </w:r>
            <w:r>
              <w:rPr>
                <w:rFonts w:ascii="Times" w:eastAsia="Times New Roman" w:hAnsi="Times"/>
                <w:color w:val="000000"/>
                <w:sz w:val="20"/>
                <w:szCs w:val="20"/>
              </w:rPr>
              <w:t xml:space="preserve"> </w:t>
            </w:r>
            <w:r>
              <w:rPr>
                <w:rFonts w:ascii="Times" w:eastAsia="Times New Roman" w:hAnsi="Times"/>
                <w:i/>
                <w:iCs/>
                <w:color w:val="000000"/>
                <w:sz w:val="20"/>
                <w:szCs w:val="20"/>
              </w:rPr>
              <w:t>qui tam</w:t>
            </w:r>
            <w:r>
              <w:rPr>
                <w:rFonts w:ascii="Times" w:eastAsia="Times New Roman" w:hAnsi="Times"/>
                <w:color w:val="000000"/>
                <w:sz w:val="20"/>
                <w:szCs w:val="20"/>
              </w:rPr>
              <w:t xml:space="preserve"> </w:t>
            </w:r>
            <w:r>
              <w:rPr>
                <w:rFonts w:ascii="Times" w:eastAsia="Times New Roman" w:hAnsi="Times"/>
                <w:color w:val="000000"/>
                <w:sz w:val="20"/>
                <w:szCs w:val="20"/>
              </w:rPr>
              <w:t>actions, on beh</w:t>
            </w:r>
            <w:r>
              <w:rPr>
                <w:rFonts w:ascii="Times" w:eastAsia="Times New Roman" w:hAnsi="Times"/>
                <w:color w:val="000000"/>
                <w:sz w:val="20"/>
                <w:szCs w:val="20"/>
              </w:rPr>
              <w:t>alf of the government and such individuals and may share in amounts paid by the entity to the government in recovery or settlement. In recent years, several pharmaceutical and other healthcare companies have faced enforcement actions under the federal Fals</w:t>
            </w:r>
            <w:r>
              <w:rPr>
                <w:rFonts w:ascii="Times" w:eastAsia="Times New Roman" w:hAnsi="Times"/>
                <w:color w:val="000000"/>
                <w:sz w:val="20"/>
                <w:szCs w:val="20"/>
              </w:rPr>
              <w:t>e Claims Act for, among other things, allegedly submitting false or misleading pricing information to government health care programs and providing free product to customers with the expectation that the customers would bill federal programs for the produc</w:t>
            </w:r>
            <w:r>
              <w:rPr>
                <w:rFonts w:ascii="Times" w:eastAsia="Times New Roman" w:hAnsi="Times"/>
                <w:color w:val="000000"/>
                <w:sz w:val="20"/>
                <w:szCs w:val="20"/>
              </w:rPr>
              <w:t>t. Federal enforcement agencies also have showed increased interest in pharmaceutical companies’</w:t>
            </w:r>
            <w:r>
              <w:rPr>
                <w:rFonts w:ascii="Times" w:eastAsia="Times New Roman" w:hAnsi="Times"/>
                <w:color w:val="000000"/>
                <w:sz w:val="20"/>
                <w:szCs w:val="20"/>
              </w:rPr>
              <w:t xml:space="preserve"> </w:t>
            </w:r>
            <w:r>
              <w:rPr>
                <w:rFonts w:ascii="Times" w:eastAsia="Times New Roman" w:hAnsi="Times"/>
                <w:color w:val="000000"/>
                <w:sz w:val="20"/>
                <w:szCs w:val="20"/>
              </w:rPr>
              <w:t xml:space="preserve">product and patient assistance programs, including reimbursement and co-pay support services, and a number of investigations into these programs have resulted </w:t>
            </w:r>
            <w:r>
              <w:rPr>
                <w:rFonts w:ascii="Times" w:eastAsia="Times New Roman" w:hAnsi="Times"/>
                <w:color w:val="000000"/>
                <w:sz w:val="20"/>
                <w:szCs w:val="20"/>
              </w:rPr>
              <w:t>in significant civil and criminal settlements. Other companies have faced enforcement actions for causing false claims to be submitted because of the company’s marketing the product for unapproved, and thus non-reimbursable, uses. In addition, a claim incl</w:t>
            </w:r>
            <w:r>
              <w:rPr>
                <w:rFonts w:ascii="Times" w:eastAsia="Times New Roman" w:hAnsi="Times"/>
                <w:color w:val="000000"/>
                <w:sz w:val="20"/>
                <w:szCs w:val="20"/>
              </w:rPr>
              <w:t>uding items or services resulting from a violation of the federal Anti-Kickback Statute constitutes a false or fraudulent claim for purposes of the federal civil False Claims Act. False Claims Act liability is potentially significant in the healthcare indu</w:t>
            </w:r>
            <w:r>
              <w:rPr>
                <w:rFonts w:ascii="Times" w:eastAsia="Times New Roman" w:hAnsi="Times"/>
                <w:color w:val="000000"/>
                <w:sz w:val="20"/>
                <w:szCs w:val="20"/>
              </w:rPr>
              <w:t>stry because the statute provides for treble damages and significant mandatory penalties per false claim or statement for violations. Because of the potential for large monetary exposure, healthcare and pharmaceutical companies often resolve allegations wi</w:t>
            </w:r>
            <w:r>
              <w:rPr>
                <w:rFonts w:ascii="Times" w:eastAsia="Times New Roman" w:hAnsi="Times"/>
                <w:color w:val="000000"/>
                <w:sz w:val="20"/>
                <w:szCs w:val="20"/>
              </w:rPr>
              <w:t>thout admissions of liability for significant and material amounts to avoid the uncertainty of treble damages and per claim penalties that may be awarded in litigation proceedings. Companies may be required, however, to enter into corporate integrity agree</w:t>
            </w:r>
            <w:r>
              <w:rPr>
                <w:rFonts w:ascii="Times" w:eastAsia="Times New Roman" w:hAnsi="Times"/>
                <w:color w:val="000000"/>
                <w:sz w:val="20"/>
                <w:szCs w:val="20"/>
              </w:rPr>
              <w:t>ments with the government, which may impose substantial costs on companies to ensure compliance. Criminal penalties, including imprisonment and criminal fines, are also possible for making or presenting a false, fictitious or fraudulent claim to the federa</w:t>
            </w:r>
            <w:r>
              <w:rPr>
                <w:rFonts w:ascii="Times" w:eastAsia="Times New Roman" w:hAnsi="Times"/>
                <w:color w:val="000000"/>
                <w:sz w:val="20"/>
                <w:szCs w:val="20"/>
              </w:rPr>
              <w:t>l government.</w:t>
            </w:r>
            <w:r>
              <w:rPr>
                <w:rFonts w:ascii="Times" w:eastAsia="Times New Roman" w:hAnsi="Times"/>
                <w:color w:val="000000"/>
                <w:sz w:val="20"/>
                <w:szCs w:val="20"/>
              </w:rPr>
              <w:t xml:space="preserve"> </w:t>
            </w:r>
          </w:p>
        </w:tc>
      </w:tr>
    </w:tbl>
    <w:p w14:paraId="2A1D59A5" w14:textId="77777777" w:rsidR="00000000" w:rsidRDefault="00097612">
      <w:pPr>
        <w:divId w:val="21296219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368CEB3" w14:textId="77777777">
        <w:trPr>
          <w:divId w:val="2129621938"/>
        </w:trPr>
        <w:tc>
          <w:tcPr>
            <w:tcW w:w="720" w:type="dxa"/>
            <w:vAlign w:val="center"/>
            <w:hideMark/>
          </w:tcPr>
          <w:p w14:paraId="4304C7F6" w14:textId="77777777" w:rsidR="00000000" w:rsidRDefault="00097612">
            <w:pPr>
              <w:rPr>
                <w:rFonts w:eastAsia="Times New Roman"/>
              </w:rPr>
            </w:pPr>
          </w:p>
        </w:tc>
        <w:tc>
          <w:tcPr>
            <w:tcW w:w="360" w:type="dxa"/>
            <w:noWrap/>
            <w:tcMar>
              <w:top w:w="0" w:type="dxa"/>
              <w:left w:w="0" w:type="dxa"/>
              <w:bottom w:w="0" w:type="dxa"/>
              <w:right w:w="0" w:type="dxa"/>
            </w:tcMar>
            <w:hideMark/>
          </w:tcPr>
          <w:p w14:paraId="29780AF9"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D49CDCB"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HIPAA, among other things, imposes criminal and civil liability for knowingly and willfully executing a scheme to defraud any healthcare benefit program, including private third-party payors, and also imposes obligations, including mand</w:t>
            </w:r>
            <w:r>
              <w:rPr>
                <w:rFonts w:ascii="Times" w:eastAsia="Times New Roman" w:hAnsi="Times"/>
                <w:color w:val="000000"/>
                <w:sz w:val="20"/>
                <w:szCs w:val="20"/>
              </w:rPr>
              <w:t>atory contractual terms, with respect to safeguarding the privacy, security and transmission of individually identifiable health information. HIPAA also prohibits knowingly and willfully falsifying, concealing or covering up a material fact or making any m</w:t>
            </w:r>
            <w:r>
              <w:rPr>
                <w:rFonts w:ascii="Times" w:eastAsia="Times New Roman" w:hAnsi="Times"/>
                <w:color w:val="000000"/>
                <w:sz w:val="20"/>
                <w:szCs w:val="20"/>
              </w:rPr>
              <w:t>aterially false, fictitious or fraudulent statement or representation, or making or using any false writing or document knowing the same to contain any materially false fictitious or fraudulent statement or entry in connection with the delivery of or payme</w:t>
            </w:r>
            <w:r>
              <w:rPr>
                <w:rFonts w:ascii="Times" w:eastAsia="Times New Roman" w:hAnsi="Times"/>
                <w:color w:val="000000"/>
                <w:sz w:val="20"/>
                <w:szCs w:val="20"/>
              </w:rPr>
              <w:t>nt for healthcare benefits, items or services. Similar to the federal healthcare Anti-Kickback Statute, a person or entity does not need to have actual knowledge of the statute or specific intent to violate it to have committed a violation.</w:t>
            </w:r>
          </w:p>
        </w:tc>
      </w:tr>
    </w:tbl>
    <w:p w14:paraId="36CE5682" w14:textId="77777777" w:rsidR="00000000" w:rsidRDefault="00097612">
      <w:pPr>
        <w:divId w:val="21296219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C626D7F" w14:textId="77777777">
        <w:trPr>
          <w:divId w:val="2129621938"/>
        </w:trPr>
        <w:tc>
          <w:tcPr>
            <w:tcW w:w="720" w:type="dxa"/>
            <w:vAlign w:val="center"/>
            <w:hideMark/>
          </w:tcPr>
          <w:p w14:paraId="24D99CE2" w14:textId="77777777" w:rsidR="00000000" w:rsidRDefault="00097612">
            <w:pPr>
              <w:rPr>
                <w:rFonts w:eastAsia="Times New Roman"/>
              </w:rPr>
            </w:pPr>
          </w:p>
        </w:tc>
        <w:tc>
          <w:tcPr>
            <w:tcW w:w="360" w:type="dxa"/>
            <w:noWrap/>
            <w:tcMar>
              <w:top w:w="0" w:type="dxa"/>
              <w:left w:w="0" w:type="dxa"/>
              <w:bottom w:w="0" w:type="dxa"/>
              <w:right w:w="0" w:type="dxa"/>
            </w:tcMar>
            <w:hideMark/>
          </w:tcPr>
          <w:p w14:paraId="4B6453E8"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2F3C1E6"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federa</w:t>
            </w:r>
            <w:r>
              <w:rPr>
                <w:rFonts w:ascii="Times" w:eastAsia="Times New Roman" w:hAnsi="Times"/>
                <w:color w:val="000000"/>
                <w:sz w:val="20"/>
                <w:szCs w:val="20"/>
              </w:rPr>
              <w:t>l Physician Payment Sunshine Act, being implemented as the Open Payments Program, requires certain manufacturers of drugs, devices, biologics, and medical supplies for which payment is available under Medicare, Medicaid or the Children’s Health Insurance P</w:t>
            </w:r>
            <w:r>
              <w:rPr>
                <w:rFonts w:ascii="Times" w:eastAsia="Times New Roman" w:hAnsi="Times"/>
                <w:color w:val="000000"/>
                <w:sz w:val="20"/>
                <w:szCs w:val="20"/>
              </w:rPr>
              <w:t xml:space="preserve">rogram (with certain exceptions) to report annually to the US Department of Health and Human Services, Centers for Medicare and Medicaid Services, information related to payments and other transfers of value, directly or indirectly, to physicians (defined </w:t>
            </w:r>
            <w:r>
              <w:rPr>
                <w:rFonts w:ascii="Times" w:eastAsia="Times New Roman" w:hAnsi="Times"/>
                <w:color w:val="000000"/>
                <w:sz w:val="20"/>
                <w:szCs w:val="20"/>
              </w:rPr>
              <w:t>to include doctors,</w:t>
            </w:r>
            <w:r>
              <w:rPr>
                <w:rFonts w:ascii="Times" w:eastAsia="Times New Roman" w:hAnsi="Times"/>
                <w:color w:val="000000"/>
                <w:sz w:val="20"/>
                <w:szCs w:val="20"/>
              </w:rPr>
              <w:t xml:space="preserve"> </w:t>
            </w:r>
          </w:p>
        </w:tc>
      </w:tr>
    </w:tbl>
    <w:p w14:paraId="270F6BEB" w14:textId="77777777" w:rsidR="00000000" w:rsidRDefault="00097612">
      <w:pPr>
        <w:pStyle w:val="a3"/>
        <w:spacing w:before="360" w:beforeAutospacing="0" w:after="0" w:afterAutospacing="0"/>
        <w:jc w:val="center"/>
        <w:divId w:val="263193350"/>
        <w:rPr>
          <w:sz w:val="20"/>
          <w:szCs w:val="20"/>
        </w:rPr>
      </w:pPr>
      <w:r>
        <w:rPr>
          <w:sz w:val="20"/>
          <w:szCs w:val="20"/>
        </w:rPr>
        <w:t>62</w:t>
      </w:r>
    </w:p>
    <w:p w14:paraId="15ABD47D" w14:textId="77777777" w:rsidR="00000000" w:rsidRDefault="00097612">
      <w:pPr>
        <w:pStyle w:val="a3"/>
        <w:spacing w:before="0" w:beforeAutospacing="0" w:after="600" w:afterAutospacing="0"/>
        <w:divId w:val="80524241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14:paraId="1CA4BE21" w14:textId="77777777">
        <w:trPr>
          <w:divId w:val="1244340677"/>
        </w:trPr>
        <w:tc>
          <w:tcPr>
            <w:tcW w:w="720" w:type="dxa"/>
            <w:vAlign w:val="center"/>
            <w:hideMark/>
          </w:tcPr>
          <w:p w14:paraId="7C038923" w14:textId="77777777" w:rsidR="00000000" w:rsidRDefault="00097612">
            <w:pPr>
              <w:rPr>
                <w:sz w:val="20"/>
                <w:szCs w:val="20"/>
              </w:rPr>
            </w:pPr>
          </w:p>
        </w:tc>
        <w:tc>
          <w:tcPr>
            <w:tcW w:w="360" w:type="dxa"/>
            <w:noWrap/>
            <w:tcMar>
              <w:top w:w="0" w:type="dxa"/>
              <w:left w:w="0" w:type="dxa"/>
              <w:bottom w:w="0" w:type="dxa"/>
              <w:right w:w="0" w:type="dxa"/>
            </w:tcMar>
            <w:hideMark/>
          </w:tcPr>
          <w:p w14:paraId="2EB0F9BA" w14:textId="77777777" w:rsidR="00000000" w:rsidRDefault="00097612">
            <w:pPr>
              <w:spacing w:after="240"/>
              <w:rPr>
                <w:rFonts w:eastAsia="Times New Roman"/>
                <w:sz w:val="20"/>
                <w:szCs w:val="20"/>
              </w:rPr>
            </w:pPr>
          </w:p>
        </w:tc>
        <w:tc>
          <w:tcPr>
            <w:tcW w:w="0" w:type="auto"/>
            <w:tcMar>
              <w:top w:w="0" w:type="dxa"/>
              <w:left w:w="0" w:type="dxa"/>
              <w:bottom w:w="0" w:type="dxa"/>
              <w:right w:w="0" w:type="dxa"/>
            </w:tcMar>
            <w:vAlign w:val="center"/>
            <w:hideMark/>
          </w:tcPr>
          <w:p w14:paraId="566931B5"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dentists, optometrists, podiatrists, and chiropractors) and teaching hospitals, as well as ownership and investment interests held by physicians and their immediate family members. Begi</w:t>
            </w:r>
            <w:r>
              <w:rPr>
                <w:rFonts w:ascii="Times" w:eastAsia="Times New Roman" w:hAnsi="Times"/>
                <w:color w:val="000000"/>
                <w:sz w:val="20"/>
                <w:szCs w:val="20"/>
              </w:rPr>
              <w:t>nning in 2022, applicable manufacturers also will be required to report information regarding payments and transfers of value provided to physician assistants, nurse practitioners, clinical nurse specialists, certified nurse anesthetists, and certified nur</w:t>
            </w:r>
            <w:r>
              <w:rPr>
                <w:rFonts w:ascii="Times" w:eastAsia="Times New Roman" w:hAnsi="Times"/>
                <w:color w:val="000000"/>
                <w:sz w:val="20"/>
                <w:szCs w:val="20"/>
              </w:rPr>
              <w:t>se-midwives. A manufacturer’s failure to submit timely, accurately and completely the required information for all payments, transfers of value or ownership or investment interests may result in civil monetary penalties of up to an aggregate of $150,000 pe</w:t>
            </w:r>
            <w:r>
              <w:rPr>
                <w:rFonts w:ascii="Times" w:eastAsia="Times New Roman" w:hAnsi="Times"/>
                <w:color w:val="000000"/>
                <w:sz w:val="20"/>
                <w:szCs w:val="20"/>
              </w:rPr>
              <w:t>r year, and up to an aggregate of $1 million per year for</w:t>
            </w:r>
            <w:r>
              <w:rPr>
                <w:rFonts w:ascii="Times" w:eastAsia="Times New Roman" w:hAnsi="Times"/>
                <w:color w:val="000000"/>
                <w:sz w:val="20"/>
                <w:szCs w:val="20"/>
              </w:rPr>
              <w:t xml:space="preserve"> </w:t>
            </w:r>
            <w:r>
              <w:rPr>
                <w:rFonts w:ascii="Times" w:eastAsia="Times New Roman" w:hAnsi="Times"/>
                <w:color w:val="000000"/>
                <w:sz w:val="20"/>
                <w:szCs w:val="20"/>
              </w:rPr>
              <w:t>“knowing failures.”</w:t>
            </w:r>
            <w:r>
              <w:rPr>
                <w:rFonts w:ascii="Times" w:eastAsia="Times New Roman" w:hAnsi="Times"/>
                <w:color w:val="000000"/>
                <w:sz w:val="20"/>
                <w:szCs w:val="20"/>
              </w:rPr>
              <w:t xml:space="preserve"> </w:t>
            </w:r>
            <w:r>
              <w:rPr>
                <w:rFonts w:ascii="Times" w:eastAsia="Times New Roman" w:hAnsi="Times"/>
                <w:color w:val="000000"/>
                <w:sz w:val="20"/>
                <w:szCs w:val="20"/>
              </w:rPr>
              <w:t>Manufacturers must submit reports by the 90th day of each calendar year.</w:t>
            </w:r>
            <w:r>
              <w:rPr>
                <w:rFonts w:ascii="Times" w:eastAsia="Times New Roman" w:hAnsi="Times"/>
                <w:color w:val="000000"/>
                <w:sz w:val="20"/>
                <w:szCs w:val="20"/>
              </w:rPr>
              <w:t xml:space="preserve"> </w:t>
            </w:r>
          </w:p>
        </w:tc>
      </w:tr>
    </w:tbl>
    <w:p w14:paraId="771EB580" w14:textId="77777777" w:rsidR="00000000" w:rsidRDefault="00097612">
      <w:pPr>
        <w:divId w:val="12443406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1EEC73F" w14:textId="77777777">
        <w:trPr>
          <w:divId w:val="1244340677"/>
        </w:trPr>
        <w:tc>
          <w:tcPr>
            <w:tcW w:w="720" w:type="dxa"/>
            <w:vAlign w:val="center"/>
            <w:hideMark/>
          </w:tcPr>
          <w:p w14:paraId="7025F492" w14:textId="77777777" w:rsidR="00000000" w:rsidRDefault="00097612">
            <w:pPr>
              <w:rPr>
                <w:rFonts w:eastAsia="Times New Roman"/>
              </w:rPr>
            </w:pPr>
          </w:p>
        </w:tc>
        <w:tc>
          <w:tcPr>
            <w:tcW w:w="360" w:type="dxa"/>
            <w:noWrap/>
            <w:tcMar>
              <w:top w:w="0" w:type="dxa"/>
              <w:left w:w="0" w:type="dxa"/>
              <w:bottom w:w="0" w:type="dxa"/>
              <w:right w:w="0" w:type="dxa"/>
            </w:tcMar>
            <w:hideMark/>
          </w:tcPr>
          <w:p w14:paraId="7B2475A7"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0C2882C"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Analogous state laws and regulations, such as state anti-kickback and false claims laws, may apply to sales or marketing arrangements and claims involving healthcare items or services reimbursed by any third-party payors, including private insurers or pati</w:t>
            </w:r>
            <w:r>
              <w:rPr>
                <w:rFonts w:ascii="Times" w:eastAsia="Times New Roman" w:hAnsi="Times"/>
                <w:color w:val="000000"/>
                <w:sz w:val="20"/>
                <w:szCs w:val="20"/>
              </w:rPr>
              <w:t>ents. Several states also require pharmaceutical companies to report expenses relating to the marketing and promotion of pharmaceutical products in those states and to report gifts and payments to individual health care providers in those states. Some of t</w:t>
            </w:r>
            <w:r>
              <w:rPr>
                <w:rFonts w:ascii="Times" w:eastAsia="Times New Roman" w:hAnsi="Times"/>
                <w:color w:val="000000"/>
                <w:sz w:val="20"/>
                <w:szCs w:val="20"/>
              </w:rPr>
              <w:t>hese states also prohibit certain marketing-related activities, including the provision of gifts, meals, or other items to certain health care provider</w:t>
            </w:r>
            <w:r>
              <w:rPr>
                <w:rFonts w:ascii="Times" w:eastAsia="Times New Roman" w:hAnsi="Times"/>
                <w:color w:val="000000"/>
                <w:sz w:val="20"/>
                <w:szCs w:val="20"/>
              </w:rPr>
              <w:t>s</w:t>
            </w:r>
            <w:r>
              <w:rPr>
                <w:rFonts w:ascii="Times" w:eastAsia="Times New Roman" w:hAnsi="Times"/>
                <w:color w:val="000000"/>
                <w:sz w:val="20"/>
                <w:szCs w:val="20"/>
              </w:rPr>
              <w:t>, and restrict the ability of manufacturers to offer co-pay support to patients for certain prescription</w:t>
            </w:r>
            <w:r>
              <w:rPr>
                <w:rFonts w:ascii="Times" w:eastAsia="Times New Roman" w:hAnsi="Times"/>
                <w:color w:val="000000"/>
                <w:sz w:val="20"/>
                <w:szCs w:val="20"/>
              </w:rPr>
              <w:t xml:space="preserve"> drugs. Some states require the posting of information relating to clinical studies and their outcomes.</w:t>
            </w:r>
            <w:r>
              <w:rPr>
                <w:rFonts w:ascii="Times" w:eastAsia="Times New Roman" w:hAnsi="Times"/>
                <w:color w:val="000000"/>
                <w:sz w:val="20"/>
                <w:szCs w:val="20"/>
              </w:rPr>
              <w:t xml:space="preserve"> </w:t>
            </w:r>
            <w:r>
              <w:rPr>
                <w:rFonts w:ascii="Times" w:eastAsia="Times New Roman" w:hAnsi="Times"/>
                <w:color w:val="000000"/>
                <w:sz w:val="20"/>
                <w:szCs w:val="20"/>
              </w:rPr>
              <w:t>Some states and cities require identification or licensing of sales representative</w:t>
            </w:r>
            <w:r>
              <w:rPr>
                <w:rFonts w:ascii="Times" w:eastAsia="Times New Roman" w:hAnsi="Times"/>
                <w:color w:val="000000"/>
                <w:sz w:val="20"/>
                <w:szCs w:val="20"/>
              </w:rPr>
              <w:t>s</w:t>
            </w:r>
            <w:r>
              <w:rPr>
                <w:rFonts w:ascii="Times" w:eastAsia="Times New Roman" w:hAnsi="Times"/>
                <w:color w:val="000000"/>
                <w:sz w:val="20"/>
                <w:szCs w:val="20"/>
              </w:rPr>
              <w:t>. In addition, several states require pharmaceutical companies to imp</w:t>
            </w:r>
            <w:r>
              <w:rPr>
                <w:rFonts w:ascii="Times" w:eastAsia="Times New Roman" w:hAnsi="Times"/>
                <w:color w:val="000000"/>
                <w:sz w:val="20"/>
                <w:szCs w:val="20"/>
              </w:rPr>
              <w:t>lement compliance programs or marketing codes.</w:t>
            </w:r>
            <w:r>
              <w:rPr>
                <w:rFonts w:ascii="Times" w:eastAsia="Times New Roman" w:hAnsi="Times"/>
                <w:color w:val="000000"/>
                <w:sz w:val="20"/>
                <w:szCs w:val="20"/>
              </w:rPr>
              <w:t xml:space="preserve"> </w:t>
            </w:r>
          </w:p>
        </w:tc>
      </w:tr>
    </w:tbl>
    <w:p w14:paraId="405E6566" w14:textId="77777777" w:rsidR="00000000" w:rsidRDefault="00097612">
      <w:pPr>
        <w:divId w:val="12443406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B3CCB5E" w14:textId="77777777">
        <w:trPr>
          <w:divId w:val="1244340677"/>
        </w:trPr>
        <w:tc>
          <w:tcPr>
            <w:tcW w:w="720" w:type="dxa"/>
            <w:vAlign w:val="center"/>
            <w:hideMark/>
          </w:tcPr>
          <w:p w14:paraId="0064C5AA" w14:textId="77777777" w:rsidR="00000000" w:rsidRDefault="00097612">
            <w:pPr>
              <w:rPr>
                <w:rFonts w:eastAsia="Times New Roman"/>
              </w:rPr>
            </w:pPr>
          </w:p>
        </w:tc>
        <w:tc>
          <w:tcPr>
            <w:tcW w:w="360" w:type="dxa"/>
            <w:noWrap/>
            <w:tcMar>
              <w:top w:w="0" w:type="dxa"/>
              <w:left w:w="0" w:type="dxa"/>
              <w:bottom w:w="0" w:type="dxa"/>
              <w:right w:w="0" w:type="dxa"/>
            </w:tcMar>
            <w:hideMark/>
          </w:tcPr>
          <w:p w14:paraId="34FFB970"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179DDBF" w14:textId="77777777" w:rsidR="00000000" w:rsidRDefault="00097612">
            <w:pPr>
              <w:rPr>
                <w:rFonts w:ascii="Times" w:eastAsia="Times New Roman" w:hAnsi="Times"/>
                <w:sz w:val="20"/>
                <w:szCs w:val="20"/>
              </w:rPr>
            </w:pPr>
            <w:r>
              <w:rPr>
                <w:rFonts w:ascii="Times" w:eastAsia="Times New Roman" w:hAnsi="Times"/>
                <w:color w:val="000000"/>
                <w:sz w:val="20"/>
                <w:szCs w:val="20"/>
              </w:rPr>
              <w:t xml:space="preserve">Similar restrictions are imposed on the promotion and marketing of medicinal products in the EU Member States and other countries, including restrictions prohibiting the promotion of a compound prior to </w:t>
            </w:r>
            <w:r>
              <w:rPr>
                <w:rFonts w:ascii="Times" w:eastAsia="Times New Roman" w:hAnsi="Times"/>
                <w:color w:val="000000"/>
                <w:sz w:val="20"/>
                <w:szCs w:val="20"/>
              </w:rPr>
              <w:t>its approval. Laws (including those governing promotion, marketing and anti-kickback provisions), industry regulations and professional codes of conduct often are strictly enforced. Even in those countries where we may decide not to directly promote or mar</w:t>
            </w:r>
            <w:r>
              <w:rPr>
                <w:rFonts w:ascii="Times" w:eastAsia="Times New Roman" w:hAnsi="Times"/>
                <w:color w:val="000000"/>
                <w:sz w:val="20"/>
                <w:szCs w:val="20"/>
              </w:rPr>
              <w:t>ket our products, inappropriate activity by our international distribution partners could have implications for us.</w:t>
            </w:r>
            <w:r>
              <w:rPr>
                <w:rFonts w:ascii="Times" w:eastAsia="Times New Roman" w:hAnsi="Times"/>
                <w:color w:val="000000"/>
                <w:sz w:val="20"/>
                <w:szCs w:val="20"/>
              </w:rPr>
              <w:t xml:space="preserve"> </w:t>
            </w:r>
          </w:p>
        </w:tc>
      </w:tr>
    </w:tbl>
    <w:p w14:paraId="7652ACF6" w14:textId="77777777" w:rsidR="00000000" w:rsidRDefault="00097612">
      <w:pPr>
        <w:pStyle w:val="a3"/>
        <w:spacing w:before="0" w:beforeAutospacing="0" w:after="240" w:afterAutospacing="0"/>
        <w:ind w:firstLine="720"/>
        <w:divId w:val="1244340677"/>
        <w:rPr>
          <w:rFonts w:ascii="Times" w:hAnsi="Times"/>
          <w:sz w:val="20"/>
          <w:szCs w:val="20"/>
        </w:rPr>
      </w:pPr>
      <w:r>
        <w:rPr>
          <w:rFonts w:ascii="Times" w:hAnsi="Times"/>
          <w:sz w:val="20"/>
          <w:szCs w:val="20"/>
        </w:rPr>
        <w:t>The shifting commercial compliance environment and the need to build and maintain robust and expandable systems to comply with different c</w:t>
      </w:r>
      <w:r>
        <w:rPr>
          <w:rFonts w:ascii="Times" w:hAnsi="Times"/>
          <w:sz w:val="20"/>
          <w:szCs w:val="20"/>
        </w:rPr>
        <w:t xml:space="preserve">ompliance or reporting requirements in multiple jurisdictions increase the possibility that we or our partners may fail to comply fully with one or more of these requirements. Efforts to ensure that our business arrangements with third parties will comply </w:t>
      </w:r>
      <w:r>
        <w:rPr>
          <w:rFonts w:ascii="Times" w:hAnsi="Times"/>
          <w:sz w:val="20"/>
          <w:szCs w:val="20"/>
        </w:rPr>
        <w:t>with applicable healthcare laws and regulations may involve substantial costs. It is possible that governmental authorities will conclude that our business practices may not comply with applicable fraud and abuse or other healthcare laws and regulations or</w:t>
      </w:r>
      <w:r>
        <w:rPr>
          <w:rFonts w:ascii="Times" w:hAnsi="Times"/>
          <w:sz w:val="20"/>
          <w:szCs w:val="20"/>
        </w:rPr>
        <w:t xml:space="preserve"> guidance. If our operations are found to be in violation of any of these laws or any other governmental regulations that may apply to us, we may be subject to significant civil, criminal and administrative penalties, damages, fines, disgorgement, exclusio</w:t>
      </w:r>
      <w:r>
        <w:rPr>
          <w:rFonts w:ascii="Times" w:hAnsi="Times"/>
          <w:sz w:val="20"/>
          <w:szCs w:val="20"/>
        </w:rPr>
        <w:t>n from government funded healthcare programs, such as Medicare and Medicaid in the US and similar programs outside the US, contractual damages, diminished profits and future earnings, and the curtailment or restructuring of our operations, any of which cou</w:t>
      </w:r>
      <w:r>
        <w:rPr>
          <w:rFonts w:ascii="Times" w:hAnsi="Times"/>
          <w:sz w:val="20"/>
          <w:szCs w:val="20"/>
        </w:rPr>
        <w:t xml:space="preserve">ld adversely affect our ability to operate our business and our financial results. If any of the physicians or other providers or entities with whom we do or expect to do business are found to not be in compliance with applicable laws, they may be subject </w:t>
      </w:r>
      <w:r>
        <w:rPr>
          <w:rFonts w:ascii="Times" w:hAnsi="Times"/>
          <w:sz w:val="20"/>
          <w:szCs w:val="20"/>
        </w:rPr>
        <w:t>to criminal, civil or administrative sanctions, including exclusions from government funded healthcare programs. Even if we are not determined to have violated these laws, government investigations into these issues typically require the expenditure of sig</w:t>
      </w:r>
      <w:r>
        <w:rPr>
          <w:rFonts w:ascii="Times" w:hAnsi="Times"/>
          <w:sz w:val="20"/>
          <w:szCs w:val="20"/>
        </w:rPr>
        <w:t>nificant resources and generate negative publicity, which could harm our financial condition and divert resources and the attention of our management from operating our business.</w:t>
      </w:r>
      <w:r>
        <w:rPr>
          <w:rFonts w:ascii="Times" w:hAnsi="Times"/>
          <w:sz w:val="20"/>
          <w:szCs w:val="20"/>
        </w:rPr>
        <w:t xml:space="preserve"> </w:t>
      </w:r>
    </w:p>
    <w:p w14:paraId="5CC25513" w14:textId="77777777" w:rsidR="00000000" w:rsidRDefault="00097612">
      <w:pPr>
        <w:pStyle w:val="a3"/>
        <w:spacing w:before="0" w:beforeAutospacing="0" w:after="0" w:afterAutospacing="0"/>
        <w:divId w:val="1244340677"/>
        <w:rPr>
          <w:rFonts w:ascii="Times" w:hAnsi="Times"/>
          <w:b/>
          <w:bCs/>
          <w:i/>
          <w:iCs/>
          <w:sz w:val="20"/>
          <w:szCs w:val="20"/>
        </w:rPr>
      </w:pPr>
      <w:r>
        <w:rPr>
          <w:rFonts w:ascii="Times" w:hAnsi="Times"/>
          <w:b/>
          <w:bCs/>
          <w:i/>
          <w:iCs/>
          <w:sz w:val="20"/>
          <w:szCs w:val="20"/>
        </w:rPr>
        <w:t>Our business and operations, including the use of hazardous and biological m</w:t>
      </w:r>
      <w:r>
        <w:rPr>
          <w:rFonts w:ascii="Times" w:hAnsi="Times"/>
          <w:b/>
          <w:bCs/>
          <w:i/>
          <w:iCs/>
          <w:sz w:val="20"/>
          <w:szCs w:val="20"/>
        </w:rPr>
        <w:t>aterials may result in liabilities with respect to environmental, health and safety matters.</w:t>
      </w:r>
      <w:r>
        <w:rPr>
          <w:rFonts w:ascii="Times" w:hAnsi="Times"/>
          <w:b/>
          <w:bCs/>
          <w:i/>
          <w:iCs/>
          <w:sz w:val="20"/>
          <w:szCs w:val="20"/>
        </w:rPr>
        <w:t xml:space="preserve"> </w:t>
      </w:r>
    </w:p>
    <w:p w14:paraId="26468F8C" w14:textId="77777777" w:rsidR="00000000" w:rsidRDefault="00097612">
      <w:pPr>
        <w:pStyle w:val="a3"/>
        <w:spacing w:before="0" w:beforeAutospacing="0" w:after="0" w:afterAutospacing="0"/>
        <w:ind w:firstLine="720"/>
        <w:divId w:val="1244340677"/>
        <w:rPr>
          <w:rFonts w:ascii="Times" w:hAnsi="Times"/>
          <w:sz w:val="20"/>
          <w:szCs w:val="20"/>
        </w:rPr>
      </w:pPr>
      <w:r>
        <w:rPr>
          <w:rFonts w:ascii="Times" w:hAnsi="Times"/>
          <w:sz w:val="10"/>
          <w:szCs w:val="10"/>
        </w:rPr>
        <w:t>​</w:t>
      </w:r>
    </w:p>
    <w:p w14:paraId="7BFDB8EF" w14:textId="77777777" w:rsidR="00000000" w:rsidRDefault="00097612">
      <w:pPr>
        <w:pStyle w:val="a3"/>
        <w:spacing w:before="0" w:beforeAutospacing="0" w:after="0" w:afterAutospacing="0"/>
        <w:ind w:firstLine="720"/>
        <w:divId w:val="1244340677"/>
        <w:rPr>
          <w:rFonts w:ascii="Times" w:hAnsi="Times"/>
          <w:sz w:val="20"/>
          <w:szCs w:val="20"/>
        </w:rPr>
      </w:pPr>
      <w:r>
        <w:rPr>
          <w:rFonts w:ascii="Times" w:hAnsi="Times"/>
          <w:sz w:val="20"/>
          <w:szCs w:val="20"/>
        </w:rPr>
        <w:t>Our research and development activities involve the controlled use of potentially hazardous substances, including chemical, biological and radioactive materials</w:t>
      </w:r>
      <w:r>
        <w:rPr>
          <w:rFonts w:ascii="Times" w:hAnsi="Times"/>
          <w:sz w:val="20"/>
          <w:szCs w:val="20"/>
        </w:rPr>
        <w:t>. In addition, our operations produce hazardous waste products, including hazardous waste. Federal, state and local laws and regulations govern the use, manufacture, management, storage, handling and disposal of hazardous materials and wastes. We may incur</w:t>
      </w:r>
      <w:r>
        <w:rPr>
          <w:rFonts w:ascii="Times" w:hAnsi="Times"/>
          <w:sz w:val="20"/>
          <w:szCs w:val="20"/>
        </w:rPr>
        <w:t xml:space="preserve"> significant additional costs or liabilities to comply with, or for violations of, these and other applicable laws in the future. Also, even if we are in compliance with applicable laws, we cannot completely eliminate the risk of contamination or injury re</w:t>
      </w:r>
      <w:r>
        <w:rPr>
          <w:rFonts w:ascii="Times" w:hAnsi="Times"/>
          <w:sz w:val="20"/>
          <w:szCs w:val="20"/>
        </w:rPr>
        <w:t xml:space="preserve">sulting from hazardous materials and we may incur liability as a result of any such contamination or injury. Further, in the event of a release of or exposure to hazardous materials, including at the sites we currently or formerly operate or at sites such </w:t>
      </w:r>
      <w:r>
        <w:rPr>
          <w:rFonts w:ascii="Times" w:hAnsi="Times"/>
          <w:sz w:val="20"/>
          <w:szCs w:val="20"/>
        </w:rPr>
        <w:t>as landfills where we send wastes for disposal, we</w:t>
      </w:r>
      <w:r>
        <w:rPr>
          <w:rFonts w:ascii="Times" w:hAnsi="Times"/>
          <w:sz w:val="20"/>
          <w:szCs w:val="20"/>
        </w:rPr>
        <w:t xml:space="preserve"> </w:t>
      </w:r>
    </w:p>
    <w:p w14:paraId="4FACA92D" w14:textId="77777777" w:rsidR="00000000" w:rsidRDefault="00097612">
      <w:pPr>
        <w:pStyle w:val="a3"/>
        <w:spacing w:before="360" w:beforeAutospacing="0" w:after="0" w:afterAutospacing="0"/>
        <w:jc w:val="center"/>
        <w:divId w:val="545214755"/>
        <w:rPr>
          <w:sz w:val="20"/>
          <w:szCs w:val="20"/>
        </w:rPr>
      </w:pPr>
      <w:r>
        <w:rPr>
          <w:sz w:val="20"/>
          <w:szCs w:val="20"/>
        </w:rPr>
        <w:t>63</w:t>
      </w:r>
    </w:p>
    <w:p w14:paraId="2DE30308" w14:textId="77777777" w:rsidR="00000000" w:rsidRDefault="00097612">
      <w:pPr>
        <w:pStyle w:val="a3"/>
        <w:spacing w:before="0" w:beforeAutospacing="0" w:after="600" w:afterAutospacing="0"/>
        <w:divId w:val="1177157969"/>
        <w:rPr>
          <w:sz w:val="20"/>
          <w:szCs w:val="20"/>
        </w:rPr>
      </w:pPr>
      <w:hyperlink w:anchor="TOC" w:history="1">
        <w:r>
          <w:rPr>
            <w:rStyle w:val="a4"/>
            <w:sz w:val="20"/>
            <w:szCs w:val="20"/>
          </w:rPr>
          <w:t>Table of Contents</w:t>
        </w:r>
      </w:hyperlink>
    </w:p>
    <w:p w14:paraId="78F82205" w14:textId="77777777" w:rsidR="00000000" w:rsidRDefault="00097612">
      <w:pPr>
        <w:pStyle w:val="a3"/>
        <w:spacing w:before="0" w:beforeAutospacing="0" w:after="0" w:afterAutospacing="0"/>
        <w:divId w:val="467822956"/>
        <w:rPr>
          <w:rFonts w:ascii="Times" w:hAnsi="Times"/>
          <w:sz w:val="20"/>
          <w:szCs w:val="20"/>
        </w:rPr>
      </w:pPr>
      <w:r>
        <w:rPr>
          <w:rFonts w:ascii="Times" w:hAnsi="Times"/>
          <w:sz w:val="20"/>
          <w:szCs w:val="20"/>
        </w:rPr>
        <w:t>could be held liable for cleanup costs or damages or subject to other costs or penalties and such liability could exceed our resources. We do not have any insurance for liabilities arising from hazardous materials or under environmental laws. Compliance wi</w:t>
      </w:r>
      <w:r>
        <w:rPr>
          <w:rFonts w:ascii="Times" w:hAnsi="Times"/>
          <w:sz w:val="20"/>
          <w:szCs w:val="20"/>
        </w:rPr>
        <w:t>th or liability under applicable environmental laws and regulations or with respect to hazardous materials may be expensive, and current or future environmental regulations may impair our research, development and production efforts, which could harm our b</w:t>
      </w:r>
      <w:r>
        <w:rPr>
          <w:rFonts w:ascii="Times" w:hAnsi="Times"/>
          <w:sz w:val="20"/>
          <w:szCs w:val="20"/>
        </w:rPr>
        <w:t>usiness, which could cause the price of our securities to fall.</w:t>
      </w:r>
      <w:r>
        <w:rPr>
          <w:rFonts w:ascii="Times" w:hAnsi="Times"/>
          <w:sz w:val="20"/>
          <w:szCs w:val="20"/>
        </w:rPr>
        <w:t xml:space="preserve"> </w:t>
      </w:r>
    </w:p>
    <w:p w14:paraId="623E0B08" w14:textId="77777777" w:rsidR="00000000" w:rsidRDefault="00097612">
      <w:pPr>
        <w:pStyle w:val="a3"/>
        <w:spacing w:before="0" w:beforeAutospacing="0" w:after="0" w:afterAutospacing="0"/>
        <w:divId w:val="467822956"/>
        <w:rPr>
          <w:sz w:val="20"/>
          <w:szCs w:val="20"/>
        </w:rPr>
      </w:pPr>
      <w:r>
        <w:rPr>
          <w:sz w:val="20"/>
          <w:szCs w:val="20"/>
        </w:rPr>
        <w:t>​</w:t>
      </w:r>
    </w:p>
    <w:p w14:paraId="013A1D6F" w14:textId="77777777" w:rsidR="00000000" w:rsidRDefault="00097612">
      <w:pPr>
        <w:pStyle w:val="a3"/>
        <w:spacing w:before="0" w:beforeAutospacing="0" w:after="240" w:afterAutospacing="0"/>
        <w:divId w:val="467822956"/>
        <w:rPr>
          <w:rFonts w:ascii="Times" w:hAnsi="Times"/>
          <w:b/>
          <w:bCs/>
          <w:sz w:val="20"/>
          <w:szCs w:val="20"/>
        </w:rPr>
      </w:pPr>
      <w:r>
        <w:rPr>
          <w:rFonts w:ascii="Times" w:hAnsi="Times"/>
          <w:b/>
          <w:bCs/>
          <w:sz w:val="20"/>
          <w:szCs w:val="20"/>
        </w:rPr>
        <w:t>RISKS RELATING TO OUR ORDINARY SHARES</w:t>
      </w:r>
      <w:r>
        <w:rPr>
          <w:rFonts w:ascii="Times" w:hAnsi="Times"/>
          <w:b/>
          <w:bCs/>
          <w:sz w:val="20"/>
          <w:szCs w:val="20"/>
        </w:rPr>
        <w:t xml:space="preserve"> </w:t>
      </w:r>
    </w:p>
    <w:p w14:paraId="2D87D18A" w14:textId="77777777" w:rsidR="00000000" w:rsidRDefault="00097612">
      <w:pPr>
        <w:pStyle w:val="a3"/>
        <w:spacing w:before="0" w:beforeAutospacing="0" w:after="120" w:afterAutospacing="0"/>
        <w:divId w:val="467822956"/>
        <w:rPr>
          <w:rFonts w:ascii="Times" w:hAnsi="Times"/>
          <w:b/>
          <w:bCs/>
          <w:i/>
          <w:iCs/>
          <w:sz w:val="20"/>
          <w:szCs w:val="20"/>
        </w:rPr>
      </w:pPr>
      <w:r>
        <w:rPr>
          <w:rFonts w:ascii="Times" w:hAnsi="Times"/>
          <w:b/>
          <w:bCs/>
          <w:i/>
          <w:iCs/>
          <w:sz w:val="20"/>
          <w:szCs w:val="20"/>
        </w:rPr>
        <w:t>The market price for our shares has and may continue to fluctuate widely, and may result in substantial losses for purchasers of our ordinary shares.</w:t>
      </w:r>
      <w:r>
        <w:rPr>
          <w:rFonts w:ascii="Times" w:hAnsi="Times"/>
          <w:b/>
          <w:bCs/>
          <w:i/>
          <w:iCs/>
          <w:sz w:val="20"/>
          <w:szCs w:val="20"/>
        </w:rPr>
        <w:t xml:space="preserve"> </w:t>
      </w:r>
    </w:p>
    <w:p w14:paraId="4E7E6709" w14:textId="77777777" w:rsidR="00000000" w:rsidRDefault="00097612">
      <w:pPr>
        <w:pStyle w:val="a3"/>
        <w:spacing w:before="0" w:beforeAutospacing="0" w:after="0" w:afterAutospacing="0"/>
        <w:ind w:firstLine="720"/>
        <w:divId w:val="467822956"/>
        <w:rPr>
          <w:rFonts w:ascii="Times" w:hAnsi="Times"/>
          <w:sz w:val="20"/>
          <w:szCs w:val="20"/>
        </w:rPr>
      </w:pPr>
      <w:r>
        <w:rPr>
          <w:rFonts w:ascii="Times" w:hAnsi="Times"/>
          <w:sz w:val="20"/>
          <w:szCs w:val="20"/>
        </w:rPr>
        <w:t>The market price for our shares has and may continue to fluctuate widely, and may result in substantial l</w:t>
      </w:r>
      <w:r>
        <w:rPr>
          <w:rFonts w:ascii="Times" w:hAnsi="Times"/>
          <w:sz w:val="20"/>
          <w:szCs w:val="20"/>
        </w:rPr>
        <w:t>osses for purchasers of our ordinary shares. To the extent that low trading volumes for our ordinary shares continues, our stock price may fluctuate significantly more than the stock market as a whole or the stock prices of similar companies. Without a lar</w:t>
      </w:r>
      <w:r>
        <w:rPr>
          <w:rFonts w:ascii="Times" w:hAnsi="Times"/>
          <w:sz w:val="20"/>
          <w:szCs w:val="20"/>
        </w:rPr>
        <w:t xml:space="preserve">ger public float of actively traded shares, our ordinary shares are likely to be more sensitive to changes in sales volumes, market fluctuations and events or perceived events with respect to our business, than the shares of common stock of companies with </w:t>
      </w:r>
      <w:r>
        <w:rPr>
          <w:rFonts w:ascii="Times" w:hAnsi="Times"/>
          <w:sz w:val="20"/>
          <w:szCs w:val="20"/>
        </w:rPr>
        <w:t>broader public ownership, and as a result, the trading prices for our ordinary shares may be more volatile. Among other things, trading of a relatively small volume of ordinary shares may have a greater effect on the trading price than would be the case if</w:t>
      </w:r>
      <w:r>
        <w:rPr>
          <w:rFonts w:ascii="Times" w:hAnsi="Times"/>
          <w:sz w:val="20"/>
          <w:szCs w:val="20"/>
        </w:rPr>
        <w:t xml:space="preserve"> our public float of actively traded shares were larger. In addition, as further described below under the risk factor entitled</w:t>
      </w:r>
      <w:r>
        <w:rPr>
          <w:rFonts w:ascii="Times" w:hAnsi="Times"/>
          <w:sz w:val="20"/>
          <w:szCs w:val="20"/>
        </w:rPr>
        <w:t xml:space="preserve"> </w:t>
      </w:r>
      <w:r>
        <w:rPr>
          <w:rFonts w:ascii="Times" w:hAnsi="Times"/>
          <w:sz w:val="20"/>
          <w:szCs w:val="20"/>
        </w:rPr>
        <w:t>“—</w:t>
      </w:r>
      <w:r>
        <w:rPr>
          <w:rFonts w:ascii="Times" w:hAnsi="Times"/>
          <w:i/>
          <w:iCs/>
          <w:sz w:val="20"/>
          <w:szCs w:val="20"/>
        </w:rPr>
        <w:t>Concentration of ownership will limit your ability to influence corporate matters,”</w:t>
      </w:r>
      <w:r>
        <w:rPr>
          <w:rFonts w:ascii="Times" w:hAnsi="Times"/>
          <w:sz w:val="20"/>
          <w:szCs w:val="20"/>
        </w:rPr>
        <w:t xml:space="preserve"> </w:t>
      </w:r>
      <w:r>
        <w:rPr>
          <w:rFonts w:ascii="Times" w:hAnsi="Times"/>
          <w:sz w:val="20"/>
          <w:szCs w:val="20"/>
        </w:rPr>
        <w:t>a number of shareholders hold large concen</w:t>
      </w:r>
      <w:r>
        <w:rPr>
          <w:rFonts w:ascii="Times" w:hAnsi="Times"/>
          <w:sz w:val="20"/>
          <w:szCs w:val="20"/>
        </w:rPr>
        <w:t>trations of our shares which, if sold within a relatively short timeframe, could cause the price of our shares to drop significantly.</w:t>
      </w:r>
      <w:r>
        <w:rPr>
          <w:rFonts w:ascii="Times" w:hAnsi="Times"/>
          <w:sz w:val="20"/>
          <w:szCs w:val="20"/>
        </w:rPr>
        <w:t xml:space="preserve"> </w:t>
      </w:r>
    </w:p>
    <w:p w14:paraId="6243A9AF" w14:textId="77777777" w:rsidR="00000000" w:rsidRDefault="00097612">
      <w:pPr>
        <w:pStyle w:val="a3"/>
        <w:spacing w:before="0" w:beforeAutospacing="0" w:after="0" w:afterAutospacing="0"/>
        <w:ind w:firstLine="720"/>
        <w:divId w:val="467822956"/>
        <w:rPr>
          <w:rFonts w:ascii="Times" w:hAnsi="Times"/>
          <w:sz w:val="20"/>
          <w:szCs w:val="20"/>
        </w:rPr>
      </w:pPr>
      <w:r>
        <w:rPr>
          <w:rFonts w:ascii="Times" w:hAnsi="Times"/>
          <w:sz w:val="20"/>
          <w:szCs w:val="20"/>
        </w:rPr>
        <w:t>​</w:t>
      </w:r>
    </w:p>
    <w:p w14:paraId="58D185D3" w14:textId="77777777" w:rsidR="00000000" w:rsidRDefault="00097612">
      <w:pPr>
        <w:pStyle w:val="a3"/>
        <w:spacing w:before="0" w:beforeAutospacing="0" w:after="0" w:afterAutospacing="0"/>
        <w:ind w:firstLine="720"/>
        <w:divId w:val="467822956"/>
        <w:rPr>
          <w:rFonts w:ascii="Times" w:hAnsi="Times"/>
          <w:sz w:val="20"/>
          <w:szCs w:val="20"/>
        </w:rPr>
      </w:pPr>
      <w:r>
        <w:rPr>
          <w:rFonts w:ascii="Times" w:hAnsi="Times"/>
          <w:sz w:val="20"/>
          <w:szCs w:val="20"/>
        </w:rPr>
        <w:t xml:space="preserve">Market prices for securities of biotechnology and biopharmaceutical companies have been highly volatile, and we expect </w:t>
      </w:r>
      <w:r>
        <w:rPr>
          <w:rFonts w:ascii="Times" w:hAnsi="Times"/>
          <w:sz w:val="20"/>
          <w:szCs w:val="20"/>
        </w:rPr>
        <w:t>such volatility to continue for the foreseeable future, so that investment in our ordinary shares involves substantial risk. Additionally, the stock market from time to time has experienced significant price and volume fluctuations unrelated to the operati</w:t>
      </w:r>
      <w:r>
        <w:rPr>
          <w:rFonts w:ascii="Times" w:hAnsi="Times"/>
          <w:sz w:val="20"/>
          <w:szCs w:val="20"/>
        </w:rPr>
        <w:t>ng performance of particular companies.</w:t>
      </w:r>
      <w:r>
        <w:rPr>
          <w:rFonts w:ascii="Times" w:hAnsi="Times"/>
          <w:sz w:val="20"/>
          <w:szCs w:val="20"/>
        </w:rPr>
        <w:t xml:space="preserve"> </w:t>
      </w:r>
    </w:p>
    <w:p w14:paraId="7907D507" w14:textId="77777777" w:rsidR="00000000" w:rsidRDefault="00097612">
      <w:pPr>
        <w:pStyle w:val="a3"/>
        <w:spacing w:before="0" w:beforeAutospacing="0" w:after="0" w:afterAutospacing="0"/>
        <w:ind w:firstLine="720"/>
        <w:divId w:val="467822956"/>
        <w:rPr>
          <w:rFonts w:ascii="Times" w:hAnsi="Times"/>
          <w:sz w:val="20"/>
          <w:szCs w:val="20"/>
        </w:rPr>
      </w:pPr>
      <w:r>
        <w:rPr>
          <w:rFonts w:ascii="Times" w:hAnsi="Times"/>
          <w:sz w:val="20"/>
          <w:szCs w:val="20"/>
        </w:rPr>
        <w:t>​</w:t>
      </w:r>
    </w:p>
    <w:p w14:paraId="3C846488" w14:textId="77777777" w:rsidR="00000000" w:rsidRDefault="00097612">
      <w:pPr>
        <w:pStyle w:val="a3"/>
        <w:spacing w:before="0" w:beforeAutospacing="0" w:after="0" w:afterAutospacing="0"/>
        <w:ind w:firstLine="720"/>
        <w:divId w:val="467822956"/>
        <w:rPr>
          <w:rFonts w:ascii="Times" w:hAnsi="Times"/>
          <w:sz w:val="20"/>
          <w:szCs w:val="20"/>
        </w:rPr>
      </w:pPr>
      <w:r>
        <w:rPr>
          <w:rFonts w:ascii="Times" w:hAnsi="Times"/>
          <w:sz w:val="20"/>
          <w:szCs w:val="20"/>
        </w:rPr>
        <w:t>The following are some of the factors that may have a significant effect on the market price of our ordinary shares:</w:t>
      </w:r>
    </w:p>
    <w:p w14:paraId="3E1179F7" w14:textId="77777777" w:rsidR="00000000" w:rsidRDefault="00097612">
      <w:pPr>
        <w:pStyle w:val="a3"/>
        <w:spacing w:before="0" w:beforeAutospacing="0" w:after="0" w:afterAutospacing="0"/>
        <w:ind w:firstLine="720"/>
        <w:divId w:val="467822956"/>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23DAD55" w14:textId="77777777">
        <w:trPr>
          <w:divId w:val="467822956"/>
        </w:trPr>
        <w:tc>
          <w:tcPr>
            <w:tcW w:w="720" w:type="dxa"/>
            <w:vAlign w:val="center"/>
            <w:hideMark/>
          </w:tcPr>
          <w:p w14:paraId="3F80DA4A"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4D430F64"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0B2463F"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lower than expected sales of YUPELRI;</w:t>
            </w:r>
          </w:p>
        </w:tc>
      </w:tr>
    </w:tbl>
    <w:p w14:paraId="432F9CE6" w14:textId="77777777" w:rsidR="00000000" w:rsidRDefault="00097612">
      <w:pPr>
        <w:divId w:val="46782295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67577D4" w14:textId="77777777">
        <w:trPr>
          <w:divId w:val="467822956"/>
        </w:trPr>
        <w:tc>
          <w:tcPr>
            <w:tcW w:w="720" w:type="dxa"/>
            <w:vAlign w:val="center"/>
            <w:hideMark/>
          </w:tcPr>
          <w:p w14:paraId="14A309AF" w14:textId="77777777" w:rsidR="00000000" w:rsidRDefault="00097612">
            <w:pPr>
              <w:rPr>
                <w:rFonts w:eastAsia="Times New Roman"/>
              </w:rPr>
            </w:pPr>
          </w:p>
        </w:tc>
        <w:tc>
          <w:tcPr>
            <w:tcW w:w="360" w:type="dxa"/>
            <w:noWrap/>
            <w:tcMar>
              <w:top w:w="0" w:type="dxa"/>
              <w:left w:w="0" w:type="dxa"/>
              <w:bottom w:w="0" w:type="dxa"/>
              <w:right w:w="0" w:type="dxa"/>
            </w:tcMar>
            <w:hideMark/>
          </w:tcPr>
          <w:p w14:paraId="4DB74827"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B57E83F" w14:textId="77777777" w:rsidR="00000000" w:rsidRDefault="00097612">
            <w:pPr>
              <w:rPr>
                <w:rFonts w:eastAsia="Times New Roman"/>
                <w:sz w:val="20"/>
                <w:szCs w:val="20"/>
              </w:rPr>
            </w:pPr>
            <w:r>
              <w:rPr>
                <w:rFonts w:ascii="Times" w:eastAsia="Times New Roman" w:hAnsi="Times"/>
                <w:color w:val="000000"/>
                <w:sz w:val="20"/>
                <w:szCs w:val="20"/>
              </w:rPr>
              <w:t>any adverse developments or results or perceived</w:t>
            </w:r>
            <w:r>
              <w:rPr>
                <w:rFonts w:ascii="Times" w:eastAsia="Times New Roman" w:hAnsi="Times"/>
                <w:color w:val="000000"/>
                <w:sz w:val="20"/>
                <w:szCs w:val="20"/>
              </w:rPr>
              <w:t xml:space="preserve"> adverse developments or results with respect to the GSK Partnered Respiratory Programs including, without limitation, lower than expected sales of TRELEGY ELLIPTA, difficulties or delays encountered with regard to the FDA or other regulatory authorities i</w:t>
            </w:r>
            <w:r>
              <w:rPr>
                <w:rFonts w:ascii="Times" w:eastAsia="Times New Roman" w:hAnsi="Times"/>
                <w:color w:val="000000"/>
                <w:sz w:val="20"/>
                <w:szCs w:val="20"/>
              </w:rPr>
              <w:t>n these programs or any indication from clinical or non-clinical studies that the compounds in such programs are not safe or efficacious;</w:t>
            </w:r>
            <w:r>
              <w:rPr>
                <w:rFonts w:ascii="Times" w:eastAsia="Times New Roman" w:hAnsi="Times"/>
                <w:color w:val="000000"/>
                <w:sz w:val="20"/>
                <w:szCs w:val="20"/>
              </w:rPr>
              <w:t xml:space="preserve"> </w:t>
            </w:r>
          </w:p>
        </w:tc>
      </w:tr>
    </w:tbl>
    <w:p w14:paraId="2382C9AC" w14:textId="77777777" w:rsidR="00000000" w:rsidRDefault="00097612">
      <w:pPr>
        <w:pStyle w:val="a3"/>
        <w:spacing w:before="0" w:beforeAutospacing="0" w:after="0" w:afterAutospacing="0"/>
        <w:ind w:left="720"/>
        <w:divId w:val="467822956"/>
        <w:rPr>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CFC6FA8" w14:textId="77777777">
        <w:trPr>
          <w:divId w:val="467822956"/>
        </w:trPr>
        <w:tc>
          <w:tcPr>
            <w:tcW w:w="720" w:type="dxa"/>
            <w:vAlign w:val="center"/>
            <w:hideMark/>
          </w:tcPr>
          <w:p w14:paraId="6B7F942A" w14:textId="77777777" w:rsidR="00000000" w:rsidRDefault="00097612">
            <w:pPr>
              <w:rPr>
                <w:sz w:val="20"/>
                <w:szCs w:val="20"/>
              </w:rPr>
            </w:pPr>
          </w:p>
        </w:tc>
        <w:tc>
          <w:tcPr>
            <w:tcW w:w="360" w:type="dxa"/>
            <w:noWrap/>
            <w:tcMar>
              <w:top w:w="0" w:type="dxa"/>
              <w:left w:w="0" w:type="dxa"/>
              <w:bottom w:w="0" w:type="dxa"/>
              <w:right w:w="0" w:type="dxa"/>
            </w:tcMar>
            <w:hideMark/>
          </w:tcPr>
          <w:p w14:paraId="1863F071"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D0BE928"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any adverse developments or results or perceived adverse developments or results with respect to our key clinical development programs, for example our JAK inhibitor program or ampreloxetine, including, without limitation, any delays in development in thes</w:t>
            </w:r>
            <w:r>
              <w:rPr>
                <w:rFonts w:ascii="Times" w:eastAsia="Times New Roman" w:hAnsi="Times"/>
                <w:color w:val="000000"/>
                <w:sz w:val="20"/>
                <w:szCs w:val="20"/>
              </w:rPr>
              <w:t>e programs, any halting of development in these programs, any difficulties or delays encountered with regard to the FDA or other regulatory authorities in these programs</w:t>
            </w:r>
            <w:r>
              <w:rPr>
                <w:rFonts w:ascii="Times" w:eastAsia="Times New Roman" w:hAnsi="Times"/>
                <w:color w:val="FF0000"/>
                <w:sz w:val="20"/>
                <w:szCs w:val="20"/>
              </w:rPr>
              <w:t xml:space="preserve"> </w:t>
            </w:r>
            <w:r>
              <w:rPr>
                <w:rFonts w:ascii="Times" w:eastAsia="Times New Roman" w:hAnsi="Times"/>
                <w:color w:val="000000"/>
                <w:sz w:val="20"/>
                <w:szCs w:val="20"/>
              </w:rPr>
              <w:t>(including any class-based risks that emerge as a FDA or other regulatory agency focus</w:t>
            </w:r>
            <w:r>
              <w:rPr>
                <w:rFonts w:ascii="Times" w:eastAsia="Times New Roman" w:hAnsi="Times"/>
                <w:color w:val="000000"/>
                <w:sz w:val="20"/>
                <w:szCs w:val="20"/>
              </w:rPr>
              <w:t>),</w:t>
            </w:r>
            <w:r>
              <w:rPr>
                <w:rFonts w:ascii="Times" w:eastAsia="Times New Roman" w:hAnsi="Times"/>
                <w:color w:val="000000"/>
                <w:sz w:val="20"/>
                <w:szCs w:val="20"/>
              </w:rPr>
              <w:t xml:space="preserve"> </w:t>
            </w:r>
            <w:r>
              <w:rPr>
                <w:rFonts w:ascii="Times" w:eastAsia="Times New Roman" w:hAnsi="Times"/>
                <w:color w:val="000000"/>
                <w:sz w:val="20"/>
                <w:szCs w:val="20"/>
              </w:rPr>
              <w:t>or any indication from clinical or non-clinical studies that the compounds in such programs are not safe or efficacious;</w:t>
            </w:r>
            <w:r>
              <w:rPr>
                <w:rFonts w:ascii="Times" w:eastAsia="Times New Roman" w:hAnsi="Times"/>
                <w:color w:val="000000"/>
                <w:sz w:val="20"/>
                <w:szCs w:val="20"/>
              </w:rPr>
              <w:t xml:space="preserve"> </w:t>
            </w:r>
          </w:p>
        </w:tc>
      </w:tr>
    </w:tbl>
    <w:p w14:paraId="5B546ED9" w14:textId="77777777" w:rsidR="00000000" w:rsidRDefault="00097612">
      <w:pPr>
        <w:divId w:val="46782295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3A5F613" w14:textId="77777777">
        <w:trPr>
          <w:divId w:val="467822956"/>
        </w:trPr>
        <w:tc>
          <w:tcPr>
            <w:tcW w:w="720" w:type="dxa"/>
            <w:vAlign w:val="center"/>
            <w:hideMark/>
          </w:tcPr>
          <w:p w14:paraId="512D6D79" w14:textId="77777777" w:rsidR="00000000" w:rsidRDefault="00097612">
            <w:pPr>
              <w:rPr>
                <w:rFonts w:eastAsia="Times New Roman"/>
              </w:rPr>
            </w:pPr>
          </w:p>
        </w:tc>
        <w:tc>
          <w:tcPr>
            <w:tcW w:w="360" w:type="dxa"/>
            <w:noWrap/>
            <w:tcMar>
              <w:top w:w="0" w:type="dxa"/>
              <w:left w:w="0" w:type="dxa"/>
              <w:bottom w:w="0" w:type="dxa"/>
              <w:right w:w="0" w:type="dxa"/>
            </w:tcMar>
            <w:hideMark/>
          </w:tcPr>
          <w:p w14:paraId="56CD9159"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74DEDBB"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any announcements of developments with, or comments by, the FDA or other regulatory authorities with respect to products we or</w:t>
            </w:r>
            <w:r>
              <w:rPr>
                <w:rFonts w:ascii="Times" w:eastAsia="Times New Roman" w:hAnsi="Times"/>
                <w:color w:val="000000"/>
                <w:sz w:val="20"/>
                <w:szCs w:val="20"/>
              </w:rPr>
              <w:t xml:space="preserve"> our partners have under development, are manufacturing or have commercialized;</w:t>
            </w:r>
            <w:r>
              <w:rPr>
                <w:rFonts w:ascii="Times" w:eastAsia="Times New Roman" w:hAnsi="Times"/>
                <w:color w:val="000000"/>
                <w:sz w:val="20"/>
                <w:szCs w:val="20"/>
              </w:rPr>
              <w:t xml:space="preserve"> </w:t>
            </w:r>
          </w:p>
        </w:tc>
      </w:tr>
    </w:tbl>
    <w:p w14:paraId="40DE1A42" w14:textId="77777777" w:rsidR="00000000" w:rsidRDefault="00097612">
      <w:pPr>
        <w:divId w:val="46782295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57FE416" w14:textId="77777777">
        <w:trPr>
          <w:divId w:val="467822956"/>
        </w:trPr>
        <w:tc>
          <w:tcPr>
            <w:tcW w:w="720" w:type="dxa"/>
            <w:vAlign w:val="center"/>
            <w:hideMark/>
          </w:tcPr>
          <w:p w14:paraId="23A22A6C" w14:textId="77777777" w:rsidR="00000000" w:rsidRDefault="00097612">
            <w:pPr>
              <w:rPr>
                <w:rFonts w:eastAsia="Times New Roman"/>
              </w:rPr>
            </w:pPr>
          </w:p>
        </w:tc>
        <w:tc>
          <w:tcPr>
            <w:tcW w:w="360" w:type="dxa"/>
            <w:noWrap/>
            <w:tcMar>
              <w:top w:w="0" w:type="dxa"/>
              <w:left w:w="0" w:type="dxa"/>
              <w:bottom w:w="0" w:type="dxa"/>
              <w:right w:w="0" w:type="dxa"/>
            </w:tcMar>
            <w:hideMark/>
          </w:tcPr>
          <w:p w14:paraId="1F423FE9"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B9A9CD8"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any adverse developments or disagreements or perceived adverse developments or disagreements with respect to our relationship with Innoviva, or the relationship of Innovi</w:t>
            </w:r>
            <w:r>
              <w:rPr>
                <w:rFonts w:ascii="Times" w:eastAsia="Times New Roman" w:hAnsi="Times"/>
                <w:color w:val="000000"/>
                <w:sz w:val="20"/>
                <w:szCs w:val="20"/>
              </w:rPr>
              <w:t>va or TRC on the one hand and GSK on the other hand, including any such developments or disagreements resulting from or relating to the TRC LLC Agreement or to the Spin-Of</w:t>
            </w:r>
            <w:r>
              <w:rPr>
                <w:rFonts w:ascii="Times" w:eastAsia="Times New Roman" w:hAnsi="Times"/>
                <w:color w:val="000000"/>
                <w:sz w:val="20"/>
                <w:szCs w:val="20"/>
              </w:rPr>
              <w:t>f</w:t>
            </w:r>
            <w:r>
              <w:rPr>
                <w:rFonts w:eastAsia="Times New Roman"/>
                <w:color w:val="000000"/>
                <w:sz w:val="20"/>
                <w:szCs w:val="20"/>
              </w:rPr>
              <w:t>. (See Part II, Item 1 “Legal Proceedings” for further information);</w:t>
            </w:r>
            <w:r>
              <w:rPr>
                <w:rFonts w:eastAsia="Times New Roman"/>
                <w:color w:val="000000"/>
                <w:sz w:val="20"/>
                <w:szCs w:val="20"/>
              </w:rPr>
              <w:t xml:space="preserve"> </w:t>
            </w:r>
          </w:p>
        </w:tc>
      </w:tr>
    </w:tbl>
    <w:p w14:paraId="165DDCC3" w14:textId="77777777" w:rsidR="00000000" w:rsidRDefault="00097612">
      <w:pPr>
        <w:pStyle w:val="a3"/>
        <w:spacing w:before="360" w:beforeAutospacing="0" w:after="0" w:afterAutospacing="0"/>
        <w:jc w:val="center"/>
        <w:divId w:val="1919056270"/>
        <w:rPr>
          <w:sz w:val="20"/>
          <w:szCs w:val="20"/>
        </w:rPr>
      </w:pPr>
      <w:r>
        <w:rPr>
          <w:sz w:val="20"/>
          <w:szCs w:val="20"/>
        </w:rPr>
        <w:t>64</w:t>
      </w:r>
    </w:p>
    <w:p w14:paraId="29EAE43B" w14:textId="77777777" w:rsidR="00000000" w:rsidRDefault="00097612">
      <w:pPr>
        <w:pStyle w:val="a3"/>
        <w:spacing w:before="0" w:beforeAutospacing="0" w:after="600" w:afterAutospacing="0"/>
        <w:divId w:val="141979193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E9D437F" w14:textId="77777777">
        <w:trPr>
          <w:divId w:val="697699666"/>
        </w:trPr>
        <w:tc>
          <w:tcPr>
            <w:tcW w:w="720" w:type="dxa"/>
            <w:vAlign w:val="center"/>
            <w:hideMark/>
          </w:tcPr>
          <w:p w14:paraId="33427889" w14:textId="77777777" w:rsidR="00000000" w:rsidRDefault="00097612">
            <w:pPr>
              <w:rPr>
                <w:sz w:val="20"/>
                <w:szCs w:val="20"/>
              </w:rPr>
            </w:pPr>
          </w:p>
        </w:tc>
        <w:tc>
          <w:tcPr>
            <w:tcW w:w="360" w:type="dxa"/>
            <w:noWrap/>
            <w:tcMar>
              <w:top w:w="0" w:type="dxa"/>
              <w:left w:w="0" w:type="dxa"/>
              <w:bottom w:w="0" w:type="dxa"/>
              <w:right w:w="0" w:type="dxa"/>
            </w:tcMar>
            <w:hideMark/>
          </w:tcPr>
          <w:p w14:paraId="1816F617"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3EB8D6C" w14:textId="77777777" w:rsidR="00000000" w:rsidRDefault="00097612">
            <w:pPr>
              <w:rPr>
                <w:rFonts w:ascii="Times" w:eastAsia="Times New Roman" w:hAnsi="Times"/>
                <w:sz w:val="20"/>
                <w:szCs w:val="20"/>
              </w:rPr>
            </w:pPr>
            <w:r>
              <w:rPr>
                <w:rFonts w:ascii="Times" w:eastAsia="Times New Roman" w:hAnsi="Times"/>
                <w:color w:val="000000"/>
                <w:sz w:val="20"/>
                <w:szCs w:val="20"/>
              </w:rPr>
              <w:t>any adverse developments or perceived adverse developments with respect to our relationship with any of our research, development or commercialization partners, including, without limitation, disagreements that may aris</w:t>
            </w:r>
            <w:r>
              <w:rPr>
                <w:rFonts w:ascii="Times" w:eastAsia="Times New Roman" w:hAnsi="Times"/>
                <w:color w:val="000000"/>
                <w:sz w:val="20"/>
                <w:szCs w:val="20"/>
              </w:rPr>
              <w:t>e between us and any of those partners;</w:t>
            </w:r>
            <w:r>
              <w:rPr>
                <w:rFonts w:ascii="Times" w:eastAsia="Times New Roman" w:hAnsi="Times"/>
                <w:color w:val="000000"/>
                <w:sz w:val="20"/>
                <w:szCs w:val="20"/>
              </w:rPr>
              <w:t xml:space="preserve"> </w:t>
            </w:r>
          </w:p>
        </w:tc>
      </w:tr>
    </w:tbl>
    <w:p w14:paraId="3233421E"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CFBEBB0" w14:textId="77777777">
        <w:trPr>
          <w:divId w:val="697699666"/>
        </w:trPr>
        <w:tc>
          <w:tcPr>
            <w:tcW w:w="720" w:type="dxa"/>
            <w:vAlign w:val="center"/>
            <w:hideMark/>
          </w:tcPr>
          <w:p w14:paraId="737C50B6" w14:textId="77777777" w:rsidR="00000000" w:rsidRDefault="00097612">
            <w:pPr>
              <w:rPr>
                <w:rFonts w:eastAsia="Times New Roman"/>
              </w:rPr>
            </w:pPr>
          </w:p>
        </w:tc>
        <w:tc>
          <w:tcPr>
            <w:tcW w:w="360" w:type="dxa"/>
            <w:noWrap/>
            <w:tcMar>
              <w:top w:w="0" w:type="dxa"/>
              <w:left w:w="0" w:type="dxa"/>
              <w:bottom w:w="0" w:type="dxa"/>
              <w:right w:w="0" w:type="dxa"/>
            </w:tcMar>
            <w:hideMark/>
          </w:tcPr>
          <w:p w14:paraId="033151D4"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61CE14C"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any adverse developments or perceived adverse developments in our programs with respect to partnering efforts or otherwise;</w:t>
            </w:r>
            <w:r>
              <w:rPr>
                <w:rFonts w:ascii="Times" w:eastAsia="Times New Roman" w:hAnsi="Times"/>
                <w:color w:val="000000"/>
                <w:sz w:val="20"/>
                <w:szCs w:val="20"/>
              </w:rPr>
              <w:t xml:space="preserve"> </w:t>
            </w:r>
          </w:p>
        </w:tc>
      </w:tr>
    </w:tbl>
    <w:p w14:paraId="178DAFEF"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7EA0F2E" w14:textId="77777777">
        <w:trPr>
          <w:divId w:val="697699666"/>
        </w:trPr>
        <w:tc>
          <w:tcPr>
            <w:tcW w:w="720" w:type="dxa"/>
            <w:vAlign w:val="center"/>
            <w:hideMark/>
          </w:tcPr>
          <w:p w14:paraId="31A31401" w14:textId="77777777" w:rsidR="00000000" w:rsidRDefault="00097612">
            <w:pPr>
              <w:rPr>
                <w:rFonts w:eastAsia="Times New Roman"/>
              </w:rPr>
            </w:pPr>
          </w:p>
        </w:tc>
        <w:tc>
          <w:tcPr>
            <w:tcW w:w="360" w:type="dxa"/>
            <w:noWrap/>
            <w:tcMar>
              <w:top w:w="0" w:type="dxa"/>
              <w:left w:w="0" w:type="dxa"/>
              <w:bottom w:w="0" w:type="dxa"/>
              <w:right w:w="0" w:type="dxa"/>
            </w:tcMar>
            <w:hideMark/>
          </w:tcPr>
          <w:p w14:paraId="58433C55"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66E7E25"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announcements of patent issuances or denials, technological innovations or new commercial products by us or our competitors;</w:t>
            </w:r>
            <w:r>
              <w:rPr>
                <w:rFonts w:ascii="Times" w:eastAsia="Times New Roman" w:hAnsi="Times"/>
                <w:color w:val="000000"/>
                <w:sz w:val="20"/>
                <w:szCs w:val="20"/>
              </w:rPr>
              <w:t xml:space="preserve"> </w:t>
            </w:r>
          </w:p>
        </w:tc>
      </w:tr>
    </w:tbl>
    <w:p w14:paraId="69554B53"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15F34F4" w14:textId="77777777">
        <w:trPr>
          <w:divId w:val="697699666"/>
        </w:trPr>
        <w:tc>
          <w:tcPr>
            <w:tcW w:w="720" w:type="dxa"/>
            <w:vAlign w:val="center"/>
            <w:hideMark/>
          </w:tcPr>
          <w:p w14:paraId="0837937C" w14:textId="77777777" w:rsidR="00000000" w:rsidRDefault="00097612">
            <w:pPr>
              <w:rPr>
                <w:rFonts w:eastAsia="Times New Roman"/>
              </w:rPr>
            </w:pPr>
          </w:p>
        </w:tc>
        <w:tc>
          <w:tcPr>
            <w:tcW w:w="360" w:type="dxa"/>
            <w:noWrap/>
            <w:tcMar>
              <w:top w:w="0" w:type="dxa"/>
              <w:left w:w="0" w:type="dxa"/>
              <w:bottom w:w="0" w:type="dxa"/>
              <w:right w:w="0" w:type="dxa"/>
            </w:tcMar>
            <w:hideMark/>
          </w:tcPr>
          <w:p w14:paraId="5721B7D7"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3968AFF"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publicity regarding actual or potential study results or the outcome of regulatory review relating to products under development by us, our partners or our competitors;</w:t>
            </w:r>
            <w:r>
              <w:rPr>
                <w:rFonts w:ascii="Times" w:eastAsia="Times New Roman" w:hAnsi="Times"/>
                <w:color w:val="000000"/>
                <w:sz w:val="20"/>
                <w:szCs w:val="20"/>
              </w:rPr>
              <w:t xml:space="preserve"> </w:t>
            </w:r>
          </w:p>
        </w:tc>
      </w:tr>
    </w:tbl>
    <w:p w14:paraId="3C7F1FBA"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1C4F0F4" w14:textId="77777777">
        <w:trPr>
          <w:divId w:val="697699666"/>
        </w:trPr>
        <w:tc>
          <w:tcPr>
            <w:tcW w:w="720" w:type="dxa"/>
            <w:vAlign w:val="center"/>
            <w:hideMark/>
          </w:tcPr>
          <w:p w14:paraId="73F0E70E" w14:textId="77777777" w:rsidR="00000000" w:rsidRDefault="00097612">
            <w:pPr>
              <w:rPr>
                <w:rFonts w:eastAsia="Times New Roman"/>
              </w:rPr>
            </w:pPr>
          </w:p>
        </w:tc>
        <w:tc>
          <w:tcPr>
            <w:tcW w:w="360" w:type="dxa"/>
            <w:noWrap/>
            <w:tcMar>
              <w:top w:w="0" w:type="dxa"/>
              <w:left w:w="0" w:type="dxa"/>
              <w:bottom w:w="0" w:type="dxa"/>
              <w:right w:w="0" w:type="dxa"/>
            </w:tcMar>
            <w:hideMark/>
          </w:tcPr>
          <w:p w14:paraId="7BDCEA23"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50F29D6"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regulatory developments in the US and foreign countries;</w:t>
            </w:r>
            <w:r>
              <w:rPr>
                <w:rFonts w:ascii="Times" w:eastAsia="Times New Roman" w:hAnsi="Times"/>
                <w:color w:val="000000"/>
                <w:sz w:val="20"/>
                <w:szCs w:val="20"/>
              </w:rPr>
              <w:t xml:space="preserve"> </w:t>
            </w:r>
          </w:p>
        </w:tc>
      </w:tr>
    </w:tbl>
    <w:p w14:paraId="4B5C7DEE"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0956288" w14:textId="77777777">
        <w:trPr>
          <w:divId w:val="697699666"/>
        </w:trPr>
        <w:tc>
          <w:tcPr>
            <w:tcW w:w="720" w:type="dxa"/>
            <w:vAlign w:val="center"/>
            <w:hideMark/>
          </w:tcPr>
          <w:p w14:paraId="365803A1" w14:textId="77777777" w:rsidR="00000000" w:rsidRDefault="00097612">
            <w:pPr>
              <w:rPr>
                <w:rFonts w:eastAsia="Times New Roman"/>
              </w:rPr>
            </w:pPr>
          </w:p>
        </w:tc>
        <w:tc>
          <w:tcPr>
            <w:tcW w:w="360" w:type="dxa"/>
            <w:noWrap/>
            <w:tcMar>
              <w:top w:w="0" w:type="dxa"/>
              <w:left w:w="0" w:type="dxa"/>
              <w:bottom w:w="0" w:type="dxa"/>
              <w:right w:w="0" w:type="dxa"/>
            </w:tcMar>
            <w:hideMark/>
          </w:tcPr>
          <w:p w14:paraId="69900E1A"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679FABF"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announcements</w:t>
            </w:r>
            <w:r>
              <w:rPr>
                <w:rFonts w:ascii="Times" w:eastAsia="Times New Roman" w:hAnsi="Times"/>
                <w:color w:val="000000"/>
                <w:sz w:val="20"/>
                <w:szCs w:val="20"/>
              </w:rPr>
              <w:t xml:space="preserve"> with respect to governmental or private insurer reimbursement policies;</w:t>
            </w:r>
            <w:r>
              <w:rPr>
                <w:rFonts w:ascii="Times" w:eastAsia="Times New Roman" w:hAnsi="Times"/>
                <w:color w:val="000000"/>
                <w:sz w:val="20"/>
                <w:szCs w:val="20"/>
              </w:rPr>
              <w:t xml:space="preserve"> </w:t>
            </w:r>
          </w:p>
        </w:tc>
      </w:tr>
    </w:tbl>
    <w:p w14:paraId="1DF1B986"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A78799A" w14:textId="77777777">
        <w:trPr>
          <w:divId w:val="697699666"/>
        </w:trPr>
        <w:tc>
          <w:tcPr>
            <w:tcW w:w="720" w:type="dxa"/>
            <w:vAlign w:val="center"/>
            <w:hideMark/>
          </w:tcPr>
          <w:p w14:paraId="5D671368" w14:textId="77777777" w:rsidR="00000000" w:rsidRDefault="00097612">
            <w:pPr>
              <w:rPr>
                <w:rFonts w:eastAsia="Times New Roman"/>
              </w:rPr>
            </w:pPr>
          </w:p>
        </w:tc>
        <w:tc>
          <w:tcPr>
            <w:tcW w:w="360" w:type="dxa"/>
            <w:noWrap/>
            <w:tcMar>
              <w:top w:w="0" w:type="dxa"/>
              <w:left w:w="0" w:type="dxa"/>
              <w:bottom w:w="0" w:type="dxa"/>
              <w:right w:w="0" w:type="dxa"/>
            </w:tcMar>
            <w:hideMark/>
          </w:tcPr>
          <w:p w14:paraId="566072CB"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D20B2CE"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announcements of equity or debt financings;</w:t>
            </w:r>
            <w:r>
              <w:rPr>
                <w:rFonts w:ascii="Times" w:eastAsia="Times New Roman" w:hAnsi="Times"/>
                <w:color w:val="000000"/>
                <w:sz w:val="20"/>
                <w:szCs w:val="20"/>
              </w:rPr>
              <w:t xml:space="preserve"> </w:t>
            </w:r>
          </w:p>
        </w:tc>
      </w:tr>
    </w:tbl>
    <w:p w14:paraId="7ADDF0F1"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E5EBE6E" w14:textId="77777777">
        <w:trPr>
          <w:divId w:val="697699666"/>
        </w:trPr>
        <w:tc>
          <w:tcPr>
            <w:tcW w:w="720" w:type="dxa"/>
            <w:vAlign w:val="center"/>
            <w:hideMark/>
          </w:tcPr>
          <w:p w14:paraId="2F715240" w14:textId="77777777" w:rsidR="00000000" w:rsidRDefault="00097612">
            <w:pPr>
              <w:rPr>
                <w:rFonts w:eastAsia="Times New Roman"/>
              </w:rPr>
            </w:pPr>
          </w:p>
        </w:tc>
        <w:tc>
          <w:tcPr>
            <w:tcW w:w="360" w:type="dxa"/>
            <w:noWrap/>
            <w:tcMar>
              <w:top w:w="0" w:type="dxa"/>
              <w:left w:w="0" w:type="dxa"/>
              <w:bottom w:w="0" w:type="dxa"/>
              <w:right w:w="0" w:type="dxa"/>
            </w:tcMar>
            <w:hideMark/>
          </w:tcPr>
          <w:p w14:paraId="296D2F1A"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CB4C7B8"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possible impairment charges on non-marketable equity securities;</w:t>
            </w:r>
            <w:r>
              <w:rPr>
                <w:rFonts w:ascii="Times" w:eastAsia="Times New Roman" w:hAnsi="Times"/>
                <w:color w:val="000000"/>
                <w:sz w:val="20"/>
                <w:szCs w:val="20"/>
              </w:rPr>
              <w:t xml:space="preserve"> </w:t>
            </w:r>
          </w:p>
        </w:tc>
      </w:tr>
    </w:tbl>
    <w:p w14:paraId="33BC3A9C"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5D60B99" w14:textId="77777777">
        <w:trPr>
          <w:divId w:val="697699666"/>
        </w:trPr>
        <w:tc>
          <w:tcPr>
            <w:tcW w:w="720" w:type="dxa"/>
            <w:vAlign w:val="center"/>
            <w:hideMark/>
          </w:tcPr>
          <w:p w14:paraId="5721326F" w14:textId="77777777" w:rsidR="00000000" w:rsidRDefault="00097612">
            <w:pPr>
              <w:rPr>
                <w:rFonts w:eastAsia="Times New Roman"/>
              </w:rPr>
            </w:pPr>
          </w:p>
        </w:tc>
        <w:tc>
          <w:tcPr>
            <w:tcW w:w="360" w:type="dxa"/>
            <w:noWrap/>
            <w:tcMar>
              <w:top w:w="0" w:type="dxa"/>
              <w:left w:w="0" w:type="dxa"/>
              <w:bottom w:w="0" w:type="dxa"/>
              <w:right w:w="0" w:type="dxa"/>
            </w:tcMar>
            <w:hideMark/>
          </w:tcPr>
          <w:p w14:paraId="2F98BC45"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17B64C8"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economic and other external factors beyond our control, such as fluctuations in interest rates;</w:t>
            </w:r>
            <w:r>
              <w:rPr>
                <w:rFonts w:ascii="Times" w:eastAsia="Times New Roman" w:hAnsi="Times"/>
                <w:color w:val="000000"/>
                <w:sz w:val="20"/>
                <w:szCs w:val="20"/>
              </w:rPr>
              <w:t xml:space="preserve"> </w:t>
            </w:r>
          </w:p>
        </w:tc>
      </w:tr>
    </w:tbl>
    <w:p w14:paraId="3F87B63D"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ACD092B" w14:textId="77777777">
        <w:trPr>
          <w:divId w:val="697699666"/>
        </w:trPr>
        <w:tc>
          <w:tcPr>
            <w:tcW w:w="720" w:type="dxa"/>
            <w:vAlign w:val="center"/>
            <w:hideMark/>
          </w:tcPr>
          <w:p w14:paraId="54670AD7" w14:textId="77777777" w:rsidR="00000000" w:rsidRDefault="00097612">
            <w:pPr>
              <w:rPr>
                <w:rFonts w:eastAsia="Times New Roman"/>
              </w:rPr>
            </w:pPr>
          </w:p>
        </w:tc>
        <w:tc>
          <w:tcPr>
            <w:tcW w:w="360" w:type="dxa"/>
            <w:noWrap/>
            <w:tcMar>
              <w:top w:w="0" w:type="dxa"/>
              <w:left w:w="0" w:type="dxa"/>
              <w:bottom w:w="0" w:type="dxa"/>
              <w:right w:w="0" w:type="dxa"/>
            </w:tcMar>
            <w:hideMark/>
          </w:tcPr>
          <w:p w14:paraId="1017BB4A"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978CFE9"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loss of key personnel;</w:t>
            </w:r>
            <w:r>
              <w:rPr>
                <w:rFonts w:ascii="Times" w:eastAsia="Times New Roman" w:hAnsi="Times"/>
                <w:color w:val="000000"/>
                <w:sz w:val="20"/>
                <w:szCs w:val="20"/>
              </w:rPr>
              <w:t xml:space="preserve"> </w:t>
            </w:r>
          </w:p>
        </w:tc>
      </w:tr>
    </w:tbl>
    <w:p w14:paraId="16E58347"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A0D87F5" w14:textId="77777777">
        <w:trPr>
          <w:divId w:val="697699666"/>
        </w:trPr>
        <w:tc>
          <w:tcPr>
            <w:tcW w:w="720" w:type="dxa"/>
            <w:vAlign w:val="center"/>
            <w:hideMark/>
          </w:tcPr>
          <w:p w14:paraId="7DE9E74C" w14:textId="77777777" w:rsidR="00000000" w:rsidRDefault="00097612">
            <w:pPr>
              <w:rPr>
                <w:rFonts w:eastAsia="Times New Roman"/>
              </w:rPr>
            </w:pPr>
          </w:p>
        </w:tc>
        <w:tc>
          <w:tcPr>
            <w:tcW w:w="360" w:type="dxa"/>
            <w:noWrap/>
            <w:tcMar>
              <w:top w:w="0" w:type="dxa"/>
              <w:left w:w="0" w:type="dxa"/>
              <w:bottom w:w="0" w:type="dxa"/>
              <w:right w:w="0" w:type="dxa"/>
            </w:tcMar>
            <w:hideMark/>
          </w:tcPr>
          <w:p w14:paraId="115B4AC5"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6501A4A"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likelihood of our ordinary shares to be more sensitive</w:t>
            </w:r>
            <w:r>
              <w:rPr>
                <w:rFonts w:ascii="Times" w:eastAsia="Times New Roman" w:hAnsi="Times"/>
                <w:color w:val="000000"/>
                <w:sz w:val="20"/>
                <w:szCs w:val="20"/>
              </w:rPr>
              <w:t xml:space="preserve"> to changes in sales volume, market fluctuations and events or perceived events with respect to our business due to our small public float;</w:t>
            </w:r>
            <w:r>
              <w:rPr>
                <w:rFonts w:ascii="Times" w:eastAsia="Times New Roman" w:hAnsi="Times"/>
                <w:color w:val="000000"/>
                <w:sz w:val="20"/>
                <w:szCs w:val="20"/>
              </w:rPr>
              <w:t xml:space="preserve"> </w:t>
            </w:r>
          </w:p>
        </w:tc>
      </w:tr>
    </w:tbl>
    <w:p w14:paraId="7425C49A"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318D4DE" w14:textId="77777777">
        <w:trPr>
          <w:divId w:val="697699666"/>
        </w:trPr>
        <w:tc>
          <w:tcPr>
            <w:tcW w:w="720" w:type="dxa"/>
            <w:vAlign w:val="center"/>
            <w:hideMark/>
          </w:tcPr>
          <w:p w14:paraId="67F438DC" w14:textId="77777777" w:rsidR="00000000" w:rsidRDefault="00097612">
            <w:pPr>
              <w:rPr>
                <w:rFonts w:eastAsia="Times New Roman"/>
              </w:rPr>
            </w:pPr>
          </w:p>
        </w:tc>
        <w:tc>
          <w:tcPr>
            <w:tcW w:w="360" w:type="dxa"/>
            <w:noWrap/>
            <w:tcMar>
              <w:top w:w="0" w:type="dxa"/>
              <w:left w:w="0" w:type="dxa"/>
              <w:bottom w:w="0" w:type="dxa"/>
              <w:right w:w="0" w:type="dxa"/>
            </w:tcMar>
            <w:hideMark/>
          </w:tcPr>
          <w:p w14:paraId="1F3645F0"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025BEE4"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low public market trading volumes for our ordinary shares related in part to the concentration of ownership of our shares;</w:t>
            </w:r>
            <w:r>
              <w:rPr>
                <w:rFonts w:ascii="Times" w:eastAsia="Times New Roman" w:hAnsi="Times"/>
                <w:color w:val="000000"/>
                <w:sz w:val="20"/>
                <w:szCs w:val="20"/>
              </w:rPr>
              <w:t xml:space="preserve"> </w:t>
            </w:r>
          </w:p>
        </w:tc>
      </w:tr>
    </w:tbl>
    <w:p w14:paraId="2AAB30A7"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506E96B" w14:textId="77777777">
        <w:trPr>
          <w:divId w:val="697699666"/>
        </w:trPr>
        <w:tc>
          <w:tcPr>
            <w:tcW w:w="720" w:type="dxa"/>
            <w:vAlign w:val="center"/>
            <w:hideMark/>
          </w:tcPr>
          <w:p w14:paraId="04763D08" w14:textId="77777777" w:rsidR="00000000" w:rsidRDefault="00097612">
            <w:pPr>
              <w:rPr>
                <w:rFonts w:eastAsia="Times New Roman"/>
              </w:rPr>
            </w:pPr>
          </w:p>
        </w:tc>
        <w:tc>
          <w:tcPr>
            <w:tcW w:w="360" w:type="dxa"/>
            <w:noWrap/>
            <w:tcMar>
              <w:top w:w="0" w:type="dxa"/>
              <w:left w:w="0" w:type="dxa"/>
              <w:bottom w:w="0" w:type="dxa"/>
              <w:right w:w="0" w:type="dxa"/>
            </w:tcMar>
            <w:hideMark/>
          </w:tcPr>
          <w:p w14:paraId="470FFE86"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BA4315F"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sale of large concentrations of our shares;</w:t>
            </w:r>
            <w:r>
              <w:rPr>
                <w:rFonts w:ascii="Times" w:eastAsia="Times New Roman" w:hAnsi="Times"/>
                <w:color w:val="000000"/>
                <w:sz w:val="20"/>
                <w:szCs w:val="20"/>
              </w:rPr>
              <w:t xml:space="preserve"> </w:t>
            </w:r>
          </w:p>
        </w:tc>
      </w:tr>
    </w:tbl>
    <w:p w14:paraId="25359AE5"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08602F4" w14:textId="77777777">
        <w:trPr>
          <w:divId w:val="697699666"/>
        </w:trPr>
        <w:tc>
          <w:tcPr>
            <w:tcW w:w="720" w:type="dxa"/>
            <w:vAlign w:val="center"/>
            <w:hideMark/>
          </w:tcPr>
          <w:p w14:paraId="148401C2" w14:textId="77777777" w:rsidR="00000000" w:rsidRDefault="00097612">
            <w:pPr>
              <w:rPr>
                <w:rFonts w:eastAsia="Times New Roman"/>
              </w:rPr>
            </w:pPr>
          </w:p>
        </w:tc>
        <w:tc>
          <w:tcPr>
            <w:tcW w:w="360" w:type="dxa"/>
            <w:noWrap/>
            <w:tcMar>
              <w:top w:w="0" w:type="dxa"/>
              <w:left w:w="0" w:type="dxa"/>
              <w:bottom w:w="0" w:type="dxa"/>
              <w:right w:w="0" w:type="dxa"/>
            </w:tcMar>
            <w:hideMark/>
          </w:tcPr>
          <w:p w14:paraId="27443CA8"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FD7AFF3"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developments or disputes as to patent or other proprietary rights;</w:t>
            </w:r>
            <w:r>
              <w:rPr>
                <w:rFonts w:ascii="Times" w:eastAsia="Times New Roman" w:hAnsi="Times"/>
                <w:color w:val="000000"/>
                <w:sz w:val="20"/>
                <w:szCs w:val="20"/>
              </w:rPr>
              <w:t xml:space="preserve"> </w:t>
            </w:r>
          </w:p>
        </w:tc>
      </w:tr>
    </w:tbl>
    <w:p w14:paraId="002BFFEB"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B78EF37" w14:textId="77777777">
        <w:trPr>
          <w:divId w:val="697699666"/>
        </w:trPr>
        <w:tc>
          <w:tcPr>
            <w:tcW w:w="720" w:type="dxa"/>
            <w:vAlign w:val="center"/>
            <w:hideMark/>
          </w:tcPr>
          <w:p w14:paraId="33059378" w14:textId="77777777" w:rsidR="00000000" w:rsidRDefault="00097612">
            <w:pPr>
              <w:rPr>
                <w:rFonts w:eastAsia="Times New Roman"/>
              </w:rPr>
            </w:pPr>
          </w:p>
        </w:tc>
        <w:tc>
          <w:tcPr>
            <w:tcW w:w="360" w:type="dxa"/>
            <w:noWrap/>
            <w:tcMar>
              <w:top w:w="0" w:type="dxa"/>
              <w:left w:w="0" w:type="dxa"/>
              <w:bottom w:w="0" w:type="dxa"/>
              <w:right w:w="0" w:type="dxa"/>
            </w:tcMar>
            <w:hideMark/>
          </w:tcPr>
          <w:p w14:paraId="77F725CE"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F723570"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approval or introduction of competing products and technologies;</w:t>
            </w:r>
            <w:r>
              <w:rPr>
                <w:rFonts w:ascii="Times" w:eastAsia="Times New Roman" w:hAnsi="Times"/>
                <w:color w:val="000000"/>
                <w:sz w:val="20"/>
                <w:szCs w:val="20"/>
              </w:rPr>
              <w:t xml:space="preserve"> </w:t>
            </w:r>
          </w:p>
        </w:tc>
      </w:tr>
    </w:tbl>
    <w:p w14:paraId="297DEF8B"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E708264" w14:textId="77777777">
        <w:trPr>
          <w:divId w:val="697699666"/>
        </w:trPr>
        <w:tc>
          <w:tcPr>
            <w:tcW w:w="720" w:type="dxa"/>
            <w:vAlign w:val="center"/>
            <w:hideMark/>
          </w:tcPr>
          <w:p w14:paraId="5F5B63D0" w14:textId="77777777" w:rsidR="00000000" w:rsidRDefault="00097612">
            <w:pPr>
              <w:rPr>
                <w:rFonts w:eastAsia="Times New Roman"/>
              </w:rPr>
            </w:pPr>
          </w:p>
        </w:tc>
        <w:tc>
          <w:tcPr>
            <w:tcW w:w="360" w:type="dxa"/>
            <w:noWrap/>
            <w:tcMar>
              <w:top w:w="0" w:type="dxa"/>
              <w:left w:w="0" w:type="dxa"/>
              <w:bottom w:w="0" w:type="dxa"/>
              <w:right w:w="0" w:type="dxa"/>
            </w:tcMar>
            <w:hideMark/>
          </w:tcPr>
          <w:p w14:paraId="501104DE"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7F49E7A"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results of clinical trials;</w:t>
            </w:r>
            <w:r>
              <w:rPr>
                <w:rFonts w:ascii="Times" w:eastAsia="Times New Roman" w:hAnsi="Times"/>
                <w:color w:val="000000"/>
                <w:sz w:val="20"/>
                <w:szCs w:val="20"/>
              </w:rPr>
              <w:t xml:space="preserve"> </w:t>
            </w:r>
          </w:p>
        </w:tc>
      </w:tr>
    </w:tbl>
    <w:p w14:paraId="7D470885"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DA3FF2A" w14:textId="77777777">
        <w:trPr>
          <w:divId w:val="697699666"/>
        </w:trPr>
        <w:tc>
          <w:tcPr>
            <w:tcW w:w="720" w:type="dxa"/>
            <w:vAlign w:val="center"/>
            <w:hideMark/>
          </w:tcPr>
          <w:p w14:paraId="291EE07C" w14:textId="77777777" w:rsidR="00000000" w:rsidRDefault="00097612">
            <w:pPr>
              <w:rPr>
                <w:rFonts w:eastAsia="Times New Roman"/>
              </w:rPr>
            </w:pPr>
          </w:p>
        </w:tc>
        <w:tc>
          <w:tcPr>
            <w:tcW w:w="360" w:type="dxa"/>
            <w:noWrap/>
            <w:tcMar>
              <w:top w:w="0" w:type="dxa"/>
              <w:left w:w="0" w:type="dxa"/>
              <w:bottom w:w="0" w:type="dxa"/>
              <w:right w:w="0" w:type="dxa"/>
            </w:tcMar>
            <w:hideMark/>
          </w:tcPr>
          <w:p w14:paraId="2096CCCA"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43B2FC2"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failures or unexpected delays in timelines for our potential products in development, including the obtaining of regulatory approvals;</w:t>
            </w:r>
            <w:r>
              <w:rPr>
                <w:rFonts w:ascii="Times" w:eastAsia="Times New Roman" w:hAnsi="Times"/>
                <w:color w:val="000000"/>
                <w:sz w:val="20"/>
                <w:szCs w:val="20"/>
              </w:rPr>
              <w:t xml:space="preserve"> </w:t>
            </w:r>
          </w:p>
        </w:tc>
      </w:tr>
    </w:tbl>
    <w:p w14:paraId="1780D85C"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6F0492F" w14:textId="77777777">
        <w:trPr>
          <w:divId w:val="697699666"/>
        </w:trPr>
        <w:tc>
          <w:tcPr>
            <w:tcW w:w="720" w:type="dxa"/>
            <w:vAlign w:val="center"/>
            <w:hideMark/>
          </w:tcPr>
          <w:p w14:paraId="44F8FCB1" w14:textId="77777777" w:rsidR="00000000" w:rsidRDefault="00097612">
            <w:pPr>
              <w:rPr>
                <w:rFonts w:eastAsia="Times New Roman"/>
              </w:rPr>
            </w:pPr>
          </w:p>
        </w:tc>
        <w:tc>
          <w:tcPr>
            <w:tcW w:w="360" w:type="dxa"/>
            <w:noWrap/>
            <w:tcMar>
              <w:top w:w="0" w:type="dxa"/>
              <w:left w:w="0" w:type="dxa"/>
              <w:bottom w:w="0" w:type="dxa"/>
              <w:right w:w="0" w:type="dxa"/>
            </w:tcMar>
            <w:hideMark/>
          </w:tcPr>
          <w:p w14:paraId="1F02DFC7"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C4FA817"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delays in manufacturing adversely affecting clinical or commercial operations;</w:t>
            </w:r>
            <w:r>
              <w:rPr>
                <w:rFonts w:ascii="Times" w:eastAsia="Times New Roman" w:hAnsi="Times"/>
                <w:color w:val="000000"/>
                <w:sz w:val="20"/>
                <w:szCs w:val="20"/>
              </w:rPr>
              <w:t xml:space="preserve"> </w:t>
            </w:r>
          </w:p>
        </w:tc>
      </w:tr>
    </w:tbl>
    <w:p w14:paraId="6B3446D8"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D7F07D5" w14:textId="77777777">
        <w:trPr>
          <w:divId w:val="697699666"/>
        </w:trPr>
        <w:tc>
          <w:tcPr>
            <w:tcW w:w="720" w:type="dxa"/>
            <w:vAlign w:val="center"/>
            <w:hideMark/>
          </w:tcPr>
          <w:p w14:paraId="4F8EC434" w14:textId="77777777" w:rsidR="00000000" w:rsidRDefault="00097612">
            <w:pPr>
              <w:rPr>
                <w:rFonts w:eastAsia="Times New Roman"/>
              </w:rPr>
            </w:pPr>
          </w:p>
        </w:tc>
        <w:tc>
          <w:tcPr>
            <w:tcW w:w="360" w:type="dxa"/>
            <w:noWrap/>
            <w:tcMar>
              <w:top w:w="0" w:type="dxa"/>
              <w:left w:w="0" w:type="dxa"/>
              <w:bottom w:w="0" w:type="dxa"/>
              <w:right w:w="0" w:type="dxa"/>
            </w:tcMar>
            <w:hideMark/>
          </w:tcPr>
          <w:p w14:paraId="3309E2EC"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D533E05"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 xml:space="preserve">fluctuations in our operating </w:t>
            </w:r>
            <w:r>
              <w:rPr>
                <w:rFonts w:ascii="Times" w:eastAsia="Times New Roman" w:hAnsi="Times"/>
                <w:color w:val="000000"/>
                <w:sz w:val="20"/>
                <w:szCs w:val="20"/>
              </w:rPr>
              <w:t>results;</w:t>
            </w:r>
            <w:r>
              <w:rPr>
                <w:rFonts w:ascii="Times" w:eastAsia="Times New Roman" w:hAnsi="Times"/>
                <w:color w:val="000000"/>
                <w:sz w:val="20"/>
                <w:szCs w:val="20"/>
              </w:rPr>
              <w:t xml:space="preserve"> </w:t>
            </w:r>
          </w:p>
        </w:tc>
      </w:tr>
    </w:tbl>
    <w:p w14:paraId="2D5C2AD5"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474874A" w14:textId="77777777">
        <w:trPr>
          <w:divId w:val="697699666"/>
        </w:trPr>
        <w:tc>
          <w:tcPr>
            <w:tcW w:w="720" w:type="dxa"/>
            <w:vAlign w:val="center"/>
            <w:hideMark/>
          </w:tcPr>
          <w:p w14:paraId="43E3E68D" w14:textId="77777777" w:rsidR="00000000" w:rsidRDefault="00097612">
            <w:pPr>
              <w:rPr>
                <w:rFonts w:eastAsia="Times New Roman"/>
              </w:rPr>
            </w:pPr>
          </w:p>
        </w:tc>
        <w:tc>
          <w:tcPr>
            <w:tcW w:w="360" w:type="dxa"/>
            <w:noWrap/>
            <w:tcMar>
              <w:top w:w="0" w:type="dxa"/>
              <w:left w:w="0" w:type="dxa"/>
              <w:bottom w:w="0" w:type="dxa"/>
              <w:right w:w="0" w:type="dxa"/>
            </w:tcMar>
            <w:hideMark/>
          </w:tcPr>
          <w:p w14:paraId="19107968"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80E3784"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market reaction to announcements by other biotechnology or pharmaceutical companies;</w:t>
            </w:r>
            <w:r>
              <w:rPr>
                <w:rFonts w:ascii="Times" w:eastAsia="Times New Roman" w:hAnsi="Times"/>
                <w:color w:val="000000"/>
                <w:sz w:val="20"/>
                <w:szCs w:val="20"/>
              </w:rPr>
              <w:t xml:space="preserve"> </w:t>
            </w:r>
          </w:p>
        </w:tc>
      </w:tr>
    </w:tbl>
    <w:p w14:paraId="4576EE89"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2CE0EA9" w14:textId="77777777">
        <w:trPr>
          <w:divId w:val="697699666"/>
        </w:trPr>
        <w:tc>
          <w:tcPr>
            <w:tcW w:w="720" w:type="dxa"/>
            <w:vAlign w:val="center"/>
            <w:hideMark/>
          </w:tcPr>
          <w:p w14:paraId="7EA9D0A3" w14:textId="77777777" w:rsidR="00000000" w:rsidRDefault="00097612">
            <w:pPr>
              <w:rPr>
                <w:rFonts w:eastAsia="Times New Roman"/>
              </w:rPr>
            </w:pPr>
          </w:p>
        </w:tc>
        <w:tc>
          <w:tcPr>
            <w:tcW w:w="360" w:type="dxa"/>
            <w:noWrap/>
            <w:tcMar>
              <w:top w:w="0" w:type="dxa"/>
              <w:left w:w="0" w:type="dxa"/>
              <w:bottom w:w="0" w:type="dxa"/>
              <w:right w:w="0" w:type="dxa"/>
            </w:tcMar>
            <w:hideMark/>
          </w:tcPr>
          <w:p w14:paraId="53B5F95F"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72C8A9B"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initiation, termination or modification of agreements with our collaborators or disputes or disagreements with collaborators;</w:t>
            </w:r>
            <w:r>
              <w:rPr>
                <w:rFonts w:ascii="Times" w:eastAsia="Times New Roman" w:hAnsi="Times"/>
                <w:color w:val="000000"/>
                <w:sz w:val="20"/>
                <w:szCs w:val="20"/>
              </w:rPr>
              <w:t xml:space="preserve"> </w:t>
            </w:r>
          </w:p>
        </w:tc>
      </w:tr>
    </w:tbl>
    <w:p w14:paraId="461545A2" w14:textId="77777777" w:rsidR="00000000" w:rsidRDefault="00097612">
      <w:pPr>
        <w:divId w:val="697699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F58427D" w14:textId="77777777">
        <w:trPr>
          <w:divId w:val="697699666"/>
        </w:trPr>
        <w:tc>
          <w:tcPr>
            <w:tcW w:w="720" w:type="dxa"/>
            <w:vAlign w:val="center"/>
            <w:hideMark/>
          </w:tcPr>
          <w:p w14:paraId="391D2255" w14:textId="77777777" w:rsidR="00000000" w:rsidRDefault="00097612">
            <w:pPr>
              <w:rPr>
                <w:rFonts w:eastAsia="Times New Roman"/>
              </w:rPr>
            </w:pPr>
          </w:p>
        </w:tc>
        <w:tc>
          <w:tcPr>
            <w:tcW w:w="360" w:type="dxa"/>
            <w:noWrap/>
            <w:tcMar>
              <w:top w:w="0" w:type="dxa"/>
              <w:left w:w="0" w:type="dxa"/>
              <w:bottom w:w="0" w:type="dxa"/>
              <w:right w:w="0" w:type="dxa"/>
            </w:tcMar>
            <w:hideMark/>
          </w:tcPr>
          <w:p w14:paraId="2DBADF7C"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51C7242"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litigation or the threat of litigation;</w:t>
            </w:r>
            <w:r>
              <w:rPr>
                <w:rFonts w:ascii="Times" w:eastAsia="Times New Roman" w:hAnsi="Times"/>
                <w:color w:val="000000"/>
                <w:sz w:val="20"/>
                <w:szCs w:val="20"/>
              </w:rPr>
              <w:t xml:space="preserve"> </w:t>
            </w:r>
          </w:p>
        </w:tc>
      </w:tr>
    </w:tbl>
    <w:p w14:paraId="57FBA0A2" w14:textId="77777777" w:rsidR="00000000" w:rsidRDefault="00097612">
      <w:pPr>
        <w:pStyle w:val="a3"/>
        <w:spacing w:before="360" w:beforeAutospacing="0" w:after="0" w:afterAutospacing="0"/>
        <w:jc w:val="center"/>
        <w:divId w:val="426314738"/>
        <w:rPr>
          <w:sz w:val="20"/>
          <w:szCs w:val="20"/>
        </w:rPr>
      </w:pPr>
      <w:r>
        <w:rPr>
          <w:sz w:val="20"/>
          <w:szCs w:val="20"/>
        </w:rPr>
        <w:t>65</w:t>
      </w:r>
    </w:p>
    <w:p w14:paraId="6B4E3DEA" w14:textId="77777777" w:rsidR="00000000" w:rsidRDefault="00097612">
      <w:pPr>
        <w:pStyle w:val="a3"/>
        <w:spacing w:before="0" w:beforeAutospacing="0" w:after="600" w:afterAutospacing="0"/>
        <w:divId w:val="8913144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6E59F71" w14:textId="77777777">
        <w:trPr>
          <w:divId w:val="431975590"/>
        </w:trPr>
        <w:tc>
          <w:tcPr>
            <w:tcW w:w="720" w:type="dxa"/>
            <w:vAlign w:val="center"/>
            <w:hideMark/>
          </w:tcPr>
          <w:p w14:paraId="33AA3CC2" w14:textId="77777777" w:rsidR="00000000" w:rsidRDefault="00097612">
            <w:pPr>
              <w:rPr>
                <w:sz w:val="20"/>
                <w:szCs w:val="20"/>
              </w:rPr>
            </w:pPr>
          </w:p>
        </w:tc>
        <w:tc>
          <w:tcPr>
            <w:tcW w:w="360" w:type="dxa"/>
            <w:noWrap/>
            <w:tcMar>
              <w:top w:w="0" w:type="dxa"/>
              <w:left w:w="0" w:type="dxa"/>
              <w:bottom w:w="0" w:type="dxa"/>
              <w:right w:w="0" w:type="dxa"/>
            </w:tcMar>
            <w:hideMark/>
          </w:tcPr>
          <w:p w14:paraId="24E9B6F8"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51D0F6D"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 xml:space="preserve">public concern as to the safety </w:t>
            </w:r>
            <w:r>
              <w:rPr>
                <w:rFonts w:ascii="Times" w:eastAsia="Times New Roman" w:hAnsi="Times"/>
                <w:color w:val="000000"/>
                <w:sz w:val="20"/>
                <w:szCs w:val="20"/>
              </w:rPr>
              <w:t>of product candidates or medicines developed by us; and</w:t>
            </w:r>
            <w:r>
              <w:rPr>
                <w:rFonts w:ascii="Times" w:eastAsia="Times New Roman" w:hAnsi="Times"/>
                <w:color w:val="000000"/>
                <w:sz w:val="20"/>
                <w:szCs w:val="20"/>
              </w:rPr>
              <w:t xml:space="preserve"> </w:t>
            </w:r>
          </w:p>
        </w:tc>
      </w:tr>
    </w:tbl>
    <w:p w14:paraId="22227989" w14:textId="77777777" w:rsidR="00000000" w:rsidRDefault="00097612">
      <w:pPr>
        <w:divId w:val="43197559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B632282" w14:textId="77777777">
        <w:trPr>
          <w:divId w:val="431975590"/>
        </w:trPr>
        <w:tc>
          <w:tcPr>
            <w:tcW w:w="720" w:type="dxa"/>
            <w:vAlign w:val="center"/>
            <w:hideMark/>
          </w:tcPr>
          <w:p w14:paraId="1F9D3B30" w14:textId="77777777" w:rsidR="00000000" w:rsidRDefault="00097612">
            <w:pPr>
              <w:rPr>
                <w:rFonts w:eastAsia="Times New Roman"/>
              </w:rPr>
            </w:pPr>
          </w:p>
        </w:tc>
        <w:tc>
          <w:tcPr>
            <w:tcW w:w="360" w:type="dxa"/>
            <w:noWrap/>
            <w:tcMar>
              <w:top w:w="0" w:type="dxa"/>
              <w:left w:w="0" w:type="dxa"/>
              <w:bottom w:w="0" w:type="dxa"/>
              <w:right w:w="0" w:type="dxa"/>
            </w:tcMar>
            <w:hideMark/>
          </w:tcPr>
          <w:p w14:paraId="6DF45FAD"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3075560" w14:textId="77777777" w:rsidR="00000000" w:rsidRDefault="00097612">
            <w:pPr>
              <w:rPr>
                <w:rFonts w:ascii="Times" w:eastAsia="Times New Roman" w:hAnsi="Times"/>
                <w:sz w:val="20"/>
                <w:szCs w:val="20"/>
              </w:rPr>
            </w:pPr>
            <w:r>
              <w:rPr>
                <w:rFonts w:ascii="Times" w:eastAsia="Times New Roman" w:hAnsi="Times"/>
                <w:color w:val="000000"/>
                <w:sz w:val="20"/>
                <w:szCs w:val="20"/>
              </w:rPr>
              <w:t>comments and expectations of results made by securities analysts or investors.</w:t>
            </w:r>
          </w:p>
        </w:tc>
      </w:tr>
    </w:tbl>
    <w:p w14:paraId="052FBEE1"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20"/>
          <w:szCs w:val="20"/>
        </w:rPr>
        <w:t>If any of these factors causes us to fail to meet the expectations of securities analysts or investors, or if adve</w:t>
      </w:r>
      <w:r>
        <w:rPr>
          <w:rFonts w:ascii="Times" w:hAnsi="Times"/>
          <w:sz w:val="20"/>
          <w:szCs w:val="20"/>
        </w:rPr>
        <w:t>rse conditions prevail or are perceived to prevail with respect to our business, the price of the ordinary shares would likely drop significantly. A significant drop in the price of a company’s securities often leads to the filing of securities class actio</w:t>
      </w:r>
      <w:r>
        <w:rPr>
          <w:rFonts w:ascii="Times" w:hAnsi="Times"/>
          <w:sz w:val="20"/>
          <w:szCs w:val="20"/>
        </w:rPr>
        <w:t>n litigation against the company. This type of litigation against us could result in substantial costs and a diversion of management’s attention and resources.</w:t>
      </w:r>
      <w:r>
        <w:rPr>
          <w:rFonts w:ascii="Times" w:hAnsi="Times"/>
          <w:sz w:val="20"/>
          <w:szCs w:val="20"/>
        </w:rPr>
        <w:t xml:space="preserve"> </w:t>
      </w:r>
    </w:p>
    <w:p w14:paraId="13BA7590" w14:textId="77777777" w:rsidR="00000000" w:rsidRDefault="00097612">
      <w:pPr>
        <w:pStyle w:val="a3"/>
        <w:spacing w:before="0" w:beforeAutospacing="0" w:after="0" w:afterAutospacing="0"/>
        <w:divId w:val="431975590"/>
        <w:rPr>
          <w:sz w:val="20"/>
          <w:szCs w:val="20"/>
        </w:rPr>
      </w:pPr>
      <w:r>
        <w:rPr>
          <w:sz w:val="20"/>
          <w:szCs w:val="20"/>
        </w:rPr>
        <w:t>​</w:t>
      </w:r>
    </w:p>
    <w:p w14:paraId="733CD526" w14:textId="77777777" w:rsidR="00000000" w:rsidRDefault="00097612">
      <w:pPr>
        <w:pStyle w:val="a3"/>
        <w:spacing w:before="0" w:beforeAutospacing="0" w:after="120" w:afterAutospacing="0"/>
        <w:divId w:val="431975590"/>
        <w:rPr>
          <w:rFonts w:ascii="Times" w:hAnsi="Times"/>
          <w:b/>
          <w:bCs/>
          <w:i/>
          <w:iCs/>
          <w:sz w:val="20"/>
          <w:szCs w:val="20"/>
        </w:rPr>
      </w:pPr>
      <w:r>
        <w:rPr>
          <w:rFonts w:ascii="Times" w:hAnsi="Times"/>
          <w:b/>
          <w:bCs/>
          <w:i/>
          <w:iCs/>
          <w:sz w:val="20"/>
          <w:szCs w:val="20"/>
        </w:rPr>
        <w:t>Concentration of ownership will limit your ability to influence corporate matters.</w:t>
      </w:r>
      <w:r>
        <w:rPr>
          <w:rFonts w:ascii="Times" w:hAnsi="Times"/>
          <w:b/>
          <w:bCs/>
          <w:i/>
          <w:iCs/>
          <w:sz w:val="20"/>
          <w:szCs w:val="20"/>
        </w:rPr>
        <w:t xml:space="preserve"> </w:t>
      </w:r>
    </w:p>
    <w:p w14:paraId="7FCA09B6"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20"/>
          <w:szCs w:val="20"/>
        </w:rPr>
        <w:t>Based on our review of publicly available filings, as of September 30, 2019 our three largest shareholders collectively owned approximately 54.8% of our outstanding ordinar</w:t>
      </w:r>
      <w:r>
        <w:rPr>
          <w:rFonts w:ascii="Times" w:hAnsi="Times"/>
          <w:sz w:val="20"/>
          <w:szCs w:val="20"/>
        </w:rPr>
        <w:t>y shares. These shareholders could control the outcome of actions taken by us that require shareholder approval, including a transaction in which shareholders might receive a premium over the prevailing market price for their shares.</w:t>
      </w:r>
      <w:r>
        <w:rPr>
          <w:rFonts w:ascii="Times" w:hAnsi="Times"/>
          <w:sz w:val="20"/>
          <w:szCs w:val="20"/>
        </w:rPr>
        <w:t xml:space="preserve"> </w:t>
      </w:r>
    </w:p>
    <w:p w14:paraId="04E39584"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20"/>
          <w:szCs w:val="20"/>
        </w:rPr>
        <w:t>​</w:t>
      </w:r>
    </w:p>
    <w:p w14:paraId="29EB88F3" w14:textId="77777777" w:rsidR="00000000" w:rsidRDefault="00097612">
      <w:pPr>
        <w:pStyle w:val="a3"/>
        <w:spacing w:before="0" w:beforeAutospacing="0" w:after="120" w:afterAutospacing="0"/>
        <w:divId w:val="431975590"/>
        <w:rPr>
          <w:rFonts w:ascii="Times" w:hAnsi="Times"/>
          <w:b/>
          <w:bCs/>
          <w:i/>
          <w:iCs/>
          <w:sz w:val="20"/>
          <w:szCs w:val="20"/>
        </w:rPr>
      </w:pPr>
      <w:r>
        <w:rPr>
          <w:rFonts w:ascii="Times" w:hAnsi="Times"/>
          <w:b/>
          <w:bCs/>
          <w:i/>
          <w:iCs/>
          <w:sz w:val="20"/>
          <w:szCs w:val="20"/>
        </w:rPr>
        <w:t xml:space="preserve">Certain provisions </w:t>
      </w:r>
      <w:r>
        <w:rPr>
          <w:rFonts w:ascii="Times" w:hAnsi="Times"/>
          <w:b/>
          <w:bCs/>
          <w:i/>
          <w:iCs/>
          <w:sz w:val="20"/>
          <w:szCs w:val="20"/>
        </w:rPr>
        <w:t>in our constitutional and other documents may discourage our acquisition by a third-party, which could limit your opportunity to sell shares at a premium.</w:t>
      </w:r>
      <w:r>
        <w:rPr>
          <w:rFonts w:ascii="Times" w:hAnsi="Times"/>
          <w:b/>
          <w:bCs/>
          <w:i/>
          <w:iCs/>
          <w:sz w:val="20"/>
          <w:szCs w:val="20"/>
        </w:rPr>
        <w:t xml:space="preserve"> </w:t>
      </w:r>
    </w:p>
    <w:p w14:paraId="4BF19B42"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20"/>
          <w:szCs w:val="20"/>
        </w:rPr>
        <w:t>Our constitutional documents include provisions that could limit the ability of others to acquire co</w:t>
      </w:r>
      <w:r>
        <w:rPr>
          <w:rFonts w:ascii="Times" w:hAnsi="Times"/>
          <w:sz w:val="20"/>
          <w:szCs w:val="20"/>
        </w:rPr>
        <w:t>ntrol of us, modify our structure or cause us to engage in change-of-control transactions, including, among other things, provisions that:</w:t>
      </w:r>
    </w:p>
    <w:p w14:paraId="0EDE09AC"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16"/>
          <w:szCs w:val="16"/>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F0466C7" w14:textId="77777777">
        <w:trPr>
          <w:divId w:val="431975590"/>
        </w:trPr>
        <w:tc>
          <w:tcPr>
            <w:tcW w:w="720" w:type="dxa"/>
            <w:vAlign w:val="center"/>
            <w:hideMark/>
          </w:tcPr>
          <w:p w14:paraId="7725C507"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7F048A8F"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C449B3D"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require supermajority shareholder voting to effect certain amendments to our amended and restated memorandum and</w:t>
            </w:r>
            <w:r>
              <w:rPr>
                <w:rFonts w:ascii="Times" w:eastAsia="Times New Roman" w:hAnsi="Times"/>
                <w:color w:val="000000"/>
                <w:sz w:val="20"/>
                <w:szCs w:val="20"/>
              </w:rPr>
              <w:t xml:space="preserve"> articles of association;</w:t>
            </w:r>
            <w:r>
              <w:rPr>
                <w:rFonts w:ascii="Times" w:eastAsia="Times New Roman" w:hAnsi="Times"/>
                <w:color w:val="000000"/>
                <w:sz w:val="20"/>
                <w:szCs w:val="20"/>
              </w:rPr>
              <w:t xml:space="preserve"> </w:t>
            </w:r>
          </w:p>
        </w:tc>
      </w:tr>
    </w:tbl>
    <w:p w14:paraId="06E79E43" w14:textId="77777777" w:rsidR="00000000" w:rsidRDefault="00097612">
      <w:pPr>
        <w:divId w:val="43197559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2F0DD0F" w14:textId="77777777">
        <w:trPr>
          <w:divId w:val="431975590"/>
        </w:trPr>
        <w:tc>
          <w:tcPr>
            <w:tcW w:w="720" w:type="dxa"/>
            <w:vAlign w:val="center"/>
            <w:hideMark/>
          </w:tcPr>
          <w:p w14:paraId="7EAF2C21" w14:textId="77777777" w:rsidR="00000000" w:rsidRDefault="00097612">
            <w:pPr>
              <w:rPr>
                <w:rFonts w:eastAsia="Times New Roman"/>
              </w:rPr>
            </w:pPr>
          </w:p>
        </w:tc>
        <w:tc>
          <w:tcPr>
            <w:tcW w:w="360" w:type="dxa"/>
            <w:noWrap/>
            <w:tcMar>
              <w:top w:w="0" w:type="dxa"/>
              <w:left w:w="0" w:type="dxa"/>
              <w:bottom w:w="0" w:type="dxa"/>
              <w:right w:w="0" w:type="dxa"/>
            </w:tcMar>
            <w:hideMark/>
          </w:tcPr>
          <w:p w14:paraId="213CEC3F"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93FE2E9"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establish a classified board of directors;</w:t>
            </w:r>
            <w:r>
              <w:rPr>
                <w:rFonts w:ascii="Times" w:eastAsia="Times New Roman" w:hAnsi="Times"/>
                <w:color w:val="000000"/>
                <w:sz w:val="20"/>
                <w:szCs w:val="20"/>
              </w:rPr>
              <w:t xml:space="preserve"> </w:t>
            </w:r>
          </w:p>
        </w:tc>
      </w:tr>
    </w:tbl>
    <w:p w14:paraId="4D5D6F2D" w14:textId="77777777" w:rsidR="00000000" w:rsidRDefault="00097612">
      <w:pPr>
        <w:divId w:val="43197559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E6E0695" w14:textId="77777777">
        <w:trPr>
          <w:divId w:val="431975590"/>
        </w:trPr>
        <w:tc>
          <w:tcPr>
            <w:tcW w:w="720" w:type="dxa"/>
            <w:vAlign w:val="center"/>
            <w:hideMark/>
          </w:tcPr>
          <w:p w14:paraId="147EEC50" w14:textId="77777777" w:rsidR="00000000" w:rsidRDefault="00097612">
            <w:pPr>
              <w:rPr>
                <w:rFonts w:eastAsia="Times New Roman"/>
              </w:rPr>
            </w:pPr>
          </w:p>
        </w:tc>
        <w:tc>
          <w:tcPr>
            <w:tcW w:w="360" w:type="dxa"/>
            <w:noWrap/>
            <w:tcMar>
              <w:top w:w="0" w:type="dxa"/>
              <w:left w:w="0" w:type="dxa"/>
              <w:bottom w:w="0" w:type="dxa"/>
              <w:right w:w="0" w:type="dxa"/>
            </w:tcMar>
            <w:hideMark/>
          </w:tcPr>
          <w:p w14:paraId="643C802B"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00DD9ED"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restrict our shareholders from calling meetings or acting by written consent in lieu of a meeting;</w:t>
            </w:r>
            <w:r>
              <w:rPr>
                <w:rFonts w:ascii="Times" w:eastAsia="Times New Roman" w:hAnsi="Times"/>
                <w:color w:val="000000"/>
                <w:sz w:val="20"/>
                <w:szCs w:val="20"/>
              </w:rPr>
              <w:t xml:space="preserve"> </w:t>
            </w:r>
          </w:p>
        </w:tc>
      </w:tr>
    </w:tbl>
    <w:p w14:paraId="4DFF3F6C" w14:textId="77777777" w:rsidR="00000000" w:rsidRDefault="00097612">
      <w:pPr>
        <w:divId w:val="43197559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1AFA98F" w14:textId="77777777">
        <w:trPr>
          <w:divId w:val="431975590"/>
        </w:trPr>
        <w:tc>
          <w:tcPr>
            <w:tcW w:w="720" w:type="dxa"/>
            <w:vAlign w:val="center"/>
            <w:hideMark/>
          </w:tcPr>
          <w:p w14:paraId="5430E9AD" w14:textId="77777777" w:rsidR="00000000" w:rsidRDefault="00097612">
            <w:pPr>
              <w:rPr>
                <w:rFonts w:eastAsia="Times New Roman"/>
              </w:rPr>
            </w:pPr>
          </w:p>
        </w:tc>
        <w:tc>
          <w:tcPr>
            <w:tcW w:w="360" w:type="dxa"/>
            <w:noWrap/>
            <w:tcMar>
              <w:top w:w="0" w:type="dxa"/>
              <w:left w:w="0" w:type="dxa"/>
              <w:bottom w:w="0" w:type="dxa"/>
              <w:right w:w="0" w:type="dxa"/>
            </w:tcMar>
            <w:hideMark/>
          </w:tcPr>
          <w:p w14:paraId="73816AB6"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6E7B24A"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limit the ability of our shareholders to propose actions at duly convened meetings; and</w:t>
            </w:r>
            <w:r>
              <w:rPr>
                <w:rFonts w:ascii="Times" w:eastAsia="Times New Roman" w:hAnsi="Times"/>
                <w:color w:val="000000"/>
                <w:sz w:val="20"/>
                <w:szCs w:val="20"/>
              </w:rPr>
              <w:t xml:space="preserve"> </w:t>
            </w:r>
          </w:p>
        </w:tc>
      </w:tr>
    </w:tbl>
    <w:p w14:paraId="0B08A347" w14:textId="77777777" w:rsidR="00000000" w:rsidRDefault="00097612">
      <w:pPr>
        <w:divId w:val="43197559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463CDC0" w14:textId="77777777">
        <w:trPr>
          <w:divId w:val="431975590"/>
        </w:trPr>
        <w:tc>
          <w:tcPr>
            <w:tcW w:w="720" w:type="dxa"/>
            <w:vAlign w:val="center"/>
            <w:hideMark/>
          </w:tcPr>
          <w:p w14:paraId="656C837A" w14:textId="77777777" w:rsidR="00000000" w:rsidRDefault="00097612">
            <w:pPr>
              <w:rPr>
                <w:rFonts w:eastAsia="Times New Roman"/>
              </w:rPr>
            </w:pPr>
          </w:p>
        </w:tc>
        <w:tc>
          <w:tcPr>
            <w:tcW w:w="360" w:type="dxa"/>
            <w:noWrap/>
            <w:tcMar>
              <w:top w:w="0" w:type="dxa"/>
              <w:left w:w="0" w:type="dxa"/>
              <w:bottom w:w="0" w:type="dxa"/>
              <w:right w:w="0" w:type="dxa"/>
            </w:tcMar>
            <w:hideMark/>
          </w:tcPr>
          <w:p w14:paraId="0EFCD15D"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3F8A1CC" w14:textId="77777777" w:rsidR="00000000" w:rsidRDefault="00097612">
            <w:pPr>
              <w:rPr>
                <w:rFonts w:ascii="Times" w:eastAsia="Times New Roman" w:hAnsi="Times"/>
                <w:sz w:val="20"/>
                <w:szCs w:val="20"/>
              </w:rPr>
            </w:pPr>
            <w:r>
              <w:rPr>
                <w:rFonts w:ascii="Times" w:eastAsia="Times New Roman" w:hAnsi="Times"/>
                <w:color w:val="000000"/>
                <w:sz w:val="20"/>
                <w:szCs w:val="20"/>
              </w:rPr>
              <w:t>authorize our board of directors, without action by our shareholders, to issue preferred shares and additional ordinary shares.</w:t>
            </w:r>
            <w:r>
              <w:rPr>
                <w:rFonts w:ascii="Times" w:eastAsia="Times New Roman" w:hAnsi="Times"/>
                <w:color w:val="000000"/>
                <w:sz w:val="20"/>
                <w:szCs w:val="20"/>
              </w:rPr>
              <w:t xml:space="preserve"> </w:t>
            </w:r>
          </w:p>
        </w:tc>
      </w:tr>
    </w:tbl>
    <w:p w14:paraId="43D912E5"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20"/>
          <w:szCs w:val="20"/>
        </w:rPr>
        <w:t xml:space="preserve">In addition, in May 2018, our shareholders approved a resolution authorizing our board of directors to adopt a shareholder rights plan in the future intended to deter any person from acquiring more than 19.9% of our outstanding ordinary shares without the </w:t>
      </w:r>
      <w:r>
        <w:rPr>
          <w:rFonts w:ascii="Times" w:hAnsi="Times"/>
          <w:sz w:val="20"/>
          <w:szCs w:val="20"/>
        </w:rPr>
        <w:t>approval of our board of directors.</w:t>
      </w:r>
    </w:p>
    <w:p w14:paraId="79B6B45A"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20"/>
          <w:szCs w:val="20"/>
        </w:rPr>
        <w:t>​</w:t>
      </w:r>
    </w:p>
    <w:p w14:paraId="7131E6BD"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20"/>
          <w:szCs w:val="20"/>
        </w:rPr>
        <w:t>These provisions could have the effect of depriving you of an opportunity to sell your ordinary shares at a premium over prevailing market prices by discouraging third parties from seeking to acquire control of us in a</w:t>
      </w:r>
      <w:r>
        <w:rPr>
          <w:rFonts w:ascii="Times" w:hAnsi="Times"/>
          <w:sz w:val="20"/>
          <w:szCs w:val="20"/>
        </w:rPr>
        <w:t xml:space="preserve"> tender offer or similar transaction.</w:t>
      </w:r>
      <w:r>
        <w:rPr>
          <w:rFonts w:ascii="Times" w:hAnsi="Times"/>
          <w:sz w:val="20"/>
          <w:szCs w:val="20"/>
        </w:rPr>
        <w:t xml:space="preserve"> </w:t>
      </w:r>
    </w:p>
    <w:p w14:paraId="226DDF37"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20"/>
          <w:szCs w:val="20"/>
        </w:rPr>
        <w:t>​</w:t>
      </w:r>
    </w:p>
    <w:p w14:paraId="6C1912E0" w14:textId="77777777" w:rsidR="00000000" w:rsidRDefault="00097612">
      <w:pPr>
        <w:pStyle w:val="a3"/>
        <w:spacing w:before="0" w:beforeAutospacing="0" w:after="120" w:afterAutospacing="0"/>
        <w:divId w:val="431975590"/>
        <w:rPr>
          <w:rFonts w:ascii="Times" w:hAnsi="Times"/>
          <w:b/>
          <w:bCs/>
          <w:i/>
          <w:iCs/>
          <w:sz w:val="20"/>
          <w:szCs w:val="20"/>
        </w:rPr>
      </w:pPr>
      <w:r>
        <w:rPr>
          <w:rFonts w:ascii="Times" w:hAnsi="Times"/>
          <w:b/>
          <w:bCs/>
          <w:i/>
          <w:iCs/>
          <w:sz w:val="20"/>
          <w:szCs w:val="20"/>
        </w:rPr>
        <w:t>Our shareholders may face difficulties in protecting their interests because we are incorporated under Cayman Islands law.</w:t>
      </w:r>
      <w:r>
        <w:rPr>
          <w:rFonts w:ascii="Times" w:hAnsi="Times"/>
          <w:b/>
          <w:bCs/>
          <w:i/>
          <w:iCs/>
          <w:sz w:val="20"/>
          <w:szCs w:val="20"/>
        </w:rPr>
        <w:t xml:space="preserve"> </w:t>
      </w:r>
    </w:p>
    <w:p w14:paraId="18F609AC"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20"/>
          <w:szCs w:val="20"/>
        </w:rPr>
        <w:t>Our corporate affairs are governed by our amended and restated memorandum and articles of a</w:t>
      </w:r>
      <w:r>
        <w:rPr>
          <w:rFonts w:ascii="Times" w:hAnsi="Times"/>
          <w:sz w:val="20"/>
          <w:szCs w:val="20"/>
        </w:rPr>
        <w:t>ssociation, by the Companies Law (2016 Revision) of the Cayman Islands and by the common law of the Cayman Islands. The rights of our shareholders and the fiduciary responsibilities of our directors under the laws of the Cayman Islands are different from t</w:t>
      </w:r>
      <w:r>
        <w:rPr>
          <w:rFonts w:ascii="Times" w:hAnsi="Times"/>
          <w:sz w:val="20"/>
          <w:szCs w:val="20"/>
        </w:rPr>
        <w:t xml:space="preserve">hose under statutes or judicial precedent in existence in jurisdictions in the US. Therefore, you may have more difficulty in protecting your interests than would shareholders of a corporation incorporated in a jurisdiction in the US, due to the different </w:t>
      </w:r>
      <w:r>
        <w:rPr>
          <w:rFonts w:ascii="Times" w:hAnsi="Times"/>
          <w:sz w:val="20"/>
          <w:szCs w:val="20"/>
        </w:rPr>
        <w:t>nature of Cayman Islands law in this area.</w:t>
      </w:r>
      <w:r>
        <w:rPr>
          <w:rFonts w:ascii="Times" w:hAnsi="Times"/>
          <w:sz w:val="20"/>
          <w:szCs w:val="20"/>
        </w:rPr>
        <w:t xml:space="preserve"> </w:t>
      </w:r>
    </w:p>
    <w:p w14:paraId="31DDCD59"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20"/>
          <w:szCs w:val="20"/>
        </w:rPr>
        <w:t>​</w:t>
      </w:r>
    </w:p>
    <w:p w14:paraId="251B9C36" w14:textId="77777777" w:rsidR="00000000" w:rsidRDefault="00097612">
      <w:pPr>
        <w:pStyle w:val="a3"/>
        <w:spacing w:before="0" w:beforeAutospacing="0" w:after="0" w:afterAutospacing="0"/>
        <w:ind w:firstLine="720"/>
        <w:divId w:val="431975590"/>
        <w:rPr>
          <w:rFonts w:ascii="Times" w:hAnsi="Times"/>
          <w:sz w:val="20"/>
          <w:szCs w:val="20"/>
        </w:rPr>
      </w:pPr>
      <w:r>
        <w:rPr>
          <w:rFonts w:ascii="Times" w:hAnsi="Times"/>
          <w:sz w:val="20"/>
          <w:szCs w:val="20"/>
        </w:rPr>
        <w:t xml:space="preserve">Shareholders of Cayman Islands exempted companies such as our Company have no general rights under Cayman Islands law to inspect corporate records and accounts or to obtain copies of lists of shareholders. Our </w:t>
      </w:r>
      <w:r>
        <w:rPr>
          <w:rFonts w:ascii="Times" w:hAnsi="Times"/>
          <w:sz w:val="20"/>
          <w:szCs w:val="20"/>
        </w:rPr>
        <w:t>directors have</w:t>
      </w:r>
      <w:r>
        <w:rPr>
          <w:rFonts w:ascii="Times" w:hAnsi="Times"/>
          <w:sz w:val="20"/>
          <w:szCs w:val="20"/>
        </w:rPr>
        <w:t xml:space="preserve"> </w:t>
      </w:r>
    </w:p>
    <w:p w14:paraId="2F448508" w14:textId="77777777" w:rsidR="00000000" w:rsidRDefault="00097612">
      <w:pPr>
        <w:pStyle w:val="a3"/>
        <w:spacing w:before="360" w:beforeAutospacing="0" w:after="0" w:afterAutospacing="0"/>
        <w:jc w:val="center"/>
        <w:divId w:val="1086270148"/>
        <w:rPr>
          <w:sz w:val="20"/>
          <w:szCs w:val="20"/>
        </w:rPr>
      </w:pPr>
      <w:r>
        <w:rPr>
          <w:sz w:val="20"/>
          <w:szCs w:val="20"/>
        </w:rPr>
        <w:t>66</w:t>
      </w:r>
    </w:p>
    <w:p w14:paraId="72B04D55" w14:textId="77777777" w:rsidR="00000000" w:rsidRDefault="00097612">
      <w:pPr>
        <w:pStyle w:val="a3"/>
        <w:spacing w:before="0" w:beforeAutospacing="0" w:after="600" w:afterAutospacing="0"/>
        <w:divId w:val="337272868"/>
        <w:rPr>
          <w:sz w:val="20"/>
          <w:szCs w:val="20"/>
        </w:rPr>
      </w:pPr>
      <w:hyperlink w:anchor="TOC" w:history="1">
        <w:r>
          <w:rPr>
            <w:rStyle w:val="a4"/>
            <w:sz w:val="20"/>
            <w:szCs w:val="20"/>
          </w:rPr>
          <w:t>Table of Contents</w:t>
        </w:r>
      </w:hyperlink>
    </w:p>
    <w:p w14:paraId="7093B661" w14:textId="77777777" w:rsidR="00000000" w:rsidRDefault="00097612">
      <w:pPr>
        <w:pStyle w:val="a3"/>
        <w:spacing w:before="0" w:beforeAutospacing="0" w:after="0" w:afterAutospacing="0"/>
        <w:divId w:val="786890961"/>
        <w:rPr>
          <w:rFonts w:ascii="Times" w:hAnsi="Times"/>
          <w:sz w:val="20"/>
          <w:szCs w:val="20"/>
        </w:rPr>
      </w:pPr>
      <w:r>
        <w:rPr>
          <w:rFonts w:ascii="Times" w:hAnsi="Times"/>
          <w:sz w:val="20"/>
          <w:szCs w:val="20"/>
        </w:rPr>
        <w:t>discretion under our amended and restated memorandum and articles of association to determine whether or not, and under what conditions, our corporate records may be inspected by our shareholders, but are not obliged to make them available to our sharehold</w:t>
      </w:r>
      <w:r>
        <w:rPr>
          <w:rFonts w:ascii="Times" w:hAnsi="Times"/>
          <w:sz w:val="20"/>
          <w:szCs w:val="20"/>
        </w:rPr>
        <w:t>ers. This may make it more difficult for you to obtain the information needed to establish any facts necessary for a shareholder motion or to solicit proxies from other shareholders in connection with a proxy contest.</w:t>
      </w:r>
      <w:r>
        <w:rPr>
          <w:rFonts w:ascii="Times" w:hAnsi="Times"/>
          <w:sz w:val="20"/>
          <w:szCs w:val="20"/>
        </w:rPr>
        <w:t xml:space="preserve"> </w:t>
      </w:r>
    </w:p>
    <w:p w14:paraId="6DC894DB" w14:textId="77777777" w:rsidR="00000000" w:rsidRDefault="00097612">
      <w:pPr>
        <w:pStyle w:val="a3"/>
        <w:spacing w:before="0" w:beforeAutospacing="0" w:after="0" w:afterAutospacing="0"/>
        <w:ind w:firstLine="720"/>
        <w:divId w:val="786890961"/>
        <w:rPr>
          <w:rFonts w:ascii="Times" w:hAnsi="Times"/>
          <w:sz w:val="20"/>
          <w:szCs w:val="20"/>
        </w:rPr>
      </w:pPr>
      <w:r>
        <w:rPr>
          <w:rFonts w:ascii="Times" w:hAnsi="Times"/>
          <w:sz w:val="20"/>
          <w:szCs w:val="20"/>
        </w:rPr>
        <w:t>​</w:t>
      </w:r>
    </w:p>
    <w:p w14:paraId="43038BDF" w14:textId="77777777" w:rsidR="00000000" w:rsidRDefault="00097612">
      <w:pPr>
        <w:pStyle w:val="a3"/>
        <w:spacing w:before="0" w:beforeAutospacing="0" w:after="0" w:afterAutospacing="0"/>
        <w:ind w:firstLine="720"/>
        <w:divId w:val="786890961"/>
        <w:rPr>
          <w:rFonts w:ascii="Times" w:hAnsi="Times"/>
          <w:sz w:val="20"/>
          <w:szCs w:val="20"/>
        </w:rPr>
      </w:pPr>
      <w:r>
        <w:rPr>
          <w:rFonts w:ascii="Times" w:hAnsi="Times"/>
          <w:sz w:val="20"/>
          <w:szCs w:val="20"/>
        </w:rPr>
        <w:t xml:space="preserve">Our Cayman Islands counsel, Maples </w:t>
      </w:r>
      <w:r>
        <w:rPr>
          <w:rFonts w:ascii="Times" w:hAnsi="Times"/>
          <w:sz w:val="20"/>
          <w:szCs w:val="20"/>
        </w:rPr>
        <w:t xml:space="preserve">and Calder, is not aware of any reported class action having been brought in a Cayman Islands court. Derivative actions have been brought in the Cayman Islands courts, and the Cayman Islands courts have confirmed the availability for such actions. In most </w:t>
      </w:r>
      <w:r>
        <w:rPr>
          <w:rFonts w:ascii="Times" w:hAnsi="Times"/>
          <w:sz w:val="20"/>
          <w:szCs w:val="20"/>
        </w:rPr>
        <w:t>cases, the company will be the proper plaintiff in any claim based on a breach of duty owed to it, and a claim against (for example) our officers or directors usually may not be brought by a shareholder. However, based on English authorities, which would i</w:t>
      </w:r>
      <w:r>
        <w:rPr>
          <w:rFonts w:ascii="Times" w:hAnsi="Times"/>
          <w:sz w:val="20"/>
          <w:szCs w:val="20"/>
        </w:rPr>
        <w:t>n all likelihood be of persuasive authority and be applied by a court in the Cayman Islands, exceptions to the foregoing principle apply in circumstances in which:</w:t>
      </w:r>
    </w:p>
    <w:p w14:paraId="7A19BCA8" w14:textId="77777777" w:rsidR="00000000" w:rsidRDefault="00097612">
      <w:pPr>
        <w:pStyle w:val="a3"/>
        <w:spacing w:before="0" w:beforeAutospacing="0" w:after="0" w:afterAutospacing="0"/>
        <w:ind w:firstLine="720"/>
        <w:divId w:val="786890961"/>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5A5FA08" w14:textId="77777777">
        <w:trPr>
          <w:divId w:val="786890961"/>
        </w:trPr>
        <w:tc>
          <w:tcPr>
            <w:tcW w:w="720" w:type="dxa"/>
            <w:vAlign w:val="center"/>
            <w:hideMark/>
          </w:tcPr>
          <w:p w14:paraId="48676048" w14:textId="77777777" w:rsidR="00000000" w:rsidRDefault="00097612">
            <w:pPr>
              <w:rPr>
                <w:rFonts w:ascii="Times" w:hAnsi="Times"/>
                <w:sz w:val="20"/>
                <w:szCs w:val="20"/>
              </w:rPr>
            </w:pPr>
          </w:p>
        </w:tc>
        <w:tc>
          <w:tcPr>
            <w:tcW w:w="360" w:type="dxa"/>
            <w:noWrap/>
            <w:tcMar>
              <w:top w:w="0" w:type="dxa"/>
              <w:left w:w="0" w:type="dxa"/>
              <w:bottom w:w="0" w:type="dxa"/>
              <w:right w:w="0" w:type="dxa"/>
            </w:tcMar>
            <w:hideMark/>
          </w:tcPr>
          <w:p w14:paraId="40E58FAF"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1C60B22"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a company is acting, or proposing to act, illegally or beyond the scope of its authorit</w:t>
            </w:r>
            <w:r>
              <w:rPr>
                <w:rFonts w:ascii="Times" w:eastAsia="Times New Roman" w:hAnsi="Times"/>
                <w:color w:val="000000"/>
                <w:sz w:val="20"/>
                <w:szCs w:val="20"/>
              </w:rPr>
              <w:t>y;</w:t>
            </w:r>
            <w:r>
              <w:rPr>
                <w:rFonts w:ascii="Times" w:eastAsia="Times New Roman" w:hAnsi="Times"/>
                <w:color w:val="000000"/>
                <w:sz w:val="20"/>
                <w:szCs w:val="20"/>
              </w:rPr>
              <w:t xml:space="preserve"> </w:t>
            </w:r>
          </w:p>
        </w:tc>
      </w:tr>
    </w:tbl>
    <w:p w14:paraId="2B75E737" w14:textId="77777777" w:rsidR="00000000" w:rsidRDefault="00097612">
      <w:pPr>
        <w:divId w:val="7868909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48D1255" w14:textId="77777777">
        <w:trPr>
          <w:divId w:val="786890961"/>
        </w:trPr>
        <w:tc>
          <w:tcPr>
            <w:tcW w:w="720" w:type="dxa"/>
            <w:vAlign w:val="center"/>
            <w:hideMark/>
          </w:tcPr>
          <w:p w14:paraId="6533E871" w14:textId="77777777" w:rsidR="00000000" w:rsidRDefault="00097612">
            <w:pPr>
              <w:rPr>
                <w:rFonts w:eastAsia="Times New Roman"/>
              </w:rPr>
            </w:pPr>
          </w:p>
        </w:tc>
        <w:tc>
          <w:tcPr>
            <w:tcW w:w="360" w:type="dxa"/>
            <w:noWrap/>
            <w:tcMar>
              <w:top w:w="0" w:type="dxa"/>
              <w:left w:w="0" w:type="dxa"/>
              <w:bottom w:w="0" w:type="dxa"/>
              <w:right w:w="0" w:type="dxa"/>
            </w:tcMar>
            <w:hideMark/>
          </w:tcPr>
          <w:p w14:paraId="1369317D" w14:textId="77777777" w:rsidR="00000000" w:rsidRDefault="00097612">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59C343E" w14:textId="77777777" w:rsidR="00000000" w:rsidRDefault="00097612">
            <w:pPr>
              <w:spacing w:after="240"/>
              <w:rPr>
                <w:rFonts w:ascii="Times" w:eastAsia="Times New Roman" w:hAnsi="Times"/>
                <w:sz w:val="20"/>
                <w:szCs w:val="20"/>
              </w:rPr>
            </w:pPr>
            <w:r>
              <w:rPr>
                <w:rFonts w:ascii="Times" w:eastAsia="Times New Roman" w:hAnsi="Times"/>
                <w:color w:val="000000"/>
                <w:sz w:val="20"/>
                <w:szCs w:val="20"/>
              </w:rPr>
              <w:t>the act complained of, although not beyond the scope of the authority, could be effected if duly authorized by more than the number of votes which have actually been obtained; or</w:t>
            </w:r>
            <w:r>
              <w:rPr>
                <w:rFonts w:ascii="Times" w:eastAsia="Times New Roman" w:hAnsi="Times"/>
                <w:color w:val="000000"/>
                <w:sz w:val="20"/>
                <w:szCs w:val="20"/>
              </w:rPr>
              <w:t xml:space="preserve"> </w:t>
            </w:r>
          </w:p>
        </w:tc>
      </w:tr>
    </w:tbl>
    <w:p w14:paraId="0304F843" w14:textId="77777777" w:rsidR="00000000" w:rsidRDefault="00097612">
      <w:pPr>
        <w:divId w:val="7868909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2DA39F4" w14:textId="77777777">
        <w:trPr>
          <w:divId w:val="786890961"/>
        </w:trPr>
        <w:tc>
          <w:tcPr>
            <w:tcW w:w="720" w:type="dxa"/>
            <w:vAlign w:val="center"/>
            <w:hideMark/>
          </w:tcPr>
          <w:p w14:paraId="70B4CA59" w14:textId="77777777" w:rsidR="00000000" w:rsidRDefault="00097612">
            <w:pPr>
              <w:rPr>
                <w:rFonts w:eastAsia="Times New Roman"/>
              </w:rPr>
            </w:pPr>
          </w:p>
        </w:tc>
        <w:tc>
          <w:tcPr>
            <w:tcW w:w="360" w:type="dxa"/>
            <w:noWrap/>
            <w:tcMar>
              <w:top w:w="0" w:type="dxa"/>
              <w:left w:w="0" w:type="dxa"/>
              <w:bottom w:w="0" w:type="dxa"/>
              <w:right w:w="0" w:type="dxa"/>
            </w:tcMar>
            <w:hideMark/>
          </w:tcPr>
          <w:p w14:paraId="62C3B863" w14:textId="77777777" w:rsidR="00000000" w:rsidRDefault="00097612">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98588B5" w14:textId="77777777" w:rsidR="00000000" w:rsidRDefault="00097612">
            <w:pPr>
              <w:rPr>
                <w:rFonts w:ascii="Times" w:eastAsia="Times New Roman" w:hAnsi="Times"/>
                <w:sz w:val="20"/>
                <w:szCs w:val="20"/>
              </w:rPr>
            </w:pPr>
            <w:r>
              <w:rPr>
                <w:rFonts w:ascii="Times" w:eastAsia="Times New Roman" w:hAnsi="Times"/>
                <w:color w:val="000000"/>
                <w:sz w:val="20"/>
                <w:szCs w:val="20"/>
              </w:rPr>
              <w:t>those who control the company are perpetrating a</w:t>
            </w:r>
            <w:r>
              <w:rPr>
                <w:rFonts w:ascii="Times" w:eastAsia="Times New Roman" w:hAnsi="Times"/>
                <w:color w:val="000000"/>
                <w:sz w:val="20"/>
                <w:szCs w:val="20"/>
              </w:rPr>
              <w:t xml:space="preserve"> </w:t>
            </w:r>
            <w:r>
              <w:rPr>
                <w:rFonts w:ascii="Times" w:eastAsia="Times New Roman" w:hAnsi="Times"/>
                <w:color w:val="000000"/>
                <w:sz w:val="20"/>
                <w:szCs w:val="20"/>
              </w:rPr>
              <w:t>“fraud on the</w:t>
            </w:r>
            <w:r>
              <w:rPr>
                <w:rFonts w:ascii="Times" w:eastAsia="Times New Roman" w:hAnsi="Times"/>
                <w:color w:val="000000"/>
                <w:sz w:val="20"/>
                <w:szCs w:val="20"/>
              </w:rPr>
              <w:t xml:space="preserve"> minority.”</w:t>
            </w:r>
            <w:r>
              <w:rPr>
                <w:rFonts w:ascii="Times" w:eastAsia="Times New Roman" w:hAnsi="Times"/>
                <w:color w:val="000000"/>
                <w:sz w:val="20"/>
                <w:szCs w:val="20"/>
              </w:rPr>
              <w:t xml:space="preserve"> </w:t>
            </w:r>
          </w:p>
        </w:tc>
      </w:tr>
    </w:tbl>
    <w:p w14:paraId="68EE3A4D" w14:textId="77777777" w:rsidR="00000000" w:rsidRDefault="00097612">
      <w:pPr>
        <w:pStyle w:val="a3"/>
        <w:spacing w:before="0" w:beforeAutospacing="0" w:after="0" w:afterAutospacing="0"/>
        <w:ind w:firstLine="720"/>
        <w:divId w:val="786890961"/>
        <w:rPr>
          <w:rFonts w:ascii="Times" w:hAnsi="Times"/>
          <w:sz w:val="20"/>
          <w:szCs w:val="20"/>
        </w:rPr>
      </w:pPr>
      <w:r>
        <w:rPr>
          <w:rFonts w:ascii="Times" w:hAnsi="Times"/>
          <w:sz w:val="20"/>
          <w:szCs w:val="20"/>
        </w:rPr>
        <w:t>A shareholder may have a direct right of action against the company where the individual rights of that shareholder have been infringed or are about to be infringed.</w:t>
      </w:r>
      <w:r>
        <w:rPr>
          <w:rFonts w:ascii="Times" w:hAnsi="Times"/>
          <w:sz w:val="20"/>
          <w:szCs w:val="20"/>
        </w:rPr>
        <w:t xml:space="preserve"> </w:t>
      </w:r>
    </w:p>
    <w:p w14:paraId="163F950F" w14:textId="77777777" w:rsidR="00000000" w:rsidRDefault="00097612">
      <w:pPr>
        <w:pStyle w:val="a3"/>
        <w:spacing w:before="0" w:beforeAutospacing="0" w:after="0" w:afterAutospacing="0"/>
        <w:divId w:val="786890961"/>
        <w:rPr>
          <w:rFonts w:ascii="Times" w:hAnsi="Times"/>
          <w:sz w:val="20"/>
          <w:szCs w:val="20"/>
        </w:rPr>
      </w:pPr>
      <w:r>
        <w:rPr>
          <w:rFonts w:ascii="Times" w:hAnsi="Times"/>
          <w:sz w:val="20"/>
          <w:szCs w:val="20"/>
        </w:rPr>
        <w:t>​</w:t>
      </w:r>
    </w:p>
    <w:p w14:paraId="2046284F" w14:textId="77777777" w:rsidR="00000000" w:rsidRDefault="00097612">
      <w:pPr>
        <w:pStyle w:val="a3"/>
        <w:spacing w:before="0" w:beforeAutospacing="0" w:after="120" w:afterAutospacing="0"/>
        <w:divId w:val="786890961"/>
        <w:rPr>
          <w:rFonts w:ascii="Times" w:hAnsi="Times"/>
          <w:b/>
          <w:bCs/>
          <w:i/>
          <w:iCs/>
          <w:sz w:val="20"/>
          <w:szCs w:val="20"/>
        </w:rPr>
      </w:pPr>
      <w:r>
        <w:rPr>
          <w:rFonts w:ascii="Times" w:hAnsi="Times"/>
          <w:b/>
          <w:bCs/>
          <w:i/>
          <w:iCs/>
          <w:sz w:val="20"/>
          <w:szCs w:val="20"/>
        </w:rPr>
        <w:t>There is uncertainty as to shareholders’</w:t>
      </w:r>
      <w:r>
        <w:rPr>
          <w:rFonts w:ascii="Times" w:hAnsi="Times"/>
          <w:b/>
          <w:bCs/>
          <w:i/>
          <w:iCs/>
          <w:sz w:val="20"/>
          <w:szCs w:val="20"/>
        </w:rPr>
        <w:t xml:space="preserve"> </w:t>
      </w:r>
      <w:r>
        <w:rPr>
          <w:rFonts w:ascii="Times" w:hAnsi="Times"/>
          <w:b/>
          <w:bCs/>
          <w:i/>
          <w:iCs/>
          <w:sz w:val="20"/>
          <w:szCs w:val="20"/>
        </w:rPr>
        <w:t>ability to enforce certain foreign civil liabilities in the Cayman Islands.</w:t>
      </w:r>
      <w:r>
        <w:rPr>
          <w:rFonts w:ascii="Times" w:hAnsi="Times"/>
          <w:b/>
          <w:bCs/>
          <w:i/>
          <w:iCs/>
          <w:sz w:val="20"/>
          <w:szCs w:val="20"/>
        </w:rPr>
        <w:t xml:space="preserve"> </w:t>
      </w:r>
    </w:p>
    <w:p w14:paraId="3E851998" w14:textId="77777777" w:rsidR="00000000" w:rsidRDefault="00097612">
      <w:pPr>
        <w:pStyle w:val="a3"/>
        <w:spacing w:before="0" w:beforeAutospacing="0" w:after="0" w:afterAutospacing="0"/>
        <w:ind w:firstLine="720"/>
        <w:divId w:val="786890961"/>
        <w:rPr>
          <w:rFonts w:ascii="Times" w:hAnsi="Times"/>
          <w:sz w:val="20"/>
          <w:szCs w:val="20"/>
        </w:rPr>
      </w:pPr>
      <w:r>
        <w:rPr>
          <w:rFonts w:ascii="Times" w:hAnsi="Times"/>
          <w:sz w:val="20"/>
          <w:szCs w:val="20"/>
        </w:rPr>
        <w:t>We are incorporated as an exempted company limited by shares with limited liability under the laws of the Cayman Islands. A material porti</w:t>
      </w:r>
      <w:r>
        <w:rPr>
          <w:rFonts w:ascii="Times" w:hAnsi="Times"/>
          <w:sz w:val="20"/>
          <w:szCs w:val="20"/>
        </w:rPr>
        <w:t>on of our assets are located outside of the US. As a result, it may be difficult for our shareholders to enforce judgments against us or judgments obtained in US courts predicated upon the civil liability provisions of the federal securities laws of the US</w:t>
      </w:r>
      <w:r>
        <w:rPr>
          <w:rFonts w:ascii="Times" w:hAnsi="Times"/>
          <w:sz w:val="20"/>
          <w:szCs w:val="20"/>
        </w:rPr>
        <w:t xml:space="preserve"> or any state of the US.</w:t>
      </w:r>
      <w:r>
        <w:rPr>
          <w:rFonts w:ascii="Times" w:hAnsi="Times"/>
          <w:sz w:val="20"/>
          <w:szCs w:val="20"/>
        </w:rPr>
        <w:t xml:space="preserve"> </w:t>
      </w:r>
    </w:p>
    <w:p w14:paraId="1333AD38" w14:textId="77777777" w:rsidR="00000000" w:rsidRDefault="00097612">
      <w:pPr>
        <w:pStyle w:val="a3"/>
        <w:spacing w:before="0" w:beforeAutospacing="0" w:after="0" w:afterAutospacing="0"/>
        <w:ind w:firstLine="720"/>
        <w:divId w:val="786890961"/>
        <w:rPr>
          <w:rFonts w:ascii="Times" w:hAnsi="Times"/>
          <w:sz w:val="20"/>
          <w:szCs w:val="20"/>
        </w:rPr>
      </w:pPr>
      <w:r>
        <w:rPr>
          <w:rFonts w:ascii="Times" w:hAnsi="Times"/>
          <w:sz w:val="20"/>
          <w:szCs w:val="20"/>
        </w:rPr>
        <w:t>​</w:t>
      </w:r>
    </w:p>
    <w:p w14:paraId="4088FE62" w14:textId="77777777" w:rsidR="00000000" w:rsidRDefault="00097612">
      <w:pPr>
        <w:pStyle w:val="a3"/>
        <w:spacing w:before="0" w:beforeAutospacing="0" w:after="0" w:afterAutospacing="0"/>
        <w:ind w:firstLine="720"/>
        <w:divId w:val="786890961"/>
        <w:rPr>
          <w:rFonts w:ascii="Times" w:hAnsi="Times"/>
          <w:sz w:val="20"/>
          <w:szCs w:val="20"/>
        </w:rPr>
      </w:pPr>
      <w:r>
        <w:rPr>
          <w:rFonts w:ascii="Times" w:hAnsi="Times"/>
          <w:sz w:val="20"/>
          <w:szCs w:val="20"/>
        </w:rPr>
        <w:t>We have been advised by our Cayman Islands legal counsel, Maples and Calder, that the courts of the Cayman Islands are unlikely (i) to recognize or enforce against Theravance Biopharma judgments of courts of the US predicated up</w:t>
      </w:r>
      <w:r>
        <w:rPr>
          <w:rFonts w:ascii="Times" w:hAnsi="Times"/>
          <w:sz w:val="20"/>
          <w:szCs w:val="20"/>
        </w:rPr>
        <w:t>on the civil liability provisions of the securities laws of the US or any State; and (ii) in original actions brought in the Cayman Islands, to impose liabilities against Theravance Biopharma predicated upon the civil liability provisions of the securities</w:t>
      </w:r>
      <w:r>
        <w:rPr>
          <w:rFonts w:ascii="Times" w:hAnsi="Times"/>
          <w:sz w:val="20"/>
          <w:szCs w:val="20"/>
        </w:rPr>
        <w:t xml:space="preserve"> laws of the US or any State, on the grounds that such provisions are penal in nature. However, in the case of laws that are not penal in nature, although there is no statutory enforcement in the Cayman Islands of judgments obtained in the US, the courts o</w:t>
      </w:r>
      <w:r>
        <w:rPr>
          <w:rFonts w:ascii="Times" w:hAnsi="Times"/>
          <w:sz w:val="20"/>
          <w:szCs w:val="20"/>
        </w:rPr>
        <w:t>f the Cayman Islands will recognize and enforce a foreign money judgment of a foreign court of competent jurisdiction without retrial on the merits based on the principle that a judgment of a competent foreign court imposes upon the judgment debtor an obli</w:t>
      </w:r>
      <w:r>
        <w:rPr>
          <w:rFonts w:ascii="Times" w:hAnsi="Times"/>
          <w:sz w:val="20"/>
          <w:szCs w:val="20"/>
        </w:rPr>
        <w:t>gation to pay the sum for which judgment has been given provided certain conditions are met. For a foreign judgment to be enforced in the Cayman Islands, such judgment must be final and conclusive and for a liquidated sum, and must not be in respect of tax</w:t>
      </w:r>
      <w:r>
        <w:rPr>
          <w:rFonts w:ascii="Times" w:hAnsi="Times"/>
          <w:sz w:val="20"/>
          <w:szCs w:val="20"/>
        </w:rPr>
        <w:t>es or a fine or penalty, inconsistent with a Cayman Islands’</w:t>
      </w:r>
      <w:r>
        <w:rPr>
          <w:rFonts w:ascii="Times" w:hAnsi="Times"/>
          <w:sz w:val="20"/>
          <w:szCs w:val="20"/>
        </w:rPr>
        <w:t xml:space="preserve"> </w:t>
      </w:r>
      <w:r>
        <w:rPr>
          <w:rFonts w:ascii="Times" w:hAnsi="Times"/>
          <w:sz w:val="20"/>
          <w:szCs w:val="20"/>
        </w:rPr>
        <w:t>judgment in respect of the same matter, impeachable on the grounds of fraud or obtained in a manner, and or be of a kind the enforcement of which is, contrary to natural justice or the public pol</w:t>
      </w:r>
      <w:r>
        <w:rPr>
          <w:rFonts w:ascii="Times" w:hAnsi="Times"/>
          <w:sz w:val="20"/>
          <w:szCs w:val="20"/>
        </w:rPr>
        <w:t>icy of the Cayman Islands (awards of punitive or multiple damages may well be held to be contrary to public policy). A Cayman Islands court, including the Grand Court of the Cayman Islands, may stay proceedings if concurrent proceedings are being brought e</w:t>
      </w:r>
      <w:r>
        <w:rPr>
          <w:rFonts w:ascii="Times" w:hAnsi="Times"/>
          <w:sz w:val="20"/>
          <w:szCs w:val="20"/>
        </w:rPr>
        <w:t>lsewhere, which would delay proceedings and make it more difficult for our shareholders to bring action against us.</w:t>
      </w:r>
      <w:r>
        <w:rPr>
          <w:rFonts w:ascii="Times" w:hAnsi="Times"/>
          <w:sz w:val="20"/>
          <w:szCs w:val="20"/>
        </w:rPr>
        <w:t xml:space="preserve"> </w:t>
      </w:r>
    </w:p>
    <w:p w14:paraId="6293C28D" w14:textId="77777777" w:rsidR="00000000" w:rsidRDefault="00097612">
      <w:pPr>
        <w:pStyle w:val="a3"/>
        <w:spacing w:before="0" w:beforeAutospacing="0" w:after="0" w:afterAutospacing="0"/>
        <w:ind w:firstLine="720"/>
        <w:divId w:val="786890961"/>
        <w:rPr>
          <w:rFonts w:ascii="Times" w:hAnsi="Times"/>
          <w:sz w:val="20"/>
          <w:szCs w:val="20"/>
        </w:rPr>
      </w:pPr>
      <w:r>
        <w:rPr>
          <w:rFonts w:ascii="Times" w:hAnsi="Times"/>
          <w:sz w:val="20"/>
          <w:szCs w:val="20"/>
        </w:rPr>
        <w:t>​</w:t>
      </w:r>
    </w:p>
    <w:p w14:paraId="599B89F7" w14:textId="77777777" w:rsidR="00000000" w:rsidRDefault="00097612">
      <w:pPr>
        <w:pStyle w:val="a3"/>
        <w:spacing w:before="0" w:beforeAutospacing="0" w:after="0" w:afterAutospacing="0"/>
        <w:divId w:val="786890961"/>
        <w:rPr>
          <w:sz w:val="20"/>
          <w:szCs w:val="20"/>
        </w:rPr>
      </w:pPr>
      <w:r>
        <w:rPr>
          <w:rFonts w:ascii="inherit" w:hAnsi="inherit"/>
          <w:b/>
          <w:bCs/>
          <w:i/>
          <w:iCs/>
          <w:sz w:val="20"/>
          <w:szCs w:val="20"/>
        </w:rPr>
        <w:t xml:space="preserve">If securities or industry analysts cease coverage of us or do not publish research, or publish inaccurate or unfavorable research, about </w:t>
      </w:r>
      <w:r>
        <w:rPr>
          <w:rFonts w:ascii="inherit" w:hAnsi="inherit"/>
          <w:b/>
          <w:bCs/>
          <w:i/>
          <w:iCs/>
          <w:sz w:val="20"/>
          <w:szCs w:val="20"/>
        </w:rPr>
        <w:t>our business, the price of our ordinary shares and trading volume could decline.</w:t>
      </w:r>
    </w:p>
    <w:p w14:paraId="3F08B467" w14:textId="77777777" w:rsidR="00000000" w:rsidRDefault="00097612">
      <w:pPr>
        <w:pStyle w:val="a3"/>
        <w:spacing w:before="0" w:beforeAutospacing="0" w:after="0" w:afterAutospacing="0"/>
        <w:ind w:firstLine="475"/>
        <w:divId w:val="786890961"/>
        <w:rPr>
          <w:sz w:val="20"/>
          <w:szCs w:val="20"/>
        </w:rPr>
      </w:pPr>
      <w:r>
        <w:rPr>
          <w:sz w:val="10"/>
          <w:szCs w:val="10"/>
        </w:rPr>
        <w:t>​</w:t>
      </w:r>
    </w:p>
    <w:p w14:paraId="4BFDADEE" w14:textId="77777777" w:rsidR="00000000" w:rsidRDefault="00097612">
      <w:pPr>
        <w:pStyle w:val="a3"/>
        <w:spacing w:before="0" w:beforeAutospacing="0" w:after="0" w:afterAutospacing="0"/>
        <w:ind w:firstLine="720"/>
        <w:divId w:val="786890961"/>
        <w:rPr>
          <w:sz w:val="20"/>
          <w:szCs w:val="20"/>
        </w:rPr>
      </w:pPr>
      <w:r>
        <w:rPr>
          <w:rFonts w:ascii="inherit" w:hAnsi="inherit"/>
          <w:sz w:val="20"/>
          <w:szCs w:val="20"/>
        </w:rPr>
        <w:t>The trading market for our ordinary shares depends in part on the research and reports that securities or industry analysts publish about us or our business. If few securiti</w:t>
      </w:r>
      <w:r>
        <w:rPr>
          <w:rFonts w:ascii="inherit" w:hAnsi="inherit"/>
          <w:sz w:val="20"/>
          <w:szCs w:val="20"/>
        </w:rPr>
        <w:t>es analysts commence coverage of us, or if industry analysts cease coverage of us, the trading price for our ordinary shares could be negatively affected. If one or more of the analysts who cover us downgrade our ordinary shares or publish inaccurate or un</w:t>
      </w:r>
      <w:r>
        <w:rPr>
          <w:rFonts w:ascii="inherit" w:hAnsi="inherit"/>
          <w:sz w:val="20"/>
          <w:szCs w:val="20"/>
        </w:rPr>
        <w:t>favorable research about our business, the price of our ordinary shares would likely decline. If one or more of these analysts cease coverage of us or fail to publish reports on us regularly, demand for our ordinary shares could decrease, which might cause</w:t>
      </w:r>
      <w:r>
        <w:rPr>
          <w:rFonts w:ascii="inherit" w:hAnsi="inherit"/>
          <w:sz w:val="20"/>
          <w:szCs w:val="20"/>
        </w:rPr>
        <w:t xml:space="preserve"> our share price and trading volume to decline.</w:t>
      </w:r>
    </w:p>
    <w:p w14:paraId="5E066D7C" w14:textId="77777777" w:rsidR="00000000" w:rsidRDefault="00097612">
      <w:pPr>
        <w:pStyle w:val="a3"/>
        <w:spacing w:before="360" w:beforeAutospacing="0" w:after="0" w:afterAutospacing="0"/>
        <w:jc w:val="center"/>
        <w:divId w:val="1682199013"/>
        <w:rPr>
          <w:sz w:val="20"/>
          <w:szCs w:val="20"/>
        </w:rPr>
      </w:pPr>
      <w:r>
        <w:rPr>
          <w:sz w:val="20"/>
          <w:szCs w:val="20"/>
        </w:rPr>
        <w:t>67</w:t>
      </w:r>
    </w:p>
    <w:p w14:paraId="37A308B6" w14:textId="77777777" w:rsidR="00000000" w:rsidRDefault="00097612">
      <w:pPr>
        <w:pStyle w:val="a3"/>
        <w:spacing w:before="0" w:beforeAutospacing="0" w:after="600" w:afterAutospacing="0"/>
        <w:divId w:val="1981425271"/>
        <w:rPr>
          <w:sz w:val="20"/>
          <w:szCs w:val="20"/>
        </w:rPr>
      </w:pPr>
      <w:hyperlink w:anchor="TOC" w:history="1">
        <w:r>
          <w:rPr>
            <w:rStyle w:val="a4"/>
            <w:sz w:val="20"/>
            <w:szCs w:val="20"/>
          </w:rPr>
          <w:t>Table of Contents</w:t>
        </w:r>
      </w:hyperlink>
    </w:p>
    <w:p w14:paraId="0491FFB8" w14:textId="77777777" w:rsidR="00000000" w:rsidRDefault="00097612">
      <w:pPr>
        <w:pStyle w:val="a3"/>
        <w:spacing w:before="0" w:beforeAutospacing="0" w:after="0" w:afterAutospacing="0"/>
        <w:ind w:firstLine="720"/>
        <w:divId w:val="1076125312"/>
        <w:rPr>
          <w:rFonts w:ascii="Times" w:hAnsi="Times"/>
          <w:sz w:val="20"/>
          <w:szCs w:val="20"/>
        </w:rPr>
      </w:pPr>
      <w:r>
        <w:rPr>
          <w:rFonts w:ascii="Times" w:hAnsi="Times"/>
          <w:sz w:val="20"/>
          <w:szCs w:val="20"/>
        </w:rPr>
        <w:t>​</w:t>
      </w:r>
    </w:p>
    <w:p w14:paraId="700BE1E6" w14:textId="77777777" w:rsidR="00000000" w:rsidRDefault="00097612">
      <w:pPr>
        <w:pStyle w:val="a3"/>
        <w:spacing w:before="0" w:beforeAutospacing="0" w:after="120" w:afterAutospacing="0"/>
        <w:divId w:val="1076125312"/>
        <w:rPr>
          <w:sz w:val="20"/>
          <w:szCs w:val="20"/>
        </w:rPr>
      </w:pPr>
      <w:r>
        <w:rPr>
          <w:b/>
          <w:bCs/>
          <w:i/>
          <w:iCs/>
          <w:sz w:val="20"/>
          <w:szCs w:val="20"/>
        </w:rPr>
        <w:t>We do not anticipate paying any cash dividends on our capital shares in the foreseeable future; as a result, capital appreciation, if any, of our ordinary shar</w:t>
      </w:r>
      <w:r>
        <w:rPr>
          <w:b/>
          <w:bCs/>
          <w:i/>
          <w:iCs/>
          <w:sz w:val="20"/>
          <w:szCs w:val="20"/>
        </w:rPr>
        <w:t>es will be your sole source of gain for the foreseeable future.</w:t>
      </w:r>
    </w:p>
    <w:p w14:paraId="12E62D44" w14:textId="77777777" w:rsidR="00000000" w:rsidRDefault="00097612">
      <w:pPr>
        <w:pStyle w:val="a3"/>
        <w:spacing w:before="0" w:beforeAutospacing="0" w:after="0" w:afterAutospacing="0"/>
        <w:ind w:firstLine="720"/>
        <w:divId w:val="1076125312"/>
        <w:rPr>
          <w:sz w:val="20"/>
          <w:szCs w:val="20"/>
        </w:rPr>
      </w:pPr>
      <w:r>
        <w:rPr>
          <w:sz w:val="20"/>
          <w:szCs w:val="20"/>
        </w:rPr>
        <w:t>We have never declared or paid cash dividends on our capital shares. We do not anticipate paying any cash dividends on our capital shares in the foreseeable future. We currently intend to reta</w:t>
      </w:r>
      <w:r>
        <w:rPr>
          <w:sz w:val="20"/>
          <w:szCs w:val="20"/>
        </w:rPr>
        <w:t>in all available funds and any future earnings to fund the development and growth of our business. In addition, the terms of any future debt financing arrangement may contain terms prohibiting or limiting the amount of dividends that may be declared or pai</w:t>
      </w:r>
      <w:r>
        <w:rPr>
          <w:sz w:val="20"/>
          <w:szCs w:val="20"/>
        </w:rPr>
        <w:t>d on our ordinary shares. As a result, capital appreciation, if any, of our ordinary shares will be your sole source of gain for the foreseeable future.</w:t>
      </w:r>
    </w:p>
    <w:p w14:paraId="23635528" w14:textId="77777777" w:rsidR="00000000" w:rsidRDefault="00097612">
      <w:pPr>
        <w:pStyle w:val="a3"/>
        <w:spacing w:before="0" w:beforeAutospacing="0" w:after="0" w:afterAutospacing="0"/>
        <w:divId w:val="1076125312"/>
        <w:rPr>
          <w:sz w:val="20"/>
          <w:szCs w:val="20"/>
        </w:rPr>
      </w:pPr>
      <w:r>
        <w:rPr>
          <w:sz w:val="20"/>
          <w:szCs w:val="20"/>
        </w:rPr>
        <w:t>​</w:t>
      </w:r>
    </w:p>
    <w:p w14:paraId="34C6B600" w14:textId="77777777" w:rsidR="00000000" w:rsidRDefault="00097612">
      <w:pPr>
        <w:pStyle w:val="a3"/>
        <w:spacing w:before="0" w:beforeAutospacing="0" w:after="0" w:afterAutospacing="0"/>
        <w:divId w:val="1076125312"/>
        <w:rPr>
          <w:sz w:val="20"/>
          <w:szCs w:val="20"/>
        </w:rPr>
      </w:pPr>
      <w:r>
        <w:rPr>
          <w:b/>
          <w:bCs/>
          <w:sz w:val="20"/>
          <w:szCs w:val="20"/>
        </w:rPr>
        <w:t>ITEM 2.   UNREGISTERED SALES OF EQUITY SECURITIES AND USE OF PROCEEDS</w:t>
      </w:r>
    </w:p>
    <w:p w14:paraId="4640E901" w14:textId="77777777" w:rsidR="00000000" w:rsidRDefault="00097612">
      <w:pPr>
        <w:pStyle w:val="a3"/>
        <w:spacing w:before="0" w:beforeAutospacing="0" w:after="0" w:afterAutospacing="0"/>
        <w:divId w:val="1076125312"/>
        <w:rPr>
          <w:sz w:val="20"/>
          <w:szCs w:val="20"/>
        </w:rPr>
      </w:pPr>
      <w:r>
        <w:rPr>
          <w:sz w:val="20"/>
          <w:szCs w:val="20"/>
        </w:rPr>
        <w:t>​</w:t>
      </w:r>
    </w:p>
    <w:p w14:paraId="43379E62" w14:textId="77777777" w:rsidR="00000000" w:rsidRDefault="00097612">
      <w:pPr>
        <w:pStyle w:val="a3"/>
        <w:spacing w:before="0" w:beforeAutospacing="0" w:after="0" w:afterAutospacing="0"/>
        <w:ind w:firstLine="720"/>
        <w:divId w:val="1076125312"/>
        <w:rPr>
          <w:sz w:val="20"/>
          <w:szCs w:val="20"/>
        </w:rPr>
      </w:pPr>
      <w:r>
        <w:rPr>
          <w:sz w:val="20"/>
          <w:szCs w:val="20"/>
        </w:rPr>
        <w:t>None.</w:t>
      </w:r>
    </w:p>
    <w:p w14:paraId="47C3F955" w14:textId="77777777" w:rsidR="00000000" w:rsidRDefault="00097612">
      <w:pPr>
        <w:pStyle w:val="a3"/>
        <w:spacing w:before="0" w:beforeAutospacing="0" w:after="0" w:afterAutospacing="0"/>
        <w:divId w:val="1076125312"/>
        <w:rPr>
          <w:sz w:val="20"/>
          <w:szCs w:val="20"/>
        </w:rPr>
      </w:pPr>
      <w:r>
        <w:rPr>
          <w:b/>
          <w:bCs/>
          <w:sz w:val="20"/>
          <w:szCs w:val="20"/>
        </w:rPr>
        <w:t>​</w:t>
      </w:r>
    </w:p>
    <w:p w14:paraId="444102A7" w14:textId="77777777" w:rsidR="00000000" w:rsidRDefault="00097612">
      <w:pPr>
        <w:pStyle w:val="a3"/>
        <w:spacing w:before="0" w:beforeAutospacing="0" w:after="0" w:afterAutospacing="0"/>
        <w:divId w:val="1076125312"/>
        <w:rPr>
          <w:sz w:val="20"/>
          <w:szCs w:val="20"/>
        </w:rPr>
      </w:pPr>
      <w:r>
        <w:rPr>
          <w:b/>
          <w:bCs/>
          <w:sz w:val="20"/>
          <w:szCs w:val="20"/>
        </w:rPr>
        <w:t>​</w:t>
      </w:r>
    </w:p>
    <w:p w14:paraId="0D0F932B" w14:textId="77777777" w:rsidR="00000000" w:rsidRDefault="00097612">
      <w:pPr>
        <w:pStyle w:val="a3"/>
        <w:spacing w:before="360" w:beforeAutospacing="0" w:after="0" w:afterAutospacing="0"/>
        <w:jc w:val="center"/>
        <w:divId w:val="1982542012"/>
        <w:rPr>
          <w:sz w:val="20"/>
          <w:szCs w:val="20"/>
        </w:rPr>
      </w:pPr>
      <w:r>
        <w:rPr>
          <w:sz w:val="20"/>
          <w:szCs w:val="20"/>
        </w:rPr>
        <w:t>68</w:t>
      </w:r>
    </w:p>
    <w:p w14:paraId="298D8B93" w14:textId="77777777" w:rsidR="00000000" w:rsidRDefault="00097612">
      <w:pPr>
        <w:pStyle w:val="a3"/>
        <w:spacing w:before="0" w:beforeAutospacing="0" w:after="600" w:afterAutospacing="0"/>
        <w:divId w:val="440927142"/>
        <w:rPr>
          <w:sz w:val="20"/>
          <w:szCs w:val="20"/>
        </w:rPr>
      </w:pPr>
      <w:hyperlink w:anchor="TOC" w:history="1">
        <w:r>
          <w:rPr>
            <w:rStyle w:val="a4"/>
            <w:sz w:val="20"/>
            <w:szCs w:val="20"/>
          </w:rPr>
          <w:t>Table of Contents</w:t>
        </w:r>
      </w:hyperlink>
    </w:p>
    <w:p w14:paraId="36304DA9" w14:textId="77777777" w:rsidR="00000000" w:rsidRDefault="00097612">
      <w:pPr>
        <w:pStyle w:val="a3"/>
        <w:spacing w:before="0" w:beforeAutospacing="0" w:after="0" w:afterAutospacing="0"/>
        <w:divId w:val="734008403"/>
        <w:rPr>
          <w:sz w:val="20"/>
          <w:szCs w:val="20"/>
        </w:rPr>
      </w:pPr>
      <w:r>
        <w:rPr>
          <w:b/>
          <w:bCs/>
          <w:sz w:val="20"/>
          <w:szCs w:val="20"/>
        </w:rPr>
        <w:t>ITEM 6.   EXHIBITS</w:t>
      </w:r>
    </w:p>
    <w:p w14:paraId="76201C44" w14:textId="77777777" w:rsidR="00000000" w:rsidRDefault="00097612">
      <w:pPr>
        <w:pStyle w:val="a3"/>
        <w:spacing w:before="0" w:beforeAutospacing="0" w:after="0" w:afterAutospacing="0"/>
        <w:divId w:val="73400840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
        <w:gridCol w:w="204"/>
        <w:gridCol w:w="3822"/>
        <w:gridCol w:w="204"/>
        <w:gridCol w:w="1027"/>
        <w:gridCol w:w="205"/>
        <w:gridCol w:w="995"/>
        <w:gridCol w:w="205"/>
        <w:gridCol w:w="1068"/>
      </w:tblGrid>
      <w:tr w:rsidR="00000000" w14:paraId="1AF7836C" w14:textId="77777777">
        <w:trPr>
          <w:divId w:val="734008403"/>
          <w:trHeight w:val="20"/>
        </w:trPr>
        <w:tc>
          <w:tcPr>
            <w:tcW w:w="349" w:type="pct"/>
            <w:tcMar>
              <w:top w:w="0" w:type="dxa"/>
              <w:left w:w="0" w:type="dxa"/>
              <w:bottom w:w="0" w:type="dxa"/>
              <w:right w:w="0" w:type="dxa"/>
            </w:tcMar>
            <w:vAlign w:val="bottom"/>
            <w:hideMark/>
          </w:tcPr>
          <w:p w14:paraId="48E94EAB" w14:textId="77777777" w:rsidR="00000000" w:rsidRDefault="00097612">
            <w:pPr>
              <w:rPr>
                <w:sz w:val="20"/>
                <w:szCs w:val="20"/>
              </w:rPr>
            </w:pPr>
          </w:p>
        </w:tc>
        <w:tc>
          <w:tcPr>
            <w:tcW w:w="125" w:type="pct"/>
            <w:tcMar>
              <w:top w:w="0" w:type="dxa"/>
              <w:left w:w="0" w:type="dxa"/>
              <w:bottom w:w="0" w:type="dxa"/>
              <w:right w:w="0" w:type="dxa"/>
            </w:tcMar>
            <w:vAlign w:val="bottom"/>
            <w:hideMark/>
          </w:tcPr>
          <w:p w14:paraId="397BDA9A" w14:textId="77777777" w:rsidR="00000000" w:rsidRDefault="00097612">
            <w:pPr>
              <w:rPr>
                <w:rFonts w:eastAsia="Times New Roman"/>
                <w:sz w:val="20"/>
                <w:szCs w:val="20"/>
              </w:rPr>
            </w:pPr>
          </w:p>
        </w:tc>
        <w:tc>
          <w:tcPr>
            <w:tcW w:w="2303" w:type="pct"/>
            <w:tcMar>
              <w:top w:w="0" w:type="dxa"/>
              <w:left w:w="0" w:type="dxa"/>
              <w:bottom w:w="0" w:type="dxa"/>
              <w:right w:w="0" w:type="dxa"/>
            </w:tcMar>
            <w:vAlign w:val="bottom"/>
            <w:hideMark/>
          </w:tcPr>
          <w:p w14:paraId="5F7E0FAC" w14:textId="77777777" w:rsidR="00000000" w:rsidRDefault="00097612">
            <w:pPr>
              <w:rPr>
                <w:rFonts w:eastAsia="Times New Roman"/>
                <w:sz w:val="20"/>
                <w:szCs w:val="20"/>
              </w:rPr>
            </w:pPr>
          </w:p>
        </w:tc>
        <w:tc>
          <w:tcPr>
            <w:tcW w:w="125" w:type="pct"/>
            <w:tcMar>
              <w:top w:w="0" w:type="dxa"/>
              <w:left w:w="0" w:type="dxa"/>
              <w:bottom w:w="0" w:type="dxa"/>
              <w:right w:w="0" w:type="dxa"/>
            </w:tcMar>
            <w:vAlign w:val="bottom"/>
            <w:hideMark/>
          </w:tcPr>
          <w:p w14:paraId="022C2F80" w14:textId="77777777" w:rsidR="00000000" w:rsidRDefault="00097612">
            <w:pPr>
              <w:rPr>
                <w:rFonts w:eastAsia="Times New Roman"/>
                <w:sz w:val="20"/>
                <w:szCs w:val="20"/>
              </w:rPr>
            </w:pPr>
          </w:p>
        </w:tc>
        <w:tc>
          <w:tcPr>
            <w:tcW w:w="601" w:type="pct"/>
            <w:tcMar>
              <w:top w:w="0" w:type="dxa"/>
              <w:left w:w="0" w:type="dxa"/>
              <w:bottom w:w="0" w:type="dxa"/>
              <w:right w:w="0" w:type="dxa"/>
            </w:tcMar>
            <w:vAlign w:val="bottom"/>
            <w:hideMark/>
          </w:tcPr>
          <w:p w14:paraId="7426F832" w14:textId="77777777" w:rsidR="00000000" w:rsidRDefault="00097612">
            <w:pPr>
              <w:rPr>
                <w:rFonts w:eastAsia="Times New Roman"/>
                <w:sz w:val="20"/>
                <w:szCs w:val="20"/>
              </w:rPr>
            </w:pPr>
          </w:p>
        </w:tc>
        <w:tc>
          <w:tcPr>
            <w:tcW w:w="125" w:type="pct"/>
            <w:tcMar>
              <w:top w:w="0" w:type="dxa"/>
              <w:left w:w="0" w:type="dxa"/>
              <w:bottom w:w="0" w:type="dxa"/>
              <w:right w:w="0" w:type="dxa"/>
            </w:tcMar>
            <w:vAlign w:val="bottom"/>
            <w:hideMark/>
          </w:tcPr>
          <w:p w14:paraId="160C86F0" w14:textId="77777777" w:rsidR="00000000" w:rsidRDefault="00097612">
            <w:pPr>
              <w:rPr>
                <w:rFonts w:eastAsia="Times New Roman"/>
                <w:sz w:val="20"/>
                <w:szCs w:val="20"/>
              </w:rPr>
            </w:pPr>
          </w:p>
        </w:tc>
        <w:tc>
          <w:tcPr>
            <w:tcW w:w="601" w:type="pct"/>
            <w:tcMar>
              <w:top w:w="0" w:type="dxa"/>
              <w:left w:w="0" w:type="dxa"/>
              <w:bottom w:w="0" w:type="dxa"/>
              <w:right w:w="0" w:type="dxa"/>
            </w:tcMar>
            <w:vAlign w:val="bottom"/>
            <w:hideMark/>
          </w:tcPr>
          <w:p w14:paraId="79A15776" w14:textId="77777777" w:rsidR="00000000" w:rsidRDefault="00097612">
            <w:pPr>
              <w:rPr>
                <w:rFonts w:eastAsia="Times New Roman"/>
                <w:sz w:val="20"/>
                <w:szCs w:val="20"/>
              </w:rPr>
            </w:pPr>
          </w:p>
        </w:tc>
        <w:tc>
          <w:tcPr>
            <w:tcW w:w="125" w:type="pct"/>
            <w:tcMar>
              <w:top w:w="0" w:type="dxa"/>
              <w:left w:w="0" w:type="dxa"/>
              <w:bottom w:w="0" w:type="dxa"/>
              <w:right w:w="0" w:type="dxa"/>
            </w:tcMar>
            <w:vAlign w:val="bottom"/>
            <w:hideMark/>
          </w:tcPr>
          <w:p w14:paraId="3DA54580" w14:textId="77777777" w:rsidR="00000000" w:rsidRDefault="00097612">
            <w:pPr>
              <w:rPr>
                <w:rFonts w:eastAsia="Times New Roman"/>
                <w:sz w:val="20"/>
                <w:szCs w:val="20"/>
              </w:rPr>
            </w:pPr>
          </w:p>
        </w:tc>
        <w:tc>
          <w:tcPr>
            <w:tcW w:w="644" w:type="pct"/>
            <w:tcMar>
              <w:top w:w="0" w:type="dxa"/>
              <w:left w:w="0" w:type="dxa"/>
              <w:bottom w:w="0" w:type="dxa"/>
              <w:right w:w="0" w:type="dxa"/>
            </w:tcMar>
            <w:vAlign w:val="bottom"/>
            <w:hideMark/>
          </w:tcPr>
          <w:p w14:paraId="08680E41" w14:textId="77777777" w:rsidR="00000000" w:rsidRDefault="00097612">
            <w:pPr>
              <w:rPr>
                <w:rFonts w:eastAsia="Times New Roman"/>
                <w:sz w:val="20"/>
                <w:szCs w:val="20"/>
              </w:rPr>
            </w:pPr>
          </w:p>
        </w:tc>
      </w:tr>
      <w:tr w:rsidR="00000000" w14:paraId="53E925CB" w14:textId="77777777">
        <w:trPr>
          <w:divId w:val="734008403"/>
        </w:trPr>
        <w:tc>
          <w:tcPr>
            <w:tcW w:w="349" w:type="pct"/>
            <w:tcMar>
              <w:top w:w="0" w:type="dxa"/>
              <w:left w:w="0" w:type="dxa"/>
              <w:bottom w:w="0" w:type="dxa"/>
              <w:right w:w="0" w:type="dxa"/>
            </w:tcMar>
            <w:vAlign w:val="bottom"/>
            <w:hideMark/>
          </w:tcPr>
          <w:p w14:paraId="2479755E" w14:textId="77777777" w:rsidR="00000000" w:rsidRDefault="00097612">
            <w:pPr>
              <w:pStyle w:val="a3"/>
              <w:spacing w:before="0" w:beforeAutospacing="0" w:after="0" w:afterAutospacing="0"/>
              <w:rPr>
                <w:sz w:val="20"/>
                <w:szCs w:val="20"/>
              </w:rPr>
            </w:pPr>
            <w:r>
              <w:rPr>
                <w:b/>
                <w:bCs/>
                <w:sz w:val="16"/>
                <w:szCs w:val="16"/>
              </w:rPr>
              <w:t>​</w:t>
            </w:r>
          </w:p>
        </w:tc>
        <w:tc>
          <w:tcPr>
            <w:tcW w:w="125" w:type="pct"/>
            <w:tcMar>
              <w:top w:w="0" w:type="dxa"/>
              <w:left w:w="0" w:type="dxa"/>
              <w:bottom w:w="0" w:type="dxa"/>
              <w:right w:w="0" w:type="dxa"/>
            </w:tcMar>
            <w:vAlign w:val="bottom"/>
            <w:hideMark/>
          </w:tcPr>
          <w:p w14:paraId="6298544A" w14:textId="77777777" w:rsidR="00000000" w:rsidRDefault="00097612">
            <w:pPr>
              <w:pStyle w:val="a3"/>
              <w:spacing w:before="0" w:beforeAutospacing="0" w:after="0" w:afterAutospacing="0"/>
              <w:jc w:val="center"/>
              <w:rPr>
                <w:sz w:val="20"/>
                <w:szCs w:val="20"/>
              </w:rPr>
            </w:pPr>
            <w:r>
              <w:rPr>
                <w:b/>
                <w:bCs/>
                <w:sz w:val="16"/>
                <w:szCs w:val="16"/>
              </w:rPr>
              <w:t>​</w:t>
            </w:r>
          </w:p>
        </w:tc>
        <w:tc>
          <w:tcPr>
            <w:tcW w:w="2303" w:type="pct"/>
            <w:tcMar>
              <w:top w:w="0" w:type="dxa"/>
              <w:left w:w="0" w:type="dxa"/>
              <w:bottom w:w="0" w:type="dxa"/>
              <w:right w:w="0" w:type="dxa"/>
            </w:tcMar>
            <w:vAlign w:val="bottom"/>
            <w:hideMark/>
          </w:tcPr>
          <w:p w14:paraId="08E67D1E" w14:textId="77777777" w:rsidR="00000000" w:rsidRDefault="00097612">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14:paraId="0D5AA066" w14:textId="77777777" w:rsidR="00000000" w:rsidRDefault="00097612">
            <w:pPr>
              <w:pStyle w:val="a3"/>
              <w:spacing w:before="0" w:beforeAutospacing="0" w:after="0" w:afterAutospacing="0"/>
              <w:jc w:val="center"/>
              <w:rPr>
                <w:sz w:val="20"/>
                <w:szCs w:val="20"/>
              </w:rPr>
            </w:pPr>
            <w:r>
              <w:rPr>
                <w:b/>
                <w:bCs/>
                <w:sz w:val="16"/>
                <w:szCs w:val="16"/>
              </w:rPr>
              <w:t>​</w:t>
            </w:r>
          </w:p>
        </w:tc>
        <w:tc>
          <w:tcPr>
            <w:tcW w:w="601" w:type="pct"/>
            <w:tcMar>
              <w:top w:w="0" w:type="dxa"/>
              <w:left w:w="0" w:type="dxa"/>
              <w:bottom w:w="0" w:type="dxa"/>
              <w:right w:w="0" w:type="dxa"/>
            </w:tcMar>
            <w:vAlign w:val="bottom"/>
            <w:hideMark/>
          </w:tcPr>
          <w:p w14:paraId="68C81AE1" w14:textId="77777777" w:rsidR="00000000" w:rsidRDefault="00097612">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14:paraId="5FBC21EC" w14:textId="77777777" w:rsidR="00000000" w:rsidRDefault="00097612">
            <w:pPr>
              <w:pStyle w:val="a3"/>
              <w:spacing w:before="0" w:beforeAutospacing="0" w:after="0" w:afterAutospacing="0"/>
              <w:jc w:val="center"/>
              <w:rPr>
                <w:sz w:val="20"/>
                <w:szCs w:val="20"/>
              </w:rPr>
            </w:pPr>
            <w:r>
              <w:rPr>
                <w:b/>
                <w:bCs/>
                <w:sz w:val="16"/>
                <w:szCs w:val="16"/>
              </w:rPr>
              <w:t>​</w:t>
            </w:r>
          </w:p>
        </w:tc>
        <w:tc>
          <w:tcPr>
            <w:tcW w:w="1371" w:type="pct"/>
            <w:gridSpan w:val="3"/>
            <w:tcBorders>
              <w:bottom w:val="single" w:sz="6" w:space="0" w:color="000000"/>
            </w:tcBorders>
            <w:tcMar>
              <w:top w:w="0" w:type="dxa"/>
              <w:left w:w="0" w:type="dxa"/>
              <w:bottom w:w="0" w:type="dxa"/>
              <w:right w:w="0" w:type="dxa"/>
            </w:tcMar>
            <w:vAlign w:val="bottom"/>
            <w:hideMark/>
          </w:tcPr>
          <w:p w14:paraId="4F6E420F" w14:textId="77777777" w:rsidR="00000000" w:rsidRDefault="00097612">
            <w:pPr>
              <w:pStyle w:val="a3"/>
              <w:spacing w:before="0" w:beforeAutospacing="0" w:after="0" w:afterAutospacing="0"/>
              <w:jc w:val="center"/>
              <w:rPr>
                <w:sz w:val="16"/>
                <w:szCs w:val="16"/>
              </w:rPr>
            </w:pPr>
            <w:r>
              <w:rPr>
                <w:b/>
                <w:bCs/>
                <w:sz w:val="16"/>
                <w:szCs w:val="16"/>
              </w:rPr>
              <w:t>Incorporated by Reference</w:t>
            </w:r>
          </w:p>
        </w:tc>
      </w:tr>
      <w:tr w:rsidR="00000000" w14:paraId="1F4CBC99" w14:textId="77777777">
        <w:trPr>
          <w:divId w:val="734008403"/>
        </w:trPr>
        <w:tc>
          <w:tcPr>
            <w:tcW w:w="349" w:type="pct"/>
            <w:tcBorders>
              <w:bottom w:val="single" w:sz="6" w:space="0" w:color="000000"/>
            </w:tcBorders>
            <w:tcMar>
              <w:top w:w="0" w:type="dxa"/>
              <w:left w:w="0" w:type="dxa"/>
              <w:bottom w:w="0" w:type="dxa"/>
              <w:right w:w="0" w:type="dxa"/>
            </w:tcMar>
            <w:vAlign w:val="bottom"/>
            <w:hideMark/>
          </w:tcPr>
          <w:p w14:paraId="325BCF9D" w14:textId="77777777" w:rsidR="00000000" w:rsidRDefault="00097612">
            <w:pPr>
              <w:pStyle w:val="a3"/>
              <w:spacing w:before="0" w:beforeAutospacing="0" w:after="0" w:afterAutospacing="0"/>
              <w:jc w:val="center"/>
              <w:rPr>
                <w:sz w:val="16"/>
                <w:szCs w:val="16"/>
              </w:rPr>
            </w:pPr>
            <w:r>
              <w:rPr>
                <w:b/>
                <w:bCs/>
                <w:sz w:val="16"/>
                <w:szCs w:val="16"/>
              </w:rPr>
              <w:t>Exhibit</w:t>
            </w:r>
            <w:r>
              <w:rPr>
                <w:sz w:val="16"/>
                <w:szCs w:val="16"/>
              </w:rPr>
              <w:br/>
            </w:r>
            <w:r>
              <w:rPr>
                <w:b/>
                <w:bCs/>
                <w:sz w:val="16"/>
                <w:szCs w:val="16"/>
              </w:rPr>
              <w:t>Number</w:t>
            </w:r>
          </w:p>
        </w:tc>
        <w:tc>
          <w:tcPr>
            <w:tcW w:w="125" w:type="pct"/>
            <w:tcMar>
              <w:top w:w="0" w:type="dxa"/>
              <w:left w:w="0" w:type="dxa"/>
              <w:bottom w:w="0" w:type="dxa"/>
              <w:right w:w="0" w:type="dxa"/>
            </w:tcMar>
            <w:vAlign w:val="bottom"/>
            <w:hideMark/>
          </w:tcPr>
          <w:p w14:paraId="07387EF9" w14:textId="77777777" w:rsidR="00000000" w:rsidRDefault="00097612">
            <w:pPr>
              <w:pStyle w:val="a3"/>
              <w:spacing w:before="0" w:beforeAutospacing="0" w:after="0" w:afterAutospacing="0"/>
              <w:rPr>
                <w:sz w:val="16"/>
                <w:szCs w:val="16"/>
              </w:rPr>
            </w:pPr>
            <w:r>
              <w:rPr>
                <w:b/>
                <w:bCs/>
                <w:sz w:val="16"/>
                <w:szCs w:val="16"/>
              </w:rPr>
              <w:t>    </w:t>
            </w:r>
          </w:p>
        </w:tc>
        <w:tc>
          <w:tcPr>
            <w:tcW w:w="2303" w:type="pct"/>
            <w:tcBorders>
              <w:bottom w:val="single" w:sz="6" w:space="0" w:color="000000"/>
            </w:tcBorders>
            <w:tcMar>
              <w:top w:w="0" w:type="dxa"/>
              <w:left w:w="0" w:type="dxa"/>
              <w:bottom w:w="0" w:type="dxa"/>
              <w:right w:w="0" w:type="dxa"/>
            </w:tcMar>
            <w:vAlign w:val="bottom"/>
            <w:hideMark/>
          </w:tcPr>
          <w:p w14:paraId="1D6BCE22" w14:textId="77777777" w:rsidR="00000000" w:rsidRDefault="00097612">
            <w:pPr>
              <w:pStyle w:val="a3"/>
              <w:spacing w:before="0" w:beforeAutospacing="0" w:after="0" w:afterAutospacing="0"/>
              <w:jc w:val="center"/>
              <w:rPr>
                <w:sz w:val="16"/>
                <w:szCs w:val="16"/>
              </w:rPr>
            </w:pPr>
            <w:r>
              <w:rPr>
                <w:b/>
                <w:bCs/>
                <w:sz w:val="16"/>
                <w:szCs w:val="16"/>
              </w:rPr>
              <w:t>Exhibit Description</w:t>
            </w:r>
          </w:p>
        </w:tc>
        <w:tc>
          <w:tcPr>
            <w:tcW w:w="125" w:type="pct"/>
            <w:tcMar>
              <w:top w:w="0" w:type="dxa"/>
              <w:left w:w="0" w:type="dxa"/>
              <w:bottom w:w="0" w:type="dxa"/>
              <w:right w:w="0" w:type="dxa"/>
            </w:tcMar>
            <w:vAlign w:val="bottom"/>
            <w:hideMark/>
          </w:tcPr>
          <w:p w14:paraId="4BCFA041" w14:textId="77777777" w:rsidR="00000000" w:rsidRDefault="00097612">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14:paraId="7743B666" w14:textId="77777777" w:rsidR="00000000" w:rsidRDefault="00097612">
            <w:pPr>
              <w:pStyle w:val="a3"/>
              <w:spacing w:before="0" w:beforeAutospacing="0" w:after="0" w:afterAutospacing="0"/>
              <w:jc w:val="center"/>
              <w:rPr>
                <w:sz w:val="16"/>
                <w:szCs w:val="16"/>
              </w:rPr>
            </w:pPr>
            <w:r>
              <w:rPr>
                <w:b/>
                <w:bCs/>
                <w:sz w:val="16"/>
                <w:szCs w:val="16"/>
              </w:rPr>
              <w:t>Filed Herewith</w:t>
            </w:r>
          </w:p>
        </w:tc>
        <w:tc>
          <w:tcPr>
            <w:tcW w:w="125" w:type="pct"/>
            <w:tcMar>
              <w:top w:w="0" w:type="dxa"/>
              <w:left w:w="0" w:type="dxa"/>
              <w:bottom w:w="0" w:type="dxa"/>
              <w:right w:w="0" w:type="dxa"/>
            </w:tcMar>
            <w:vAlign w:val="bottom"/>
            <w:hideMark/>
          </w:tcPr>
          <w:p w14:paraId="7BB9709F" w14:textId="77777777" w:rsidR="00000000" w:rsidRDefault="00097612">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14:paraId="1422707C" w14:textId="77777777" w:rsidR="00000000" w:rsidRDefault="00097612">
            <w:pPr>
              <w:pStyle w:val="a3"/>
              <w:spacing w:before="0" w:beforeAutospacing="0" w:after="0" w:afterAutospacing="0"/>
              <w:jc w:val="center"/>
              <w:rPr>
                <w:sz w:val="16"/>
                <w:szCs w:val="16"/>
              </w:rPr>
            </w:pPr>
            <w:r>
              <w:rPr>
                <w:b/>
                <w:bCs/>
                <w:sz w:val="16"/>
                <w:szCs w:val="16"/>
              </w:rPr>
              <w:t>Form</w:t>
            </w:r>
          </w:p>
        </w:tc>
        <w:tc>
          <w:tcPr>
            <w:tcW w:w="125" w:type="pct"/>
            <w:tcMar>
              <w:top w:w="0" w:type="dxa"/>
              <w:left w:w="0" w:type="dxa"/>
              <w:bottom w:w="0" w:type="dxa"/>
              <w:right w:w="0" w:type="dxa"/>
            </w:tcMar>
            <w:vAlign w:val="bottom"/>
            <w:hideMark/>
          </w:tcPr>
          <w:p w14:paraId="08420E1B" w14:textId="77777777" w:rsidR="00000000" w:rsidRDefault="00097612">
            <w:pPr>
              <w:pStyle w:val="a3"/>
              <w:spacing w:before="0" w:beforeAutospacing="0" w:after="0" w:afterAutospacing="0"/>
              <w:rPr>
                <w:sz w:val="16"/>
                <w:szCs w:val="16"/>
              </w:rPr>
            </w:pPr>
            <w:r>
              <w:rPr>
                <w:b/>
                <w:bCs/>
                <w:sz w:val="16"/>
                <w:szCs w:val="16"/>
              </w:rPr>
              <w:t>    </w:t>
            </w:r>
          </w:p>
        </w:tc>
        <w:tc>
          <w:tcPr>
            <w:tcW w:w="644" w:type="pct"/>
            <w:tcBorders>
              <w:bottom w:val="single" w:sz="6" w:space="0" w:color="000000"/>
            </w:tcBorders>
            <w:tcMar>
              <w:top w:w="0" w:type="dxa"/>
              <w:left w:w="0" w:type="dxa"/>
              <w:bottom w:w="0" w:type="dxa"/>
              <w:right w:w="0" w:type="dxa"/>
            </w:tcMar>
            <w:vAlign w:val="bottom"/>
            <w:hideMark/>
          </w:tcPr>
          <w:p w14:paraId="6923D91A" w14:textId="77777777" w:rsidR="00000000" w:rsidRDefault="00097612">
            <w:pPr>
              <w:pStyle w:val="a3"/>
              <w:spacing w:before="0" w:beforeAutospacing="0" w:after="0" w:afterAutospacing="0"/>
              <w:jc w:val="center"/>
              <w:rPr>
                <w:sz w:val="16"/>
                <w:szCs w:val="16"/>
              </w:rPr>
            </w:pPr>
            <w:r>
              <w:rPr>
                <w:b/>
                <w:bCs/>
                <w:sz w:val="16"/>
                <w:szCs w:val="16"/>
              </w:rPr>
              <w:t>Filing</w:t>
            </w:r>
            <w:r>
              <w:rPr>
                <w:sz w:val="16"/>
                <w:szCs w:val="16"/>
              </w:rPr>
              <w:br/>
            </w:r>
            <w:r>
              <w:rPr>
                <w:b/>
                <w:bCs/>
                <w:sz w:val="16"/>
                <w:szCs w:val="16"/>
              </w:rPr>
              <w:t>Date/Period</w:t>
            </w:r>
            <w:r>
              <w:rPr>
                <w:sz w:val="16"/>
                <w:szCs w:val="16"/>
              </w:rPr>
              <w:br/>
            </w:r>
            <w:r>
              <w:rPr>
                <w:b/>
                <w:bCs/>
                <w:sz w:val="16"/>
                <w:szCs w:val="16"/>
              </w:rPr>
              <w:t>End Date</w:t>
            </w:r>
          </w:p>
        </w:tc>
      </w:tr>
      <w:tr w:rsidR="00000000" w14:paraId="000E7516" w14:textId="77777777">
        <w:trPr>
          <w:divId w:val="734008403"/>
        </w:trPr>
        <w:tc>
          <w:tcPr>
            <w:tcW w:w="349" w:type="pct"/>
            <w:tcMar>
              <w:top w:w="0" w:type="dxa"/>
              <w:left w:w="0" w:type="dxa"/>
              <w:bottom w:w="0" w:type="dxa"/>
              <w:right w:w="0" w:type="dxa"/>
            </w:tcMar>
            <w:vAlign w:val="bottom"/>
            <w:hideMark/>
          </w:tcPr>
          <w:p w14:paraId="5DEC009D" w14:textId="77777777" w:rsidR="00000000" w:rsidRDefault="00097612">
            <w:pPr>
              <w:pStyle w:val="a3"/>
              <w:spacing w:before="0" w:beforeAutospacing="0" w:after="0" w:afterAutospacing="0"/>
              <w:rPr>
                <w:sz w:val="20"/>
                <w:szCs w:val="20"/>
              </w:rPr>
            </w:pPr>
            <w:r>
              <w:rPr>
                <w:b/>
                <w:bCs/>
                <w:sz w:val="20"/>
                <w:szCs w:val="20"/>
              </w:rPr>
              <w:t>​</w:t>
            </w:r>
          </w:p>
        </w:tc>
        <w:tc>
          <w:tcPr>
            <w:tcW w:w="125" w:type="pct"/>
            <w:tcMar>
              <w:top w:w="0" w:type="dxa"/>
              <w:left w:w="0" w:type="dxa"/>
              <w:bottom w:w="0" w:type="dxa"/>
              <w:right w:w="0" w:type="dxa"/>
            </w:tcMar>
            <w:vAlign w:val="bottom"/>
            <w:hideMark/>
          </w:tcPr>
          <w:p w14:paraId="41E0685E" w14:textId="77777777" w:rsidR="00000000" w:rsidRDefault="00097612">
            <w:pPr>
              <w:pStyle w:val="a3"/>
              <w:spacing w:before="0" w:beforeAutospacing="0" w:after="0" w:afterAutospacing="0"/>
              <w:jc w:val="center"/>
              <w:rPr>
                <w:sz w:val="20"/>
                <w:szCs w:val="20"/>
              </w:rPr>
            </w:pPr>
            <w:r>
              <w:rPr>
                <w:b/>
                <w:bCs/>
                <w:sz w:val="20"/>
                <w:szCs w:val="20"/>
              </w:rPr>
              <w:t>​</w:t>
            </w:r>
          </w:p>
        </w:tc>
        <w:tc>
          <w:tcPr>
            <w:tcW w:w="2303" w:type="pct"/>
            <w:tcMar>
              <w:top w:w="0" w:type="dxa"/>
              <w:left w:w="0" w:type="dxa"/>
              <w:bottom w:w="0" w:type="dxa"/>
              <w:right w:w="0" w:type="dxa"/>
            </w:tcMar>
            <w:vAlign w:val="bottom"/>
            <w:hideMark/>
          </w:tcPr>
          <w:p w14:paraId="5910B61D" w14:textId="77777777" w:rsidR="00000000" w:rsidRDefault="00097612">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14:paraId="712759D0" w14:textId="77777777" w:rsidR="00000000" w:rsidRDefault="00097612">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14:paraId="0DAD7441" w14:textId="77777777" w:rsidR="00000000" w:rsidRDefault="00097612">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14:paraId="5251A679" w14:textId="77777777" w:rsidR="00000000" w:rsidRDefault="00097612">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14:paraId="216C4707" w14:textId="77777777" w:rsidR="00000000" w:rsidRDefault="00097612">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14:paraId="51ED8D91" w14:textId="77777777" w:rsidR="00000000" w:rsidRDefault="00097612">
            <w:pPr>
              <w:pStyle w:val="a3"/>
              <w:spacing w:before="0" w:beforeAutospacing="0" w:after="0" w:afterAutospacing="0"/>
              <w:jc w:val="center"/>
              <w:rPr>
                <w:sz w:val="20"/>
                <w:szCs w:val="20"/>
              </w:rPr>
            </w:pPr>
            <w:r>
              <w:rPr>
                <w:b/>
                <w:bCs/>
                <w:sz w:val="20"/>
                <w:szCs w:val="20"/>
              </w:rPr>
              <w:t>​</w:t>
            </w:r>
          </w:p>
        </w:tc>
        <w:tc>
          <w:tcPr>
            <w:tcW w:w="644" w:type="pct"/>
            <w:tcMar>
              <w:top w:w="0" w:type="dxa"/>
              <w:left w:w="0" w:type="dxa"/>
              <w:bottom w:w="0" w:type="dxa"/>
              <w:right w:w="0" w:type="dxa"/>
            </w:tcMar>
            <w:vAlign w:val="bottom"/>
            <w:hideMark/>
          </w:tcPr>
          <w:p w14:paraId="215CCC18" w14:textId="77777777" w:rsidR="00000000" w:rsidRDefault="00097612">
            <w:pPr>
              <w:pStyle w:val="a3"/>
              <w:spacing w:before="0" w:beforeAutospacing="0" w:after="0" w:afterAutospacing="0"/>
              <w:jc w:val="center"/>
              <w:rPr>
                <w:sz w:val="20"/>
                <w:szCs w:val="20"/>
              </w:rPr>
            </w:pPr>
            <w:r>
              <w:rPr>
                <w:b/>
                <w:bCs/>
                <w:sz w:val="20"/>
                <w:szCs w:val="20"/>
              </w:rPr>
              <w:t>​</w:t>
            </w:r>
          </w:p>
        </w:tc>
      </w:tr>
      <w:tr w:rsidR="00000000" w14:paraId="5EC83A67" w14:textId="77777777">
        <w:trPr>
          <w:divId w:val="734008403"/>
        </w:trPr>
        <w:tc>
          <w:tcPr>
            <w:tcW w:w="349" w:type="pct"/>
            <w:tcMar>
              <w:top w:w="0" w:type="dxa"/>
              <w:left w:w="0" w:type="dxa"/>
              <w:bottom w:w="0" w:type="dxa"/>
              <w:right w:w="0" w:type="dxa"/>
            </w:tcMar>
            <w:hideMark/>
          </w:tcPr>
          <w:p w14:paraId="45AE8198" w14:textId="77777777" w:rsidR="00000000" w:rsidRDefault="00097612">
            <w:pPr>
              <w:pStyle w:val="a3"/>
              <w:spacing w:before="0" w:beforeAutospacing="0" w:after="0" w:afterAutospacing="0"/>
              <w:ind w:hanging="202"/>
              <w:jc w:val="right"/>
              <w:rPr>
                <w:sz w:val="20"/>
                <w:szCs w:val="20"/>
              </w:rPr>
            </w:pPr>
            <w:r>
              <w:rPr>
                <w:sz w:val="20"/>
                <w:szCs w:val="20"/>
              </w:rPr>
              <w:t>31.1</w:t>
            </w:r>
          </w:p>
        </w:tc>
        <w:tc>
          <w:tcPr>
            <w:tcW w:w="125" w:type="pct"/>
            <w:tcMar>
              <w:top w:w="0" w:type="dxa"/>
              <w:left w:w="0" w:type="dxa"/>
              <w:bottom w:w="0" w:type="dxa"/>
              <w:right w:w="0" w:type="dxa"/>
            </w:tcMar>
            <w:vAlign w:val="bottom"/>
            <w:hideMark/>
          </w:tcPr>
          <w:p w14:paraId="52AE6B54" w14:textId="77777777" w:rsidR="00000000" w:rsidRDefault="00097612">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08584518" w14:textId="77777777" w:rsidR="00000000" w:rsidRDefault="00097612">
            <w:pPr>
              <w:pStyle w:val="a3"/>
              <w:spacing w:before="0" w:beforeAutospacing="0" w:after="0" w:afterAutospacing="0"/>
              <w:rPr>
                <w:sz w:val="20"/>
                <w:szCs w:val="20"/>
              </w:rPr>
            </w:pPr>
            <w:hyperlink r:id="rId4" w:history="1">
              <w:r>
                <w:rPr>
                  <w:rStyle w:val="a4"/>
                  <w:sz w:val="20"/>
                  <w:szCs w:val="20"/>
                </w:rPr>
                <w:t>Certification of Chief Executive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14:paraId="3D5F5973"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0DF75F4E" w14:textId="77777777" w:rsidR="00000000" w:rsidRDefault="00097612">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660FF499"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0D277371" w14:textId="77777777" w:rsidR="00000000" w:rsidRDefault="00097612">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3D847212" w14:textId="77777777" w:rsidR="00000000" w:rsidRDefault="00097612">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1D18E2F9" w14:textId="77777777" w:rsidR="00000000" w:rsidRDefault="00097612">
            <w:pPr>
              <w:pStyle w:val="a3"/>
              <w:spacing w:before="0" w:beforeAutospacing="0" w:after="0" w:afterAutospacing="0"/>
              <w:jc w:val="right"/>
              <w:rPr>
                <w:sz w:val="20"/>
                <w:szCs w:val="20"/>
              </w:rPr>
            </w:pPr>
            <w:r>
              <w:rPr>
                <w:sz w:val="20"/>
                <w:szCs w:val="20"/>
              </w:rPr>
              <w:t>​</w:t>
            </w:r>
          </w:p>
        </w:tc>
      </w:tr>
      <w:tr w:rsidR="00000000" w14:paraId="0D833BF0" w14:textId="77777777">
        <w:trPr>
          <w:divId w:val="734008403"/>
        </w:trPr>
        <w:tc>
          <w:tcPr>
            <w:tcW w:w="349" w:type="pct"/>
            <w:tcMar>
              <w:top w:w="0" w:type="dxa"/>
              <w:left w:w="0" w:type="dxa"/>
              <w:bottom w:w="0" w:type="dxa"/>
              <w:right w:w="0" w:type="dxa"/>
            </w:tcMar>
            <w:hideMark/>
          </w:tcPr>
          <w:p w14:paraId="42757A5A" w14:textId="77777777" w:rsidR="00000000" w:rsidRDefault="00097612">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14:paraId="2FE3AEFB" w14:textId="77777777" w:rsidR="00000000" w:rsidRDefault="00097612">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4CBC9652" w14:textId="77777777" w:rsidR="00000000" w:rsidRDefault="00097612">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14:paraId="79DF9809"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11D87FB8" w14:textId="77777777" w:rsidR="00000000" w:rsidRDefault="00097612">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14:paraId="39A85F6E"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0B61D189" w14:textId="77777777" w:rsidR="00000000" w:rsidRDefault="00097612">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42B02EB0" w14:textId="77777777" w:rsidR="00000000" w:rsidRDefault="00097612">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7BFBFF6F" w14:textId="77777777" w:rsidR="00000000" w:rsidRDefault="00097612">
            <w:pPr>
              <w:pStyle w:val="a3"/>
              <w:spacing w:before="0" w:beforeAutospacing="0" w:after="0" w:afterAutospacing="0"/>
              <w:jc w:val="right"/>
              <w:rPr>
                <w:sz w:val="20"/>
                <w:szCs w:val="20"/>
              </w:rPr>
            </w:pPr>
            <w:r>
              <w:rPr>
                <w:sz w:val="20"/>
                <w:szCs w:val="20"/>
              </w:rPr>
              <w:t>​</w:t>
            </w:r>
          </w:p>
        </w:tc>
      </w:tr>
      <w:tr w:rsidR="00000000" w14:paraId="6BF099BE" w14:textId="77777777">
        <w:trPr>
          <w:divId w:val="734008403"/>
        </w:trPr>
        <w:tc>
          <w:tcPr>
            <w:tcW w:w="349" w:type="pct"/>
            <w:tcMar>
              <w:top w:w="0" w:type="dxa"/>
              <w:left w:w="0" w:type="dxa"/>
              <w:bottom w:w="0" w:type="dxa"/>
              <w:right w:w="0" w:type="dxa"/>
            </w:tcMar>
            <w:hideMark/>
          </w:tcPr>
          <w:p w14:paraId="7E9F2E57" w14:textId="77777777" w:rsidR="00000000" w:rsidRDefault="00097612">
            <w:pPr>
              <w:pStyle w:val="a3"/>
              <w:spacing w:before="0" w:beforeAutospacing="0" w:after="0" w:afterAutospacing="0"/>
              <w:ind w:hanging="202"/>
              <w:jc w:val="right"/>
              <w:rPr>
                <w:sz w:val="20"/>
                <w:szCs w:val="20"/>
              </w:rPr>
            </w:pPr>
            <w:r>
              <w:rPr>
                <w:sz w:val="20"/>
                <w:szCs w:val="20"/>
              </w:rPr>
              <w:t>31.2</w:t>
            </w:r>
          </w:p>
        </w:tc>
        <w:tc>
          <w:tcPr>
            <w:tcW w:w="125" w:type="pct"/>
            <w:tcMar>
              <w:top w:w="0" w:type="dxa"/>
              <w:left w:w="0" w:type="dxa"/>
              <w:bottom w:w="0" w:type="dxa"/>
              <w:right w:w="0" w:type="dxa"/>
            </w:tcMar>
            <w:vAlign w:val="bottom"/>
            <w:hideMark/>
          </w:tcPr>
          <w:p w14:paraId="3BC1BCBC" w14:textId="77777777" w:rsidR="00000000" w:rsidRDefault="00097612">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12725F54" w14:textId="77777777" w:rsidR="00000000" w:rsidRDefault="00097612">
            <w:pPr>
              <w:pStyle w:val="a3"/>
              <w:spacing w:before="0" w:beforeAutospacing="0" w:after="0" w:afterAutospacing="0"/>
              <w:rPr>
                <w:sz w:val="20"/>
                <w:szCs w:val="20"/>
              </w:rPr>
            </w:pPr>
            <w:hyperlink r:id="rId5" w:history="1">
              <w:r>
                <w:rPr>
                  <w:rStyle w:val="a4"/>
                  <w:sz w:val="20"/>
                  <w:szCs w:val="20"/>
                </w:rPr>
                <w:t>Certification of Chief Financial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14:paraId="48BFC3A0"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7FC0AE1C" w14:textId="77777777" w:rsidR="00000000" w:rsidRDefault="00097612">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1DE451F9"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5B298337" w14:textId="77777777" w:rsidR="00000000" w:rsidRDefault="00097612">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629BB2F0" w14:textId="77777777" w:rsidR="00000000" w:rsidRDefault="00097612">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0A2C98DA" w14:textId="77777777" w:rsidR="00000000" w:rsidRDefault="00097612">
            <w:pPr>
              <w:pStyle w:val="a3"/>
              <w:spacing w:before="0" w:beforeAutospacing="0" w:after="0" w:afterAutospacing="0"/>
              <w:jc w:val="right"/>
              <w:rPr>
                <w:sz w:val="20"/>
                <w:szCs w:val="20"/>
              </w:rPr>
            </w:pPr>
            <w:r>
              <w:rPr>
                <w:sz w:val="20"/>
                <w:szCs w:val="20"/>
              </w:rPr>
              <w:t>​</w:t>
            </w:r>
          </w:p>
        </w:tc>
      </w:tr>
      <w:tr w:rsidR="00000000" w14:paraId="4B0C826F" w14:textId="77777777">
        <w:trPr>
          <w:divId w:val="734008403"/>
        </w:trPr>
        <w:tc>
          <w:tcPr>
            <w:tcW w:w="349" w:type="pct"/>
            <w:tcMar>
              <w:top w:w="0" w:type="dxa"/>
              <w:left w:w="0" w:type="dxa"/>
              <w:bottom w:w="0" w:type="dxa"/>
              <w:right w:w="0" w:type="dxa"/>
            </w:tcMar>
            <w:hideMark/>
          </w:tcPr>
          <w:p w14:paraId="0846F0DC" w14:textId="77777777" w:rsidR="00000000" w:rsidRDefault="00097612">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14:paraId="2492CB84" w14:textId="77777777" w:rsidR="00000000" w:rsidRDefault="00097612">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2E964525" w14:textId="77777777" w:rsidR="00000000" w:rsidRDefault="00097612">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14:paraId="55E76D23"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2A52C99C" w14:textId="77777777" w:rsidR="00000000" w:rsidRDefault="00097612">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14:paraId="450D1CBF"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23149245" w14:textId="77777777" w:rsidR="00000000" w:rsidRDefault="00097612">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673C3476" w14:textId="77777777" w:rsidR="00000000" w:rsidRDefault="00097612">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0BB57314" w14:textId="77777777" w:rsidR="00000000" w:rsidRDefault="00097612">
            <w:pPr>
              <w:pStyle w:val="a3"/>
              <w:spacing w:before="0" w:beforeAutospacing="0" w:after="0" w:afterAutospacing="0"/>
              <w:jc w:val="right"/>
              <w:rPr>
                <w:sz w:val="20"/>
                <w:szCs w:val="20"/>
              </w:rPr>
            </w:pPr>
            <w:r>
              <w:rPr>
                <w:sz w:val="20"/>
                <w:szCs w:val="20"/>
              </w:rPr>
              <w:t>​</w:t>
            </w:r>
          </w:p>
        </w:tc>
      </w:tr>
      <w:tr w:rsidR="00000000" w14:paraId="5A64E87A" w14:textId="77777777">
        <w:trPr>
          <w:divId w:val="734008403"/>
        </w:trPr>
        <w:tc>
          <w:tcPr>
            <w:tcW w:w="349" w:type="pct"/>
            <w:tcMar>
              <w:top w:w="0" w:type="dxa"/>
              <w:left w:w="0" w:type="dxa"/>
              <w:bottom w:w="0" w:type="dxa"/>
              <w:right w:w="0" w:type="dxa"/>
            </w:tcMar>
            <w:hideMark/>
          </w:tcPr>
          <w:p w14:paraId="39F4B0B2" w14:textId="77777777" w:rsidR="00000000" w:rsidRDefault="00097612">
            <w:pPr>
              <w:pStyle w:val="a3"/>
              <w:spacing w:before="0" w:beforeAutospacing="0" w:after="0" w:afterAutospacing="0"/>
              <w:ind w:hanging="202"/>
              <w:jc w:val="right"/>
              <w:rPr>
                <w:sz w:val="20"/>
                <w:szCs w:val="20"/>
              </w:rPr>
            </w:pPr>
            <w:r>
              <w:rPr>
                <w:sz w:val="20"/>
                <w:szCs w:val="20"/>
              </w:rPr>
              <w:t>32(1)</w:t>
            </w:r>
          </w:p>
        </w:tc>
        <w:tc>
          <w:tcPr>
            <w:tcW w:w="125" w:type="pct"/>
            <w:tcMar>
              <w:top w:w="0" w:type="dxa"/>
              <w:left w:w="0" w:type="dxa"/>
              <w:bottom w:w="0" w:type="dxa"/>
              <w:right w:w="0" w:type="dxa"/>
            </w:tcMar>
            <w:vAlign w:val="bottom"/>
            <w:hideMark/>
          </w:tcPr>
          <w:p w14:paraId="7B2B645E" w14:textId="77777777" w:rsidR="00000000" w:rsidRDefault="00097612">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4AB663D5" w14:textId="77777777" w:rsidR="00000000" w:rsidRDefault="00097612">
            <w:pPr>
              <w:pStyle w:val="a3"/>
              <w:spacing w:before="0" w:beforeAutospacing="0" w:after="0" w:afterAutospacing="0"/>
              <w:rPr>
                <w:sz w:val="20"/>
                <w:szCs w:val="20"/>
              </w:rPr>
            </w:pPr>
            <w:hyperlink r:id="rId6" w:history="1">
              <w:r>
                <w:rPr>
                  <w:rStyle w:val="a4"/>
                  <w:sz w:val="20"/>
                  <w:szCs w:val="20"/>
                </w:rPr>
                <w:t>Certifications Pursuant to 18 U.S.C. Section 1350</w:t>
              </w:r>
            </w:hyperlink>
          </w:p>
        </w:tc>
        <w:tc>
          <w:tcPr>
            <w:tcW w:w="125" w:type="pct"/>
            <w:tcMar>
              <w:top w:w="0" w:type="dxa"/>
              <w:left w:w="0" w:type="dxa"/>
              <w:bottom w:w="0" w:type="dxa"/>
              <w:right w:w="0" w:type="dxa"/>
            </w:tcMar>
            <w:vAlign w:val="bottom"/>
            <w:hideMark/>
          </w:tcPr>
          <w:p w14:paraId="5220BB9E"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4CCA830D" w14:textId="77777777" w:rsidR="00000000" w:rsidRDefault="00097612">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10125DB8"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2BA22713" w14:textId="77777777" w:rsidR="00000000" w:rsidRDefault="00097612">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06C1C578" w14:textId="77777777" w:rsidR="00000000" w:rsidRDefault="00097612">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52C13D99" w14:textId="77777777" w:rsidR="00000000" w:rsidRDefault="00097612">
            <w:pPr>
              <w:pStyle w:val="a3"/>
              <w:spacing w:before="0" w:beforeAutospacing="0" w:after="0" w:afterAutospacing="0"/>
              <w:jc w:val="right"/>
              <w:rPr>
                <w:sz w:val="20"/>
                <w:szCs w:val="20"/>
              </w:rPr>
            </w:pPr>
            <w:r>
              <w:rPr>
                <w:sz w:val="20"/>
                <w:szCs w:val="20"/>
              </w:rPr>
              <w:t>​</w:t>
            </w:r>
          </w:p>
        </w:tc>
      </w:tr>
      <w:tr w:rsidR="00000000" w14:paraId="442D3D68" w14:textId="77777777">
        <w:trPr>
          <w:divId w:val="734008403"/>
        </w:trPr>
        <w:tc>
          <w:tcPr>
            <w:tcW w:w="349" w:type="pct"/>
            <w:tcMar>
              <w:top w:w="0" w:type="dxa"/>
              <w:left w:w="0" w:type="dxa"/>
              <w:bottom w:w="0" w:type="dxa"/>
              <w:right w:w="0" w:type="dxa"/>
            </w:tcMar>
            <w:hideMark/>
          </w:tcPr>
          <w:p w14:paraId="6C377E9D" w14:textId="77777777" w:rsidR="00000000" w:rsidRDefault="00097612">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14:paraId="28013543" w14:textId="77777777" w:rsidR="00000000" w:rsidRDefault="00097612">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5165184A" w14:textId="77777777" w:rsidR="00000000" w:rsidRDefault="00097612">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14:paraId="2E61BDA1"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76B48ECB" w14:textId="77777777" w:rsidR="00000000" w:rsidRDefault="00097612">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14:paraId="07D702A0"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5E8C77C9" w14:textId="77777777" w:rsidR="00000000" w:rsidRDefault="00097612">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4DDC34AF" w14:textId="77777777" w:rsidR="00000000" w:rsidRDefault="00097612">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13DDEF2D" w14:textId="77777777" w:rsidR="00000000" w:rsidRDefault="00097612">
            <w:pPr>
              <w:pStyle w:val="a3"/>
              <w:spacing w:before="0" w:beforeAutospacing="0" w:after="0" w:afterAutospacing="0"/>
              <w:jc w:val="right"/>
              <w:rPr>
                <w:sz w:val="20"/>
                <w:szCs w:val="20"/>
              </w:rPr>
            </w:pPr>
            <w:r>
              <w:rPr>
                <w:sz w:val="20"/>
                <w:szCs w:val="20"/>
              </w:rPr>
              <w:t>​</w:t>
            </w:r>
          </w:p>
        </w:tc>
      </w:tr>
      <w:tr w:rsidR="00000000" w14:paraId="54F562C5" w14:textId="77777777">
        <w:trPr>
          <w:divId w:val="734008403"/>
        </w:trPr>
        <w:tc>
          <w:tcPr>
            <w:tcW w:w="349" w:type="pct"/>
            <w:tcMar>
              <w:top w:w="0" w:type="dxa"/>
              <w:left w:w="0" w:type="dxa"/>
              <w:bottom w:w="0" w:type="dxa"/>
              <w:right w:w="0" w:type="dxa"/>
            </w:tcMar>
            <w:hideMark/>
          </w:tcPr>
          <w:p w14:paraId="16999121" w14:textId="77777777" w:rsidR="00000000" w:rsidRDefault="00097612">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14:paraId="1C616A5E" w14:textId="77777777" w:rsidR="00000000" w:rsidRDefault="00097612">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603A67A5" w14:textId="77777777" w:rsidR="00000000" w:rsidRDefault="00097612">
            <w:pPr>
              <w:pStyle w:val="a3"/>
              <w:spacing w:before="0" w:beforeAutospacing="0" w:after="0" w:afterAutospacing="0"/>
              <w:rPr>
                <w:sz w:val="20"/>
                <w:szCs w:val="20"/>
              </w:rPr>
            </w:pPr>
            <w:r>
              <w:rPr>
                <w:sz w:val="20"/>
                <w:szCs w:val="20"/>
              </w:rPr>
              <w:t>Financial statements from the quarterly report on Form </w:t>
            </w:r>
            <w:r>
              <w:rPr>
                <w:sz w:val="20"/>
                <w:szCs w:val="20"/>
              </w:rPr>
              <w:t>10-Q of the Company for the quarter ended September 30, 2019, formatted in iXBRL: (i) the Condensed Consolidated Balance Sheets, (ii) the Condensed Consolidated Statements of Operations and Comprehensive Loss, (iii) Condensed Consolidated Statement of Shar</w:t>
            </w:r>
            <w:r>
              <w:rPr>
                <w:sz w:val="20"/>
                <w:szCs w:val="20"/>
              </w:rPr>
              <w:t>eholders’ Equity (Deficit), (iv)  the Condensed Consolidated Statements of Cash Flows, and (v) the Notes to the Condensed Consolidated Financial Statements</w:t>
            </w:r>
          </w:p>
        </w:tc>
        <w:tc>
          <w:tcPr>
            <w:tcW w:w="125" w:type="pct"/>
            <w:tcMar>
              <w:top w:w="0" w:type="dxa"/>
              <w:left w:w="0" w:type="dxa"/>
              <w:bottom w:w="0" w:type="dxa"/>
              <w:right w:w="0" w:type="dxa"/>
            </w:tcMar>
            <w:vAlign w:val="bottom"/>
            <w:hideMark/>
          </w:tcPr>
          <w:p w14:paraId="3BA71A6E"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14ADC09C" w14:textId="77777777" w:rsidR="00000000" w:rsidRDefault="00097612">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68C2E18F" w14:textId="77777777" w:rsidR="00000000" w:rsidRDefault="00097612">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17541054" w14:textId="77777777" w:rsidR="00000000" w:rsidRDefault="00097612">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0F033724" w14:textId="77777777" w:rsidR="00000000" w:rsidRDefault="00097612">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096724A4" w14:textId="77777777" w:rsidR="00000000" w:rsidRDefault="00097612">
            <w:pPr>
              <w:pStyle w:val="a3"/>
              <w:spacing w:before="0" w:beforeAutospacing="0" w:after="0" w:afterAutospacing="0"/>
              <w:jc w:val="right"/>
              <w:rPr>
                <w:sz w:val="20"/>
                <w:szCs w:val="20"/>
              </w:rPr>
            </w:pPr>
            <w:r>
              <w:rPr>
                <w:sz w:val="20"/>
                <w:szCs w:val="20"/>
              </w:rPr>
              <w:t>​</w:t>
            </w:r>
          </w:p>
        </w:tc>
      </w:tr>
    </w:tbl>
    <w:p w14:paraId="64DB0C6F" w14:textId="77777777" w:rsidR="00000000" w:rsidRDefault="00097612">
      <w:pPr>
        <w:pStyle w:val="a3"/>
        <w:spacing w:before="0" w:beforeAutospacing="0" w:after="0" w:afterAutospacing="0"/>
        <w:divId w:val="73400840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14:paraId="17BCEE23" w14:textId="77777777">
        <w:trPr>
          <w:divId w:val="734008403"/>
        </w:trPr>
        <w:tc>
          <w:tcPr>
            <w:tcW w:w="360" w:type="dxa"/>
            <w:noWrap/>
            <w:tcMar>
              <w:top w:w="0" w:type="dxa"/>
              <w:left w:w="0" w:type="dxa"/>
              <w:bottom w:w="0" w:type="dxa"/>
              <w:right w:w="0" w:type="dxa"/>
            </w:tcMar>
            <w:hideMark/>
          </w:tcPr>
          <w:p w14:paraId="4278FB9B" w14:textId="77777777" w:rsidR="00000000" w:rsidRDefault="00097612">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14:paraId="365937C2" w14:textId="77777777" w:rsidR="00000000" w:rsidRDefault="00097612">
            <w:pPr>
              <w:rPr>
                <w:rFonts w:eastAsia="Times New Roman"/>
                <w:sz w:val="20"/>
                <w:szCs w:val="20"/>
              </w:rPr>
            </w:pPr>
            <w:r>
              <w:rPr>
                <w:rFonts w:eastAsia="Times New Roman"/>
                <w:color w:val="000000"/>
                <w:sz w:val="20"/>
                <w:szCs w:val="20"/>
              </w:rPr>
              <w:t>The certifications provided as Exhibit </w:t>
            </w:r>
            <w:r>
              <w:rPr>
                <w:rFonts w:eastAsia="Times New Roman"/>
                <w:color w:val="000000"/>
                <w:sz w:val="20"/>
                <w:szCs w:val="20"/>
              </w:rPr>
              <w:t>32 are being furnished to accompany the Report pursuant to 18 U.S.C. Section 1350 and shall not be deemed filed by the Company for purposes of Section 18 of the Securities Exchange Act of 1934, as amended, and is not to be incorporated by reference into an</w:t>
            </w:r>
            <w:r>
              <w:rPr>
                <w:rFonts w:eastAsia="Times New Roman"/>
                <w:color w:val="000000"/>
                <w:sz w:val="20"/>
                <w:szCs w:val="20"/>
              </w:rPr>
              <w:t>y filing of the Company, whether made before or after the date hereof, regardless of any general incorporation language in such filing.</w:t>
            </w:r>
          </w:p>
        </w:tc>
      </w:tr>
    </w:tbl>
    <w:p w14:paraId="46087454" w14:textId="77777777" w:rsidR="00000000" w:rsidRDefault="00097612">
      <w:pPr>
        <w:pStyle w:val="a3"/>
        <w:spacing w:before="0" w:beforeAutospacing="0" w:after="0" w:afterAutospacing="0"/>
        <w:divId w:val="734008403"/>
        <w:rPr>
          <w:sz w:val="20"/>
          <w:szCs w:val="20"/>
        </w:rPr>
      </w:pPr>
      <w:r>
        <w:rPr>
          <w:sz w:val="20"/>
          <w:szCs w:val="20"/>
        </w:rPr>
        <w:t>​</w:t>
      </w:r>
    </w:p>
    <w:p w14:paraId="4D639C85" w14:textId="77777777" w:rsidR="00000000" w:rsidRDefault="00097612">
      <w:pPr>
        <w:pStyle w:val="a3"/>
        <w:spacing w:before="360" w:beforeAutospacing="0" w:after="0" w:afterAutospacing="0"/>
        <w:jc w:val="center"/>
        <w:divId w:val="1206916172"/>
        <w:rPr>
          <w:sz w:val="20"/>
          <w:szCs w:val="20"/>
        </w:rPr>
      </w:pPr>
      <w:r>
        <w:rPr>
          <w:sz w:val="20"/>
          <w:szCs w:val="20"/>
        </w:rPr>
        <w:t>69</w:t>
      </w:r>
    </w:p>
    <w:p w14:paraId="01788AA3" w14:textId="77777777" w:rsidR="00000000" w:rsidRDefault="00097612">
      <w:pPr>
        <w:pStyle w:val="a3"/>
        <w:spacing w:before="0" w:beforeAutospacing="0" w:after="600" w:afterAutospacing="0"/>
        <w:divId w:val="1134563500"/>
        <w:rPr>
          <w:sz w:val="20"/>
          <w:szCs w:val="20"/>
        </w:rPr>
      </w:pPr>
      <w:hyperlink w:anchor="TOC" w:history="1">
        <w:r>
          <w:rPr>
            <w:rStyle w:val="a4"/>
            <w:sz w:val="20"/>
            <w:szCs w:val="20"/>
          </w:rPr>
          <w:t>Table of Contents</w:t>
        </w:r>
      </w:hyperlink>
    </w:p>
    <w:p w14:paraId="086B4D69" w14:textId="77777777" w:rsidR="00000000" w:rsidRDefault="00097612">
      <w:pPr>
        <w:pStyle w:val="a3"/>
        <w:spacing w:before="0" w:beforeAutospacing="0" w:after="0" w:afterAutospacing="0"/>
        <w:jc w:val="center"/>
        <w:divId w:val="1679231476"/>
        <w:rPr>
          <w:sz w:val="20"/>
          <w:szCs w:val="20"/>
        </w:rPr>
      </w:pPr>
      <w:r>
        <w:rPr>
          <w:b/>
          <w:bCs/>
          <w:sz w:val="20"/>
          <w:szCs w:val="20"/>
        </w:rPr>
        <w:t>SIGNATURES</w:t>
      </w:r>
    </w:p>
    <w:p w14:paraId="17855F7C" w14:textId="77777777" w:rsidR="00000000" w:rsidRDefault="00097612">
      <w:pPr>
        <w:pStyle w:val="a3"/>
        <w:spacing w:before="0" w:beforeAutospacing="0" w:after="0" w:afterAutospacing="0"/>
        <w:divId w:val="1679231476"/>
        <w:rPr>
          <w:sz w:val="20"/>
          <w:szCs w:val="20"/>
        </w:rPr>
      </w:pPr>
      <w:r>
        <w:rPr>
          <w:sz w:val="20"/>
          <w:szCs w:val="20"/>
        </w:rPr>
        <w:t>​</w:t>
      </w:r>
    </w:p>
    <w:p w14:paraId="72ACC8B6" w14:textId="77777777" w:rsidR="00000000" w:rsidRDefault="00097612">
      <w:pPr>
        <w:pStyle w:val="a3"/>
        <w:spacing w:before="0" w:beforeAutospacing="0" w:after="0" w:afterAutospacing="0"/>
        <w:divId w:val="1679231476"/>
        <w:rPr>
          <w:sz w:val="20"/>
          <w:szCs w:val="20"/>
        </w:rPr>
      </w:pPr>
      <w:r>
        <w:rPr>
          <w:sz w:val="20"/>
          <w:szCs w:val="20"/>
        </w:rPr>
        <w:t>Pursuant to the Securities Exchange Act of 1934, the registrant has duly caused this report to be signed on its behalf by the undersigned thereunto duly authorized.</w:t>
      </w:r>
    </w:p>
    <w:p w14:paraId="699CDA33" w14:textId="77777777" w:rsidR="00000000" w:rsidRDefault="00097612">
      <w:pPr>
        <w:pStyle w:val="a3"/>
        <w:spacing w:before="0" w:beforeAutospacing="0" w:after="0" w:afterAutospacing="0"/>
        <w:divId w:val="16792314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14:paraId="35E37399" w14:textId="77777777">
        <w:trPr>
          <w:divId w:val="1679231476"/>
          <w:trHeight w:val="20"/>
        </w:trPr>
        <w:tc>
          <w:tcPr>
            <w:tcW w:w="2500" w:type="pct"/>
            <w:tcMar>
              <w:top w:w="0" w:type="dxa"/>
              <w:left w:w="0" w:type="dxa"/>
              <w:bottom w:w="0" w:type="dxa"/>
              <w:right w:w="0" w:type="dxa"/>
            </w:tcMar>
            <w:hideMark/>
          </w:tcPr>
          <w:p w14:paraId="416BC44C" w14:textId="77777777" w:rsidR="00000000" w:rsidRDefault="00097612">
            <w:pPr>
              <w:pStyle w:val="a3"/>
              <w:spacing w:before="0" w:beforeAutospacing="0" w:after="0" w:afterAutospacing="0"/>
              <w:divId w:val="348877653"/>
              <w:rPr>
                <w:sz w:val="20"/>
                <w:szCs w:val="20"/>
              </w:rPr>
            </w:pPr>
            <w:r>
              <w:rPr>
                <w:sz w:val="20"/>
                <w:szCs w:val="20"/>
              </w:rPr>
              <w:t>​</w:t>
            </w:r>
          </w:p>
        </w:tc>
        <w:tc>
          <w:tcPr>
            <w:tcW w:w="2500" w:type="pct"/>
            <w:tcMar>
              <w:top w:w="0" w:type="dxa"/>
              <w:left w:w="0" w:type="dxa"/>
              <w:bottom w:w="0" w:type="dxa"/>
              <w:right w:w="0" w:type="dxa"/>
            </w:tcMar>
            <w:hideMark/>
          </w:tcPr>
          <w:p w14:paraId="5E56756B" w14:textId="77777777" w:rsidR="00000000" w:rsidRDefault="00097612">
            <w:pPr>
              <w:rPr>
                <w:sz w:val="20"/>
                <w:szCs w:val="20"/>
              </w:rPr>
            </w:pPr>
          </w:p>
        </w:tc>
      </w:tr>
      <w:tr w:rsidR="00000000" w14:paraId="7BB8C937" w14:textId="77777777">
        <w:trPr>
          <w:divId w:val="1679231476"/>
        </w:trPr>
        <w:tc>
          <w:tcPr>
            <w:tcW w:w="2500" w:type="pct"/>
            <w:tcMar>
              <w:top w:w="0" w:type="dxa"/>
              <w:left w:w="0" w:type="dxa"/>
              <w:bottom w:w="0" w:type="dxa"/>
              <w:right w:w="0" w:type="dxa"/>
            </w:tcMar>
            <w:hideMark/>
          </w:tcPr>
          <w:p w14:paraId="71D6735F" w14:textId="77777777" w:rsidR="00000000" w:rsidRDefault="00097612">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4B14E598" w14:textId="77777777" w:rsidR="00000000" w:rsidRDefault="00097612">
            <w:pPr>
              <w:pStyle w:val="a3"/>
              <w:spacing w:before="0" w:beforeAutospacing="0" w:after="0" w:afterAutospacing="0"/>
              <w:rPr>
                <w:sz w:val="20"/>
                <w:szCs w:val="20"/>
              </w:rPr>
            </w:pPr>
            <w:r>
              <w:rPr>
                <w:sz w:val="20"/>
                <w:szCs w:val="20"/>
              </w:rPr>
              <w:t>Theravance Biopharma, Inc.</w:t>
            </w:r>
          </w:p>
        </w:tc>
      </w:tr>
      <w:tr w:rsidR="00000000" w14:paraId="7615160A" w14:textId="77777777">
        <w:trPr>
          <w:divId w:val="1679231476"/>
        </w:trPr>
        <w:tc>
          <w:tcPr>
            <w:tcW w:w="2500" w:type="pct"/>
            <w:tcMar>
              <w:top w:w="0" w:type="dxa"/>
              <w:left w:w="0" w:type="dxa"/>
              <w:bottom w:w="0" w:type="dxa"/>
              <w:right w:w="0" w:type="dxa"/>
            </w:tcMar>
            <w:hideMark/>
          </w:tcPr>
          <w:p w14:paraId="7B0C2A61" w14:textId="77777777" w:rsidR="00000000" w:rsidRDefault="00097612">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1CC2BE8E" w14:textId="77777777" w:rsidR="00000000" w:rsidRDefault="00097612">
            <w:pPr>
              <w:pStyle w:val="a3"/>
              <w:spacing w:before="0" w:beforeAutospacing="0" w:after="0" w:afterAutospacing="0"/>
              <w:rPr>
                <w:sz w:val="20"/>
                <w:szCs w:val="20"/>
              </w:rPr>
            </w:pPr>
            <w:r>
              <w:rPr>
                <w:sz w:val="20"/>
                <w:szCs w:val="20"/>
              </w:rPr>
              <w:t>​</w:t>
            </w:r>
          </w:p>
        </w:tc>
      </w:tr>
      <w:tr w:rsidR="00000000" w14:paraId="4918396E" w14:textId="77777777">
        <w:trPr>
          <w:divId w:val="1679231476"/>
        </w:trPr>
        <w:tc>
          <w:tcPr>
            <w:tcW w:w="2500" w:type="pct"/>
            <w:tcMar>
              <w:top w:w="0" w:type="dxa"/>
              <w:left w:w="0" w:type="dxa"/>
              <w:bottom w:w="0" w:type="dxa"/>
              <w:right w:w="0" w:type="dxa"/>
            </w:tcMar>
            <w:hideMark/>
          </w:tcPr>
          <w:p w14:paraId="21FB7046" w14:textId="77777777" w:rsidR="00000000" w:rsidRDefault="00097612">
            <w:pPr>
              <w:pStyle w:val="a3"/>
              <w:spacing w:before="0" w:beforeAutospacing="0" w:after="0" w:afterAutospacing="0"/>
              <w:rPr>
                <w:sz w:val="20"/>
                <w:szCs w:val="20"/>
              </w:rPr>
            </w:pPr>
            <w:r>
              <w:rPr>
                <w:sz w:val="20"/>
                <w:szCs w:val="20"/>
              </w:rPr>
              <w:t>Date: November 8, 2019</w:t>
            </w:r>
          </w:p>
        </w:tc>
        <w:tc>
          <w:tcPr>
            <w:tcW w:w="2500" w:type="pct"/>
            <w:tcBorders>
              <w:bottom w:val="single" w:sz="6" w:space="0" w:color="000000"/>
            </w:tcBorders>
            <w:tcMar>
              <w:top w:w="0" w:type="dxa"/>
              <w:left w:w="0" w:type="dxa"/>
              <w:bottom w:w="0" w:type="dxa"/>
              <w:right w:w="0" w:type="dxa"/>
            </w:tcMar>
            <w:hideMark/>
          </w:tcPr>
          <w:p w14:paraId="460F03F9" w14:textId="77777777" w:rsidR="00000000" w:rsidRDefault="00097612">
            <w:pPr>
              <w:pStyle w:val="a3"/>
              <w:spacing w:before="0" w:beforeAutospacing="0" w:after="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14:paraId="3E00FCCB" w14:textId="77777777">
        <w:trPr>
          <w:divId w:val="1679231476"/>
        </w:trPr>
        <w:tc>
          <w:tcPr>
            <w:tcW w:w="2500" w:type="pct"/>
            <w:tcMar>
              <w:top w:w="0" w:type="dxa"/>
              <w:left w:w="0" w:type="dxa"/>
              <w:bottom w:w="0" w:type="dxa"/>
              <w:right w:w="0" w:type="dxa"/>
            </w:tcMar>
            <w:hideMark/>
          </w:tcPr>
          <w:p w14:paraId="415FFFDC" w14:textId="77777777" w:rsidR="00000000" w:rsidRDefault="00097612">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14:paraId="1AE77F07" w14:textId="77777777" w:rsidR="00000000" w:rsidRDefault="00097612">
            <w:pPr>
              <w:pStyle w:val="a3"/>
              <w:spacing w:before="0" w:beforeAutospacing="0" w:after="0" w:afterAutospacing="0"/>
              <w:jc w:val="center"/>
              <w:rPr>
                <w:sz w:val="20"/>
                <w:szCs w:val="20"/>
              </w:rPr>
            </w:pPr>
            <w:r>
              <w:rPr>
                <w:sz w:val="20"/>
                <w:szCs w:val="20"/>
              </w:rPr>
              <w:t>Ri</w:t>
            </w:r>
            <w:r>
              <w:rPr>
                <w:sz w:val="20"/>
                <w:szCs w:val="20"/>
              </w:rPr>
              <w:t>ck E Winningham</w:t>
            </w:r>
          </w:p>
        </w:tc>
      </w:tr>
      <w:tr w:rsidR="00000000" w14:paraId="05385874" w14:textId="77777777">
        <w:trPr>
          <w:divId w:val="1679231476"/>
        </w:trPr>
        <w:tc>
          <w:tcPr>
            <w:tcW w:w="2500" w:type="pct"/>
            <w:tcMar>
              <w:top w:w="0" w:type="dxa"/>
              <w:left w:w="0" w:type="dxa"/>
              <w:bottom w:w="0" w:type="dxa"/>
              <w:right w:w="0" w:type="dxa"/>
            </w:tcMar>
            <w:hideMark/>
          </w:tcPr>
          <w:p w14:paraId="46EEDC00" w14:textId="77777777" w:rsidR="00000000" w:rsidRDefault="00097612">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547AC730" w14:textId="77777777" w:rsidR="00000000" w:rsidRDefault="00097612">
            <w:pPr>
              <w:pStyle w:val="a3"/>
              <w:spacing w:before="0" w:beforeAutospacing="0" w:after="0" w:afterAutospacing="0"/>
              <w:jc w:val="center"/>
              <w:rPr>
                <w:sz w:val="20"/>
                <w:szCs w:val="20"/>
              </w:rPr>
            </w:pPr>
            <w:r>
              <w:rPr>
                <w:sz w:val="20"/>
                <w:szCs w:val="20"/>
              </w:rPr>
              <w:t>Chairman of the Board and Chief Executive Officer</w:t>
            </w:r>
          </w:p>
        </w:tc>
      </w:tr>
      <w:tr w:rsidR="00000000" w14:paraId="43D878DE" w14:textId="77777777">
        <w:trPr>
          <w:divId w:val="1679231476"/>
        </w:trPr>
        <w:tc>
          <w:tcPr>
            <w:tcW w:w="2500" w:type="pct"/>
            <w:tcMar>
              <w:top w:w="0" w:type="dxa"/>
              <w:left w:w="0" w:type="dxa"/>
              <w:bottom w:w="0" w:type="dxa"/>
              <w:right w:w="0" w:type="dxa"/>
            </w:tcMar>
            <w:hideMark/>
          </w:tcPr>
          <w:p w14:paraId="5DA60FB6" w14:textId="77777777" w:rsidR="00000000" w:rsidRDefault="00097612">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46B5B473" w14:textId="77777777" w:rsidR="00000000" w:rsidRDefault="00097612">
            <w:pPr>
              <w:pStyle w:val="a3"/>
              <w:spacing w:before="0" w:beforeAutospacing="0" w:after="0" w:afterAutospacing="0"/>
              <w:jc w:val="center"/>
              <w:rPr>
                <w:sz w:val="20"/>
                <w:szCs w:val="20"/>
              </w:rPr>
            </w:pPr>
            <w:r>
              <w:rPr>
                <w:sz w:val="20"/>
                <w:szCs w:val="20"/>
              </w:rPr>
              <w:t>(Principal Executive Officer)</w:t>
            </w:r>
          </w:p>
        </w:tc>
      </w:tr>
      <w:tr w:rsidR="00000000" w14:paraId="4CA9E9A8" w14:textId="77777777">
        <w:trPr>
          <w:divId w:val="1679231476"/>
        </w:trPr>
        <w:tc>
          <w:tcPr>
            <w:tcW w:w="2500" w:type="pct"/>
            <w:tcMar>
              <w:top w:w="0" w:type="dxa"/>
              <w:left w:w="0" w:type="dxa"/>
              <w:bottom w:w="0" w:type="dxa"/>
              <w:right w:w="0" w:type="dxa"/>
            </w:tcMar>
            <w:hideMark/>
          </w:tcPr>
          <w:p w14:paraId="62A1B55D" w14:textId="77777777" w:rsidR="00000000" w:rsidRDefault="00097612">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70B78D05" w14:textId="77777777" w:rsidR="00000000" w:rsidRDefault="00097612">
            <w:pPr>
              <w:pStyle w:val="a3"/>
              <w:spacing w:before="0" w:beforeAutospacing="0" w:after="0" w:afterAutospacing="0"/>
              <w:jc w:val="center"/>
              <w:rPr>
                <w:sz w:val="20"/>
                <w:szCs w:val="20"/>
              </w:rPr>
            </w:pPr>
            <w:r>
              <w:rPr>
                <w:sz w:val="20"/>
                <w:szCs w:val="20"/>
              </w:rPr>
              <w:t>​</w:t>
            </w:r>
          </w:p>
        </w:tc>
      </w:tr>
      <w:tr w:rsidR="00000000" w14:paraId="539A9AE9" w14:textId="77777777">
        <w:trPr>
          <w:divId w:val="1679231476"/>
        </w:trPr>
        <w:tc>
          <w:tcPr>
            <w:tcW w:w="2500" w:type="pct"/>
            <w:tcMar>
              <w:top w:w="0" w:type="dxa"/>
              <w:left w:w="0" w:type="dxa"/>
              <w:bottom w:w="0" w:type="dxa"/>
              <w:right w:w="0" w:type="dxa"/>
            </w:tcMar>
            <w:hideMark/>
          </w:tcPr>
          <w:p w14:paraId="2D75C127" w14:textId="77777777" w:rsidR="00000000" w:rsidRDefault="00097612">
            <w:pPr>
              <w:pStyle w:val="a3"/>
              <w:spacing w:before="0" w:beforeAutospacing="0" w:after="0" w:afterAutospacing="0"/>
              <w:rPr>
                <w:sz w:val="20"/>
                <w:szCs w:val="20"/>
              </w:rPr>
            </w:pPr>
            <w:r>
              <w:rPr>
                <w:sz w:val="20"/>
                <w:szCs w:val="20"/>
              </w:rPr>
              <w:t>Date: November 8, 2019</w:t>
            </w:r>
          </w:p>
        </w:tc>
        <w:tc>
          <w:tcPr>
            <w:tcW w:w="2500" w:type="pct"/>
            <w:tcBorders>
              <w:bottom w:val="single" w:sz="6" w:space="0" w:color="000000"/>
            </w:tcBorders>
            <w:tcMar>
              <w:top w:w="0" w:type="dxa"/>
              <w:left w:w="0" w:type="dxa"/>
              <w:bottom w:w="0" w:type="dxa"/>
              <w:right w:w="0" w:type="dxa"/>
            </w:tcMar>
            <w:hideMark/>
          </w:tcPr>
          <w:p w14:paraId="197FB6F5" w14:textId="77777777" w:rsidR="00000000" w:rsidRDefault="00097612">
            <w:pPr>
              <w:pStyle w:val="a3"/>
              <w:spacing w:before="0" w:beforeAutospacing="0" w:after="0" w:afterAutospacing="0"/>
              <w:jc w:val="center"/>
              <w:rPr>
                <w:sz w:val="20"/>
                <w:szCs w:val="20"/>
              </w:rPr>
            </w:pPr>
            <w:r>
              <w:rPr>
                <w:sz w:val="20"/>
                <w:szCs w:val="20"/>
              </w:rPr>
              <w:t>/s/ A</w:t>
            </w:r>
            <w:r>
              <w:rPr>
                <w:smallCaps/>
                <w:sz w:val="20"/>
                <w:szCs w:val="20"/>
              </w:rPr>
              <w:t>ndrew</w:t>
            </w:r>
            <w:r>
              <w:rPr>
                <w:sz w:val="20"/>
                <w:szCs w:val="20"/>
              </w:rPr>
              <w:t xml:space="preserve"> H</w:t>
            </w:r>
            <w:r>
              <w:rPr>
                <w:smallCaps/>
                <w:sz w:val="20"/>
                <w:szCs w:val="20"/>
              </w:rPr>
              <w:t>indman</w:t>
            </w:r>
          </w:p>
        </w:tc>
      </w:tr>
      <w:tr w:rsidR="00000000" w14:paraId="41D90CC2" w14:textId="77777777">
        <w:trPr>
          <w:divId w:val="1679231476"/>
        </w:trPr>
        <w:tc>
          <w:tcPr>
            <w:tcW w:w="2500" w:type="pct"/>
            <w:tcMar>
              <w:top w:w="0" w:type="dxa"/>
              <w:left w:w="0" w:type="dxa"/>
              <w:bottom w:w="0" w:type="dxa"/>
              <w:right w:w="0" w:type="dxa"/>
            </w:tcMar>
            <w:hideMark/>
          </w:tcPr>
          <w:p w14:paraId="6D35C88A" w14:textId="77777777" w:rsidR="00000000" w:rsidRDefault="00097612">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14:paraId="435B458D" w14:textId="77777777" w:rsidR="00000000" w:rsidRDefault="00097612">
            <w:pPr>
              <w:pStyle w:val="a3"/>
              <w:spacing w:before="0" w:beforeAutospacing="0" w:after="0" w:afterAutospacing="0"/>
              <w:jc w:val="center"/>
              <w:rPr>
                <w:sz w:val="20"/>
                <w:szCs w:val="20"/>
              </w:rPr>
            </w:pPr>
            <w:r>
              <w:rPr>
                <w:sz w:val="20"/>
                <w:szCs w:val="20"/>
              </w:rPr>
              <w:t>Andrew Hindman</w:t>
            </w:r>
          </w:p>
          <w:p w14:paraId="1F880FF6" w14:textId="77777777" w:rsidR="00000000" w:rsidRDefault="00097612">
            <w:pPr>
              <w:pStyle w:val="a3"/>
              <w:spacing w:before="0" w:beforeAutospacing="0" w:after="0" w:afterAutospacing="0"/>
              <w:jc w:val="center"/>
              <w:rPr>
                <w:sz w:val="20"/>
                <w:szCs w:val="20"/>
              </w:rPr>
            </w:pPr>
            <w:r>
              <w:rPr>
                <w:sz w:val="20"/>
                <w:szCs w:val="20"/>
              </w:rPr>
              <w:t>Senior Vice President and Chief Financial Officer</w:t>
            </w:r>
          </w:p>
        </w:tc>
      </w:tr>
      <w:tr w:rsidR="00000000" w14:paraId="7DEC56F2" w14:textId="77777777">
        <w:trPr>
          <w:divId w:val="1679231476"/>
        </w:trPr>
        <w:tc>
          <w:tcPr>
            <w:tcW w:w="2500" w:type="pct"/>
            <w:tcMar>
              <w:top w:w="0" w:type="dxa"/>
              <w:left w:w="0" w:type="dxa"/>
              <w:bottom w:w="0" w:type="dxa"/>
              <w:right w:w="0" w:type="dxa"/>
            </w:tcMar>
            <w:hideMark/>
          </w:tcPr>
          <w:p w14:paraId="3ECB57C0" w14:textId="77777777" w:rsidR="00000000" w:rsidRDefault="00097612">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19F24276" w14:textId="77777777" w:rsidR="00000000" w:rsidRDefault="00097612">
            <w:pPr>
              <w:pStyle w:val="a3"/>
              <w:spacing w:before="0" w:beforeAutospacing="0" w:after="0" w:afterAutospacing="0"/>
              <w:jc w:val="center"/>
              <w:rPr>
                <w:sz w:val="20"/>
                <w:szCs w:val="20"/>
              </w:rPr>
            </w:pPr>
            <w:r>
              <w:rPr>
                <w:sz w:val="20"/>
                <w:szCs w:val="20"/>
              </w:rPr>
              <w:t>(Principal Financial Officer)</w:t>
            </w:r>
          </w:p>
        </w:tc>
      </w:tr>
      <w:tr w:rsidR="00000000" w14:paraId="4306FA89" w14:textId="77777777">
        <w:trPr>
          <w:divId w:val="1679231476"/>
        </w:trPr>
        <w:tc>
          <w:tcPr>
            <w:tcW w:w="2500" w:type="pct"/>
            <w:tcMar>
              <w:top w:w="0" w:type="dxa"/>
              <w:left w:w="0" w:type="dxa"/>
              <w:bottom w:w="0" w:type="dxa"/>
              <w:right w:w="0" w:type="dxa"/>
            </w:tcMar>
            <w:hideMark/>
          </w:tcPr>
          <w:p w14:paraId="6ED076F3" w14:textId="77777777" w:rsidR="00000000" w:rsidRDefault="00097612">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4E703DFD" w14:textId="77777777" w:rsidR="00000000" w:rsidRDefault="00097612">
            <w:pPr>
              <w:pStyle w:val="a3"/>
              <w:spacing w:before="0" w:beforeAutospacing="0" w:after="0" w:afterAutospacing="0"/>
              <w:jc w:val="center"/>
              <w:rPr>
                <w:sz w:val="20"/>
                <w:szCs w:val="20"/>
              </w:rPr>
            </w:pPr>
            <w:r>
              <w:rPr>
                <w:sz w:val="20"/>
                <w:szCs w:val="20"/>
              </w:rPr>
              <w:t>​</w:t>
            </w:r>
          </w:p>
        </w:tc>
      </w:tr>
    </w:tbl>
    <w:p w14:paraId="7DC63B9F" w14:textId="77777777" w:rsidR="00000000" w:rsidRDefault="00097612">
      <w:pPr>
        <w:pStyle w:val="a3"/>
        <w:spacing w:before="0" w:beforeAutospacing="0" w:after="0" w:afterAutospacing="0"/>
        <w:divId w:val="1679231476"/>
        <w:rPr>
          <w:sz w:val="20"/>
          <w:szCs w:val="20"/>
        </w:rPr>
      </w:pPr>
      <w:r>
        <w:rPr>
          <w:sz w:val="2"/>
          <w:szCs w:val="2"/>
        </w:rPr>
        <w:t>​</w:t>
      </w:r>
    </w:p>
    <w:p w14:paraId="38EA4B82" w14:textId="77777777" w:rsidR="00000000" w:rsidRDefault="00097612">
      <w:pPr>
        <w:pStyle w:val="a3"/>
        <w:spacing w:before="0" w:beforeAutospacing="0" w:after="0" w:afterAutospacing="0"/>
        <w:divId w:val="1679231476"/>
        <w:rPr>
          <w:sz w:val="20"/>
          <w:szCs w:val="20"/>
        </w:rPr>
      </w:pPr>
      <w:r>
        <w:rPr>
          <w:sz w:val="20"/>
          <w:szCs w:val="20"/>
        </w:rPr>
        <w:t>​</w:t>
      </w:r>
    </w:p>
    <w:p w14:paraId="0F5F80BD" w14:textId="77777777" w:rsidR="00000000" w:rsidRDefault="00097612">
      <w:pPr>
        <w:pStyle w:val="a3"/>
        <w:spacing w:before="0" w:beforeAutospacing="0" w:after="0" w:afterAutospacing="0"/>
        <w:divId w:val="1679231476"/>
        <w:rPr>
          <w:sz w:val="20"/>
          <w:szCs w:val="20"/>
        </w:rPr>
      </w:pPr>
      <w:r>
        <w:rPr>
          <w:sz w:val="20"/>
          <w:szCs w:val="20"/>
        </w:rPr>
        <w:t>​</w:t>
      </w:r>
    </w:p>
    <w:p w14:paraId="5DDA8336" w14:textId="77777777" w:rsidR="00097612" w:rsidRDefault="00097612">
      <w:pPr>
        <w:pStyle w:val="a3"/>
        <w:spacing w:before="360" w:beforeAutospacing="0" w:after="0" w:afterAutospacing="0"/>
        <w:jc w:val="center"/>
        <w:divId w:val="1714042785"/>
        <w:rPr>
          <w:sz w:val="20"/>
          <w:szCs w:val="20"/>
        </w:rPr>
      </w:pPr>
      <w:r>
        <w:rPr>
          <w:sz w:val="20"/>
          <w:szCs w:val="20"/>
        </w:rPr>
        <w:t>70</w:t>
      </w:r>
    </w:p>
    <w:sectPr w:rsidR="0009761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inherit">
    <w:altName w:val="Cambria"/>
    <w:panose1 w:val="00000000000000000000"/>
    <w:charset w:val="00"/>
    <w:family w:val="roman"/>
    <w:notTrueType/>
    <w:pitch w:val="default"/>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97612"/>
    <w:rsid w:val="00097612"/>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theravance.com/20190930"/>
  <w:attachedSchema w:val="http://www.xbrl.org/2003/linkbase"/>
  <w:attachedSchema w:val="http://xbrl.sec.gov/country/2017-01-31"/>
  <w:attachedSchema w:val="http://xbrl.org/2005/xbrldt"/>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2939E"/>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30">
      <w:marLeft w:val="0"/>
      <w:marRight w:val="0"/>
      <w:marTop w:val="0"/>
      <w:marBottom w:val="0"/>
      <w:divBdr>
        <w:top w:val="none" w:sz="0" w:space="0" w:color="auto"/>
        <w:left w:val="none" w:sz="0" w:space="0" w:color="auto"/>
        <w:bottom w:val="none" w:sz="0" w:space="0" w:color="auto"/>
        <w:right w:val="none" w:sz="0" w:space="0" w:color="auto"/>
      </w:divBdr>
      <w:divsChild>
        <w:div w:id="460466780">
          <w:marLeft w:val="0"/>
          <w:marRight w:val="0"/>
          <w:marTop w:val="547"/>
          <w:marBottom w:val="0"/>
          <w:divBdr>
            <w:top w:val="none" w:sz="0" w:space="0" w:color="auto"/>
            <w:left w:val="none" w:sz="0" w:space="0" w:color="auto"/>
            <w:bottom w:val="none" w:sz="0" w:space="0" w:color="auto"/>
            <w:right w:val="none" w:sz="0" w:space="0" w:color="auto"/>
          </w:divBdr>
        </w:div>
        <w:div w:id="546068456">
          <w:marLeft w:val="0"/>
          <w:marRight w:val="0"/>
          <w:marTop w:val="0"/>
          <w:marBottom w:val="0"/>
          <w:divBdr>
            <w:top w:val="none" w:sz="0" w:space="0" w:color="auto"/>
            <w:left w:val="none" w:sz="0" w:space="0" w:color="auto"/>
            <w:bottom w:val="none" w:sz="0" w:space="0" w:color="auto"/>
            <w:right w:val="none" w:sz="0" w:space="0" w:color="auto"/>
          </w:divBdr>
          <w:divsChild>
            <w:div w:id="446579413">
              <w:marLeft w:val="0"/>
              <w:marRight w:val="0"/>
              <w:marTop w:val="0"/>
              <w:marBottom w:val="0"/>
              <w:divBdr>
                <w:top w:val="none" w:sz="0" w:space="0" w:color="auto"/>
                <w:left w:val="none" w:sz="0" w:space="0" w:color="auto"/>
                <w:bottom w:val="none" w:sz="0" w:space="0" w:color="auto"/>
                <w:right w:val="none" w:sz="0" w:space="0" w:color="auto"/>
              </w:divBdr>
              <w:divsChild>
                <w:div w:id="761144079">
                  <w:marLeft w:val="0"/>
                  <w:marRight w:val="0"/>
                  <w:marTop w:val="0"/>
                  <w:marBottom w:val="0"/>
                  <w:divBdr>
                    <w:top w:val="none" w:sz="0" w:space="0" w:color="auto"/>
                    <w:left w:val="none" w:sz="0" w:space="0" w:color="auto"/>
                    <w:bottom w:val="none" w:sz="0" w:space="0" w:color="auto"/>
                    <w:right w:val="none" w:sz="0" w:space="0" w:color="auto"/>
                  </w:divBdr>
                </w:div>
              </w:divsChild>
            </w:div>
            <w:div w:id="1599366335">
              <w:marLeft w:val="0"/>
              <w:marRight w:val="0"/>
              <w:marTop w:val="0"/>
              <w:marBottom w:val="0"/>
              <w:divBdr>
                <w:top w:val="none" w:sz="0" w:space="0" w:color="auto"/>
                <w:left w:val="none" w:sz="0" w:space="0" w:color="auto"/>
                <w:bottom w:val="none" w:sz="0" w:space="0" w:color="auto"/>
                <w:right w:val="none" w:sz="0" w:space="0" w:color="auto"/>
              </w:divBdr>
              <w:divsChild>
                <w:div w:id="1921478690">
                  <w:marLeft w:val="0"/>
                  <w:marRight w:val="0"/>
                  <w:marTop w:val="0"/>
                  <w:marBottom w:val="0"/>
                  <w:divBdr>
                    <w:top w:val="none" w:sz="0" w:space="0" w:color="auto"/>
                    <w:left w:val="none" w:sz="0" w:space="0" w:color="auto"/>
                    <w:bottom w:val="none" w:sz="0" w:space="0" w:color="auto"/>
                    <w:right w:val="none" w:sz="0" w:space="0" w:color="auto"/>
                  </w:divBdr>
                </w:div>
              </w:divsChild>
            </w:div>
            <w:div w:id="729305875">
              <w:marLeft w:val="0"/>
              <w:marRight w:val="0"/>
              <w:marTop w:val="0"/>
              <w:marBottom w:val="0"/>
              <w:divBdr>
                <w:top w:val="none" w:sz="0" w:space="0" w:color="auto"/>
                <w:left w:val="none" w:sz="0" w:space="0" w:color="auto"/>
                <w:bottom w:val="none" w:sz="0" w:space="0" w:color="auto"/>
                <w:right w:val="none" w:sz="0" w:space="0" w:color="auto"/>
              </w:divBdr>
              <w:divsChild>
                <w:div w:id="183439742">
                  <w:marLeft w:val="0"/>
                  <w:marRight w:val="0"/>
                  <w:marTop w:val="0"/>
                  <w:marBottom w:val="0"/>
                  <w:divBdr>
                    <w:top w:val="none" w:sz="0" w:space="0" w:color="auto"/>
                    <w:left w:val="none" w:sz="0" w:space="0" w:color="auto"/>
                    <w:bottom w:val="none" w:sz="0" w:space="0" w:color="auto"/>
                    <w:right w:val="none" w:sz="0" w:space="0" w:color="auto"/>
                  </w:divBdr>
                </w:div>
              </w:divsChild>
            </w:div>
            <w:div w:id="1511333775">
              <w:marLeft w:val="0"/>
              <w:marRight w:val="0"/>
              <w:marTop w:val="0"/>
              <w:marBottom w:val="0"/>
              <w:divBdr>
                <w:top w:val="none" w:sz="0" w:space="0" w:color="auto"/>
                <w:left w:val="none" w:sz="0" w:space="0" w:color="auto"/>
                <w:bottom w:val="none" w:sz="0" w:space="0" w:color="auto"/>
                <w:right w:val="none" w:sz="0" w:space="0" w:color="auto"/>
              </w:divBdr>
              <w:divsChild>
                <w:div w:id="304046533">
                  <w:marLeft w:val="0"/>
                  <w:marRight w:val="0"/>
                  <w:marTop w:val="0"/>
                  <w:marBottom w:val="0"/>
                  <w:divBdr>
                    <w:top w:val="none" w:sz="0" w:space="0" w:color="auto"/>
                    <w:left w:val="none" w:sz="0" w:space="0" w:color="auto"/>
                    <w:bottom w:val="none" w:sz="0" w:space="0" w:color="auto"/>
                    <w:right w:val="none" w:sz="0" w:space="0" w:color="auto"/>
                  </w:divBdr>
                </w:div>
              </w:divsChild>
            </w:div>
            <w:div w:id="749616376">
              <w:marLeft w:val="0"/>
              <w:marRight w:val="0"/>
              <w:marTop w:val="0"/>
              <w:marBottom w:val="0"/>
              <w:divBdr>
                <w:top w:val="none" w:sz="0" w:space="0" w:color="auto"/>
                <w:left w:val="none" w:sz="0" w:space="0" w:color="auto"/>
                <w:bottom w:val="none" w:sz="0" w:space="0" w:color="auto"/>
                <w:right w:val="none" w:sz="0" w:space="0" w:color="auto"/>
              </w:divBdr>
              <w:divsChild>
                <w:div w:id="1432355981">
                  <w:marLeft w:val="0"/>
                  <w:marRight w:val="0"/>
                  <w:marTop w:val="0"/>
                  <w:marBottom w:val="0"/>
                  <w:divBdr>
                    <w:top w:val="none" w:sz="0" w:space="0" w:color="auto"/>
                    <w:left w:val="none" w:sz="0" w:space="0" w:color="auto"/>
                    <w:bottom w:val="none" w:sz="0" w:space="0" w:color="auto"/>
                    <w:right w:val="none" w:sz="0" w:space="0" w:color="auto"/>
                  </w:divBdr>
                </w:div>
              </w:divsChild>
            </w:div>
            <w:div w:id="2017535877">
              <w:marLeft w:val="0"/>
              <w:marRight w:val="0"/>
              <w:marTop w:val="0"/>
              <w:marBottom w:val="0"/>
              <w:divBdr>
                <w:top w:val="none" w:sz="0" w:space="0" w:color="auto"/>
                <w:left w:val="none" w:sz="0" w:space="0" w:color="auto"/>
                <w:bottom w:val="none" w:sz="0" w:space="0" w:color="auto"/>
                <w:right w:val="none" w:sz="0" w:space="0" w:color="auto"/>
              </w:divBdr>
              <w:divsChild>
                <w:div w:id="166599091">
                  <w:marLeft w:val="0"/>
                  <w:marRight w:val="0"/>
                  <w:marTop w:val="0"/>
                  <w:marBottom w:val="0"/>
                  <w:divBdr>
                    <w:top w:val="none" w:sz="0" w:space="0" w:color="auto"/>
                    <w:left w:val="none" w:sz="0" w:space="0" w:color="auto"/>
                    <w:bottom w:val="none" w:sz="0" w:space="0" w:color="auto"/>
                    <w:right w:val="none" w:sz="0" w:space="0" w:color="auto"/>
                  </w:divBdr>
                </w:div>
              </w:divsChild>
            </w:div>
            <w:div w:id="251670441">
              <w:marLeft w:val="0"/>
              <w:marRight w:val="0"/>
              <w:marTop w:val="0"/>
              <w:marBottom w:val="0"/>
              <w:divBdr>
                <w:top w:val="none" w:sz="0" w:space="0" w:color="auto"/>
                <w:left w:val="none" w:sz="0" w:space="0" w:color="auto"/>
                <w:bottom w:val="none" w:sz="0" w:space="0" w:color="auto"/>
                <w:right w:val="none" w:sz="0" w:space="0" w:color="auto"/>
              </w:divBdr>
              <w:divsChild>
                <w:div w:id="5586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669">
          <w:marLeft w:val="0"/>
          <w:marRight w:val="0"/>
          <w:marTop w:val="0"/>
          <w:marBottom w:val="600"/>
          <w:divBdr>
            <w:top w:val="none" w:sz="0" w:space="0" w:color="auto"/>
            <w:left w:val="none" w:sz="0" w:space="0" w:color="auto"/>
            <w:bottom w:val="none" w:sz="0" w:space="0" w:color="auto"/>
            <w:right w:val="none" w:sz="0" w:space="0" w:color="auto"/>
          </w:divBdr>
        </w:div>
      </w:divsChild>
    </w:div>
    <w:div w:id="16540997">
      <w:marLeft w:val="0"/>
      <w:marRight w:val="0"/>
      <w:marTop w:val="0"/>
      <w:marBottom w:val="0"/>
      <w:divBdr>
        <w:top w:val="none" w:sz="0" w:space="0" w:color="auto"/>
        <w:left w:val="none" w:sz="0" w:space="0" w:color="auto"/>
        <w:bottom w:val="none" w:sz="0" w:space="0" w:color="auto"/>
        <w:right w:val="none" w:sz="0" w:space="0" w:color="auto"/>
      </w:divBdr>
      <w:divsChild>
        <w:div w:id="1761294218">
          <w:marLeft w:val="0"/>
          <w:marRight w:val="0"/>
          <w:marTop w:val="547"/>
          <w:marBottom w:val="0"/>
          <w:divBdr>
            <w:top w:val="none" w:sz="0" w:space="0" w:color="auto"/>
            <w:left w:val="none" w:sz="0" w:space="0" w:color="auto"/>
            <w:bottom w:val="none" w:sz="0" w:space="0" w:color="auto"/>
            <w:right w:val="none" w:sz="0" w:space="0" w:color="auto"/>
          </w:divBdr>
        </w:div>
        <w:div w:id="2129621938">
          <w:marLeft w:val="0"/>
          <w:marRight w:val="0"/>
          <w:marTop w:val="0"/>
          <w:marBottom w:val="0"/>
          <w:divBdr>
            <w:top w:val="none" w:sz="0" w:space="0" w:color="auto"/>
            <w:left w:val="none" w:sz="0" w:space="0" w:color="auto"/>
            <w:bottom w:val="none" w:sz="0" w:space="0" w:color="auto"/>
            <w:right w:val="none" w:sz="0" w:space="0" w:color="auto"/>
          </w:divBdr>
        </w:div>
        <w:div w:id="263193350">
          <w:marLeft w:val="0"/>
          <w:marRight w:val="0"/>
          <w:marTop w:val="0"/>
          <w:marBottom w:val="600"/>
          <w:divBdr>
            <w:top w:val="none" w:sz="0" w:space="0" w:color="auto"/>
            <w:left w:val="none" w:sz="0" w:space="0" w:color="auto"/>
            <w:bottom w:val="none" w:sz="0" w:space="0" w:color="auto"/>
            <w:right w:val="none" w:sz="0" w:space="0" w:color="auto"/>
          </w:divBdr>
        </w:div>
      </w:divsChild>
    </w:div>
    <w:div w:id="39013350">
      <w:marLeft w:val="0"/>
      <w:marRight w:val="0"/>
      <w:marTop w:val="0"/>
      <w:marBottom w:val="0"/>
      <w:divBdr>
        <w:top w:val="none" w:sz="0" w:space="0" w:color="auto"/>
        <w:left w:val="none" w:sz="0" w:space="0" w:color="auto"/>
        <w:bottom w:val="none" w:sz="0" w:space="0" w:color="auto"/>
        <w:right w:val="none" w:sz="0" w:space="0" w:color="auto"/>
      </w:divBdr>
      <w:divsChild>
        <w:div w:id="1820923872">
          <w:marLeft w:val="0"/>
          <w:marRight w:val="0"/>
          <w:marTop w:val="547"/>
          <w:marBottom w:val="0"/>
          <w:divBdr>
            <w:top w:val="none" w:sz="0" w:space="0" w:color="auto"/>
            <w:left w:val="none" w:sz="0" w:space="0" w:color="auto"/>
            <w:bottom w:val="none" w:sz="0" w:space="0" w:color="auto"/>
            <w:right w:val="none" w:sz="0" w:space="0" w:color="auto"/>
          </w:divBdr>
        </w:div>
        <w:div w:id="1774858972">
          <w:marLeft w:val="0"/>
          <w:marRight w:val="0"/>
          <w:marTop w:val="0"/>
          <w:marBottom w:val="0"/>
          <w:divBdr>
            <w:top w:val="none" w:sz="0" w:space="0" w:color="auto"/>
            <w:left w:val="none" w:sz="0" w:space="0" w:color="auto"/>
            <w:bottom w:val="none" w:sz="0" w:space="0" w:color="auto"/>
            <w:right w:val="none" w:sz="0" w:space="0" w:color="auto"/>
          </w:divBdr>
        </w:div>
        <w:div w:id="827019760">
          <w:marLeft w:val="0"/>
          <w:marRight w:val="0"/>
          <w:marTop w:val="0"/>
          <w:marBottom w:val="600"/>
          <w:divBdr>
            <w:top w:val="none" w:sz="0" w:space="0" w:color="auto"/>
            <w:left w:val="none" w:sz="0" w:space="0" w:color="auto"/>
            <w:bottom w:val="none" w:sz="0" w:space="0" w:color="auto"/>
            <w:right w:val="none" w:sz="0" w:space="0" w:color="auto"/>
          </w:divBdr>
        </w:div>
      </w:divsChild>
    </w:div>
    <w:div w:id="83914328">
      <w:marLeft w:val="0"/>
      <w:marRight w:val="0"/>
      <w:marTop w:val="0"/>
      <w:marBottom w:val="0"/>
      <w:divBdr>
        <w:top w:val="none" w:sz="0" w:space="0" w:color="auto"/>
        <w:left w:val="none" w:sz="0" w:space="0" w:color="auto"/>
        <w:bottom w:val="none" w:sz="0" w:space="0" w:color="auto"/>
        <w:right w:val="none" w:sz="0" w:space="0" w:color="auto"/>
      </w:divBdr>
      <w:divsChild>
        <w:div w:id="1758549961">
          <w:marLeft w:val="0"/>
          <w:marRight w:val="0"/>
          <w:marTop w:val="547"/>
          <w:marBottom w:val="0"/>
          <w:divBdr>
            <w:top w:val="none" w:sz="0" w:space="0" w:color="auto"/>
            <w:left w:val="none" w:sz="0" w:space="0" w:color="auto"/>
            <w:bottom w:val="none" w:sz="0" w:space="0" w:color="auto"/>
            <w:right w:val="none" w:sz="0" w:space="0" w:color="auto"/>
          </w:divBdr>
        </w:div>
        <w:div w:id="2144077618">
          <w:marLeft w:val="0"/>
          <w:marRight w:val="0"/>
          <w:marTop w:val="0"/>
          <w:marBottom w:val="0"/>
          <w:divBdr>
            <w:top w:val="none" w:sz="0" w:space="0" w:color="auto"/>
            <w:left w:val="none" w:sz="0" w:space="0" w:color="auto"/>
            <w:bottom w:val="none" w:sz="0" w:space="0" w:color="auto"/>
            <w:right w:val="none" w:sz="0" w:space="0" w:color="auto"/>
          </w:divBdr>
        </w:div>
        <w:div w:id="632835775">
          <w:marLeft w:val="0"/>
          <w:marRight w:val="0"/>
          <w:marTop w:val="0"/>
          <w:marBottom w:val="600"/>
          <w:divBdr>
            <w:top w:val="none" w:sz="0" w:space="0" w:color="auto"/>
            <w:left w:val="none" w:sz="0" w:space="0" w:color="auto"/>
            <w:bottom w:val="none" w:sz="0" w:space="0" w:color="auto"/>
            <w:right w:val="none" w:sz="0" w:space="0" w:color="auto"/>
          </w:divBdr>
        </w:div>
      </w:divsChild>
    </w:div>
    <w:div w:id="136798714">
      <w:marLeft w:val="0"/>
      <w:marRight w:val="0"/>
      <w:marTop w:val="0"/>
      <w:marBottom w:val="0"/>
      <w:divBdr>
        <w:top w:val="none" w:sz="0" w:space="0" w:color="auto"/>
        <w:left w:val="none" w:sz="0" w:space="0" w:color="auto"/>
        <w:bottom w:val="none" w:sz="0" w:space="0" w:color="auto"/>
        <w:right w:val="none" w:sz="0" w:space="0" w:color="auto"/>
      </w:divBdr>
      <w:divsChild>
        <w:div w:id="1283610804">
          <w:marLeft w:val="0"/>
          <w:marRight w:val="0"/>
          <w:marTop w:val="547"/>
          <w:marBottom w:val="0"/>
          <w:divBdr>
            <w:top w:val="none" w:sz="0" w:space="0" w:color="auto"/>
            <w:left w:val="none" w:sz="0" w:space="0" w:color="auto"/>
            <w:bottom w:val="none" w:sz="0" w:space="0" w:color="auto"/>
            <w:right w:val="none" w:sz="0" w:space="0" w:color="auto"/>
          </w:divBdr>
        </w:div>
        <w:div w:id="609777483">
          <w:marLeft w:val="0"/>
          <w:marRight w:val="0"/>
          <w:marTop w:val="0"/>
          <w:marBottom w:val="0"/>
          <w:divBdr>
            <w:top w:val="none" w:sz="0" w:space="0" w:color="auto"/>
            <w:left w:val="none" w:sz="0" w:space="0" w:color="auto"/>
            <w:bottom w:val="none" w:sz="0" w:space="0" w:color="auto"/>
            <w:right w:val="none" w:sz="0" w:space="0" w:color="auto"/>
          </w:divBdr>
          <w:divsChild>
            <w:div w:id="261956825">
              <w:marLeft w:val="0"/>
              <w:marRight w:val="0"/>
              <w:marTop w:val="0"/>
              <w:marBottom w:val="0"/>
              <w:divBdr>
                <w:top w:val="none" w:sz="0" w:space="0" w:color="auto"/>
                <w:left w:val="none" w:sz="0" w:space="0" w:color="auto"/>
                <w:bottom w:val="none" w:sz="0" w:space="0" w:color="auto"/>
                <w:right w:val="none" w:sz="0" w:space="0" w:color="auto"/>
              </w:divBdr>
              <w:divsChild>
                <w:div w:id="640497972">
                  <w:marLeft w:val="0"/>
                  <w:marRight w:val="0"/>
                  <w:marTop w:val="0"/>
                  <w:marBottom w:val="0"/>
                  <w:divBdr>
                    <w:top w:val="none" w:sz="0" w:space="0" w:color="auto"/>
                    <w:left w:val="none" w:sz="0" w:space="0" w:color="auto"/>
                    <w:bottom w:val="none" w:sz="0" w:space="0" w:color="auto"/>
                    <w:right w:val="none" w:sz="0" w:space="0" w:color="auto"/>
                  </w:divBdr>
                </w:div>
              </w:divsChild>
            </w:div>
            <w:div w:id="1374695256">
              <w:marLeft w:val="0"/>
              <w:marRight w:val="0"/>
              <w:marTop w:val="0"/>
              <w:marBottom w:val="0"/>
              <w:divBdr>
                <w:top w:val="none" w:sz="0" w:space="0" w:color="auto"/>
                <w:left w:val="none" w:sz="0" w:space="0" w:color="auto"/>
                <w:bottom w:val="none" w:sz="0" w:space="0" w:color="auto"/>
                <w:right w:val="none" w:sz="0" w:space="0" w:color="auto"/>
              </w:divBdr>
              <w:divsChild>
                <w:div w:id="735396000">
                  <w:marLeft w:val="0"/>
                  <w:marRight w:val="0"/>
                  <w:marTop w:val="0"/>
                  <w:marBottom w:val="0"/>
                  <w:divBdr>
                    <w:top w:val="none" w:sz="0" w:space="0" w:color="auto"/>
                    <w:left w:val="none" w:sz="0" w:space="0" w:color="auto"/>
                    <w:bottom w:val="none" w:sz="0" w:space="0" w:color="auto"/>
                    <w:right w:val="none" w:sz="0" w:space="0" w:color="auto"/>
                  </w:divBdr>
                </w:div>
              </w:divsChild>
            </w:div>
            <w:div w:id="1506817835">
              <w:marLeft w:val="0"/>
              <w:marRight w:val="0"/>
              <w:marTop w:val="0"/>
              <w:marBottom w:val="0"/>
              <w:divBdr>
                <w:top w:val="none" w:sz="0" w:space="0" w:color="auto"/>
                <w:left w:val="none" w:sz="0" w:space="0" w:color="auto"/>
                <w:bottom w:val="none" w:sz="0" w:space="0" w:color="auto"/>
                <w:right w:val="none" w:sz="0" w:space="0" w:color="auto"/>
              </w:divBdr>
              <w:divsChild>
                <w:div w:id="1769540564">
                  <w:marLeft w:val="0"/>
                  <w:marRight w:val="0"/>
                  <w:marTop w:val="0"/>
                  <w:marBottom w:val="0"/>
                  <w:divBdr>
                    <w:top w:val="none" w:sz="0" w:space="0" w:color="auto"/>
                    <w:left w:val="none" w:sz="0" w:space="0" w:color="auto"/>
                    <w:bottom w:val="none" w:sz="0" w:space="0" w:color="auto"/>
                    <w:right w:val="none" w:sz="0" w:space="0" w:color="auto"/>
                  </w:divBdr>
                </w:div>
              </w:divsChild>
            </w:div>
            <w:div w:id="64760996">
              <w:marLeft w:val="0"/>
              <w:marRight w:val="0"/>
              <w:marTop w:val="0"/>
              <w:marBottom w:val="0"/>
              <w:divBdr>
                <w:top w:val="none" w:sz="0" w:space="0" w:color="auto"/>
                <w:left w:val="none" w:sz="0" w:space="0" w:color="auto"/>
                <w:bottom w:val="none" w:sz="0" w:space="0" w:color="auto"/>
                <w:right w:val="none" w:sz="0" w:space="0" w:color="auto"/>
              </w:divBdr>
              <w:divsChild>
                <w:div w:id="345449912">
                  <w:marLeft w:val="0"/>
                  <w:marRight w:val="0"/>
                  <w:marTop w:val="0"/>
                  <w:marBottom w:val="0"/>
                  <w:divBdr>
                    <w:top w:val="none" w:sz="0" w:space="0" w:color="auto"/>
                    <w:left w:val="none" w:sz="0" w:space="0" w:color="auto"/>
                    <w:bottom w:val="none" w:sz="0" w:space="0" w:color="auto"/>
                    <w:right w:val="none" w:sz="0" w:space="0" w:color="auto"/>
                  </w:divBdr>
                </w:div>
              </w:divsChild>
            </w:div>
            <w:div w:id="1619675877">
              <w:marLeft w:val="0"/>
              <w:marRight w:val="0"/>
              <w:marTop w:val="0"/>
              <w:marBottom w:val="0"/>
              <w:divBdr>
                <w:top w:val="none" w:sz="0" w:space="0" w:color="auto"/>
                <w:left w:val="none" w:sz="0" w:space="0" w:color="auto"/>
                <w:bottom w:val="none" w:sz="0" w:space="0" w:color="auto"/>
                <w:right w:val="none" w:sz="0" w:space="0" w:color="auto"/>
              </w:divBdr>
              <w:divsChild>
                <w:div w:id="783621842">
                  <w:marLeft w:val="0"/>
                  <w:marRight w:val="0"/>
                  <w:marTop w:val="0"/>
                  <w:marBottom w:val="0"/>
                  <w:divBdr>
                    <w:top w:val="none" w:sz="0" w:space="0" w:color="auto"/>
                    <w:left w:val="none" w:sz="0" w:space="0" w:color="auto"/>
                    <w:bottom w:val="none" w:sz="0" w:space="0" w:color="auto"/>
                    <w:right w:val="none" w:sz="0" w:space="0" w:color="auto"/>
                  </w:divBdr>
                </w:div>
              </w:divsChild>
            </w:div>
            <w:div w:id="1200169603">
              <w:marLeft w:val="0"/>
              <w:marRight w:val="0"/>
              <w:marTop w:val="0"/>
              <w:marBottom w:val="0"/>
              <w:divBdr>
                <w:top w:val="none" w:sz="0" w:space="0" w:color="auto"/>
                <w:left w:val="none" w:sz="0" w:space="0" w:color="auto"/>
                <w:bottom w:val="none" w:sz="0" w:space="0" w:color="auto"/>
                <w:right w:val="none" w:sz="0" w:space="0" w:color="auto"/>
              </w:divBdr>
              <w:divsChild>
                <w:div w:id="1274291271">
                  <w:marLeft w:val="0"/>
                  <w:marRight w:val="0"/>
                  <w:marTop w:val="0"/>
                  <w:marBottom w:val="0"/>
                  <w:divBdr>
                    <w:top w:val="none" w:sz="0" w:space="0" w:color="auto"/>
                    <w:left w:val="none" w:sz="0" w:space="0" w:color="auto"/>
                    <w:bottom w:val="none" w:sz="0" w:space="0" w:color="auto"/>
                    <w:right w:val="none" w:sz="0" w:space="0" w:color="auto"/>
                  </w:divBdr>
                </w:div>
              </w:divsChild>
            </w:div>
            <w:div w:id="1576697335">
              <w:marLeft w:val="0"/>
              <w:marRight w:val="0"/>
              <w:marTop w:val="0"/>
              <w:marBottom w:val="0"/>
              <w:divBdr>
                <w:top w:val="none" w:sz="0" w:space="0" w:color="auto"/>
                <w:left w:val="none" w:sz="0" w:space="0" w:color="auto"/>
                <w:bottom w:val="none" w:sz="0" w:space="0" w:color="auto"/>
                <w:right w:val="none" w:sz="0" w:space="0" w:color="auto"/>
              </w:divBdr>
              <w:divsChild>
                <w:div w:id="3790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453">
          <w:marLeft w:val="0"/>
          <w:marRight w:val="0"/>
          <w:marTop w:val="0"/>
          <w:marBottom w:val="600"/>
          <w:divBdr>
            <w:top w:val="none" w:sz="0" w:space="0" w:color="auto"/>
            <w:left w:val="none" w:sz="0" w:space="0" w:color="auto"/>
            <w:bottom w:val="none" w:sz="0" w:space="0" w:color="auto"/>
            <w:right w:val="none" w:sz="0" w:space="0" w:color="auto"/>
          </w:divBdr>
        </w:div>
      </w:divsChild>
    </w:div>
    <w:div w:id="149031243">
      <w:marLeft w:val="0"/>
      <w:marRight w:val="0"/>
      <w:marTop w:val="0"/>
      <w:marBottom w:val="0"/>
      <w:divBdr>
        <w:top w:val="none" w:sz="0" w:space="0" w:color="auto"/>
        <w:left w:val="none" w:sz="0" w:space="0" w:color="auto"/>
        <w:bottom w:val="none" w:sz="0" w:space="0" w:color="auto"/>
        <w:right w:val="none" w:sz="0" w:space="0" w:color="auto"/>
      </w:divBdr>
      <w:divsChild>
        <w:div w:id="1249074917">
          <w:marLeft w:val="0"/>
          <w:marRight w:val="0"/>
          <w:marTop w:val="547"/>
          <w:marBottom w:val="0"/>
          <w:divBdr>
            <w:top w:val="none" w:sz="0" w:space="0" w:color="auto"/>
            <w:left w:val="none" w:sz="0" w:space="0" w:color="auto"/>
            <w:bottom w:val="none" w:sz="0" w:space="0" w:color="auto"/>
            <w:right w:val="none" w:sz="0" w:space="0" w:color="auto"/>
          </w:divBdr>
        </w:div>
        <w:div w:id="200286262">
          <w:marLeft w:val="0"/>
          <w:marRight w:val="0"/>
          <w:marTop w:val="0"/>
          <w:marBottom w:val="0"/>
          <w:divBdr>
            <w:top w:val="none" w:sz="0" w:space="0" w:color="auto"/>
            <w:left w:val="none" w:sz="0" w:space="0" w:color="auto"/>
            <w:bottom w:val="none" w:sz="0" w:space="0" w:color="auto"/>
            <w:right w:val="none" w:sz="0" w:space="0" w:color="auto"/>
          </w:divBdr>
          <w:divsChild>
            <w:div w:id="1867598667">
              <w:marLeft w:val="0"/>
              <w:marRight w:val="0"/>
              <w:marTop w:val="0"/>
              <w:marBottom w:val="0"/>
              <w:divBdr>
                <w:top w:val="none" w:sz="0" w:space="0" w:color="auto"/>
                <w:left w:val="none" w:sz="0" w:space="0" w:color="auto"/>
                <w:bottom w:val="none" w:sz="0" w:space="0" w:color="auto"/>
                <w:right w:val="none" w:sz="0" w:space="0" w:color="auto"/>
              </w:divBdr>
              <w:divsChild>
                <w:div w:id="425343470">
                  <w:marLeft w:val="0"/>
                  <w:marRight w:val="0"/>
                  <w:marTop w:val="0"/>
                  <w:marBottom w:val="0"/>
                  <w:divBdr>
                    <w:top w:val="none" w:sz="0" w:space="0" w:color="auto"/>
                    <w:left w:val="none" w:sz="0" w:space="0" w:color="auto"/>
                    <w:bottom w:val="none" w:sz="0" w:space="0" w:color="auto"/>
                    <w:right w:val="none" w:sz="0" w:space="0" w:color="auto"/>
                  </w:divBdr>
                </w:div>
              </w:divsChild>
            </w:div>
            <w:div w:id="1139879057">
              <w:marLeft w:val="0"/>
              <w:marRight w:val="0"/>
              <w:marTop w:val="0"/>
              <w:marBottom w:val="0"/>
              <w:divBdr>
                <w:top w:val="none" w:sz="0" w:space="0" w:color="auto"/>
                <w:left w:val="none" w:sz="0" w:space="0" w:color="auto"/>
                <w:bottom w:val="none" w:sz="0" w:space="0" w:color="auto"/>
                <w:right w:val="none" w:sz="0" w:space="0" w:color="auto"/>
              </w:divBdr>
              <w:divsChild>
                <w:div w:id="6895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5691">
          <w:marLeft w:val="0"/>
          <w:marRight w:val="0"/>
          <w:marTop w:val="0"/>
          <w:marBottom w:val="600"/>
          <w:divBdr>
            <w:top w:val="none" w:sz="0" w:space="0" w:color="auto"/>
            <w:left w:val="none" w:sz="0" w:space="0" w:color="auto"/>
            <w:bottom w:val="none" w:sz="0" w:space="0" w:color="auto"/>
            <w:right w:val="none" w:sz="0" w:space="0" w:color="auto"/>
          </w:divBdr>
        </w:div>
      </w:divsChild>
    </w:div>
    <w:div w:id="228273772">
      <w:marLeft w:val="0"/>
      <w:marRight w:val="0"/>
      <w:marTop w:val="0"/>
      <w:marBottom w:val="0"/>
      <w:divBdr>
        <w:top w:val="none" w:sz="0" w:space="0" w:color="auto"/>
        <w:left w:val="none" w:sz="0" w:space="0" w:color="auto"/>
        <w:bottom w:val="none" w:sz="0" w:space="0" w:color="auto"/>
        <w:right w:val="none" w:sz="0" w:space="0" w:color="auto"/>
      </w:divBdr>
      <w:divsChild>
        <w:div w:id="132143958">
          <w:marLeft w:val="0"/>
          <w:marRight w:val="0"/>
          <w:marTop w:val="547"/>
          <w:marBottom w:val="0"/>
          <w:divBdr>
            <w:top w:val="none" w:sz="0" w:space="0" w:color="auto"/>
            <w:left w:val="none" w:sz="0" w:space="0" w:color="auto"/>
            <w:bottom w:val="none" w:sz="0" w:space="0" w:color="auto"/>
            <w:right w:val="none" w:sz="0" w:space="0" w:color="auto"/>
          </w:divBdr>
        </w:div>
        <w:div w:id="1100835600">
          <w:marLeft w:val="0"/>
          <w:marRight w:val="0"/>
          <w:marTop w:val="0"/>
          <w:marBottom w:val="0"/>
          <w:divBdr>
            <w:top w:val="none" w:sz="0" w:space="0" w:color="auto"/>
            <w:left w:val="none" w:sz="0" w:space="0" w:color="auto"/>
            <w:bottom w:val="none" w:sz="0" w:space="0" w:color="auto"/>
            <w:right w:val="none" w:sz="0" w:space="0" w:color="auto"/>
          </w:divBdr>
        </w:div>
        <w:div w:id="1787579578">
          <w:marLeft w:val="0"/>
          <w:marRight w:val="0"/>
          <w:marTop w:val="0"/>
          <w:marBottom w:val="600"/>
          <w:divBdr>
            <w:top w:val="none" w:sz="0" w:space="0" w:color="auto"/>
            <w:left w:val="none" w:sz="0" w:space="0" w:color="auto"/>
            <w:bottom w:val="none" w:sz="0" w:space="0" w:color="auto"/>
            <w:right w:val="none" w:sz="0" w:space="0" w:color="auto"/>
          </w:divBdr>
        </w:div>
      </w:divsChild>
    </w:div>
    <w:div w:id="280066844">
      <w:marLeft w:val="0"/>
      <w:marRight w:val="0"/>
      <w:marTop w:val="0"/>
      <w:marBottom w:val="0"/>
      <w:divBdr>
        <w:top w:val="none" w:sz="0" w:space="0" w:color="auto"/>
        <w:left w:val="none" w:sz="0" w:space="0" w:color="auto"/>
        <w:bottom w:val="none" w:sz="0" w:space="0" w:color="auto"/>
        <w:right w:val="none" w:sz="0" w:space="0" w:color="auto"/>
      </w:divBdr>
      <w:divsChild>
        <w:div w:id="1286888813">
          <w:marLeft w:val="0"/>
          <w:marRight w:val="0"/>
          <w:marTop w:val="547"/>
          <w:marBottom w:val="0"/>
          <w:divBdr>
            <w:top w:val="none" w:sz="0" w:space="0" w:color="auto"/>
            <w:left w:val="none" w:sz="0" w:space="0" w:color="auto"/>
            <w:bottom w:val="none" w:sz="0" w:space="0" w:color="auto"/>
            <w:right w:val="none" w:sz="0" w:space="0" w:color="auto"/>
          </w:divBdr>
        </w:div>
        <w:div w:id="1443112472">
          <w:marLeft w:val="0"/>
          <w:marRight w:val="0"/>
          <w:marTop w:val="0"/>
          <w:marBottom w:val="0"/>
          <w:divBdr>
            <w:top w:val="none" w:sz="0" w:space="0" w:color="auto"/>
            <w:left w:val="none" w:sz="0" w:space="0" w:color="auto"/>
            <w:bottom w:val="none" w:sz="0" w:space="0" w:color="auto"/>
            <w:right w:val="none" w:sz="0" w:space="0" w:color="auto"/>
          </w:divBdr>
        </w:div>
        <w:div w:id="1797677557">
          <w:marLeft w:val="0"/>
          <w:marRight w:val="0"/>
          <w:marTop w:val="0"/>
          <w:marBottom w:val="600"/>
          <w:divBdr>
            <w:top w:val="none" w:sz="0" w:space="0" w:color="auto"/>
            <w:left w:val="none" w:sz="0" w:space="0" w:color="auto"/>
            <w:bottom w:val="none" w:sz="0" w:space="0" w:color="auto"/>
            <w:right w:val="none" w:sz="0" w:space="0" w:color="auto"/>
          </w:divBdr>
        </w:div>
      </w:divsChild>
    </w:div>
    <w:div w:id="289746112">
      <w:marLeft w:val="0"/>
      <w:marRight w:val="0"/>
      <w:marTop w:val="0"/>
      <w:marBottom w:val="0"/>
      <w:divBdr>
        <w:top w:val="none" w:sz="0" w:space="0" w:color="auto"/>
        <w:left w:val="none" w:sz="0" w:space="0" w:color="auto"/>
        <w:bottom w:val="none" w:sz="0" w:space="0" w:color="auto"/>
        <w:right w:val="none" w:sz="0" w:space="0" w:color="auto"/>
      </w:divBdr>
      <w:divsChild>
        <w:div w:id="529995492">
          <w:marLeft w:val="0"/>
          <w:marRight w:val="0"/>
          <w:marTop w:val="547"/>
          <w:marBottom w:val="0"/>
          <w:divBdr>
            <w:top w:val="none" w:sz="0" w:space="0" w:color="auto"/>
            <w:left w:val="none" w:sz="0" w:space="0" w:color="auto"/>
            <w:bottom w:val="none" w:sz="0" w:space="0" w:color="auto"/>
            <w:right w:val="none" w:sz="0" w:space="0" w:color="auto"/>
          </w:divBdr>
        </w:div>
        <w:div w:id="566841183">
          <w:marLeft w:val="0"/>
          <w:marRight w:val="0"/>
          <w:marTop w:val="0"/>
          <w:marBottom w:val="0"/>
          <w:divBdr>
            <w:top w:val="none" w:sz="0" w:space="0" w:color="auto"/>
            <w:left w:val="none" w:sz="0" w:space="0" w:color="auto"/>
            <w:bottom w:val="none" w:sz="0" w:space="0" w:color="auto"/>
            <w:right w:val="none" w:sz="0" w:space="0" w:color="auto"/>
          </w:divBdr>
          <w:divsChild>
            <w:div w:id="1999649178">
              <w:marLeft w:val="0"/>
              <w:marRight w:val="0"/>
              <w:marTop w:val="0"/>
              <w:marBottom w:val="0"/>
              <w:divBdr>
                <w:top w:val="none" w:sz="0" w:space="0" w:color="auto"/>
                <w:left w:val="none" w:sz="0" w:space="0" w:color="auto"/>
                <w:bottom w:val="none" w:sz="0" w:space="0" w:color="auto"/>
                <w:right w:val="none" w:sz="0" w:space="0" w:color="auto"/>
              </w:divBdr>
              <w:divsChild>
                <w:div w:id="1212502255">
                  <w:marLeft w:val="0"/>
                  <w:marRight w:val="0"/>
                  <w:marTop w:val="0"/>
                  <w:marBottom w:val="0"/>
                  <w:divBdr>
                    <w:top w:val="none" w:sz="0" w:space="0" w:color="auto"/>
                    <w:left w:val="none" w:sz="0" w:space="0" w:color="auto"/>
                    <w:bottom w:val="none" w:sz="0" w:space="0" w:color="auto"/>
                    <w:right w:val="none" w:sz="0" w:space="0" w:color="auto"/>
                  </w:divBdr>
                </w:div>
              </w:divsChild>
            </w:div>
            <w:div w:id="638340065">
              <w:marLeft w:val="0"/>
              <w:marRight w:val="0"/>
              <w:marTop w:val="0"/>
              <w:marBottom w:val="0"/>
              <w:divBdr>
                <w:top w:val="none" w:sz="0" w:space="0" w:color="auto"/>
                <w:left w:val="none" w:sz="0" w:space="0" w:color="auto"/>
                <w:bottom w:val="none" w:sz="0" w:space="0" w:color="auto"/>
                <w:right w:val="none" w:sz="0" w:space="0" w:color="auto"/>
              </w:divBdr>
              <w:divsChild>
                <w:div w:id="1711488229">
                  <w:marLeft w:val="0"/>
                  <w:marRight w:val="0"/>
                  <w:marTop w:val="0"/>
                  <w:marBottom w:val="0"/>
                  <w:divBdr>
                    <w:top w:val="none" w:sz="0" w:space="0" w:color="auto"/>
                    <w:left w:val="none" w:sz="0" w:space="0" w:color="auto"/>
                    <w:bottom w:val="none" w:sz="0" w:space="0" w:color="auto"/>
                    <w:right w:val="none" w:sz="0" w:space="0" w:color="auto"/>
                  </w:divBdr>
                </w:div>
              </w:divsChild>
            </w:div>
            <w:div w:id="1944729061">
              <w:marLeft w:val="0"/>
              <w:marRight w:val="0"/>
              <w:marTop w:val="0"/>
              <w:marBottom w:val="0"/>
              <w:divBdr>
                <w:top w:val="none" w:sz="0" w:space="0" w:color="auto"/>
                <w:left w:val="none" w:sz="0" w:space="0" w:color="auto"/>
                <w:bottom w:val="none" w:sz="0" w:space="0" w:color="auto"/>
                <w:right w:val="none" w:sz="0" w:space="0" w:color="auto"/>
              </w:divBdr>
              <w:divsChild>
                <w:div w:id="322977676">
                  <w:marLeft w:val="0"/>
                  <w:marRight w:val="0"/>
                  <w:marTop w:val="0"/>
                  <w:marBottom w:val="0"/>
                  <w:divBdr>
                    <w:top w:val="none" w:sz="0" w:space="0" w:color="auto"/>
                    <w:left w:val="none" w:sz="0" w:space="0" w:color="auto"/>
                    <w:bottom w:val="none" w:sz="0" w:space="0" w:color="auto"/>
                    <w:right w:val="none" w:sz="0" w:space="0" w:color="auto"/>
                  </w:divBdr>
                </w:div>
              </w:divsChild>
            </w:div>
            <w:div w:id="318577457">
              <w:marLeft w:val="0"/>
              <w:marRight w:val="0"/>
              <w:marTop w:val="0"/>
              <w:marBottom w:val="0"/>
              <w:divBdr>
                <w:top w:val="none" w:sz="0" w:space="0" w:color="auto"/>
                <w:left w:val="none" w:sz="0" w:space="0" w:color="auto"/>
                <w:bottom w:val="none" w:sz="0" w:space="0" w:color="auto"/>
                <w:right w:val="none" w:sz="0" w:space="0" w:color="auto"/>
              </w:divBdr>
              <w:divsChild>
                <w:div w:id="1018893254">
                  <w:marLeft w:val="0"/>
                  <w:marRight w:val="0"/>
                  <w:marTop w:val="0"/>
                  <w:marBottom w:val="0"/>
                  <w:divBdr>
                    <w:top w:val="none" w:sz="0" w:space="0" w:color="auto"/>
                    <w:left w:val="none" w:sz="0" w:space="0" w:color="auto"/>
                    <w:bottom w:val="none" w:sz="0" w:space="0" w:color="auto"/>
                    <w:right w:val="none" w:sz="0" w:space="0" w:color="auto"/>
                  </w:divBdr>
                </w:div>
              </w:divsChild>
            </w:div>
            <w:div w:id="722367243">
              <w:marLeft w:val="0"/>
              <w:marRight w:val="0"/>
              <w:marTop w:val="0"/>
              <w:marBottom w:val="0"/>
              <w:divBdr>
                <w:top w:val="none" w:sz="0" w:space="0" w:color="auto"/>
                <w:left w:val="none" w:sz="0" w:space="0" w:color="auto"/>
                <w:bottom w:val="none" w:sz="0" w:space="0" w:color="auto"/>
                <w:right w:val="none" w:sz="0" w:space="0" w:color="auto"/>
              </w:divBdr>
              <w:divsChild>
                <w:div w:id="744571232">
                  <w:marLeft w:val="0"/>
                  <w:marRight w:val="0"/>
                  <w:marTop w:val="0"/>
                  <w:marBottom w:val="0"/>
                  <w:divBdr>
                    <w:top w:val="none" w:sz="0" w:space="0" w:color="auto"/>
                    <w:left w:val="none" w:sz="0" w:space="0" w:color="auto"/>
                    <w:bottom w:val="none" w:sz="0" w:space="0" w:color="auto"/>
                    <w:right w:val="none" w:sz="0" w:space="0" w:color="auto"/>
                  </w:divBdr>
                </w:div>
              </w:divsChild>
            </w:div>
            <w:div w:id="2136869768">
              <w:marLeft w:val="0"/>
              <w:marRight w:val="0"/>
              <w:marTop w:val="0"/>
              <w:marBottom w:val="0"/>
              <w:divBdr>
                <w:top w:val="none" w:sz="0" w:space="0" w:color="auto"/>
                <w:left w:val="none" w:sz="0" w:space="0" w:color="auto"/>
                <w:bottom w:val="none" w:sz="0" w:space="0" w:color="auto"/>
                <w:right w:val="none" w:sz="0" w:space="0" w:color="auto"/>
              </w:divBdr>
              <w:divsChild>
                <w:div w:id="645091964">
                  <w:marLeft w:val="0"/>
                  <w:marRight w:val="0"/>
                  <w:marTop w:val="0"/>
                  <w:marBottom w:val="0"/>
                  <w:divBdr>
                    <w:top w:val="none" w:sz="0" w:space="0" w:color="auto"/>
                    <w:left w:val="none" w:sz="0" w:space="0" w:color="auto"/>
                    <w:bottom w:val="none" w:sz="0" w:space="0" w:color="auto"/>
                    <w:right w:val="none" w:sz="0" w:space="0" w:color="auto"/>
                  </w:divBdr>
                </w:div>
              </w:divsChild>
            </w:div>
            <w:div w:id="276177139">
              <w:marLeft w:val="0"/>
              <w:marRight w:val="0"/>
              <w:marTop w:val="0"/>
              <w:marBottom w:val="0"/>
              <w:divBdr>
                <w:top w:val="none" w:sz="0" w:space="0" w:color="auto"/>
                <w:left w:val="none" w:sz="0" w:space="0" w:color="auto"/>
                <w:bottom w:val="none" w:sz="0" w:space="0" w:color="auto"/>
                <w:right w:val="none" w:sz="0" w:space="0" w:color="auto"/>
              </w:divBdr>
              <w:divsChild>
                <w:div w:id="301424343">
                  <w:marLeft w:val="0"/>
                  <w:marRight w:val="0"/>
                  <w:marTop w:val="0"/>
                  <w:marBottom w:val="0"/>
                  <w:divBdr>
                    <w:top w:val="none" w:sz="0" w:space="0" w:color="auto"/>
                    <w:left w:val="none" w:sz="0" w:space="0" w:color="auto"/>
                    <w:bottom w:val="none" w:sz="0" w:space="0" w:color="auto"/>
                    <w:right w:val="none" w:sz="0" w:space="0" w:color="auto"/>
                  </w:divBdr>
                </w:div>
              </w:divsChild>
            </w:div>
            <w:div w:id="37248897">
              <w:marLeft w:val="0"/>
              <w:marRight w:val="0"/>
              <w:marTop w:val="0"/>
              <w:marBottom w:val="0"/>
              <w:divBdr>
                <w:top w:val="none" w:sz="0" w:space="0" w:color="auto"/>
                <w:left w:val="none" w:sz="0" w:space="0" w:color="auto"/>
                <w:bottom w:val="none" w:sz="0" w:space="0" w:color="auto"/>
                <w:right w:val="none" w:sz="0" w:space="0" w:color="auto"/>
              </w:divBdr>
              <w:divsChild>
                <w:div w:id="229537290">
                  <w:marLeft w:val="0"/>
                  <w:marRight w:val="0"/>
                  <w:marTop w:val="0"/>
                  <w:marBottom w:val="0"/>
                  <w:divBdr>
                    <w:top w:val="none" w:sz="0" w:space="0" w:color="auto"/>
                    <w:left w:val="none" w:sz="0" w:space="0" w:color="auto"/>
                    <w:bottom w:val="none" w:sz="0" w:space="0" w:color="auto"/>
                    <w:right w:val="none" w:sz="0" w:space="0" w:color="auto"/>
                  </w:divBdr>
                </w:div>
              </w:divsChild>
            </w:div>
            <w:div w:id="2134589405">
              <w:marLeft w:val="0"/>
              <w:marRight w:val="0"/>
              <w:marTop w:val="0"/>
              <w:marBottom w:val="0"/>
              <w:divBdr>
                <w:top w:val="none" w:sz="0" w:space="0" w:color="auto"/>
                <w:left w:val="none" w:sz="0" w:space="0" w:color="auto"/>
                <w:bottom w:val="none" w:sz="0" w:space="0" w:color="auto"/>
                <w:right w:val="none" w:sz="0" w:space="0" w:color="auto"/>
              </w:divBdr>
              <w:divsChild>
                <w:div w:id="178590511">
                  <w:marLeft w:val="0"/>
                  <w:marRight w:val="0"/>
                  <w:marTop w:val="0"/>
                  <w:marBottom w:val="0"/>
                  <w:divBdr>
                    <w:top w:val="none" w:sz="0" w:space="0" w:color="auto"/>
                    <w:left w:val="none" w:sz="0" w:space="0" w:color="auto"/>
                    <w:bottom w:val="none" w:sz="0" w:space="0" w:color="auto"/>
                    <w:right w:val="none" w:sz="0" w:space="0" w:color="auto"/>
                  </w:divBdr>
                </w:div>
              </w:divsChild>
            </w:div>
            <w:div w:id="1391462266">
              <w:marLeft w:val="0"/>
              <w:marRight w:val="0"/>
              <w:marTop w:val="0"/>
              <w:marBottom w:val="0"/>
              <w:divBdr>
                <w:top w:val="none" w:sz="0" w:space="0" w:color="auto"/>
                <w:left w:val="none" w:sz="0" w:space="0" w:color="auto"/>
                <w:bottom w:val="none" w:sz="0" w:space="0" w:color="auto"/>
                <w:right w:val="none" w:sz="0" w:space="0" w:color="auto"/>
              </w:divBdr>
              <w:divsChild>
                <w:div w:id="199704039">
                  <w:marLeft w:val="0"/>
                  <w:marRight w:val="0"/>
                  <w:marTop w:val="0"/>
                  <w:marBottom w:val="0"/>
                  <w:divBdr>
                    <w:top w:val="none" w:sz="0" w:space="0" w:color="auto"/>
                    <w:left w:val="none" w:sz="0" w:space="0" w:color="auto"/>
                    <w:bottom w:val="none" w:sz="0" w:space="0" w:color="auto"/>
                    <w:right w:val="none" w:sz="0" w:space="0" w:color="auto"/>
                  </w:divBdr>
                </w:div>
              </w:divsChild>
            </w:div>
            <w:div w:id="1097603506">
              <w:marLeft w:val="0"/>
              <w:marRight w:val="0"/>
              <w:marTop w:val="0"/>
              <w:marBottom w:val="0"/>
              <w:divBdr>
                <w:top w:val="none" w:sz="0" w:space="0" w:color="auto"/>
                <w:left w:val="none" w:sz="0" w:space="0" w:color="auto"/>
                <w:bottom w:val="none" w:sz="0" w:space="0" w:color="auto"/>
                <w:right w:val="none" w:sz="0" w:space="0" w:color="auto"/>
              </w:divBdr>
              <w:divsChild>
                <w:div w:id="1882211324">
                  <w:marLeft w:val="0"/>
                  <w:marRight w:val="0"/>
                  <w:marTop w:val="0"/>
                  <w:marBottom w:val="0"/>
                  <w:divBdr>
                    <w:top w:val="none" w:sz="0" w:space="0" w:color="auto"/>
                    <w:left w:val="none" w:sz="0" w:space="0" w:color="auto"/>
                    <w:bottom w:val="none" w:sz="0" w:space="0" w:color="auto"/>
                    <w:right w:val="none" w:sz="0" w:space="0" w:color="auto"/>
                  </w:divBdr>
                </w:div>
              </w:divsChild>
            </w:div>
            <w:div w:id="1280574037">
              <w:marLeft w:val="0"/>
              <w:marRight w:val="0"/>
              <w:marTop w:val="0"/>
              <w:marBottom w:val="0"/>
              <w:divBdr>
                <w:top w:val="none" w:sz="0" w:space="0" w:color="auto"/>
                <w:left w:val="none" w:sz="0" w:space="0" w:color="auto"/>
                <w:bottom w:val="none" w:sz="0" w:space="0" w:color="auto"/>
                <w:right w:val="none" w:sz="0" w:space="0" w:color="auto"/>
              </w:divBdr>
              <w:divsChild>
                <w:div w:id="1399160606">
                  <w:marLeft w:val="0"/>
                  <w:marRight w:val="0"/>
                  <w:marTop w:val="0"/>
                  <w:marBottom w:val="0"/>
                  <w:divBdr>
                    <w:top w:val="none" w:sz="0" w:space="0" w:color="auto"/>
                    <w:left w:val="none" w:sz="0" w:space="0" w:color="auto"/>
                    <w:bottom w:val="none" w:sz="0" w:space="0" w:color="auto"/>
                    <w:right w:val="none" w:sz="0" w:space="0" w:color="auto"/>
                  </w:divBdr>
                </w:div>
              </w:divsChild>
            </w:div>
            <w:div w:id="581455144">
              <w:marLeft w:val="0"/>
              <w:marRight w:val="0"/>
              <w:marTop w:val="0"/>
              <w:marBottom w:val="0"/>
              <w:divBdr>
                <w:top w:val="none" w:sz="0" w:space="0" w:color="auto"/>
                <w:left w:val="none" w:sz="0" w:space="0" w:color="auto"/>
                <w:bottom w:val="none" w:sz="0" w:space="0" w:color="auto"/>
                <w:right w:val="none" w:sz="0" w:space="0" w:color="auto"/>
              </w:divBdr>
              <w:divsChild>
                <w:div w:id="2123649411">
                  <w:marLeft w:val="0"/>
                  <w:marRight w:val="0"/>
                  <w:marTop w:val="0"/>
                  <w:marBottom w:val="0"/>
                  <w:divBdr>
                    <w:top w:val="none" w:sz="0" w:space="0" w:color="auto"/>
                    <w:left w:val="none" w:sz="0" w:space="0" w:color="auto"/>
                    <w:bottom w:val="none" w:sz="0" w:space="0" w:color="auto"/>
                    <w:right w:val="none" w:sz="0" w:space="0" w:color="auto"/>
                  </w:divBdr>
                </w:div>
              </w:divsChild>
            </w:div>
            <w:div w:id="1173764328">
              <w:marLeft w:val="0"/>
              <w:marRight w:val="0"/>
              <w:marTop w:val="0"/>
              <w:marBottom w:val="0"/>
              <w:divBdr>
                <w:top w:val="none" w:sz="0" w:space="0" w:color="auto"/>
                <w:left w:val="none" w:sz="0" w:space="0" w:color="auto"/>
                <w:bottom w:val="none" w:sz="0" w:space="0" w:color="auto"/>
                <w:right w:val="none" w:sz="0" w:space="0" w:color="auto"/>
              </w:divBdr>
              <w:divsChild>
                <w:div w:id="153834991">
                  <w:marLeft w:val="0"/>
                  <w:marRight w:val="0"/>
                  <w:marTop w:val="0"/>
                  <w:marBottom w:val="0"/>
                  <w:divBdr>
                    <w:top w:val="none" w:sz="0" w:space="0" w:color="auto"/>
                    <w:left w:val="none" w:sz="0" w:space="0" w:color="auto"/>
                    <w:bottom w:val="none" w:sz="0" w:space="0" w:color="auto"/>
                    <w:right w:val="none" w:sz="0" w:space="0" w:color="auto"/>
                  </w:divBdr>
                </w:div>
              </w:divsChild>
            </w:div>
            <w:div w:id="344332588">
              <w:marLeft w:val="0"/>
              <w:marRight w:val="0"/>
              <w:marTop w:val="0"/>
              <w:marBottom w:val="0"/>
              <w:divBdr>
                <w:top w:val="none" w:sz="0" w:space="0" w:color="auto"/>
                <w:left w:val="none" w:sz="0" w:space="0" w:color="auto"/>
                <w:bottom w:val="none" w:sz="0" w:space="0" w:color="auto"/>
                <w:right w:val="none" w:sz="0" w:space="0" w:color="auto"/>
              </w:divBdr>
              <w:divsChild>
                <w:div w:id="448090842">
                  <w:marLeft w:val="0"/>
                  <w:marRight w:val="0"/>
                  <w:marTop w:val="0"/>
                  <w:marBottom w:val="0"/>
                  <w:divBdr>
                    <w:top w:val="none" w:sz="0" w:space="0" w:color="auto"/>
                    <w:left w:val="none" w:sz="0" w:space="0" w:color="auto"/>
                    <w:bottom w:val="none" w:sz="0" w:space="0" w:color="auto"/>
                    <w:right w:val="none" w:sz="0" w:space="0" w:color="auto"/>
                  </w:divBdr>
                </w:div>
              </w:divsChild>
            </w:div>
            <w:div w:id="451873483">
              <w:marLeft w:val="0"/>
              <w:marRight w:val="0"/>
              <w:marTop w:val="0"/>
              <w:marBottom w:val="0"/>
              <w:divBdr>
                <w:top w:val="none" w:sz="0" w:space="0" w:color="auto"/>
                <w:left w:val="none" w:sz="0" w:space="0" w:color="auto"/>
                <w:bottom w:val="none" w:sz="0" w:space="0" w:color="auto"/>
                <w:right w:val="none" w:sz="0" w:space="0" w:color="auto"/>
              </w:divBdr>
              <w:divsChild>
                <w:div w:id="782842638">
                  <w:marLeft w:val="0"/>
                  <w:marRight w:val="0"/>
                  <w:marTop w:val="0"/>
                  <w:marBottom w:val="0"/>
                  <w:divBdr>
                    <w:top w:val="none" w:sz="0" w:space="0" w:color="auto"/>
                    <w:left w:val="none" w:sz="0" w:space="0" w:color="auto"/>
                    <w:bottom w:val="none" w:sz="0" w:space="0" w:color="auto"/>
                    <w:right w:val="none" w:sz="0" w:space="0" w:color="auto"/>
                  </w:divBdr>
                </w:div>
              </w:divsChild>
            </w:div>
            <w:div w:id="1085762230">
              <w:marLeft w:val="0"/>
              <w:marRight w:val="0"/>
              <w:marTop w:val="0"/>
              <w:marBottom w:val="0"/>
              <w:divBdr>
                <w:top w:val="none" w:sz="0" w:space="0" w:color="auto"/>
                <w:left w:val="none" w:sz="0" w:space="0" w:color="auto"/>
                <w:bottom w:val="none" w:sz="0" w:space="0" w:color="auto"/>
                <w:right w:val="none" w:sz="0" w:space="0" w:color="auto"/>
              </w:divBdr>
              <w:divsChild>
                <w:div w:id="721179198">
                  <w:marLeft w:val="0"/>
                  <w:marRight w:val="0"/>
                  <w:marTop w:val="0"/>
                  <w:marBottom w:val="0"/>
                  <w:divBdr>
                    <w:top w:val="none" w:sz="0" w:space="0" w:color="auto"/>
                    <w:left w:val="none" w:sz="0" w:space="0" w:color="auto"/>
                    <w:bottom w:val="none" w:sz="0" w:space="0" w:color="auto"/>
                    <w:right w:val="none" w:sz="0" w:space="0" w:color="auto"/>
                  </w:divBdr>
                </w:div>
              </w:divsChild>
            </w:div>
            <w:div w:id="1211914224">
              <w:marLeft w:val="0"/>
              <w:marRight w:val="0"/>
              <w:marTop w:val="0"/>
              <w:marBottom w:val="0"/>
              <w:divBdr>
                <w:top w:val="none" w:sz="0" w:space="0" w:color="auto"/>
                <w:left w:val="none" w:sz="0" w:space="0" w:color="auto"/>
                <w:bottom w:val="none" w:sz="0" w:space="0" w:color="auto"/>
                <w:right w:val="none" w:sz="0" w:space="0" w:color="auto"/>
              </w:divBdr>
              <w:divsChild>
                <w:div w:id="2138374426">
                  <w:marLeft w:val="0"/>
                  <w:marRight w:val="0"/>
                  <w:marTop w:val="0"/>
                  <w:marBottom w:val="0"/>
                  <w:divBdr>
                    <w:top w:val="none" w:sz="0" w:space="0" w:color="auto"/>
                    <w:left w:val="none" w:sz="0" w:space="0" w:color="auto"/>
                    <w:bottom w:val="none" w:sz="0" w:space="0" w:color="auto"/>
                    <w:right w:val="none" w:sz="0" w:space="0" w:color="auto"/>
                  </w:divBdr>
                </w:div>
              </w:divsChild>
            </w:div>
            <w:div w:id="1683897807">
              <w:marLeft w:val="0"/>
              <w:marRight w:val="0"/>
              <w:marTop w:val="0"/>
              <w:marBottom w:val="0"/>
              <w:divBdr>
                <w:top w:val="none" w:sz="0" w:space="0" w:color="auto"/>
                <w:left w:val="none" w:sz="0" w:space="0" w:color="auto"/>
                <w:bottom w:val="none" w:sz="0" w:space="0" w:color="auto"/>
                <w:right w:val="none" w:sz="0" w:space="0" w:color="auto"/>
              </w:divBdr>
              <w:divsChild>
                <w:div w:id="7052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3579">
          <w:marLeft w:val="0"/>
          <w:marRight w:val="0"/>
          <w:marTop w:val="0"/>
          <w:marBottom w:val="600"/>
          <w:divBdr>
            <w:top w:val="none" w:sz="0" w:space="0" w:color="auto"/>
            <w:left w:val="none" w:sz="0" w:space="0" w:color="auto"/>
            <w:bottom w:val="none" w:sz="0" w:space="0" w:color="auto"/>
            <w:right w:val="none" w:sz="0" w:space="0" w:color="auto"/>
          </w:divBdr>
        </w:div>
      </w:divsChild>
    </w:div>
    <w:div w:id="314341741">
      <w:marLeft w:val="0"/>
      <w:marRight w:val="0"/>
      <w:marTop w:val="0"/>
      <w:marBottom w:val="0"/>
      <w:divBdr>
        <w:top w:val="none" w:sz="0" w:space="0" w:color="auto"/>
        <w:left w:val="none" w:sz="0" w:space="0" w:color="auto"/>
        <w:bottom w:val="none" w:sz="0" w:space="0" w:color="auto"/>
        <w:right w:val="none" w:sz="0" w:space="0" w:color="auto"/>
      </w:divBdr>
      <w:divsChild>
        <w:div w:id="1432046855">
          <w:marLeft w:val="0"/>
          <w:marRight w:val="0"/>
          <w:marTop w:val="547"/>
          <w:marBottom w:val="0"/>
          <w:divBdr>
            <w:top w:val="none" w:sz="0" w:space="0" w:color="auto"/>
            <w:left w:val="none" w:sz="0" w:space="0" w:color="auto"/>
            <w:bottom w:val="none" w:sz="0" w:space="0" w:color="auto"/>
            <w:right w:val="none" w:sz="0" w:space="0" w:color="auto"/>
          </w:divBdr>
        </w:div>
        <w:div w:id="295256725">
          <w:marLeft w:val="0"/>
          <w:marRight w:val="0"/>
          <w:marTop w:val="0"/>
          <w:marBottom w:val="0"/>
          <w:divBdr>
            <w:top w:val="none" w:sz="0" w:space="0" w:color="auto"/>
            <w:left w:val="none" w:sz="0" w:space="0" w:color="auto"/>
            <w:bottom w:val="none" w:sz="0" w:space="0" w:color="auto"/>
            <w:right w:val="none" w:sz="0" w:space="0" w:color="auto"/>
          </w:divBdr>
        </w:div>
        <w:div w:id="2006737761">
          <w:marLeft w:val="0"/>
          <w:marRight w:val="0"/>
          <w:marTop w:val="0"/>
          <w:marBottom w:val="600"/>
          <w:divBdr>
            <w:top w:val="none" w:sz="0" w:space="0" w:color="auto"/>
            <w:left w:val="none" w:sz="0" w:space="0" w:color="auto"/>
            <w:bottom w:val="none" w:sz="0" w:space="0" w:color="auto"/>
            <w:right w:val="none" w:sz="0" w:space="0" w:color="auto"/>
          </w:divBdr>
        </w:div>
      </w:divsChild>
    </w:div>
    <w:div w:id="328095291">
      <w:marLeft w:val="0"/>
      <w:marRight w:val="0"/>
      <w:marTop w:val="0"/>
      <w:marBottom w:val="0"/>
      <w:divBdr>
        <w:top w:val="none" w:sz="0" w:space="0" w:color="auto"/>
        <w:left w:val="none" w:sz="0" w:space="0" w:color="auto"/>
        <w:bottom w:val="none" w:sz="0" w:space="0" w:color="auto"/>
        <w:right w:val="none" w:sz="0" w:space="0" w:color="auto"/>
      </w:divBdr>
      <w:divsChild>
        <w:div w:id="532420576">
          <w:marLeft w:val="0"/>
          <w:marRight w:val="0"/>
          <w:marTop w:val="547"/>
          <w:marBottom w:val="0"/>
          <w:divBdr>
            <w:top w:val="none" w:sz="0" w:space="0" w:color="auto"/>
            <w:left w:val="none" w:sz="0" w:space="0" w:color="auto"/>
            <w:bottom w:val="none" w:sz="0" w:space="0" w:color="auto"/>
            <w:right w:val="none" w:sz="0" w:space="0" w:color="auto"/>
          </w:divBdr>
        </w:div>
        <w:div w:id="1082946914">
          <w:marLeft w:val="0"/>
          <w:marRight w:val="0"/>
          <w:marTop w:val="0"/>
          <w:marBottom w:val="0"/>
          <w:divBdr>
            <w:top w:val="none" w:sz="0" w:space="0" w:color="auto"/>
            <w:left w:val="none" w:sz="0" w:space="0" w:color="auto"/>
            <w:bottom w:val="none" w:sz="0" w:space="0" w:color="auto"/>
            <w:right w:val="none" w:sz="0" w:space="0" w:color="auto"/>
          </w:divBdr>
          <w:divsChild>
            <w:div w:id="187721159">
              <w:marLeft w:val="0"/>
              <w:marRight w:val="0"/>
              <w:marTop w:val="0"/>
              <w:marBottom w:val="0"/>
              <w:divBdr>
                <w:top w:val="none" w:sz="0" w:space="0" w:color="auto"/>
                <w:left w:val="none" w:sz="0" w:space="0" w:color="auto"/>
                <w:bottom w:val="none" w:sz="0" w:space="0" w:color="auto"/>
                <w:right w:val="none" w:sz="0" w:space="0" w:color="auto"/>
              </w:divBdr>
              <w:divsChild>
                <w:div w:id="1846937711">
                  <w:marLeft w:val="0"/>
                  <w:marRight w:val="0"/>
                  <w:marTop w:val="0"/>
                  <w:marBottom w:val="0"/>
                  <w:divBdr>
                    <w:top w:val="none" w:sz="0" w:space="0" w:color="auto"/>
                    <w:left w:val="none" w:sz="0" w:space="0" w:color="auto"/>
                    <w:bottom w:val="none" w:sz="0" w:space="0" w:color="auto"/>
                    <w:right w:val="none" w:sz="0" w:space="0" w:color="auto"/>
                  </w:divBdr>
                </w:div>
              </w:divsChild>
            </w:div>
            <w:div w:id="1385256573">
              <w:marLeft w:val="0"/>
              <w:marRight w:val="0"/>
              <w:marTop w:val="0"/>
              <w:marBottom w:val="0"/>
              <w:divBdr>
                <w:top w:val="none" w:sz="0" w:space="0" w:color="auto"/>
                <w:left w:val="none" w:sz="0" w:space="0" w:color="auto"/>
                <w:bottom w:val="none" w:sz="0" w:space="0" w:color="auto"/>
                <w:right w:val="none" w:sz="0" w:space="0" w:color="auto"/>
              </w:divBdr>
              <w:divsChild>
                <w:div w:id="671683447">
                  <w:marLeft w:val="0"/>
                  <w:marRight w:val="0"/>
                  <w:marTop w:val="0"/>
                  <w:marBottom w:val="0"/>
                  <w:divBdr>
                    <w:top w:val="none" w:sz="0" w:space="0" w:color="auto"/>
                    <w:left w:val="none" w:sz="0" w:space="0" w:color="auto"/>
                    <w:bottom w:val="none" w:sz="0" w:space="0" w:color="auto"/>
                    <w:right w:val="none" w:sz="0" w:space="0" w:color="auto"/>
                  </w:divBdr>
                </w:div>
              </w:divsChild>
            </w:div>
            <w:div w:id="1063987326">
              <w:marLeft w:val="0"/>
              <w:marRight w:val="0"/>
              <w:marTop w:val="0"/>
              <w:marBottom w:val="0"/>
              <w:divBdr>
                <w:top w:val="none" w:sz="0" w:space="0" w:color="auto"/>
                <w:left w:val="none" w:sz="0" w:space="0" w:color="auto"/>
                <w:bottom w:val="none" w:sz="0" w:space="0" w:color="auto"/>
                <w:right w:val="none" w:sz="0" w:space="0" w:color="auto"/>
              </w:divBdr>
              <w:divsChild>
                <w:div w:id="777944571">
                  <w:marLeft w:val="0"/>
                  <w:marRight w:val="0"/>
                  <w:marTop w:val="0"/>
                  <w:marBottom w:val="0"/>
                  <w:divBdr>
                    <w:top w:val="none" w:sz="0" w:space="0" w:color="auto"/>
                    <w:left w:val="none" w:sz="0" w:space="0" w:color="auto"/>
                    <w:bottom w:val="none" w:sz="0" w:space="0" w:color="auto"/>
                    <w:right w:val="none" w:sz="0" w:space="0" w:color="auto"/>
                  </w:divBdr>
                </w:div>
              </w:divsChild>
            </w:div>
            <w:div w:id="486869922">
              <w:marLeft w:val="0"/>
              <w:marRight w:val="0"/>
              <w:marTop w:val="0"/>
              <w:marBottom w:val="0"/>
              <w:divBdr>
                <w:top w:val="none" w:sz="0" w:space="0" w:color="auto"/>
                <w:left w:val="none" w:sz="0" w:space="0" w:color="auto"/>
                <w:bottom w:val="none" w:sz="0" w:space="0" w:color="auto"/>
                <w:right w:val="none" w:sz="0" w:space="0" w:color="auto"/>
              </w:divBdr>
              <w:divsChild>
                <w:div w:id="136919929">
                  <w:marLeft w:val="0"/>
                  <w:marRight w:val="0"/>
                  <w:marTop w:val="0"/>
                  <w:marBottom w:val="0"/>
                  <w:divBdr>
                    <w:top w:val="none" w:sz="0" w:space="0" w:color="auto"/>
                    <w:left w:val="none" w:sz="0" w:space="0" w:color="auto"/>
                    <w:bottom w:val="none" w:sz="0" w:space="0" w:color="auto"/>
                    <w:right w:val="none" w:sz="0" w:space="0" w:color="auto"/>
                  </w:divBdr>
                </w:div>
              </w:divsChild>
            </w:div>
            <w:div w:id="1236479474">
              <w:marLeft w:val="0"/>
              <w:marRight w:val="0"/>
              <w:marTop w:val="0"/>
              <w:marBottom w:val="0"/>
              <w:divBdr>
                <w:top w:val="none" w:sz="0" w:space="0" w:color="auto"/>
                <w:left w:val="none" w:sz="0" w:space="0" w:color="auto"/>
                <w:bottom w:val="none" w:sz="0" w:space="0" w:color="auto"/>
                <w:right w:val="none" w:sz="0" w:space="0" w:color="auto"/>
              </w:divBdr>
              <w:divsChild>
                <w:div w:id="1041905720">
                  <w:marLeft w:val="0"/>
                  <w:marRight w:val="0"/>
                  <w:marTop w:val="0"/>
                  <w:marBottom w:val="0"/>
                  <w:divBdr>
                    <w:top w:val="none" w:sz="0" w:space="0" w:color="auto"/>
                    <w:left w:val="none" w:sz="0" w:space="0" w:color="auto"/>
                    <w:bottom w:val="none" w:sz="0" w:space="0" w:color="auto"/>
                    <w:right w:val="none" w:sz="0" w:space="0" w:color="auto"/>
                  </w:divBdr>
                </w:div>
              </w:divsChild>
            </w:div>
            <w:div w:id="1829402008">
              <w:marLeft w:val="0"/>
              <w:marRight w:val="0"/>
              <w:marTop w:val="0"/>
              <w:marBottom w:val="0"/>
              <w:divBdr>
                <w:top w:val="none" w:sz="0" w:space="0" w:color="auto"/>
                <w:left w:val="none" w:sz="0" w:space="0" w:color="auto"/>
                <w:bottom w:val="none" w:sz="0" w:space="0" w:color="auto"/>
                <w:right w:val="none" w:sz="0" w:space="0" w:color="auto"/>
              </w:divBdr>
              <w:divsChild>
                <w:div w:id="571432616">
                  <w:marLeft w:val="0"/>
                  <w:marRight w:val="0"/>
                  <w:marTop w:val="0"/>
                  <w:marBottom w:val="0"/>
                  <w:divBdr>
                    <w:top w:val="none" w:sz="0" w:space="0" w:color="auto"/>
                    <w:left w:val="none" w:sz="0" w:space="0" w:color="auto"/>
                    <w:bottom w:val="none" w:sz="0" w:space="0" w:color="auto"/>
                    <w:right w:val="none" w:sz="0" w:space="0" w:color="auto"/>
                  </w:divBdr>
                </w:div>
              </w:divsChild>
            </w:div>
            <w:div w:id="44567743">
              <w:marLeft w:val="0"/>
              <w:marRight w:val="0"/>
              <w:marTop w:val="0"/>
              <w:marBottom w:val="0"/>
              <w:divBdr>
                <w:top w:val="none" w:sz="0" w:space="0" w:color="auto"/>
                <w:left w:val="none" w:sz="0" w:space="0" w:color="auto"/>
                <w:bottom w:val="none" w:sz="0" w:space="0" w:color="auto"/>
                <w:right w:val="none" w:sz="0" w:space="0" w:color="auto"/>
              </w:divBdr>
              <w:divsChild>
                <w:div w:id="1738284621">
                  <w:marLeft w:val="0"/>
                  <w:marRight w:val="0"/>
                  <w:marTop w:val="0"/>
                  <w:marBottom w:val="0"/>
                  <w:divBdr>
                    <w:top w:val="none" w:sz="0" w:space="0" w:color="auto"/>
                    <w:left w:val="none" w:sz="0" w:space="0" w:color="auto"/>
                    <w:bottom w:val="none" w:sz="0" w:space="0" w:color="auto"/>
                    <w:right w:val="none" w:sz="0" w:space="0" w:color="auto"/>
                  </w:divBdr>
                </w:div>
              </w:divsChild>
            </w:div>
            <w:div w:id="124006577">
              <w:marLeft w:val="0"/>
              <w:marRight w:val="0"/>
              <w:marTop w:val="0"/>
              <w:marBottom w:val="0"/>
              <w:divBdr>
                <w:top w:val="none" w:sz="0" w:space="0" w:color="auto"/>
                <w:left w:val="none" w:sz="0" w:space="0" w:color="auto"/>
                <w:bottom w:val="none" w:sz="0" w:space="0" w:color="auto"/>
                <w:right w:val="none" w:sz="0" w:space="0" w:color="auto"/>
              </w:divBdr>
              <w:divsChild>
                <w:div w:id="112603109">
                  <w:marLeft w:val="0"/>
                  <w:marRight w:val="0"/>
                  <w:marTop w:val="0"/>
                  <w:marBottom w:val="0"/>
                  <w:divBdr>
                    <w:top w:val="none" w:sz="0" w:space="0" w:color="auto"/>
                    <w:left w:val="none" w:sz="0" w:space="0" w:color="auto"/>
                    <w:bottom w:val="none" w:sz="0" w:space="0" w:color="auto"/>
                    <w:right w:val="none" w:sz="0" w:space="0" w:color="auto"/>
                  </w:divBdr>
                </w:div>
              </w:divsChild>
            </w:div>
            <w:div w:id="1416324785">
              <w:marLeft w:val="0"/>
              <w:marRight w:val="0"/>
              <w:marTop w:val="0"/>
              <w:marBottom w:val="0"/>
              <w:divBdr>
                <w:top w:val="none" w:sz="0" w:space="0" w:color="auto"/>
                <w:left w:val="none" w:sz="0" w:space="0" w:color="auto"/>
                <w:bottom w:val="none" w:sz="0" w:space="0" w:color="auto"/>
                <w:right w:val="none" w:sz="0" w:space="0" w:color="auto"/>
              </w:divBdr>
            </w:div>
          </w:divsChild>
        </w:div>
        <w:div w:id="1263104582">
          <w:marLeft w:val="0"/>
          <w:marRight w:val="0"/>
          <w:marTop w:val="0"/>
          <w:marBottom w:val="600"/>
          <w:divBdr>
            <w:top w:val="none" w:sz="0" w:space="0" w:color="auto"/>
            <w:left w:val="none" w:sz="0" w:space="0" w:color="auto"/>
            <w:bottom w:val="none" w:sz="0" w:space="0" w:color="auto"/>
            <w:right w:val="none" w:sz="0" w:space="0" w:color="auto"/>
          </w:divBdr>
        </w:div>
      </w:divsChild>
    </w:div>
    <w:div w:id="447117865">
      <w:marLeft w:val="0"/>
      <w:marRight w:val="0"/>
      <w:marTop w:val="0"/>
      <w:marBottom w:val="0"/>
      <w:divBdr>
        <w:top w:val="none" w:sz="0" w:space="0" w:color="auto"/>
        <w:left w:val="none" w:sz="0" w:space="0" w:color="auto"/>
        <w:bottom w:val="none" w:sz="0" w:space="0" w:color="auto"/>
        <w:right w:val="none" w:sz="0" w:space="0" w:color="auto"/>
      </w:divBdr>
      <w:divsChild>
        <w:div w:id="156573991">
          <w:marLeft w:val="0"/>
          <w:marRight w:val="0"/>
          <w:marTop w:val="547"/>
          <w:marBottom w:val="0"/>
          <w:divBdr>
            <w:top w:val="none" w:sz="0" w:space="0" w:color="auto"/>
            <w:left w:val="none" w:sz="0" w:space="0" w:color="auto"/>
            <w:bottom w:val="none" w:sz="0" w:space="0" w:color="auto"/>
            <w:right w:val="none" w:sz="0" w:space="0" w:color="auto"/>
          </w:divBdr>
        </w:div>
        <w:div w:id="2014919711">
          <w:marLeft w:val="0"/>
          <w:marRight w:val="0"/>
          <w:marTop w:val="0"/>
          <w:marBottom w:val="0"/>
          <w:divBdr>
            <w:top w:val="none" w:sz="0" w:space="0" w:color="auto"/>
            <w:left w:val="none" w:sz="0" w:space="0" w:color="auto"/>
            <w:bottom w:val="none" w:sz="0" w:space="0" w:color="auto"/>
            <w:right w:val="none" w:sz="0" w:space="0" w:color="auto"/>
          </w:divBdr>
          <w:divsChild>
            <w:div w:id="2115976960">
              <w:marLeft w:val="0"/>
              <w:marRight w:val="0"/>
              <w:marTop w:val="0"/>
              <w:marBottom w:val="0"/>
              <w:divBdr>
                <w:top w:val="none" w:sz="0" w:space="0" w:color="auto"/>
                <w:left w:val="none" w:sz="0" w:space="0" w:color="auto"/>
                <w:bottom w:val="none" w:sz="0" w:space="0" w:color="auto"/>
                <w:right w:val="none" w:sz="0" w:space="0" w:color="auto"/>
              </w:divBdr>
              <w:divsChild>
                <w:div w:id="1429156701">
                  <w:marLeft w:val="0"/>
                  <w:marRight w:val="0"/>
                  <w:marTop w:val="0"/>
                  <w:marBottom w:val="0"/>
                  <w:divBdr>
                    <w:top w:val="none" w:sz="0" w:space="0" w:color="auto"/>
                    <w:left w:val="none" w:sz="0" w:space="0" w:color="auto"/>
                    <w:bottom w:val="none" w:sz="0" w:space="0" w:color="auto"/>
                    <w:right w:val="none" w:sz="0" w:space="0" w:color="auto"/>
                  </w:divBdr>
                </w:div>
              </w:divsChild>
            </w:div>
            <w:div w:id="1739548765">
              <w:marLeft w:val="0"/>
              <w:marRight w:val="0"/>
              <w:marTop w:val="0"/>
              <w:marBottom w:val="0"/>
              <w:divBdr>
                <w:top w:val="none" w:sz="0" w:space="0" w:color="auto"/>
                <w:left w:val="none" w:sz="0" w:space="0" w:color="auto"/>
                <w:bottom w:val="none" w:sz="0" w:space="0" w:color="auto"/>
                <w:right w:val="none" w:sz="0" w:space="0" w:color="auto"/>
              </w:divBdr>
              <w:divsChild>
                <w:div w:id="70811533">
                  <w:marLeft w:val="0"/>
                  <w:marRight w:val="0"/>
                  <w:marTop w:val="0"/>
                  <w:marBottom w:val="0"/>
                  <w:divBdr>
                    <w:top w:val="none" w:sz="0" w:space="0" w:color="auto"/>
                    <w:left w:val="none" w:sz="0" w:space="0" w:color="auto"/>
                    <w:bottom w:val="none" w:sz="0" w:space="0" w:color="auto"/>
                    <w:right w:val="none" w:sz="0" w:space="0" w:color="auto"/>
                  </w:divBdr>
                </w:div>
              </w:divsChild>
            </w:div>
            <w:div w:id="346097620">
              <w:marLeft w:val="0"/>
              <w:marRight w:val="0"/>
              <w:marTop w:val="0"/>
              <w:marBottom w:val="0"/>
              <w:divBdr>
                <w:top w:val="none" w:sz="0" w:space="0" w:color="auto"/>
                <w:left w:val="none" w:sz="0" w:space="0" w:color="auto"/>
                <w:bottom w:val="none" w:sz="0" w:space="0" w:color="auto"/>
                <w:right w:val="none" w:sz="0" w:space="0" w:color="auto"/>
              </w:divBdr>
              <w:divsChild>
                <w:div w:id="1365519260">
                  <w:marLeft w:val="0"/>
                  <w:marRight w:val="0"/>
                  <w:marTop w:val="0"/>
                  <w:marBottom w:val="0"/>
                  <w:divBdr>
                    <w:top w:val="none" w:sz="0" w:space="0" w:color="auto"/>
                    <w:left w:val="none" w:sz="0" w:space="0" w:color="auto"/>
                    <w:bottom w:val="none" w:sz="0" w:space="0" w:color="auto"/>
                    <w:right w:val="none" w:sz="0" w:space="0" w:color="auto"/>
                  </w:divBdr>
                </w:div>
              </w:divsChild>
            </w:div>
            <w:div w:id="474102768">
              <w:marLeft w:val="0"/>
              <w:marRight w:val="0"/>
              <w:marTop w:val="0"/>
              <w:marBottom w:val="0"/>
              <w:divBdr>
                <w:top w:val="none" w:sz="0" w:space="0" w:color="auto"/>
                <w:left w:val="none" w:sz="0" w:space="0" w:color="auto"/>
                <w:bottom w:val="none" w:sz="0" w:space="0" w:color="auto"/>
                <w:right w:val="none" w:sz="0" w:space="0" w:color="auto"/>
              </w:divBdr>
              <w:divsChild>
                <w:div w:id="1743215443">
                  <w:marLeft w:val="0"/>
                  <w:marRight w:val="0"/>
                  <w:marTop w:val="0"/>
                  <w:marBottom w:val="0"/>
                  <w:divBdr>
                    <w:top w:val="none" w:sz="0" w:space="0" w:color="auto"/>
                    <w:left w:val="none" w:sz="0" w:space="0" w:color="auto"/>
                    <w:bottom w:val="none" w:sz="0" w:space="0" w:color="auto"/>
                    <w:right w:val="none" w:sz="0" w:space="0" w:color="auto"/>
                  </w:divBdr>
                </w:div>
              </w:divsChild>
            </w:div>
            <w:div w:id="1024020194">
              <w:marLeft w:val="0"/>
              <w:marRight w:val="0"/>
              <w:marTop w:val="0"/>
              <w:marBottom w:val="0"/>
              <w:divBdr>
                <w:top w:val="none" w:sz="0" w:space="0" w:color="auto"/>
                <w:left w:val="none" w:sz="0" w:space="0" w:color="auto"/>
                <w:bottom w:val="none" w:sz="0" w:space="0" w:color="auto"/>
                <w:right w:val="none" w:sz="0" w:space="0" w:color="auto"/>
              </w:divBdr>
              <w:divsChild>
                <w:div w:id="1913077796">
                  <w:marLeft w:val="0"/>
                  <w:marRight w:val="0"/>
                  <w:marTop w:val="0"/>
                  <w:marBottom w:val="0"/>
                  <w:divBdr>
                    <w:top w:val="none" w:sz="0" w:space="0" w:color="auto"/>
                    <w:left w:val="none" w:sz="0" w:space="0" w:color="auto"/>
                    <w:bottom w:val="none" w:sz="0" w:space="0" w:color="auto"/>
                    <w:right w:val="none" w:sz="0" w:space="0" w:color="auto"/>
                  </w:divBdr>
                </w:div>
              </w:divsChild>
            </w:div>
            <w:div w:id="1222598688">
              <w:marLeft w:val="0"/>
              <w:marRight w:val="0"/>
              <w:marTop w:val="0"/>
              <w:marBottom w:val="0"/>
              <w:divBdr>
                <w:top w:val="none" w:sz="0" w:space="0" w:color="auto"/>
                <w:left w:val="none" w:sz="0" w:space="0" w:color="auto"/>
                <w:bottom w:val="none" w:sz="0" w:space="0" w:color="auto"/>
                <w:right w:val="none" w:sz="0" w:space="0" w:color="auto"/>
              </w:divBdr>
              <w:divsChild>
                <w:div w:id="1566838069">
                  <w:marLeft w:val="0"/>
                  <w:marRight w:val="0"/>
                  <w:marTop w:val="0"/>
                  <w:marBottom w:val="0"/>
                  <w:divBdr>
                    <w:top w:val="none" w:sz="0" w:space="0" w:color="auto"/>
                    <w:left w:val="none" w:sz="0" w:space="0" w:color="auto"/>
                    <w:bottom w:val="none" w:sz="0" w:space="0" w:color="auto"/>
                    <w:right w:val="none" w:sz="0" w:space="0" w:color="auto"/>
                  </w:divBdr>
                </w:div>
              </w:divsChild>
            </w:div>
            <w:div w:id="130490123">
              <w:marLeft w:val="0"/>
              <w:marRight w:val="0"/>
              <w:marTop w:val="0"/>
              <w:marBottom w:val="0"/>
              <w:divBdr>
                <w:top w:val="none" w:sz="0" w:space="0" w:color="auto"/>
                <w:left w:val="none" w:sz="0" w:space="0" w:color="auto"/>
                <w:bottom w:val="none" w:sz="0" w:space="0" w:color="auto"/>
                <w:right w:val="none" w:sz="0" w:space="0" w:color="auto"/>
              </w:divBdr>
              <w:divsChild>
                <w:div w:id="1202941009">
                  <w:marLeft w:val="0"/>
                  <w:marRight w:val="0"/>
                  <w:marTop w:val="0"/>
                  <w:marBottom w:val="0"/>
                  <w:divBdr>
                    <w:top w:val="none" w:sz="0" w:space="0" w:color="auto"/>
                    <w:left w:val="none" w:sz="0" w:space="0" w:color="auto"/>
                    <w:bottom w:val="none" w:sz="0" w:space="0" w:color="auto"/>
                    <w:right w:val="none" w:sz="0" w:space="0" w:color="auto"/>
                  </w:divBdr>
                </w:div>
              </w:divsChild>
            </w:div>
            <w:div w:id="453450544">
              <w:marLeft w:val="0"/>
              <w:marRight w:val="0"/>
              <w:marTop w:val="0"/>
              <w:marBottom w:val="0"/>
              <w:divBdr>
                <w:top w:val="none" w:sz="0" w:space="0" w:color="auto"/>
                <w:left w:val="none" w:sz="0" w:space="0" w:color="auto"/>
                <w:bottom w:val="none" w:sz="0" w:space="0" w:color="auto"/>
                <w:right w:val="none" w:sz="0" w:space="0" w:color="auto"/>
              </w:divBdr>
              <w:divsChild>
                <w:div w:id="2123919876">
                  <w:marLeft w:val="0"/>
                  <w:marRight w:val="0"/>
                  <w:marTop w:val="0"/>
                  <w:marBottom w:val="0"/>
                  <w:divBdr>
                    <w:top w:val="none" w:sz="0" w:space="0" w:color="auto"/>
                    <w:left w:val="none" w:sz="0" w:space="0" w:color="auto"/>
                    <w:bottom w:val="none" w:sz="0" w:space="0" w:color="auto"/>
                    <w:right w:val="none" w:sz="0" w:space="0" w:color="auto"/>
                  </w:divBdr>
                </w:div>
              </w:divsChild>
            </w:div>
            <w:div w:id="1336611531">
              <w:marLeft w:val="0"/>
              <w:marRight w:val="0"/>
              <w:marTop w:val="0"/>
              <w:marBottom w:val="0"/>
              <w:divBdr>
                <w:top w:val="none" w:sz="0" w:space="0" w:color="auto"/>
                <w:left w:val="none" w:sz="0" w:space="0" w:color="auto"/>
                <w:bottom w:val="none" w:sz="0" w:space="0" w:color="auto"/>
                <w:right w:val="none" w:sz="0" w:space="0" w:color="auto"/>
              </w:divBdr>
              <w:divsChild>
                <w:div w:id="366300551">
                  <w:marLeft w:val="0"/>
                  <w:marRight w:val="0"/>
                  <w:marTop w:val="0"/>
                  <w:marBottom w:val="0"/>
                  <w:divBdr>
                    <w:top w:val="none" w:sz="0" w:space="0" w:color="auto"/>
                    <w:left w:val="none" w:sz="0" w:space="0" w:color="auto"/>
                    <w:bottom w:val="none" w:sz="0" w:space="0" w:color="auto"/>
                    <w:right w:val="none" w:sz="0" w:space="0" w:color="auto"/>
                  </w:divBdr>
                </w:div>
              </w:divsChild>
            </w:div>
            <w:div w:id="462777318">
              <w:marLeft w:val="0"/>
              <w:marRight w:val="0"/>
              <w:marTop w:val="0"/>
              <w:marBottom w:val="0"/>
              <w:divBdr>
                <w:top w:val="none" w:sz="0" w:space="0" w:color="auto"/>
                <w:left w:val="none" w:sz="0" w:space="0" w:color="auto"/>
                <w:bottom w:val="none" w:sz="0" w:space="0" w:color="auto"/>
                <w:right w:val="none" w:sz="0" w:space="0" w:color="auto"/>
              </w:divBdr>
              <w:divsChild>
                <w:div w:id="197471823">
                  <w:marLeft w:val="0"/>
                  <w:marRight w:val="0"/>
                  <w:marTop w:val="0"/>
                  <w:marBottom w:val="0"/>
                  <w:divBdr>
                    <w:top w:val="none" w:sz="0" w:space="0" w:color="auto"/>
                    <w:left w:val="none" w:sz="0" w:space="0" w:color="auto"/>
                    <w:bottom w:val="none" w:sz="0" w:space="0" w:color="auto"/>
                    <w:right w:val="none" w:sz="0" w:space="0" w:color="auto"/>
                  </w:divBdr>
                </w:div>
              </w:divsChild>
            </w:div>
            <w:div w:id="1586911995">
              <w:marLeft w:val="0"/>
              <w:marRight w:val="0"/>
              <w:marTop w:val="0"/>
              <w:marBottom w:val="0"/>
              <w:divBdr>
                <w:top w:val="none" w:sz="0" w:space="0" w:color="auto"/>
                <w:left w:val="none" w:sz="0" w:space="0" w:color="auto"/>
                <w:bottom w:val="none" w:sz="0" w:space="0" w:color="auto"/>
                <w:right w:val="none" w:sz="0" w:space="0" w:color="auto"/>
              </w:divBdr>
              <w:divsChild>
                <w:div w:id="2006548188">
                  <w:marLeft w:val="0"/>
                  <w:marRight w:val="0"/>
                  <w:marTop w:val="0"/>
                  <w:marBottom w:val="0"/>
                  <w:divBdr>
                    <w:top w:val="none" w:sz="0" w:space="0" w:color="auto"/>
                    <w:left w:val="none" w:sz="0" w:space="0" w:color="auto"/>
                    <w:bottom w:val="none" w:sz="0" w:space="0" w:color="auto"/>
                    <w:right w:val="none" w:sz="0" w:space="0" w:color="auto"/>
                  </w:divBdr>
                </w:div>
              </w:divsChild>
            </w:div>
            <w:div w:id="1755473480">
              <w:marLeft w:val="0"/>
              <w:marRight w:val="0"/>
              <w:marTop w:val="0"/>
              <w:marBottom w:val="0"/>
              <w:divBdr>
                <w:top w:val="none" w:sz="0" w:space="0" w:color="auto"/>
                <w:left w:val="none" w:sz="0" w:space="0" w:color="auto"/>
                <w:bottom w:val="none" w:sz="0" w:space="0" w:color="auto"/>
                <w:right w:val="none" w:sz="0" w:space="0" w:color="auto"/>
              </w:divBdr>
              <w:divsChild>
                <w:div w:id="2067676253">
                  <w:marLeft w:val="0"/>
                  <w:marRight w:val="0"/>
                  <w:marTop w:val="0"/>
                  <w:marBottom w:val="0"/>
                  <w:divBdr>
                    <w:top w:val="none" w:sz="0" w:space="0" w:color="auto"/>
                    <w:left w:val="none" w:sz="0" w:space="0" w:color="auto"/>
                    <w:bottom w:val="none" w:sz="0" w:space="0" w:color="auto"/>
                    <w:right w:val="none" w:sz="0" w:space="0" w:color="auto"/>
                  </w:divBdr>
                </w:div>
              </w:divsChild>
            </w:div>
            <w:div w:id="2016809491">
              <w:marLeft w:val="0"/>
              <w:marRight w:val="0"/>
              <w:marTop w:val="0"/>
              <w:marBottom w:val="0"/>
              <w:divBdr>
                <w:top w:val="none" w:sz="0" w:space="0" w:color="auto"/>
                <w:left w:val="none" w:sz="0" w:space="0" w:color="auto"/>
                <w:bottom w:val="none" w:sz="0" w:space="0" w:color="auto"/>
                <w:right w:val="none" w:sz="0" w:space="0" w:color="auto"/>
              </w:divBdr>
              <w:divsChild>
                <w:div w:id="114644677">
                  <w:marLeft w:val="0"/>
                  <w:marRight w:val="0"/>
                  <w:marTop w:val="0"/>
                  <w:marBottom w:val="0"/>
                  <w:divBdr>
                    <w:top w:val="none" w:sz="0" w:space="0" w:color="auto"/>
                    <w:left w:val="none" w:sz="0" w:space="0" w:color="auto"/>
                    <w:bottom w:val="none" w:sz="0" w:space="0" w:color="auto"/>
                    <w:right w:val="none" w:sz="0" w:space="0" w:color="auto"/>
                  </w:divBdr>
                </w:div>
              </w:divsChild>
            </w:div>
            <w:div w:id="1460496054">
              <w:marLeft w:val="0"/>
              <w:marRight w:val="0"/>
              <w:marTop w:val="0"/>
              <w:marBottom w:val="0"/>
              <w:divBdr>
                <w:top w:val="none" w:sz="0" w:space="0" w:color="auto"/>
                <w:left w:val="none" w:sz="0" w:space="0" w:color="auto"/>
                <w:bottom w:val="none" w:sz="0" w:space="0" w:color="auto"/>
                <w:right w:val="none" w:sz="0" w:space="0" w:color="auto"/>
              </w:divBdr>
              <w:divsChild>
                <w:div w:id="1745571147">
                  <w:marLeft w:val="0"/>
                  <w:marRight w:val="0"/>
                  <w:marTop w:val="0"/>
                  <w:marBottom w:val="0"/>
                  <w:divBdr>
                    <w:top w:val="none" w:sz="0" w:space="0" w:color="auto"/>
                    <w:left w:val="none" w:sz="0" w:space="0" w:color="auto"/>
                    <w:bottom w:val="none" w:sz="0" w:space="0" w:color="auto"/>
                    <w:right w:val="none" w:sz="0" w:space="0" w:color="auto"/>
                  </w:divBdr>
                </w:div>
              </w:divsChild>
            </w:div>
            <w:div w:id="2054844927">
              <w:marLeft w:val="0"/>
              <w:marRight w:val="0"/>
              <w:marTop w:val="0"/>
              <w:marBottom w:val="0"/>
              <w:divBdr>
                <w:top w:val="none" w:sz="0" w:space="0" w:color="auto"/>
                <w:left w:val="none" w:sz="0" w:space="0" w:color="auto"/>
                <w:bottom w:val="none" w:sz="0" w:space="0" w:color="auto"/>
                <w:right w:val="none" w:sz="0" w:space="0" w:color="auto"/>
              </w:divBdr>
              <w:divsChild>
                <w:div w:id="158472424">
                  <w:marLeft w:val="0"/>
                  <w:marRight w:val="0"/>
                  <w:marTop w:val="0"/>
                  <w:marBottom w:val="0"/>
                  <w:divBdr>
                    <w:top w:val="none" w:sz="0" w:space="0" w:color="auto"/>
                    <w:left w:val="none" w:sz="0" w:space="0" w:color="auto"/>
                    <w:bottom w:val="none" w:sz="0" w:space="0" w:color="auto"/>
                    <w:right w:val="none" w:sz="0" w:space="0" w:color="auto"/>
                  </w:divBdr>
                </w:div>
              </w:divsChild>
            </w:div>
            <w:div w:id="1040400065">
              <w:marLeft w:val="0"/>
              <w:marRight w:val="0"/>
              <w:marTop w:val="0"/>
              <w:marBottom w:val="0"/>
              <w:divBdr>
                <w:top w:val="none" w:sz="0" w:space="0" w:color="auto"/>
                <w:left w:val="none" w:sz="0" w:space="0" w:color="auto"/>
                <w:bottom w:val="none" w:sz="0" w:space="0" w:color="auto"/>
                <w:right w:val="none" w:sz="0" w:space="0" w:color="auto"/>
              </w:divBdr>
              <w:divsChild>
                <w:div w:id="1950624759">
                  <w:marLeft w:val="0"/>
                  <w:marRight w:val="0"/>
                  <w:marTop w:val="0"/>
                  <w:marBottom w:val="0"/>
                  <w:divBdr>
                    <w:top w:val="none" w:sz="0" w:space="0" w:color="auto"/>
                    <w:left w:val="none" w:sz="0" w:space="0" w:color="auto"/>
                    <w:bottom w:val="none" w:sz="0" w:space="0" w:color="auto"/>
                    <w:right w:val="none" w:sz="0" w:space="0" w:color="auto"/>
                  </w:divBdr>
                </w:div>
              </w:divsChild>
            </w:div>
            <w:div w:id="2040011925">
              <w:marLeft w:val="0"/>
              <w:marRight w:val="0"/>
              <w:marTop w:val="0"/>
              <w:marBottom w:val="0"/>
              <w:divBdr>
                <w:top w:val="none" w:sz="0" w:space="0" w:color="auto"/>
                <w:left w:val="none" w:sz="0" w:space="0" w:color="auto"/>
                <w:bottom w:val="none" w:sz="0" w:space="0" w:color="auto"/>
                <w:right w:val="none" w:sz="0" w:space="0" w:color="auto"/>
              </w:divBdr>
              <w:divsChild>
                <w:div w:id="453787455">
                  <w:marLeft w:val="0"/>
                  <w:marRight w:val="0"/>
                  <w:marTop w:val="0"/>
                  <w:marBottom w:val="0"/>
                  <w:divBdr>
                    <w:top w:val="none" w:sz="0" w:space="0" w:color="auto"/>
                    <w:left w:val="none" w:sz="0" w:space="0" w:color="auto"/>
                    <w:bottom w:val="none" w:sz="0" w:space="0" w:color="auto"/>
                    <w:right w:val="none" w:sz="0" w:space="0" w:color="auto"/>
                  </w:divBdr>
                </w:div>
              </w:divsChild>
            </w:div>
            <w:div w:id="21977811">
              <w:marLeft w:val="0"/>
              <w:marRight w:val="0"/>
              <w:marTop w:val="0"/>
              <w:marBottom w:val="0"/>
              <w:divBdr>
                <w:top w:val="none" w:sz="0" w:space="0" w:color="auto"/>
                <w:left w:val="none" w:sz="0" w:space="0" w:color="auto"/>
                <w:bottom w:val="none" w:sz="0" w:space="0" w:color="auto"/>
                <w:right w:val="none" w:sz="0" w:space="0" w:color="auto"/>
              </w:divBdr>
              <w:divsChild>
                <w:div w:id="442647767">
                  <w:marLeft w:val="0"/>
                  <w:marRight w:val="0"/>
                  <w:marTop w:val="0"/>
                  <w:marBottom w:val="0"/>
                  <w:divBdr>
                    <w:top w:val="none" w:sz="0" w:space="0" w:color="auto"/>
                    <w:left w:val="none" w:sz="0" w:space="0" w:color="auto"/>
                    <w:bottom w:val="none" w:sz="0" w:space="0" w:color="auto"/>
                    <w:right w:val="none" w:sz="0" w:space="0" w:color="auto"/>
                  </w:divBdr>
                </w:div>
              </w:divsChild>
            </w:div>
            <w:div w:id="527378236">
              <w:marLeft w:val="0"/>
              <w:marRight w:val="0"/>
              <w:marTop w:val="0"/>
              <w:marBottom w:val="0"/>
              <w:divBdr>
                <w:top w:val="none" w:sz="0" w:space="0" w:color="auto"/>
                <w:left w:val="none" w:sz="0" w:space="0" w:color="auto"/>
                <w:bottom w:val="none" w:sz="0" w:space="0" w:color="auto"/>
                <w:right w:val="none" w:sz="0" w:space="0" w:color="auto"/>
              </w:divBdr>
              <w:divsChild>
                <w:div w:id="1893537671">
                  <w:marLeft w:val="0"/>
                  <w:marRight w:val="0"/>
                  <w:marTop w:val="0"/>
                  <w:marBottom w:val="0"/>
                  <w:divBdr>
                    <w:top w:val="none" w:sz="0" w:space="0" w:color="auto"/>
                    <w:left w:val="none" w:sz="0" w:space="0" w:color="auto"/>
                    <w:bottom w:val="none" w:sz="0" w:space="0" w:color="auto"/>
                    <w:right w:val="none" w:sz="0" w:space="0" w:color="auto"/>
                  </w:divBdr>
                </w:div>
              </w:divsChild>
            </w:div>
            <w:div w:id="1638418182">
              <w:marLeft w:val="0"/>
              <w:marRight w:val="0"/>
              <w:marTop w:val="0"/>
              <w:marBottom w:val="0"/>
              <w:divBdr>
                <w:top w:val="none" w:sz="0" w:space="0" w:color="auto"/>
                <w:left w:val="none" w:sz="0" w:space="0" w:color="auto"/>
                <w:bottom w:val="none" w:sz="0" w:space="0" w:color="auto"/>
                <w:right w:val="none" w:sz="0" w:space="0" w:color="auto"/>
              </w:divBdr>
              <w:divsChild>
                <w:div w:id="1195771220">
                  <w:marLeft w:val="0"/>
                  <w:marRight w:val="0"/>
                  <w:marTop w:val="0"/>
                  <w:marBottom w:val="0"/>
                  <w:divBdr>
                    <w:top w:val="none" w:sz="0" w:space="0" w:color="auto"/>
                    <w:left w:val="none" w:sz="0" w:space="0" w:color="auto"/>
                    <w:bottom w:val="none" w:sz="0" w:space="0" w:color="auto"/>
                    <w:right w:val="none" w:sz="0" w:space="0" w:color="auto"/>
                  </w:divBdr>
                </w:div>
              </w:divsChild>
            </w:div>
            <w:div w:id="1698850884">
              <w:marLeft w:val="0"/>
              <w:marRight w:val="0"/>
              <w:marTop w:val="0"/>
              <w:marBottom w:val="0"/>
              <w:divBdr>
                <w:top w:val="none" w:sz="0" w:space="0" w:color="auto"/>
                <w:left w:val="none" w:sz="0" w:space="0" w:color="auto"/>
                <w:bottom w:val="none" w:sz="0" w:space="0" w:color="auto"/>
                <w:right w:val="none" w:sz="0" w:space="0" w:color="auto"/>
              </w:divBdr>
              <w:divsChild>
                <w:div w:id="1057971282">
                  <w:marLeft w:val="0"/>
                  <w:marRight w:val="0"/>
                  <w:marTop w:val="0"/>
                  <w:marBottom w:val="0"/>
                  <w:divBdr>
                    <w:top w:val="none" w:sz="0" w:space="0" w:color="auto"/>
                    <w:left w:val="none" w:sz="0" w:space="0" w:color="auto"/>
                    <w:bottom w:val="none" w:sz="0" w:space="0" w:color="auto"/>
                    <w:right w:val="none" w:sz="0" w:space="0" w:color="auto"/>
                  </w:divBdr>
                </w:div>
              </w:divsChild>
            </w:div>
            <w:div w:id="1090010006">
              <w:marLeft w:val="0"/>
              <w:marRight w:val="0"/>
              <w:marTop w:val="0"/>
              <w:marBottom w:val="0"/>
              <w:divBdr>
                <w:top w:val="none" w:sz="0" w:space="0" w:color="auto"/>
                <w:left w:val="none" w:sz="0" w:space="0" w:color="auto"/>
                <w:bottom w:val="none" w:sz="0" w:space="0" w:color="auto"/>
                <w:right w:val="none" w:sz="0" w:space="0" w:color="auto"/>
              </w:divBdr>
              <w:divsChild>
                <w:div w:id="527793129">
                  <w:marLeft w:val="0"/>
                  <w:marRight w:val="0"/>
                  <w:marTop w:val="0"/>
                  <w:marBottom w:val="0"/>
                  <w:divBdr>
                    <w:top w:val="none" w:sz="0" w:space="0" w:color="auto"/>
                    <w:left w:val="none" w:sz="0" w:space="0" w:color="auto"/>
                    <w:bottom w:val="none" w:sz="0" w:space="0" w:color="auto"/>
                    <w:right w:val="none" w:sz="0" w:space="0" w:color="auto"/>
                  </w:divBdr>
                </w:div>
              </w:divsChild>
            </w:div>
            <w:div w:id="116217171">
              <w:marLeft w:val="0"/>
              <w:marRight w:val="0"/>
              <w:marTop w:val="0"/>
              <w:marBottom w:val="0"/>
              <w:divBdr>
                <w:top w:val="none" w:sz="0" w:space="0" w:color="auto"/>
                <w:left w:val="none" w:sz="0" w:space="0" w:color="auto"/>
                <w:bottom w:val="none" w:sz="0" w:space="0" w:color="auto"/>
                <w:right w:val="none" w:sz="0" w:space="0" w:color="auto"/>
              </w:divBdr>
              <w:divsChild>
                <w:div w:id="1957592473">
                  <w:marLeft w:val="0"/>
                  <w:marRight w:val="0"/>
                  <w:marTop w:val="0"/>
                  <w:marBottom w:val="0"/>
                  <w:divBdr>
                    <w:top w:val="none" w:sz="0" w:space="0" w:color="auto"/>
                    <w:left w:val="none" w:sz="0" w:space="0" w:color="auto"/>
                    <w:bottom w:val="none" w:sz="0" w:space="0" w:color="auto"/>
                    <w:right w:val="none" w:sz="0" w:space="0" w:color="auto"/>
                  </w:divBdr>
                </w:div>
              </w:divsChild>
            </w:div>
            <w:div w:id="1354376496">
              <w:marLeft w:val="0"/>
              <w:marRight w:val="0"/>
              <w:marTop w:val="0"/>
              <w:marBottom w:val="0"/>
              <w:divBdr>
                <w:top w:val="none" w:sz="0" w:space="0" w:color="auto"/>
                <w:left w:val="none" w:sz="0" w:space="0" w:color="auto"/>
                <w:bottom w:val="none" w:sz="0" w:space="0" w:color="auto"/>
                <w:right w:val="none" w:sz="0" w:space="0" w:color="auto"/>
              </w:divBdr>
              <w:divsChild>
                <w:div w:id="1876312234">
                  <w:marLeft w:val="0"/>
                  <w:marRight w:val="0"/>
                  <w:marTop w:val="0"/>
                  <w:marBottom w:val="0"/>
                  <w:divBdr>
                    <w:top w:val="none" w:sz="0" w:space="0" w:color="auto"/>
                    <w:left w:val="none" w:sz="0" w:space="0" w:color="auto"/>
                    <w:bottom w:val="none" w:sz="0" w:space="0" w:color="auto"/>
                    <w:right w:val="none" w:sz="0" w:space="0" w:color="auto"/>
                  </w:divBdr>
                </w:div>
              </w:divsChild>
            </w:div>
            <w:div w:id="1401638725">
              <w:marLeft w:val="0"/>
              <w:marRight w:val="0"/>
              <w:marTop w:val="0"/>
              <w:marBottom w:val="0"/>
              <w:divBdr>
                <w:top w:val="none" w:sz="0" w:space="0" w:color="auto"/>
                <w:left w:val="none" w:sz="0" w:space="0" w:color="auto"/>
                <w:bottom w:val="none" w:sz="0" w:space="0" w:color="auto"/>
                <w:right w:val="none" w:sz="0" w:space="0" w:color="auto"/>
              </w:divBdr>
              <w:divsChild>
                <w:div w:id="1084835200">
                  <w:marLeft w:val="0"/>
                  <w:marRight w:val="0"/>
                  <w:marTop w:val="0"/>
                  <w:marBottom w:val="0"/>
                  <w:divBdr>
                    <w:top w:val="none" w:sz="0" w:space="0" w:color="auto"/>
                    <w:left w:val="none" w:sz="0" w:space="0" w:color="auto"/>
                    <w:bottom w:val="none" w:sz="0" w:space="0" w:color="auto"/>
                    <w:right w:val="none" w:sz="0" w:space="0" w:color="auto"/>
                  </w:divBdr>
                </w:div>
              </w:divsChild>
            </w:div>
            <w:div w:id="1919901619">
              <w:marLeft w:val="0"/>
              <w:marRight w:val="0"/>
              <w:marTop w:val="0"/>
              <w:marBottom w:val="0"/>
              <w:divBdr>
                <w:top w:val="none" w:sz="0" w:space="0" w:color="auto"/>
                <w:left w:val="none" w:sz="0" w:space="0" w:color="auto"/>
                <w:bottom w:val="none" w:sz="0" w:space="0" w:color="auto"/>
                <w:right w:val="none" w:sz="0" w:space="0" w:color="auto"/>
              </w:divBdr>
              <w:divsChild>
                <w:div w:id="2133474925">
                  <w:marLeft w:val="0"/>
                  <w:marRight w:val="0"/>
                  <w:marTop w:val="0"/>
                  <w:marBottom w:val="0"/>
                  <w:divBdr>
                    <w:top w:val="none" w:sz="0" w:space="0" w:color="auto"/>
                    <w:left w:val="none" w:sz="0" w:space="0" w:color="auto"/>
                    <w:bottom w:val="none" w:sz="0" w:space="0" w:color="auto"/>
                    <w:right w:val="none" w:sz="0" w:space="0" w:color="auto"/>
                  </w:divBdr>
                </w:div>
              </w:divsChild>
            </w:div>
            <w:div w:id="1640568625">
              <w:marLeft w:val="0"/>
              <w:marRight w:val="0"/>
              <w:marTop w:val="0"/>
              <w:marBottom w:val="0"/>
              <w:divBdr>
                <w:top w:val="none" w:sz="0" w:space="0" w:color="auto"/>
                <w:left w:val="none" w:sz="0" w:space="0" w:color="auto"/>
                <w:bottom w:val="none" w:sz="0" w:space="0" w:color="auto"/>
                <w:right w:val="none" w:sz="0" w:space="0" w:color="auto"/>
              </w:divBdr>
              <w:divsChild>
                <w:div w:id="185825871">
                  <w:marLeft w:val="0"/>
                  <w:marRight w:val="0"/>
                  <w:marTop w:val="0"/>
                  <w:marBottom w:val="0"/>
                  <w:divBdr>
                    <w:top w:val="none" w:sz="0" w:space="0" w:color="auto"/>
                    <w:left w:val="none" w:sz="0" w:space="0" w:color="auto"/>
                    <w:bottom w:val="none" w:sz="0" w:space="0" w:color="auto"/>
                    <w:right w:val="none" w:sz="0" w:space="0" w:color="auto"/>
                  </w:divBdr>
                </w:div>
              </w:divsChild>
            </w:div>
            <w:div w:id="45377079">
              <w:marLeft w:val="0"/>
              <w:marRight w:val="0"/>
              <w:marTop w:val="0"/>
              <w:marBottom w:val="0"/>
              <w:divBdr>
                <w:top w:val="none" w:sz="0" w:space="0" w:color="auto"/>
                <w:left w:val="none" w:sz="0" w:space="0" w:color="auto"/>
                <w:bottom w:val="none" w:sz="0" w:space="0" w:color="auto"/>
                <w:right w:val="none" w:sz="0" w:space="0" w:color="auto"/>
              </w:divBdr>
              <w:divsChild>
                <w:div w:id="1138768673">
                  <w:marLeft w:val="0"/>
                  <w:marRight w:val="0"/>
                  <w:marTop w:val="0"/>
                  <w:marBottom w:val="0"/>
                  <w:divBdr>
                    <w:top w:val="none" w:sz="0" w:space="0" w:color="auto"/>
                    <w:left w:val="none" w:sz="0" w:space="0" w:color="auto"/>
                    <w:bottom w:val="none" w:sz="0" w:space="0" w:color="auto"/>
                    <w:right w:val="none" w:sz="0" w:space="0" w:color="auto"/>
                  </w:divBdr>
                </w:div>
              </w:divsChild>
            </w:div>
            <w:div w:id="1779912873">
              <w:marLeft w:val="0"/>
              <w:marRight w:val="0"/>
              <w:marTop w:val="0"/>
              <w:marBottom w:val="0"/>
              <w:divBdr>
                <w:top w:val="none" w:sz="0" w:space="0" w:color="auto"/>
                <w:left w:val="none" w:sz="0" w:space="0" w:color="auto"/>
                <w:bottom w:val="none" w:sz="0" w:space="0" w:color="auto"/>
                <w:right w:val="none" w:sz="0" w:space="0" w:color="auto"/>
              </w:divBdr>
              <w:divsChild>
                <w:div w:id="2127657802">
                  <w:marLeft w:val="0"/>
                  <w:marRight w:val="0"/>
                  <w:marTop w:val="0"/>
                  <w:marBottom w:val="0"/>
                  <w:divBdr>
                    <w:top w:val="none" w:sz="0" w:space="0" w:color="auto"/>
                    <w:left w:val="none" w:sz="0" w:space="0" w:color="auto"/>
                    <w:bottom w:val="none" w:sz="0" w:space="0" w:color="auto"/>
                    <w:right w:val="none" w:sz="0" w:space="0" w:color="auto"/>
                  </w:divBdr>
                </w:div>
              </w:divsChild>
            </w:div>
            <w:div w:id="663513162">
              <w:marLeft w:val="0"/>
              <w:marRight w:val="0"/>
              <w:marTop w:val="0"/>
              <w:marBottom w:val="0"/>
              <w:divBdr>
                <w:top w:val="none" w:sz="0" w:space="0" w:color="auto"/>
                <w:left w:val="none" w:sz="0" w:space="0" w:color="auto"/>
                <w:bottom w:val="none" w:sz="0" w:space="0" w:color="auto"/>
                <w:right w:val="none" w:sz="0" w:space="0" w:color="auto"/>
              </w:divBdr>
              <w:divsChild>
                <w:div w:id="2085490506">
                  <w:marLeft w:val="0"/>
                  <w:marRight w:val="0"/>
                  <w:marTop w:val="0"/>
                  <w:marBottom w:val="0"/>
                  <w:divBdr>
                    <w:top w:val="none" w:sz="0" w:space="0" w:color="auto"/>
                    <w:left w:val="none" w:sz="0" w:space="0" w:color="auto"/>
                    <w:bottom w:val="none" w:sz="0" w:space="0" w:color="auto"/>
                    <w:right w:val="none" w:sz="0" w:space="0" w:color="auto"/>
                  </w:divBdr>
                </w:div>
              </w:divsChild>
            </w:div>
            <w:div w:id="339625556">
              <w:marLeft w:val="0"/>
              <w:marRight w:val="0"/>
              <w:marTop w:val="0"/>
              <w:marBottom w:val="0"/>
              <w:divBdr>
                <w:top w:val="none" w:sz="0" w:space="0" w:color="auto"/>
                <w:left w:val="none" w:sz="0" w:space="0" w:color="auto"/>
                <w:bottom w:val="none" w:sz="0" w:space="0" w:color="auto"/>
                <w:right w:val="none" w:sz="0" w:space="0" w:color="auto"/>
              </w:divBdr>
              <w:divsChild>
                <w:div w:id="1981495964">
                  <w:marLeft w:val="0"/>
                  <w:marRight w:val="0"/>
                  <w:marTop w:val="0"/>
                  <w:marBottom w:val="0"/>
                  <w:divBdr>
                    <w:top w:val="none" w:sz="0" w:space="0" w:color="auto"/>
                    <w:left w:val="none" w:sz="0" w:space="0" w:color="auto"/>
                    <w:bottom w:val="none" w:sz="0" w:space="0" w:color="auto"/>
                    <w:right w:val="none" w:sz="0" w:space="0" w:color="auto"/>
                  </w:divBdr>
                </w:div>
              </w:divsChild>
            </w:div>
            <w:div w:id="598412553">
              <w:marLeft w:val="0"/>
              <w:marRight w:val="0"/>
              <w:marTop w:val="0"/>
              <w:marBottom w:val="0"/>
              <w:divBdr>
                <w:top w:val="none" w:sz="0" w:space="0" w:color="auto"/>
                <w:left w:val="none" w:sz="0" w:space="0" w:color="auto"/>
                <w:bottom w:val="none" w:sz="0" w:space="0" w:color="auto"/>
                <w:right w:val="none" w:sz="0" w:space="0" w:color="auto"/>
              </w:divBdr>
              <w:divsChild>
                <w:div w:id="293413608">
                  <w:marLeft w:val="0"/>
                  <w:marRight w:val="0"/>
                  <w:marTop w:val="0"/>
                  <w:marBottom w:val="0"/>
                  <w:divBdr>
                    <w:top w:val="none" w:sz="0" w:space="0" w:color="auto"/>
                    <w:left w:val="none" w:sz="0" w:space="0" w:color="auto"/>
                    <w:bottom w:val="none" w:sz="0" w:space="0" w:color="auto"/>
                    <w:right w:val="none" w:sz="0" w:space="0" w:color="auto"/>
                  </w:divBdr>
                </w:div>
              </w:divsChild>
            </w:div>
            <w:div w:id="853617440">
              <w:marLeft w:val="0"/>
              <w:marRight w:val="0"/>
              <w:marTop w:val="0"/>
              <w:marBottom w:val="0"/>
              <w:divBdr>
                <w:top w:val="none" w:sz="0" w:space="0" w:color="auto"/>
                <w:left w:val="none" w:sz="0" w:space="0" w:color="auto"/>
                <w:bottom w:val="none" w:sz="0" w:space="0" w:color="auto"/>
                <w:right w:val="none" w:sz="0" w:space="0" w:color="auto"/>
              </w:divBdr>
              <w:divsChild>
                <w:div w:id="293366115">
                  <w:marLeft w:val="0"/>
                  <w:marRight w:val="0"/>
                  <w:marTop w:val="0"/>
                  <w:marBottom w:val="0"/>
                  <w:divBdr>
                    <w:top w:val="none" w:sz="0" w:space="0" w:color="auto"/>
                    <w:left w:val="none" w:sz="0" w:space="0" w:color="auto"/>
                    <w:bottom w:val="none" w:sz="0" w:space="0" w:color="auto"/>
                    <w:right w:val="none" w:sz="0" w:space="0" w:color="auto"/>
                  </w:divBdr>
                </w:div>
              </w:divsChild>
            </w:div>
            <w:div w:id="1199048032">
              <w:marLeft w:val="0"/>
              <w:marRight w:val="0"/>
              <w:marTop w:val="0"/>
              <w:marBottom w:val="0"/>
              <w:divBdr>
                <w:top w:val="none" w:sz="0" w:space="0" w:color="auto"/>
                <w:left w:val="none" w:sz="0" w:space="0" w:color="auto"/>
                <w:bottom w:val="none" w:sz="0" w:space="0" w:color="auto"/>
                <w:right w:val="none" w:sz="0" w:space="0" w:color="auto"/>
              </w:divBdr>
              <w:divsChild>
                <w:div w:id="190992965">
                  <w:marLeft w:val="0"/>
                  <w:marRight w:val="0"/>
                  <w:marTop w:val="0"/>
                  <w:marBottom w:val="0"/>
                  <w:divBdr>
                    <w:top w:val="none" w:sz="0" w:space="0" w:color="auto"/>
                    <w:left w:val="none" w:sz="0" w:space="0" w:color="auto"/>
                    <w:bottom w:val="none" w:sz="0" w:space="0" w:color="auto"/>
                    <w:right w:val="none" w:sz="0" w:space="0" w:color="auto"/>
                  </w:divBdr>
                </w:div>
              </w:divsChild>
            </w:div>
            <w:div w:id="1770731946">
              <w:marLeft w:val="0"/>
              <w:marRight w:val="0"/>
              <w:marTop w:val="0"/>
              <w:marBottom w:val="0"/>
              <w:divBdr>
                <w:top w:val="none" w:sz="0" w:space="0" w:color="auto"/>
                <w:left w:val="none" w:sz="0" w:space="0" w:color="auto"/>
                <w:bottom w:val="none" w:sz="0" w:space="0" w:color="auto"/>
                <w:right w:val="none" w:sz="0" w:space="0" w:color="auto"/>
              </w:divBdr>
              <w:divsChild>
                <w:div w:id="1171532128">
                  <w:marLeft w:val="0"/>
                  <w:marRight w:val="0"/>
                  <w:marTop w:val="0"/>
                  <w:marBottom w:val="0"/>
                  <w:divBdr>
                    <w:top w:val="none" w:sz="0" w:space="0" w:color="auto"/>
                    <w:left w:val="none" w:sz="0" w:space="0" w:color="auto"/>
                    <w:bottom w:val="none" w:sz="0" w:space="0" w:color="auto"/>
                    <w:right w:val="none" w:sz="0" w:space="0" w:color="auto"/>
                  </w:divBdr>
                </w:div>
              </w:divsChild>
            </w:div>
            <w:div w:id="1950551939">
              <w:marLeft w:val="0"/>
              <w:marRight w:val="0"/>
              <w:marTop w:val="0"/>
              <w:marBottom w:val="0"/>
              <w:divBdr>
                <w:top w:val="none" w:sz="0" w:space="0" w:color="auto"/>
                <w:left w:val="none" w:sz="0" w:space="0" w:color="auto"/>
                <w:bottom w:val="none" w:sz="0" w:space="0" w:color="auto"/>
                <w:right w:val="none" w:sz="0" w:space="0" w:color="auto"/>
              </w:divBdr>
              <w:divsChild>
                <w:div w:id="1307078940">
                  <w:marLeft w:val="0"/>
                  <w:marRight w:val="0"/>
                  <w:marTop w:val="0"/>
                  <w:marBottom w:val="0"/>
                  <w:divBdr>
                    <w:top w:val="none" w:sz="0" w:space="0" w:color="auto"/>
                    <w:left w:val="none" w:sz="0" w:space="0" w:color="auto"/>
                    <w:bottom w:val="none" w:sz="0" w:space="0" w:color="auto"/>
                    <w:right w:val="none" w:sz="0" w:space="0" w:color="auto"/>
                  </w:divBdr>
                </w:div>
              </w:divsChild>
            </w:div>
            <w:div w:id="1006983028">
              <w:marLeft w:val="0"/>
              <w:marRight w:val="0"/>
              <w:marTop w:val="0"/>
              <w:marBottom w:val="0"/>
              <w:divBdr>
                <w:top w:val="none" w:sz="0" w:space="0" w:color="auto"/>
                <w:left w:val="none" w:sz="0" w:space="0" w:color="auto"/>
                <w:bottom w:val="none" w:sz="0" w:space="0" w:color="auto"/>
                <w:right w:val="none" w:sz="0" w:space="0" w:color="auto"/>
              </w:divBdr>
              <w:divsChild>
                <w:div w:id="460467385">
                  <w:marLeft w:val="0"/>
                  <w:marRight w:val="0"/>
                  <w:marTop w:val="0"/>
                  <w:marBottom w:val="0"/>
                  <w:divBdr>
                    <w:top w:val="none" w:sz="0" w:space="0" w:color="auto"/>
                    <w:left w:val="none" w:sz="0" w:space="0" w:color="auto"/>
                    <w:bottom w:val="none" w:sz="0" w:space="0" w:color="auto"/>
                    <w:right w:val="none" w:sz="0" w:space="0" w:color="auto"/>
                  </w:divBdr>
                </w:div>
              </w:divsChild>
            </w:div>
            <w:div w:id="1730570674">
              <w:marLeft w:val="0"/>
              <w:marRight w:val="0"/>
              <w:marTop w:val="0"/>
              <w:marBottom w:val="0"/>
              <w:divBdr>
                <w:top w:val="none" w:sz="0" w:space="0" w:color="auto"/>
                <w:left w:val="none" w:sz="0" w:space="0" w:color="auto"/>
                <w:bottom w:val="none" w:sz="0" w:space="0" w:color="auto"/>
                <w:right w:val="none" w:sz="0" w:space="0" w:color="auto"/>
              </w:divBdr>
              <w:divsChild>
                <w:div w:id="443616673">
                  <w:marLeft w:val="0"/>
                  <w:marRight w:val="0"/>
                  <w:marTop w:val="0"/>
                  <w:marBottom w:val="0"/>
                  <w:divBdr>
                    <w:top w:val="none" w:sz="0" w:space="0" w:color="auto"/>
                    <w:left w:val="none" w:sz="0" w:space="0" w:color="auto"/>
                    <w:bottom w:val="none" w:sz="0" w:space="0" w:color="auto"/>
                    <w:right w:val="none" w:sz="0" w:space="0" w:color="auto"/>
                  </w:divBdr>
                </w:div>
              </w:divsChild>
            </w:div>
            <w:div w:id="1329678682">
              <w:marLeft w:val="0"/>
              <w:marRight w:val="0"/>
              <w:marTop w:val="0"/>
              <w:marBottom w:val="0"/>
              <w:divBdr>
                <w:top w:val="none" w:sz="0" w:space="0" w:color="auto"/>
                <w:left w:val="none" w:sz="0" w:space="0" w:color="auto"/>
                <w:bottom w:val="none" w:sz="0" w:space="0" w:color="auto"/>
                <w:right w:val="none" w:sz="0" w:space="0" w:color="auto"/>
              </w:divBdr>
              <w:divsChild>
                <w:div w:id="1716079500">
                  <w:marLeft w:val="0"/>
                  <w:marRight w:val="0"/>
                  <w:marTop w:val="0"/>
                  <w:marBottom w:val="0"/>
                  <w:divBdr>
                    <w:top w:val="none" w:sz="0" w:space="0" w:color="auto"/>
                    <w:left w:val="none" w:sz="0" w:space="0" w:color="auto"/>
                    <w:bottom w:val="none" w:sz="0" w:space="0" w:color="auto"/>
                    <w:right w:val="none" w:sz="0" w:space="0" w:color="auto"/>
                  </w:divBdr>
                </w:div>
              </w:divsChild>
            </w:div>
            <w:div w:id="1190680206">
              <w:marLeft w:val="0"/>
              <w:marRight w:val="0"/>
              <w:marTop w:val="0"/>
              <w:marBottom w:val="0"/>
              <w:divBdr>
                <w:top w:val="none" w:sz="0" w:space="0" w:color="auto"/>
                <w:left w:val="none" w:sz="0" w:space="0" w:color="auto"/>
                <w:bottom w:val="none" w:sz="0" w:space="0" w:color="auto"/>
                <w:right w:val="none" w:sz="0" w:space="0" w:color="auto"/>
              </w:divBdr>
              <w:divsChild>
                <w:div w:id="693773109">
                  <w:marLeft w:val="0"/>
                  <w:marRight w:val="0"/>
                  <w:marTop w:val="0"/>
                  <w:marBottom w:val="0"/>
                  <w:divBdr>
                    <w:top w:val="none" w:sz="0" w:space="0" w:color="auto"/>
                    <w:left w:val="none" w:sz="0" w:space="0" w:color="auto"/>
                    <w:bottom w:val="none" w:sz="0" w:space="0" w:color="auto"/>
                    <w:right w:val="none" w:sz="0" w:space="0" w:color="auto"/>
                  </w:divBdr>
                </w:div>
              </w:divsChild>
            </w:div>
            <w:div w:id="653292413">
              <w:marLeft w:val="0"/>
              <w:marRight w:val="0"/>
              <w:marTop w:val="0"/>
              <w:marBottom w:val="0"/>
              <w:divBdr>
                <w:top w:val="none" w:sz="0" w:space="0" w:color="auto"/>
                <w:left w:val="none" w:sz="0" w:space="0" w:color="auto"/>
                <w:bottom w:val="none" w:sz="0" w:space="0" w:color="auto"/>
                <w:right w:val="none" w:sz="0" w:space="0" w:color="auto"/>
              </w:divBdr>
              <w:divsChild>
                <w:div w:id="409959784">
                  <w:marLeft w:val="0"/>
                  <w:marRight w:val="0"/>
                  <w:marTop w:val="0"/>
                  <w:marBottom w:val="0"/>
                  <w:divBdr>
                    <w:top w:val="none" w:sz="0" w:space="0" w:color="auto"/>
                    <w:left w:val="none" w:sz="0" w:space="0" w:color="auto"/>
                    <w:bottom w:val="none" w:sz="0" w:space="0" w:color="auto"/>
                    <w:right w:val="none" w:sz="0" w:space="0" w:color="auto"/>
                  </w:divBdr>
                </w:div>
              </w:divsChild>
            </w:div>
            <w:div w:id="1660691221">
              <w:marLeft w:val="0"/>
              <w:marRight w:val="0"/>
              <w:marTop w:val="0"/>
              <w:marBottom w:val="0"/>
              <w:divBdr>
                <w:top w:val="none" w:sz="0" w:space="0" w:color="auto"/>
                <w:left w:val="none" w:sz="0" w:space="0" w:color="auto"/>
                <w:bottom w:val="none" w:sz="0" w:space="0" w:color="auto"/>
                <w:right w:val="none" w:sz="0" w:space="0" w:color="auto"/>
              </w:divBdr>
              <w:divsChild>
                <w:div w:id="676200517">
                  <w:marLeft w:val="0"/>
                  <w:marRight w:val="0"/>
                  <w:marTop w:val="0"/>
                  <w:marBottom w:val="0"/>
                  <w:divBdr>
                    <w:top w:val="none" w:sz="0" w:space="0" w:color="auto"/>
                    <w:left w:val="none" w:sz="0" w:space="0" w:color="auto"/>
                    <w:bottom w:val="none" w:sz="0" w:space="0" w:color="auto"/>
                    <w:right w:val="none" w:sz="0" w:space="0" w:color="auto"/>
                  </w:divBdr>
                </w:div>
              </w:divsChild>
            </w:div>
            <w:div w:id="792485538">
              <w:marLeft w:val="0"/>
              <w:marRight w:val="0"/>
              <w:marTop w:val="0"/>
              <w:marBottom w:val="0"/>
              <w:divBdr>
                <w:top w:val="none" w:sz="0" w:space="0" w:color="auto"/>
                <w:left w:val="none" w:sz="0" w:space="0" w:color="auto"/>
                <w:bottom w:val="none" w:sz="0" w:space="0" w:color="auto"/>
                <w:right w:val="none" w:sz="0" w:space="0" w:color="auto"/>
              </w:divBdr>
              <w:divsChild>
                <w:div w:id="1578203442">
                  <w:marLeft w:val="0"/>
                  <w:marRight w:val="0"/>
                  <w:marTop w:val="0"/>
                  <w:marBottom w:val="0"/>
                  <w:divBdr>
                    <w:top w:val="none" w:sz="0" w:space="0" w:color="auto"/>
                    <w:left w:val="none" w:sz="0" w:space="0" w:color="auto"/>
                    <w:bottom w:val="none" w:sz="0" w:space="0" w:color="auto"/>
                    <w:right w:val="none" w:sz="0" w:space="0" w:color="auto"/>
                  </w:divBdr>
                </w:div>
              </w:divsChild>
            </w:div>
            <w:div w:id="22441066">
              <w:marLeft w:val="0"/>
              <w:marRight w:val="0"/>
              <w:marTop w:val="0"/>
              <w:marBottom w:val="0"/>
              <w:divBdr>
                <w:top w:val="none" w:sz="0" w:space="0" w:color="auto"/>
                <w:left w:val="none" w:sz="0" w:space="0" w:color="auto"/>
                <w:bottom w:val="none" w:sz="0" w:space="0" w:color="auto"/>
                <w:right w:val="none" w:sz="0" w:space="0" w:color="auto"/>
              </w:divBdr>
              <w:divsChild>
                <w:div w:id="206719588">
                  <w:marLeft w:val="0"/>
                  <w:marRight w:val="0"/>
                  <w:marTop w:val="0"/>
                  <w:marBottom w:val="0"/>
                  <w:divBdr>
                    <w:top w:val="none" w:sz="0" w:space="0" w:color="auto"/>
                    <w:left w:val="none" w:sz="0" w:space="0" w:color="auto"/>
                    <w:bottom w:val="none" w:sz="0" w:space="0" w:color="auto"/>
                    <w:right w:val="none" w:sz="0" w:space="0" w:color="auto"/>
                  </w:divBdr>
                </w:div>
              </w:divsChild>
            </w:div>
            <w:div w:id="983661245">
              <w:marLeft w:val="0"/>
              <w:marRight w:val="0"/>
              <w:marTop w:val="0"/>
              <w:marBottom w:val="0"/>
              <w:divBdr>
                <w:top w:val="none" w:sz="0" w:space="0" w:color="auto"/>
                <w:left w:val="none" w:sz="0" w:space="0" w:color="auto"/>
                <w:bottom w:val="none" w:sz="0" w:space="0" w:color="auto"/>
                <w:right w:val="none" w:sz="0" w:space="0" w:color="auto"/>
              </w:divBdr>
              <w:divsChild>
                <w:div w:id="878857640">
                  <w:marLeft w:val="0"/>
                  <w:marRight w:val="0"/>
                  <w:marTop w:val="0"/>
                  <w:marBottom w:val="0"/>
                  <w:divBdr>
                    <w:top w:val="none" w:sz="0" w:space="0" w:color="auto"/>
                    <w:left w:val="none" w:sz="0" w:space="0" w:color="auto"/>
                    <w:bottom w:val="none" w:sz="0" w:space="0" w:color="auto"/>
                    <w:right w:val="none" w:sz="0" w:space="0" w:color="auto"/>
                  </w:divBdr>
                </w:div>
              </w:divsChild>
            </w:div>
            <w:div w:id="322205584">
              <w:marLeft w:val="0"/>
              <w:marRight w:val="0"/>
              <w:marTop w:val="0"/>
              <w:marBottom w:val="0"/>
              <w:divBdr>
                <w:top w:val="none" w:sz="0" w:space="0" w:color="auto"/>
                <w:left w:val="none" w:sz="0" w:space="0" w:color="auto"/>
                <w:bottom w:val="none" w:sz="0" w:space="0" w:color="auto"/>
                <w:right w:val="none" w:sz="0" w:space="0" w:color="auto"/>
              </w:divBdr>
              <w:divsChild>
                <w:div w:id="1100106361">
                  <w:marLeft w:val="0"/>
                  <w:marRight w:val="0"/>
                  <w:marTop w:val="0"/>
                  <w:marBottom w:val="0"/>
                  <w:divBdr>
                    <w:top w:val="none" w:sz="0" w:space="0" w:color="auto"/>
                    <w:left w:val="none" w:sz="0" w:space="0" w:color="auto"/>
                    <w:bottom w:val="none" w:sz="0" w:space="0" w:color="auto"/>
                    <w:right w:val="none" w:sz="0" w:space="0" w:color="auto"/>
                  </w:divBdr>
                </w:div>
              </w:divsChild>
            </w:div>
            <w:div w:id="373389912">
              <w:marLeft w:val="0"/>
              <w:marRight w:val="0"/>
              <w:marTop w:val="0"/>
              <w:marBottom w:val="0"/>
              <w:divBdr>
                <w:top w:val="none" w:sz="0" w:space="0" w:color="auto"/>
                <w:left w:val="none" w:sz="0" w:space="0" w:color="auto"/>
                <w:bottom w:val="none" w:sz="0" w:space="0" w:color="auto"/>
                <w:right w:val="none" w:sz="0" w:space="0" w:color="auto"/>
              </w:divBdr>
              <w:divsChild>
                <w:div w:id="1963418618">
                  <w:marLeft w:val="0"/>
                  <w:marRight w:val="0"/>
                  <w:marTop w:val="0"/>
                  <w:marBottom w:val="0"/>
                  <w:divBdr>
                    <w:top w:val="none" w:sz="0" w:space="0" w:color="auto"/>
                    <w:left w:val="none" w:sz="0" w:space="0" w:color="auto"/>
                    <w:bottom w:val="none" w:sz="0" w:space="0" w:color="auto"/>
                    <w:right w:val="none" w:sz="0" w:space="0" w:color="auto"/>
                  </w:divBdr>
                </w:div>
              </w:divsChild>
            </w:div>
            <w:div w:id="958024605">
              <w:marLeft w:val="0"/>
              <w:marRight w:val="0"/>
              <w:marTop w:val="0"/>
              <w:marBottom w:val="0"/>
              <w:divBdr>
                <w:top w:val="none" w:sz="0" w:space="0" w:color="auto"/>
                <w:left w:val="none" w:sz="0" w:space="0" w:color="auto"/>
                <w:bottom w:val="none" w:sz="0" w:space="0" w:color="auto"/>
                <w:right w:val="none" w:sz="0" w:space="0" w:color="auto"/>
              </w:divBdr>
              <w:divsChild>
                <w:div w:id="967972817">
                  <w:marLeft w:val="0"/>
                  <w:marRight w:val="0"/>
                  <w:marTop w:val="0"/>
                  <w:marBottom w:val="0"/>
                  <w:divBdr>
                    <w:top w:val="none" w:sz="0" w:space="0" w:color="auto"/>
                    <w:left w:val="none" w:sz="0" w:space="0" w:color="auto"/>
                    <w:bottom w:val="none" w:sz="0" w:space="0" w:color="auto"/>
                    <w:right w:val="none" w:sz="0" w:space="0" w:color="auto"/>
                  </w:divBdr>
                </w:div>
              </w:divsChild>
            </w:div>
            <w:div w:id="459147706">
              <w:marLeft w:val="0"/>
              <w:marRight w:val="0"/>
              <w:marTop w:val="0"/>
              <w:marBottom w:val="0"/>
              <w:divBdr>
                <w:top w:val="none" w:sz="0" w:space="0" w:color="auto"/>
                <w:left w:val="none" w:sz="0" w:space="0" w:color="auto"/>
                <w:bottom w:val="none" w:sz="0" w:space="0" w:color="auto"/>
                <w:right w:val="none" w:sz="0" w:space="0" w:color="auto"/>
              </w:divBdr>
              <w:divsChild>
                <w:div w:id="1682194861">
                  <w:marLeft w:val="0"/>
                  <w:marRight w:val="0"/>
                  <w:marTop w:val="0"/>
                  <w:marBottom w:val="0"/>
                  <w:divBdr>
                    <w:top w:val="none" w:sz="0" w:space="0" w:color="auto"/>
                    <w:left w:val="none" w:sz="0" w:space="0" w:color="auto"/>
                    <w:bottom w:val="none" w:sz="0" w:space="0" w:color="auto"/>
                    <w:right w:val="none" w:sz="0" w:space="0" w:color="auto"/>
                  </w:divBdr>
                </w:div>
              </w:divsChild>
            </w:div>
            <w:div w:id="211114158">
              <w:marLeft w:val="0"/>
              <w:marRight w:val="0"/>
              <w:marTop w:val="0"/>
              <w:marBottom w:val="0"/>
              <w:divBdr>
                <w:top w:val="none" w:sz="0" w:space="0" w:color="auto"/>
                <w:left w:val="none" w:sz="0" w:space="0" w:color="auto"/>
                <w:bottom w:val="none" w:sz="0" w:space="0" w:color="auto"/>
                <w:right w:val="none" w:sz="0" w:space="0" w:color="auto"/>
              </w:divBdr>
              <w:divsChild>
                <w:div w:id="1059481284">
                  <w:marLeft w:val="0"/>
                  <w:marRight w:val="0"/>
                  <w:marTop w:val="0"/>
                  <w:marBottom w:val="0"/>
                  <w:divBdr>
                    <w:top w:val="none" w:sz="0" w:space="0" w:color="auto"/>
                    <w:left w:val="none" w:sz="0" w:space="0" w:color="auto"/>
                    <w:bottom w:val="none" w:sz="0" w:space="0" w:color="auto"/>
                    <w:right w:val="none" w:sz="0" w:space="0" w:color="auto"/>
                  </w:divBdr>
                </w:div>
              </w:divsChild>
            </w:div>
            <w:div w:id="1035275857">
              <w:marLeft w:val="0"/>
              <w:marRight w:val="0"/>
              <w:marTop w:val="0"/>
              <w:marBottom w:val="0"/>
              <w:divBdr>
                <w:top w:val="none" w:sz="0" w:space="0" w:color="auto"/>
                <w:left w:val="none" w:sz="0" w:space="0" w:color="auto"/>
                <w:bottom w:val="none" w:sz="0" w:space="0" w:color="auto"/>
                <w:right w:val="none" w:sz="0" w:space="0" w:color="auto"/>
              </w:divBdr>
              <w:divsChild>
                <w:div w:id="2047947110">
                  <w:marLeft w:val="0"/>
                  <w:marRight w:val="0"/>
                  <w:marTop w:val="0"/>
                  <w:marBottom w:val="0"/>
                  <w:divBdr>
                    <w:top w:val="none" w:sz="0" w:space="0" w:color="auto"/>
                    <w:left w:val="none" w:sz="0" w:space="0" w:color="auto"/>
                    <w:bottom w:val="none" w:sz="0" w:space="0" w:color="auto"/>
                    <w:right w:val="none" w:sz="0" w:space="0" w:color="auto"/>
                  </w:divBdr>
                </w:div>
              </w:divsChild>
            </w:div>
            <w:div w:id="461382102">
              <w:marLeft w:val="0"/>
              <w:marRight w:val="0"/>
              <w:marTop w:val="0"/>
              <w:marBottom w:val="0"/>
              <w:divBdr>
                <w:top w:val="none" w:sz="0" w:space="0" w:color="auto"/>
                <w:left w:val="none" w:sz="0" w:space="0" w:color="auto"/>
                <w:bottom w:val="none" w:sz="0" w:space="0" w:color="auto"/>
                <w:right w:val="none" w:sz="0" w:space="0" w:color="auto"/>
              </w:divBdr>
              <w:divsChild>
                <w:div w:id="1185168732">
                  <w:marLeft w:val="0"/>
                  <w:marRight w:val="0"/>
                  <w:marTop w:val="0"/>
                  <w:marBottom w:val="0"/>
                  <w:divBdr>
                    <w:top w:val="none" w:sz="0" w:space="0" w:color="auto"/>
                    <w:left w:val="none" w:sz="0" w:space="0" w:color="auto"/>
                    <w:bottom w:val="none" w:sz="0" w:space="0" w:color="auto"/>
                    <w:right w:val="none" w:sz="0" w:space="0" w:color="auto"/>
                  </w:divBdr>
                </w:div>
              </w:divsChild>
            </w:div>
            <w:div w:id="1093669650">
              <w:marLeft w:val="0"/>
              <w:marRight w:val="0"/>
              <w:marTop w:val="0"/>
              <w:marBottom w:val="0"/>
              <w:divBdr>
                <w:top w:val="none" w:sz="0" w:space="0" w:color="auto"/>
                <w:left w:val="none" w:sz="0" w:space="0" w:color="auto"/>
                <w:bottom w:val="none" w:sz="0" w:space="0" w:color="auto"/>
                <w:right w:val="none" w:sz="0" w:space="0" w:color="auto"/>
              </w:divBdr>
              <w:divsChild>
                <w:div w:id="473331689">
                  <w:marLeft w:val="0"/>
                  <w:marRight w:val="0"/>
                  <w:marTop w:val="0"/>
                  <w:marBottom w:val="0"/>
                  <w:divBdr>
                    <w:top w:val="none" w:sz="0" w:space="0" w:color="auto"/>
                    <w:left w:val="none" w:sz="0" w:space="0" w:color="auto"/>
                    <w:bottom w:val="none" w:sz="0" w:space="0" w:color="auto"/>
                    <w:right w:val="none" w:sz="0" w:space="0" w:color="auto"/>
                  </w:divBdr>
                </w:div>
              </w:divsChild>
            </w:div>
            <w:div w:id="275143146">
              <w:marLeft w:val="0"/>
              <w:marRight w:val="0"/>
              <w:marTop w:val="0"/>
              <w:marBottom w:val="0"/>
              <w:divBdr>
                <w:top w:val="none" w:sz="0" w:space="0" w:color="auto"/>
                <w:left w:val="none" w:sz="0" w:space="0" w:color="auto"/>
                <w:bottom w:val="none" w:sz="0" w:space="0" w:color="auto"/>
                <w:right w:val="none" w:sz="0" w:space="0" w:color="auto"/>
              </w:divBdr>
              <w:divsChild>
                <w:div w:id="410549007">
                  <w:marLeft w:val="0"/>
                  <w:marRight w:val="0"/>
                  <w:marTop w:val="0"/>
                  <w:marBottom w:val="0"/>
                  <w:divBdr>
                    <w:top w:val="none" w:sz="0" w:space="0" w:color="auto"/>
                    <w:left w:val="none" w:sz="0" w:space="0" w:color="auto"/>
                    <w:bottom w:val="none" w:sz="0" w:space="0" w:color="auto"/>
                    <w:right w:val="none" w:sz="0" w:space="0" w:color="auto"/>
                  </w:divBdr>
                </w:div>
              </w:divsChild>
            </w:div>
            <w:div w:id="1870869283">
              <w:marLeft w:val="0"/>
              <w:marRight w:val="0"/>
              <w:marTop w:val="0"/>
              <w:marBottom w:val="0"/>
              <w:divBdr>
                <w:top w:val="none" w:sz="0" w:space="0" w:color="auto"/>
                <w:left w:val="none" w:sz="0" w:space="0" w:color="auto"/>
                <w:bottom w:val="none" w:sz="0" w:space="0" w:color="auto"/>
                <w:right w:val="none" w:sz="0" w:space="0" w:color="auto"/>
              </w:divBdr>
              <w:divsChild>
                <w:div w:id="454756936">
                  <w:marLeft w:val="0"/>
                  <w:marRight w:val="0"/>
                  <w:marTop w:val="0"/>
                  <w:marBottom w:val="0"/>
                  <w:divBdr>
                    <w:top w:val="none" w:sz="0" w:space="0" w:color="auto"/>
                    <w:left w:val="none" w:sz="0" w:space="0" w:color="auto"/>
                    <w:bottom w:val="none" w:sz="0" w:space="0" w:color="auto"/>
                    <w:right w:val="none" w:sz="0" w:space="0" w:color="auto"/>
                  </w:divBdr>
                </w:div>
              </w:divsChild>
            </w:div>
            <w:div w:id="615597929">
              <w:marLeft w:val="0"/>
              <w:marRight w:val="0"/>
              <w:marTop w:val="0"/>
              <w:marBottom w:val="0"/>
              <w:divBdr>
                <w:top w:val="none" w:sz="0" w:space="0" w:color="auto"/>
                <w:left w:val="none" w:sz="0" w:space="0" w:color="auto"/>
                <w:bottom w:val="none" w:sz="0" w:space="0" w:color="auto"/>
                <w:right w:val="none" w:sz="0" w:space="0" w:color="auto"/>
              </w:divBdr>
              <w:divsChild>
                <w:div w:id="1802576679">
                  <w:marLeft w:val="0"/>
                  <w:marRight w:val="0"/>
                  <w:marTop w:val="0"/>
                  <w:marBottom w:val="0"/>
                  <w:divBdr>
                    <w:top w:val="none" w:sz="0" w:space="0" w:color="auto"/>
                    <w:left w:val="none" w:sz="0" w:space="0" w:color="auto"/>
                    <w:bottom w:val="none" w:sz="0" w:space="0" w:color="auto"/>
                    <w:right w:val="none" w:sz="0" w:space="0" w:color="auto"/>
                  </w:divBdr>
                </w:div>
              </w:divsChild>
            </w:div>
            <w:div w:id="1442259592">
              <w:marLeft w:val="0"/>
              <w:marRight w:val="0"/>
              <w:marTop w:val="0"/>
              <w:marBottom w:val="0"/>
              <w:divBdr>
                <w:top w:val="none" w:sz="0" w:space="0" w:color="auto"/>
                <w:left w:val="none" w:sz="0" w:space="0" w:color="auto"/>
                <w:bottom w:val="none" w:sz="0" w:space="0" w:color="auto"/>
                <w:right w:val="none" w:sz="0" w:space="0" w:color="auto"/>
              </w:divBdr>
              <w:divsChild>
                <w:div w:id="305857378">
                  <w:marLeft w:val="0"/>
                  <w:marRight w:val="0"/>
                  <w:marTop w:val="0"/>
                  <w:marBottom w:val="0"/>
                  <w:divBdr>
                    <w:top w:val="none" w:sz="0" w:space="0" w:color="auto"/>
                    <w:left w:val="none" w:sz="0" w:space="0" w:color="auto"/>
                    <w:bottom w:val="none" w:sz="0" w:space="0" w:color="auto"/>
                    <w:right w:val="none" w:sz="0" w:space="0" w:color="auto"/>
                  </w:divBdr>
                </w:div>
              </w:divsChild>
            </w:div>
            <w:div w:id="362748098">
              <w:marLeft w:val="0"/>
              <w:marRight w:val="0"/>
              <w:marTop w:val="0"/>
              <w:marBottom w:val="0"/>
              <w:divBdr>
                <w:top w:val="none" w:sz="0" w:space="0" w:color="auto"/>
                <w:left w:val="none" w:sz="0" w:space="0" w:color="auto"/>
                <w:bottom w:val="none" w:sz="0" w:space="0" w:color="auto"/>
                <w:right w:val="none" w:sz="0" w:space="0" w:color="auto"/>
              </w:divBdr>
              <w:divsChild>
                <w:div w:id="1596789188">
                  <w:marLeft w:val="0"/>
                  <w:marRight w:val="0"/>
                  <w:marTop w:val="0"/>
                  <w:marBottom w:val="0"/>
                  <w:divBdr>
                    <w:top w:val="none" w:sz="0" w:space="0" w:color="auto"/>
                    <w:left w:val="none" w:sz="0" w:space="0" w:color="auto"/>
                    <w:bottom w:val="none" w:sz="0" w:space="0" w:color="auto"/>
                    <w:right w:val="none" w:sz="0" w:space="0" w:color="auto"/>
                  </w:divBdr>
                </w:div>
              </w:divsChild>
            </w:div>
            <w:div w:id="410587205">
              <w:marLeft w:val="0"/>
              <w:marRight w:val="0"/>
              <w:marTop w:val="0"/>
              <w:marBottom w:val="0"/>
              <w:divBdr>
                <w:top w:val="none" w:sz="0" w:space="0" w:color="auto"/>
                <w:left w:val="none" w:sz="0" w:space="0" w:color="auto"/>
                <w:bottom w:val="none" w:sz="0" w:space="0" w:color="auto"/>
                <w:right w:val="none" w:sz="0" w:space="0" w:color="auto"/>
              </w:divBdr>
              <w:divsChild>
                <w:div w:id="1608853330">
                  <w:marLeft w:val="0"/>
                  <w:marRight w:val="0"/>
                  <w:marTop w:val="0"/>
                  <w:marBottom w:val="0"/>
                  <w:divBdr>
                    <w:top w:val="none" w:sz="0" w:space="0" w:color="auto"/>
                    <w:left w:val="none" w:sz="0" w:space="0" w:color="auto"/>
                    <w:bottom w:val="none" w:sz="0" w:space="0" w:color="auto"/>
                    <w:right w:val="none" w:sz="0" w:space="0" w:color="auto"/>
                  </w:divBdr>
                </w:div>
              </w:divsChild>
            </w:div>
            <w:div w:id="1291863300">
              <w:marLeft w:val="0"/>
              <w:marRight w:val="0"/>
              <w:marTop w:val="0"/>
              <w:marBottom w:val="0"/>
              <w:divBdr>
                <w:top w:val="none" w:sz="0" w:space="0" w:color="auto"/>
                <w:left w:val="none" w:sz="0" w:space="0" w:color="auto"/>
                <w:bottom w:val="none" w:sz="0" w:space="0" w:color="auto"/>
                <w:right w:val="none" w:sz="0" w:space="0" w:color="auto"/>
              </w:divBdr>
              <w:divsChild>
                <w:div w:id="1068529150">
                  <w:marLeft w:val="0"/>
                  <w:marRight w:val="0"/>
                  <w:marTop w:val="0"/>
                  <w:marBottom w:val="0"/>
                  <w:divBdr>
                    <w:top w:val="none" w:sz="0" w:space="0" w:color="auto"/>
                    <w:left w:val="none" w:sz="0" w:space="0" w:color="auto"/>
                    <w:bottom w:val="none" w:sz="0" w:space="0" w:color="auto"/>
                    <w:right w:val="none" w:sz="0" w:space="0" w:color="auto"/>
                  </w:divBdr>
                </w:div>
              </w:divsChild>
            </w:div>
            <w:div w:id="32536430">
              <w:marLeft w:val="0"/>
              <w:marRight w:val="0"/>
              <w:marTop w:val="0"/>
              <w:marBottom w:val="0"/>
              <w:divBdr>
                <w:top w:val="none" w:sz="0" w:space="0" w:color="auto"/>
                <w:left w:val="none" w:sz="0" w:space="0" w:color="auto"/>
                <w:bottom w:val="none" w:sz="0" w:space="0" w:color="auto"/>
                <w:right w:val="none" w:sz="0" w:space="0" w:color="auto"/>
              </w:divBdr>
              <w:divsChild>
                <w:div w:id="1139884720">
                  <w:marLeft w:val="0"/>
                  <w:marRight w:val="0"/>
                  <w:marTop w:val="0"/>
                  <w:marBottom w:val="0"/>
                  <w:divBdr>
                    <w:top w:val="none" w:sz="0" w:space="0" w:color="auto"/>
                    <w:left w:val="none" w:sz="0" w:space="0" w:color="auto"/>
                    <w:bottom w:val="none" w:sz="0" w:space="0" w:color="auto"/>
                    <w:right w:val="none" w:sz="0" w:space="0" w:color="auto"/>
                  </w:divBdr>
                </w:div>
              </w:divsChild>
            </w:div>
            <w:div w:id="1842576421">
              <w:marLeft w:val="0"/>
              <w:marRight w:val="0"/>
              <w:marTop w:val="0"/>
              <w:marBottom w:val="0"/>
              <w:divBdr>
                <w:top w:val="none" w:sz="0" w:space="0" w:color="auto"/>
                <w:left w:val="none" w:sz="0" w:space="0" w:color="auto"/>
                <w:bottom w:val="none" w:sz="0" w:space="0" w:color="auto"/>
                <w:right w:val="none" w:sz="0" w:space="0" w:color="auto"/>
              </w:divBdr>
              <w:divsChild>
                <w:div w:id="1340423622">
                  <w:marLeft w:val="0"/>
                  <w:marRight w:val="0"/>
                  <w:marTop w:val="0"/>
                  <w:marBottom w:val="0"/>
                  <w:divBdr>
                    <w:top w:val="none" w:sz="0" w:space="0" w:color="auto"/>
                    <w:left w:val="none" w:sz="0" w:space="0" w:color="auto"/>
                    <w:bottom w:val="none" w:sz="0" w:space="0" w:color="auto"/>
                    <w:right w:val="none" w:sz="0" w:space="0" w:color="auto"/>
                  </w:divBdr>
                </w:div>
              </w:divsChild>
            </w:div>
            <w:div w:id="378747703">
              <w:marLeft w:val="0"/>
              <w:marRight w:val="0"/>
              <w:marTop w:val="0"/>
              <w:marBottom w:val="0"/>
              <w:divBdr>
                <w:top w:val="none" w:sz="0" w:space="0" w:color="auto"/>
                <w:left w:val="none" w:sz="0" w:space="0" w:color="auto"/>
                <w:bottom w:val="none" w:sz="0" w:space="0" w:color="auto"/>
                <w:right w:val="none" w:sz="0" w:space="0" w:color="auto"/>
              </w:divBdr>
              <w:divsChild>
                <w:div w:id="1408696370">
                  <w:marLeft w:val="0"/>
                  <w:marRight w:val="0"/>
                  <w:marTop w:val="0"/>
                  <w:marBottom w:val="0"/>
                  <w:divBdr>
                    <w:top w:val="none" w:sz="0" w:space="0" w:color="auto"/>
                    <w:left w:val="none" w:sz="0" w:space="0" w:color="auto"/>
                    <w:bottom w:val="none" w:sz="0" w:space="0" w:color="auto"/>
                    <w:right w:val="none" w:sz="0" w:space="0" w:color="auto"/>
                  </w:divBdr>
                </w:div>
              </w:divsChild>
            </w:div>
            <w:div w:id="1932930541">
              <w:marLeft w:val="0"/>
              <w:marRight w:val="0"/>
              <w:marTop w:val="0"/>
              <w:marBottom w:val="0"/>
              <w:divBdr>
                <w:top w:val="none" w:sz="0" w:space="0" w:color="auto"/>
                <w:left w:val="none" w:sz="0" w:space="0" w:color="auto"/>
                <w:bottom w:val="none" w:sz="0" w:space="0" w:color="auto"/>
                <w:right w:val="none" w:sz="0" w:space="0" w:color="auto"/>
              </w:divBdr>
              <w:divsChild>
                <w:div w:id="1405764776">
                  <w:marLeft w:val="0"/>
                  <w:marRight w:val="0"/>
                  <w:marTop w:val="0"/>
                  <w:marBottom w:val="0"/>
                  <w:divBdr>
                    <w:top w:val="none" w:sz="0" w:space="0" w:color="auto"/>
                    <w:left w:val="none" w:sz="0" w:space="0" w:color="auto"/>
                    <w:bottom w:val="none" w:sz="0" w:space="0" w:color="auto"/>
                    <w:right w:val="none" w:sz="0" w:space="0" w:color="auto"/>
                  </w:divBdr>
                </w:div>
              </w:divsChild>
            </w:div>
            <w:div w:id="275061616">
              <w:marLeft w:val="0"/>
              <w:marRight w:val="0"/>
              <w:marTop w:val="0"/>
              <w:marBottom w:val="0"/>
              <w:divBdr>
                <w:top w:val="none" w:sz="0" w:space="0" w:color="auto"/>
                <w:left w:val="none" w:sz="0" w:space="0" w:color="auto"/>
                <w:bottom w:val="none" w:sz="0" w:space="0" w:color="auto"/>
                <w:right w:val="none" w:sz="0" w:space="0" w:color="auto"/>
              </w:divBdr>
              <w:divsChild>
                <w:div w:id="2013801986">
                  <w:marLeft w:val="0"/>
                  <w:marRight w:val="0"/>
                  <w:marTop w:val="0"/>
                  <w:marBottom w:val="0"/>
                  <w:divBdr>
                    <w:top w:val="none" w:sz="0" w:space="0" w:color="auto"/>
                    <w:left w:val="none" w:sz="0" w:space="0" w:color="auto"/>
                    <w:bottom w:val="none" w:sz="0" w:space="0" w:color="auto"/>
                    <w:right w:val="none" w:sz="0" w:space="0" w:color="auto"/>
                  </w:divBdr>
                </w:div>
              </w:divsChild>
            </w:div>
            <w:div w:id="397366904">
              <w:marLeft w:val="0"/>
              <w:marRight w:val="0"/>
              <w:marTop w:val="0"/>
              <w:marBottom w:val="0"/>
              <w:divBdr>
                <w:top w:val="none" w:sz="0" w:space="0" w:color="auto"/>
                <w:left w:val="none" w:sz="0" w:space="0" w:color="auto"/>
                <w:bottom w:val="none" w:sz="0" w:space="0" w:color="auto"/>
                <w:right w:val="none" w:sz="0" w:space="0" w:color="auto"/>
              </w:divBdr>
              <w:divsChild>
                <w:div w:id="372920593">
                  <w:marLeft w:val="0"/>
                  <w:marRight w:val="0"/>
                  <w:marTop w:val="0"/>
                  <w:marBottom w:val="0"/>
                  <w:divBdr>
                    <w:top w:val="none" w:sz="0" w:space="0" w:color="auto"/>
                    <w:left w:val="none" w:sz="0" w:space="0" w:color="auto"/>
                    <w:bottom w:val="none" w:sz="0" w:space="0" w:color="auto"/>
                    <w:right w:val="none" w:sz="0" w:space="0" w:color="auto"/>
                  </w:divBdr>
                </w:div>
              </w:divsChild>
            </w:div>
            <w:div w:id="499739207">
              <w:marLeft w:val="0"/>
              <w:marRight w:val="0"/>
              <w:marTop w:val="0"/>
              <w:marBottom w:val="0"/>
              <w:divBdr>
                <w:top w:val="none" w:sz="0" w:space="0" w:color="auto"/>
                <w:left w:val="none" w:sz="0" w:space="0" w:color="auto"/>
                <w:bottom w:val="none" w:sz="0" w:space="0" w:color="auto"/>
                <w:right w:val="none" w:sz="0" w:space="0" w:color="auto"/>
              </w:divBdr>
              <w:divsChild>
                <w:div w:id="1329627009">
                  <w:marLeft w:val="0"/>
                  <w:marRight w:val="0"/>
                  <w:marTop w:val="0"/>
                  <w:marBottom w:val="0"/>
                  <w:divBdr>
                    <w:top w:val="none" w:sz="0" w:space="0" w:color="auto"/>
                    <w:left w:val="none" w:sz="0" w:space="0" w:color="auto"/>
                    <w:bottom w:val="none" w:sz="0" w:space="0" w:color="auto"/>
                    <w:right w:val="none" w:sz="0" w:space="0" w:color="auto"/>
                  </w:divBdr>
                </w:div>
              </w:divsChild>
            </w:div>
            <w:div w:id="400640456">
              <w:marLeft w:val="0"/>
              <w:marRight w:val="0"/>
              <w:marTop w:val="0"/>
              <w:marBottom w:val="0"/>
              <w:divBdr>
                <w:top w:val="none" w:sz="0" w:space="0" w:color="auto"/>
                <w:left w:val="none" w:sz="0" w:space="0" w:color="auto"/>
                <w:bottom w:val="none" w:sz="0" w:space="0" w:color="auto"/>
                <w:right w:val="none" w:sz="0" w:space="0" w:color="auto"/>
              </w:divBdr>
              <w:divsChild>
                <w:div w:id="1347950698">
                  <w:marLeft w:val="0"/>
                  <w:marRight w:val="0"/>
                  <w:marTop w:val="0"/>
                  <w:marBottom w:val="0"/>
                  <w:divBdr>
                    <w:top w:val="none" w:sz="0" w:space="0" w:color="auto"/>
                    <w:left w:val="none" w:sz="0" w:space="0" w:color="auto"/>
                    <w:bottom w:val="none" w:sz="0" w:space="0" w:color="auto"/>
                    <w:right w:val="none" w:sz="0" w:space="0" w:color="auto"/>
                  </w:divBdr>
                </w:div>
              </w:divsChild>
            </w:div>
            <w:div w:id="337195154">
              <w:marLeft w:val="0"/>
              <w:marRight w:val="0"/>
              <w:marTop w:val="0"/>
              <w:marBottom w:val="0"/>
              <w:divBdr>
                <w:top w:val="none" w:sz="0" w:space="0" w:color="auto"/>
                <w:left w:val="none" w:sz="0" w:space="0" w:color="auto"/>
                <w:bottom w:val="none" w:sz="0" w:space="0" w:color="auto"/>
                <w:right w:val="none" w:sz="0" w:space="0" w:color="auto"/>
              </w:divBdr>
              <w:divsChild>
                <w:div w:id="633870722">
                  <w:marLeft w:val="0"/>
                  <w:marRight w:val="0"/>
                  <w:marTop w:val="0"/>
                  <w:marBottom w:val="0"/>
                  <w:divBdr>
                    <w:top w:val="none" w:sz="0" w:space="0" w:color="auto"/>
                    <w:left w:val="none" w:sz="0" w:space="0" w:color="auto"/>
                    <w:bottom w:val="none" w:sz="0" w:space="0" w:color="auto"/>
                    <w:right w:val="none" w:sz="0" w:space="0" w:color="auto"/>
                  </w:divBdr>
                </w:div>
              </w:divsChild>
            </w:div>
            <w:div w:id="70466082">
              <w:marLeft w:val="0"/>
              <w:marRight w:val="0"/>
              <w:marTop w:val="0"/>
              <w:marBottom w:val="0"/>
              <w:divBdr>
                <w:top w:val="none" w:sz="0" w:space="0" w:color="auto"/>
                <w:left w:val="none" w:sz="0" w:space="0" w:color="auto"/>
                <w:bottom w:val="none" w:sz="0" w:space="0" w:color="auto"/>
                <w:right w:val="none" w:sz="0" w:space="0" w:color="auto"/>
              </w:divBdr>
              <w:divsChild>
                <w:div w:id="1951468174">
                  <w:marLeft w:val="0"/>
                  <w:marRight w:val="0"/>
                  <w:marTop w:val="0"/>
                  <w:marBottom w:val="0"/>
                  <w:divBdr>
                    <w:top w:val="none" w:sz="0" w:space="0" w:color="auto"/>
                    <w:left w:val="none" w:sz="0" w:space="0" w:color="auto"/>
                    <w:bottom w:val="none" w:sz="0" w:space="0" w:color="auto"/>
                    <w:right w:val="none" w:sz="0" w:space="0" w:color="auto"/>
                  </w:divBdr>
                </w:div>
              </w:divsChild>
            </w:div>
            <w:div w:id="1419711356">
              <w:marLeft w:val="0"/>
              <w:marRight w:val="0"/>
              <w:marTop w:val="0"/>
              <w:marBottom w:val="0"/>
              <w:divBdr>
                <w:top w:val="none" w:sz="0" w:space="0" w:color="auto"/>
                <w:left w:val="none" w:sz="0" w:space="0" w:color="auto"/>
                <w:bottom w:val="none" w:sz="0" w:space="0" w:color="auto"/>
                <w:right w:val="none" w:sz="0" w:space="0" w:color="auto"/>
              </w:divBdr>
              <w:divsChild>
                <w:div w:id="1408531810">
                  <w:marLeft w:val="0"/>
                  <w:marRight w:val="0"/>
                  <w:marTop w:val="0"/>
                  <w:marBottom w:val="0"/>
                  <w:divBdr>
                    <w:top w:val="none" w:sz="0" w:space="0" w:color="auto"/>
                    <w:left w:val="none" w:sz="0" w:space="0" w:color="auto"/>
                    <w:bottom w:val="none" w:sz="0" w:space="0" w:color="auto"/>
                    <w:right w:val="none" w:sz="0" w:space="0" w:color="auto"/>
                  </w:divBdr>
                </w:div>
              </w:divsChild>
            </w:div>
            <w:div w:id="1494569933">
              <w:marLeft w:val="0"/>
              <w:marRight w:val="0"/>
              <w:marTop w:val="0"/>
              <w:marBottom w:val="0"/>
              <w:divBdr>
                <w:top w:val="none" w:sz="0" w:space="0" w:color="auto"/>
                <w:left w:val="none" w:sz="0" w:space="0" w:color="auto"/>
                <w:bottom w:val="none" w:sz="0" w:space="0" w:color="auto"/>
                <w:right w:val="none" w:sz="0" w:space="0" w:color="auto"/>
              </w:divBdr>
              <w:divsChild>
                <w:div w:id="382801694">
                  <w:marLeft w:val="0"/>
                  <w:marRight w:val="0"/>
                  <w:marTop w:val="0"/>
                  <w:marBottom w:val="0"/>
                  <w:divBdr>
                    <w:top w:val="none" w:sz="0" w:space="0" w:color="auto"/>
                    <w:left w:val="none" w:sz="0" w:space="0" w:color="auto"/>
                    <w:bottom w:val="none" w:sz="0" w:space="0" w:color="auto"/>
                    <w:right w:val="none" w:sz="0" w:space="0" w:color="auto"/>
                  </w:divBdr>
                </w:div>
              </w:divsChild>
            </w:div>
            <w:div w:id="37055672">
              <w:marLeft w:val="0"/>
              <w:marRight w:val="0"/>
              <w:marTop w:val="0"/>
              <w:marBottom w:val="0"/>
              <w:divBdr>
                <w:top w:val="none" w:sz="0" w:space="0" w:color="auto"/>
                <w:left w:val="none" w:sz="0" w:space="0" w:color="auto"/>
                <w:bottom w:val="none" w:sz="0" w:space="0" w:color="auto"/>
                <w:right w:val="none" w:sz="0" w:space="0" w:color="auto"/>
              </w:divBdr>
              <w:divsChild>
                <w:div w:id="32727884">
                  <w:marLeft w:val="0"/>
                  <w:marRight w:val="0"/>
                  <w:marTop w:val="0"/>
                  <w:marBottom w:val="0"/>
                  <w:divBdr>
                    <w:top w:val="none" w:sz="0" w:space="0" w:color="auto"/>
                    <w:left w:val="none" w:sz="0" w:space="0" w:color="auto"/>
                    <w:bottom w:val="none" w:sz="0" w:space="0" w:color="auto"/>
                    <w:right w:val="none" w:sz="0" w:space="0" w:color="auto"/>
                  </w:divBdr>
                </w:div>
              </w:divsChild>
            </w:div>
            <w:div w:id="1172338156">
              <w:marLeft w:val="0"/>
              <w:marRight w:val="0"/>
              <w:marTop w:val="0"/>
              <w:marBottom w:val="0"/>
              <w:divBdr>
                <w:top w:val="none" w:sz="0" w:space="0" w:color="auto"/>
                <w:left w:val="none" w:sz="0" w:space="0" w:color="auto"/>
                <w:bottom w:val="none" w:sz="0" w:space="0" w:color="auto"/>
                <w:right w:val="none" w:sz="0" w:space="0" w:color="auto"/>
              </w:divBdr>
              <w:divsChild>
                <w:div w:id="81220636">
                  <w:marLeft w:val="0"/>
                  <w:marRight w:val="0"/>
                  <w:marTop w:val="0"/>
                  <w:marBottom w:val="0"/>
                  <w:divBdr>
                    <w:top w:val="none" w:sz="0" w:space="0" w:color="auto"/>
                    <w:left w:val="none" w:sz="0" w:space="0" w:color="auto"/>
                    <w:bottom w:val="none" w:sz="0" w:space="0" w:color="auto"/>
                    <w:right w:val="none" w:sz="0" w:space="0" w:color="auto"/>
                  </w:divBdr>
                </w:div>
              </w:divsChild>
            </w:div>
            <w:div w:id="992441814">
              <w:marLeft w:val="0"/>
              <w:marRight w:val="0"/>
              <w:marTop w:val="0"/>
              <w:marBottom w:val="0"/>
              <w:divBdr>
                <w:top w:val="none" w:sz="0" w:space="0" w:color="auto"/>
                <w:left w:val="none" w:sz="0" w:space="0" w:color="auto"/>
                <w:bottom w:val="none" w:sz="0" w:space="0" w:color="auto"/>
                <w:right w:val="none" w:sz="0" w:space="0" w:color="auto"/>
              </w:divBdr>
              <w:divsChild>
                <w:div w:id="193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9236">
          <w:marLeft w:val="0"/>
          <w:marRight w:val="0"/>
          <w:marTop w:val="0"/>
          <w:marBottom w:val="600"/>
          <w:divBdr>
            <w:top w:val="none" w:sz="0" w:space="0" w:color="auto"/>
            <w:left w:val="none" w:sz="0" w:space="0" w:color="auto"/>
            <w:bottom w:val="none" w:sz="0" w:space="0" w:color="auto"/>
            <w:right w:val="none" w:sz="0" w:space="0" w:color="auto"/>
          </w:divBdr>
        </w:div>
      </w:divsChild>
    </w:div>
    <w:div w:id="458961289">
      <w:marLeft w:val="0"/>
      <w:marRight w:val="0"/>
      <w:marTop w:val="0"/>
      <w:marBottom w:val="0"/>
      <w:divBdr>
        <w:top w:val="none" w:sz="0" w:space="0" w:color="auto"/>
        <w:left w:val="none" w:sz="0" w:space="0" w:color="auto"/>
        <w:bottom w:val="none" w:sz="0" w:space="0" w:color="auto"/>
        <w:right w:val="none" w:sz="0" w:space="0" w:color="auto"/>
      </w:divBdr>
      <w:divsChild>
        <w:div w:id="1235621671">
          <w:marLeft w:val="0"/>
          <w:marRight w:val="0"/>
          <w:marTop w:val="547"/>
          <w:marBottom w:val="0"/>
          <w:divBdr>
            <w:top w:val="none" w:sz="0" w:space="0" w:color="auto"/>
            <w:left w:val="none" w:sz="0" w:space="0" w:color="auto"/>
            <w:bottom w:val="none" w:sz="0" w:space="0" w:color="auto"/>
            <w:right w:val="none" w:sz="0" w:space="0" w:color="auto"/>
          </w:divBdr>
        </w:div>
        <w:div w:id="1330328279">
          <w:marLeft w:val="0"/>
          <w:marRight w:val="0"/>
          <w:marTop w:val="0"/>
          <w:marBottom w:val="0"/>
          <w:divBdr>
            <w:top w:val="none" w:sz="0" w:space="0" w:color="auto"/>
            <w:left w:val="none" w:sz="0" w:space="0" w:color="auto"/>
            <w:bottom w:val="none" w:sz="0" w:space="0" w:color="auto"/>
            <w:right w:val="none" w:sz="0" w:space="0" w:color="auto"/>
          </w:divBdr>
        </w:div>
        <w:div w:id="1897080959">
          <w:marLeft w:val="0"/>
          <w:marRight w:val="0"/>
          <w:marTop w:val="0"/>
          <w:marBottom w:val="600"/>
          <w:divBdr>
            <w:top w:val="none" w:sz="0" w:space="0" w:color="auto"/>
            <w:left w:val="none" w:sz="0" w:space="0" w:color="auto"/>
            <w:bottom w:val="none" w:sz="0" w:space="0" w:color="auto"/>
            <w:right w:val="none" w:sz="0" w:space="0" w:color="auto"/>
          </w:divBdr>
        </w:div>
      </w:divsChild>
    </w:div>
    <w:div w:id="467630249">
      <w:marLeft w:val="0"/>
      <w:marRight w:val="0"/>
      <w:marTop w:val="0"/>
      <w:marBottom w:val="0"/>
      <w:divBdr>
        <w:top w:val="none" w:sz="0" w:space="0" w:color="auto"/>
        <w:left w:val="none" w:sz="0" w:space="0" w:color="auto"/>
        <w:bottom w:val="none" w:sz="0" w:space="0" w:color="auto"/>
        <w:right w:val="none" w:sz="0" w:space="0" w:color="auto"/>
      </w:divBdr>
      <w:divsChild>
        <w:div w:id="2133476173">
          <w:marLeft w:val="0"/>
          <w:marRight w:val="0"/>
          <w:marTop w:val="547"/>
          <w:marBottom w:val="0"/>
          <w:divBdr>
            <w:top w:val="none" w:sz="0" w:space="0" w:color="auto"/>
            <w:left w:val="none" w:sz="0" w:space="0" w:color="auto"/>
            <w:bottom w:val="none" w:sz="0" w:space="0" w:color="auto"/>
            <w:right w:val="none" w:sz="0" w:space="0" w:color="auto"/>
          </w:divBdr>
        </w:div>
        <w:div w:id="1455244810">
          <w:marLeft w:val="0"/>
          <w:marRight w:val="0"/>
          <w:marTop w:val="0"/>
          <w:marBottom w:val="0"/>
          <w:divBdr>
            <w:top w:val="none" w:sz="0" w:space="0" w:color="auto"/>
            <w:left w:val="none" w:sz="0" w:space="0" w:color="auto"/>
            <w:bottom w:val="none" w:sz="0" w:space="0" w:color="auto"/>
            <w:right w:val="none" w:sz="0" w:space="0" w:color="auto"/>
          </w:divBdr>
        </w:div>
        <w:div w:id="472211964">
          <w:marLeft w:val="0"/>
          <w:marRight w:val="0"/>
          <w:marTop w:val="0"/>
          <w:marBottom w:val="600"/>
          <w:divBdr>
            <w:top w:val="none" w:sz="0" w:space="0" w:color="auto"/>
            <w:left w:val="none" w:sz="0" w:space="0" w:color="auto"/>
            <w:bottom w:val="none" w:sz="0" w:space="0" w:color="auto"/>
            <w:right w:val="none" w:sz="0" w:space="0" w:color="auto"/>
          </w:divBdr>
        </w:div>
      </w:divsChild>
    </w:div>
    <w:div w:id="475222412">
      <w:marLeft w:val="0"/>
      <w:marRight w:val="0"/>
      <w:marTop w:val="0"/>
      <w:marBottom w:val="0"/>
      <w:divBdr>
        <w:top w:val="none" w:sz="0" w:space="0" w:color="auto"/>
        <w:left w:val="none" w:sz="0" w:space="0" w:color="auto"/>
        <w:bottom w:val="none" w:sz="0" w:space="0" w:color="auto"/>
        <w:right w:val="none" w:sz="0" w:space="0" w:color="auto"/>
      </w:divBdr>
      <w:divsChild>
        <w:div w:id="463624380">
          <w:marLeft w:val="0"/>
          <w:marRight w:val="0"/>
          <w:marTop w:val="547"/>
          <w:marBottom w:val="0"/>
          <w:divBdr>
            <w:top w:val="none" w:sz="0" w:space="0" w:color="auto"/>
            <w:left w:val="none" w:sz="0" w:space="0" w:color="auto"/>
            <w:bottom w:val="none" w:sz="0" w:space="0" w:color="auto"/>
            <w:right w:val="none" w:sz="0" w:space="0" w:color="auto"/>
          </w:divBdr>
        </w:div>
        <w:div w:id="1178613370">
          <w:marLeft w:val="0"/>
          <w:marRight w:val="0"/>
          <w:marTop w:val="0"/>
          <w:marBottom w:val="0"/>
          <w:divBdr>
            <w:top w:val="none" w:sz="0" w:space="0" w:color="auto"/>
            <w:left w:val="none" w:sz="0" w:space="0" w:color="auto"/>
            <w:bottom w:val="none" w:sz="0" w:space="0" w:color="auto"/>
            <w:right w:val="none" w:sz="0" w:space="0" w:color="auto"/>
          </w:divBdr>
        </w:div>
        <w:div w:id="1949315807">
          <w:marLeft w:val="0"/>
          <w:marRight w:val="0"/>
          <w:marTop w:val="0"/>
          <w:marBottom w:val="600"/>
          <w:divBdr>
            <w:top w:val="none" w:sz="0" w:space="0" w:color="auto"/>
            <w:left w:val="none" w:sz="0" w:space="0" w:color="auto"/>
            <w:bottom w:val="none" w:sz="0" w:space="0" w:color="auto"/>
            <w:right w:val="none" w:sz="0" w:space="0" w:color="auto"/>
          </w:divBdr>
        </w:div>
      </w:divsChild>
    </w:div>
    <w:div w:id="480391841">
      <w:marLeft w:val="0"/>
      <w:marRight w:val="0"/>
      <w:marTop w:val="0"/>
      <w:marBottom w:val="0"/>
      <w:divBdr>
        <w:top w:val="none" w:sz="0" w:space="0" w:color="auto"/>
        <w:left w:val="none" w:sz="0" w:space="0" w:color="auto"/>
        <w:bottom w:val="none" w:sz="0" w:space="0" w:color="auto"/>
        <w:right w:val="none" w:sz="0" w:space="0" w:color="auto"/>
      </w:divBdr>
      <w:divsChild>
        <w:div w:id="524907933">
          <w:marLeft w:val="0"/>
          <w:marRight w:val="0"/>
          <w:marTop w:val="547"/>
          <w:marBottom w:val="0"/>
          <w:divBdr>
            <w:top w:val="none" w:sz="0" w:space="0" w:color="auto"/>
            <w:left w:val="none" w:sz="0" w:space="0" w:color="auto"/>
            <w:bottom w:val="none" w:sz="0" w:space="0" w:color="auto"/>
            <w:right w:val="none" w:sz="0" w:space="0" w:color="auto"/>
          </w:divBdr>
        </w:div>
        <w:div w:id="591857004">
          <w:marLeft w:val="0"/>
          <w:marRight w:val="0"/>
          <w:marTop w:val="0"/>
          <w:marBottom w:val="0"/>
          <w:divBdr>
            <w:top w:val="none" w:sz="0" w:space="0" w:color="auto"/>
            <w:left w:val="none" w:sz="0" w:space="0" w:color="auto"/>
            <w:bottom w:val="none" w:sz="0" w:space="0" w:color="auto"/>
            <w:right w:val="none" w:sz="0" w:space="0" w:color="auto"/>
          </w:divBdr>
        </w:div>
        <w:div w:id="192964449">
          <w:marLeft w:val="0"/>
          <w:marRight w:val="0"/>
          <w:marTop w:val="0"/>
          <w:marBottom w:val="600"/>
          <w:divBdr>
            <w:top w:val="none" w:sz="0" w:space="0" w:color="auto"/>
            <w:left w:val="none" w:sz="0" w:space="0" w:color="auto"/>
            <w:bottom w:val="none" w:sz="0" w:space="0" w:color="auto"/>
            <w:right w:val="none" w:sz="0" w:space="0" w:color="auto"/>
          </w:divBdr>
        </w:div>
      </w:divsChild>
    </w:div>
    <w:div w:id="483618558">
      <w:marLeft w:val="0"/>
      <w:marRight w:val="0"/>
      <w:marTop w:val="0"/>
      <w:marBottom w:val="0"/>
      <w:divBdr>
        <w:top w:val="none" w:sz="0" w:space="0" w:color="auto"/>
        <w:left w:val="none" w:sz="0" w:space="0" w:color="auto"/>
        <w:bottom w:val="none" w:sz="0" w:space="0" w:color="auto"/>
        <w:right w:val="none" w:sz="0" w:space="0" w:color="auto"/>
      </w:divBdr>
      <w:divsChild>
        <w:div w:id="1546286360">
          <w:marLeft w:val="0"/>
          <w:marRight w:val="0"/>
          <w:marTop w:val="547"/>
          <w:marBottom w:val="0"/>
          <w:divBdr>
            <w:top w:val="none" w:sz="0" w:space="0" w:color="auto"/>
            <w:left w:val="none" w:sz="0" w:space="0" w:color="auto"/>
            <w:bottom w:val="none" w:sz="0" w:space="0" w:color="auto"/>
            <w:right w:val="none" w:sz="0" w:space="0" w:color="auto"/>
          </w:divBdr>
        </w:div>
        <w:div w:id="899710933">
          <w:marLeft w:val="0"/>
          <w:marRight w:val="0"/>
          <w:marTop w:val="0"/>
          <w:marBottom w:val="0"/>
          <w:divBdr>
            <w:top w:val="none" w:sz="0" w:space="0" w:color="auto"/>
            <w:left w:val="none" w:sz="0" w:space="0" w:color="auto"/>
            <w:bottom w:val="none" w:sz="0" w:space="0" w:color="auto"/>
            <w:right w:val="none" w:sz="0" w:space="0" w:color="auto"/>
          </w:divBdr>
        </w:div>
        <w:div w:id="1255746534">
          <w:marLeft w:val="0"/>
          <w:marRight w:val="0"/>
          <w:marTop w:val="0"/>
          <w:marBottom w:val="600"/>
          <w:divBdr>
            <w:top w:val="none" w:sz="0" w:space="0" w:color="auto"/>
            <w:left w:val="none" w:sz="0" w:space="0" w:color="auto"/>
            <w:bottom w:val="none" w:sz="0" w:space="0" w:color="auto"/>
            <w:right w:val="none" w:sz="0" w:space="0" w:color="auto"/>
          </w:divBdr>
        </w:div>
      </w:divsChild>
    </w:div>
    <w:div w:id="496068906">
      <w:marLeft w:val="0"/>
      <w:marRight w:val="0"/>
      <w:marTop w:val="0"/>
      <w:marBottom w:val="0"/>
      <w:divBdr>
        <w:top w:val="none" w:sz="0" w:space="0" w:color="auto"/>
        <w:left w:val="none" w:sz="0" w:space="0" w:color="auto"/>
        <w:bottom w:val="none" w:sz="0" w:space="0" w:color="auto"/>
        <w:right w:val="none" w:sz="0" w:space="0" w:color="auto"/>
      </w:divBdr>
      <w:divsChild>
        <w:div w:id="6837681">
          <w:marLeft w:val="0"/>
          <w:marRight w:val="0"/>
          <w:marTop w:val="547"/>
          <w:marBottom w:val="0"/>
          <w:divBdr>
            <w:top w:val="none" w:sz="0" w:space="0" w:color="auto"/>
            <w:left w:val="none" w:sz="0" w:space="0" w:color="auto"/>
            <w:bottom w:val="none" w:sz="0" w:space="0" w:color="auto"/>
            <w:right w:val="none" w:sz="0" w:space="0" w:color="auto"/>
          </w:divBdr>
        </w:div>
        <w:div w:id="252279919">
          <w:marLeft w:val="0"/>
          <w:marRight w:val="0"/>
          <w:marTop w:val="0"/>
          <w:marBottom w:val="0"/>
          <w:divBdr>
            <w:top w:val="none" w:sz="0" w:space="0" w:color="auto"/>
            <w:left w:val="none" w:sz="0" w:space="0" w:color="auto"/>
            <w:bottom w:val="none" w:sz="0" w:space="0" w:color="auto"/>
            <w:right w:val="none" w:sz="0" w:space="0" w:color="auto"/>
          </w:divBdr>
        </w:div>
        <w:div w:id="1255017860">
          <w:marLeft w:val="0"/>
          <w:marRight w:val="0"/>
          <w:marTop w:val="0"/>
          <w:marBottom w:val="600"/>
          <w:divBdr>
            <w:top w:val="none" w:sz="0" w:space="0" w:color="auto"/>
            <w:left w:val="none" w:sz="0" w:space="0" w:color="auto"/>
            <w:bottom w:val="none" w:sz="0" w:space="0" w:color="auto"/>
            <w:right w:val="none" w:sz="0" w:space="0" w:color="auto"/>
          </w:divBdr>
        </w:div>
      </w:divsChild>
    </w:div>
    <w:div w:id="559946493">
      <w:marLeft w:val="0"/>
      <w:marRight w:val="0"/>
      <w:marTop w:val="0"/>
      <w:marBottom w:val="0"/>
      <w:divBdr>
        <w:top w:val="none" w:sz="0" w:space="0" w:color="auto"/>
        <w:left w:val="none" w:sz="0" w:space="0" w:color="auto"/>
        <w:bottom w:val="none" w:sz="0" w:space="0" w:color="auto"/>
        <w:right w:val="none" w:sz="0" w:space="0" w:color="auto"/>
      </w:divBdr>
      <w:divsChild>
        <w:div w:id="2080050950">
          <w:marLeft w:val="0"/>
          <w:marRight w:val="0"/>
          <w:marTop w:val="547"/>
          <w:marBottom w:val="0"/>
          <w:divBdr>
            <w:top w:val="none" w:sz="0" w:space="0" w:color="auto"/>
            <w:left w:val="none" w:sz="0" w:space="0" w:color="auto"/>
            <w:bottom w:val="none" w:sz="0" w:space="0" w:color="auto"/>
            <w:right w:val="none" w:sz="0" w:space="0" w:color="auto"/>
          </w:divBdr>
        </w:div>
        <w:div w:id="1837765651">
          <w:marLeft w:val="0"/>
          <w:marRight w:val="0"/>
          <w:marTop w:val="0"/>
          <w:marBottom w:val="0"/>
          <w:divBdr>
            <w:top w:val="none" w:sz="0" w:space="0" w:color="auto"/>
            <w:left w:val="none" w:sz="0" w:space="0" w:color="auto"/>
            <w:bottom w:val="none" w:sz="0" w:space="0" w:color="auto"/>
            <w:right w:val="none" w:sz="0" w:space="0" w:color="auto"/>
          </w:divBdr>
        </w:div>
        <w:div w:id="615798317">
          <w:marLeft w:val="0"/>
          <w:marRight w:val="0"/>
          <w:marTop w:val="0"/>
          <w:marBottom w:val="600"/>
          <w:divBdr>
            <w:top w:val="none" w:sz="0" w:space="0" w:color="auto"/>
            <w:left w:val="none" w:sz="0" w:space="0" w:color="auto"/>
            <w:bottom w:val="none" w:sz="0" w:space="0" w:color="auto"/>
            <w:right w:val="none" w:sz="0" w:space="0" w:color="auto"/>
          </w:divBdr>
        </w:div>
      </w:divsChild>
    </w:div>
    <w:div w:id="563416926">
      <w:marLeft w:val="0"/>
      <w:marRight w:val="0"/>
      <w:marTop w:val="0"/>
      <w:marBottom w:val="0"/>
      <w:divBdr>
        <w:top w:val="none" w:sz="0" w:space="0" w:color="auto"/>
        <w:left w:val="none" w:sz="0" w:space="0" w:color="auto"/>
        <w:bottom w:val="none" w:sz="0" w:space="0" w:color="auto"/>
        <w:right w:val="none" w:sz="0" w:space="0" w:color="auto"/>
      </w:divBdr>
      <w:divsChild>
        <w:div w:id="1445953477">
          <w:marLeft w:val="0"/>
          <w:marRight w:val="0"/>
          <w:marTop w:val="547"/>
          <w:marBottom w:val="0"/>
          <w:divBdr>
            <w:top w:val="none" w:sz="0" w:space="0" w:color="auto"/>
            <w:left w:val="none" w:sz="0" w:space="0" w:color="auto"/>
            <w:bottom w:val="none" w:sz="0" w:space="0" w:color="auto"/>
            <w:right w:val="none" w:sz="0" w:space="0" w:color="auto"/>
          </w:divBdr>
        </w:div>
        <w:div w:id="1490294059">
          <w:marLeft w:val="0"/>
          <w:marRight w:val="0"/>
          <w:marTop w:val="0"/>
          <w:marBottom w:val="0"/>
          <w:divBdr>
            <w:top w:val="none" w:sz="0" w:space="0" w:color="auto"/>
            <w:left w:val="none" w:sz="0" w:space="0" w:color="auto"/>
            <w:bottom w:val="none" w:sz="0" w:space="0" w:color="auto"/>
            <w:right w:val="none" w:sz="0" w:space="0" w:color="auto"/>
          </w:divBdr>
          <w:divsChild>
            <w:div w:id="1486580363">
              <w:marLeft w:val="0"/>
              <w:marRight w:val="0"/>
              <w:marTop w:val="0"/>
              <w:marBottom w:val="0"/>
              <w:divBdr>
                <w:top w:val="none" w:sz="0" w:space="0" w:color="auto"/>
                <w:left w:val="none" w:sz="0" w:space="0" w:color="auto"/>
                <w:bottom w:val="none" w:sz="0" w:space="0" w:color="auto"/>
                <w:right w:val="none" w:sz="0" w:space="0" w:color="auto"/>
              </w:divBdr>
              <w:divsChild>
                <w:div w:id="1324626182">
                  <w:marLeft w:val="0"/>
                  <w:marRight w:val="0"/>
                  <w:marTop w:val="0"/>
                  <w:marBottom w:val="0"/>
                  <w:divBdr>
                    <w:top w:val="none" w:sz="0" w:space="0" w:color="auto"/>
                    <w:left w:val="none" w:sz="0" w:space="0" w:color="auto"/>
                    <w:bottom w:val="none" w:sz="0" w:space="0" w:color="auto"/>
                    <w:right w:val="none" w:sz="0" w:space="0" w:color="auto"/>
                  </w:divBdr>
                </w:div>
              </w:divsChild>
            </w:div>
            <w:div w:id="1463184444">
              <w:marLeft w:val="0"/>
              <w:marRight w:val="0"/>
              <w:marTop w:val="0"/>
              <w:marBottom w:val="0"/>
              <w:divBdr>
                <w:top w:val="none" w:sz="0" w:space="0" w:color="auto"/>
                <w:left w:val="none" w:sz="0" w:space="0" w:color="auto"/>
                <w:bottom w:val="none" w:sz="0" w:space="0" w:color="auto"/>
                <w:right w:val="none" w:sz="0" w:space="0" w:color="auto"/>
              </w:divBdr>
              <w:divsChild>
                <w:div w:id="2021620240">
                  <w:marLeft w:val="0"/>
                  <w:marRight w:val="0"/>
                  <w:marTop w:val="0"/>
                  <w:marBottom w:val="0"/>
                  <w:divBdr>
                    <w:top w:val="none" w:sz="0" w:space="0" w:color="auto"/>
                    <w:left w:val="none" w:sz="0" w:space="0" w:color="auto"/>
                    <w:bottom w:val="none" w:sz="0" w:space="0" w:color="auto"/>
                    <w:right w:val="none" w:sz="0" w:space="0" w:color="auto"/>
                  </w:divBdr>
                </w:div>
              </w:divsChild>
            </w:div>
            <w:div w:id="196549653">
              <w:marLeft w:val="0"/>
              <w:marRight w:val="0"/>
              <w:marTop w:val="0"/>
              <w:marBottom w:val="0"/>
              <w:divBdr>
                <w:top w:val="none" w:sz="0" w:space="0" w:color="auto"/>
                <w:left w:val="none" w:sz="0" w:space="0" w:color="auto"/>
                <w:bottom w:val="none" w:sz="0" w:space="0" w:color="auto"/>
                <w:right w:val="none" w:sz="0" w:space="0" w:color="auto"/>
              </w:divBdr>
              <w:divsChild>
                <w:div w:id="1877234113">
                  <w:marLeft w:val="0"/>
                  <w:marRight w:val="0"/>
                  <w:marTop w:val="0"/>
                  <w:marBottom w:val="0"/>
                  <w:divBdr>
                    <w:top w:val="none" w:sz="0" w:space="0" w:color="auto"/>
                    <w:left w:val="none" w:sz="0" w:space="0" w:color="auto"/>
                    <w:bottom w:val="none" w:sz="0" w:space="0" w:color="auto"/>
                    <w:right w:val="none" w:sz="0" w:space="0" w:color="auto"/>
                  </w:divBdr>
                </w:div>
              </w:divsChild>
            </w:div>
            <w:div w:id="1330983599">
              <w:marLeft w:val="0"/>
              <w:marRight w:val="0"/>
              <w:marTop w:val="0"/>
              <w:marBottom w:val="0"/>
              <w:divBdr>
                <w:top w:val="none" w:sz="0" w:space="0" w:color="auto"/>
                <w:left w:val="none" w:sz="0" w:space="0" w:color="auto"/>
                <w:bottom w:val="none" w:sz="0" w:space="0" w:color="auto"/>
                <w:right w:val="none" w:sz="0" w:space="0" w:color="auto"/>
              </w:divBdr>
              <w:divsChild>
                <w:div w:id="1577133080">
                  <w:marLeft w:val="0"/>
                  <w:marRight w:val="0"/>
                  <w:marTop w:val="0"/>
                  <w:marBottom w:val="0"/>
                  <w:divBdr>
                    <w:top w:val="none" w:sz="0" w:space="0" w:color="auto"/>
                    <w:left w:val="none" w:sz="0" w:space="0" w:color="auto"/>
                    <w:bottom w:val="none" w:sz="0" w:space="0" w:color="auto"/>
                    <w:right w:val="none" w:sz="0" w:space="0" w:color="auto"/>
                  </w:divBdr>
                </w:div>
              </w:divsChild>
            </w:div>
            <w:div w:id="34041947">
              <w:marLeft w:val="0"/>
              <w:marRight w:val="0"/>
              <w:marTop w:val="0"/>
              <w:marBottom w:val="0"/>
              <w:divBdr>
                <w:top w:val="none" w:sz="0" w:space="0" w:color="auto"/>
                <w:left w:val="none" w:sz="0" w:space="0" w:color="auto"/>
                <w:bottom w:val="none" w:sz="0" w:space="0" w:color="auto"/>
                <w:right w:val="none" w:sz="0" w:space="0" w:color="auto"/>
              </w:divBdr>
              <w:divsChild>
                <w:div w:id="1993948298">
                  <w:marLeft w:val="0"/>
                  <w:marRight w:val="0"/>
                  <w:marTop w:val="0"/>
                  <w:marBottom w:val="0"/>
                  <w:divBdr>
                    <w:top w:val="none" w:sz="0" w:space="0" w:color="auto"/>
                    <w:left w:val="none" w:sz="0" w:space="0" w:color="auto"/>
                    <w:bottom w:val="none" w:sz="0" w:space="0" w:color="auto"/>
                    <w:right w:val="none" w:sz="0" w:space="0" w:color="auto"/>
                  </w:divBdr>
                </w:div>
              </w:divsChild>
            </w:div>
            <w:div w:id="1938710279">
              <w:marLeft w:val="0"/>
              <w:marRight w:val="0"/>
              <w:marTop w:val="0"/>
              <w:marBottom w:val="0"/>
              <w:divBdr>
                <w:top w:val="none" w:sz="0" w:space="0" w:color="auto"/>
                <w:left w:val="none" w:sz="0" w:space="0" w:color="auto"/>
                <w:bottom w:val="none" w:sz="0" w:space="0" w:color="auto"/>
                <w:right w:val="none" w:sz="0" w:space="0" w:color="auto"/>
              </w:divBdr>
              <w:divsChild>
                <w:div w:id="1995137661">
                  <w:marLeft w:val="0"/>
                  <w:marRight w:val="0"/>
                  <w:marTop w:val="0"/>
                  <w:marBottom w:val="0"/>
                  <w:divBdr>
                    <w:top w:val="none" w:sz="0" w:space="0" w:color="auto"/>
                    <w:left w:val="none" w:sz="0" w:space="0" w:color="auto"/>
                    <w:bottom w:val="none" w:sz="0" w:space="0" w:color="auto"/>
                    <w:right w:val="none" w:sz="0" w:space="0" w:color="auto"/>
                  </w:divBdr>
                </w:div>
              </w:divsChild>
            </w:div>
            <w:div w:id="123935900">
              <w:marLeft w:val="0"/>
              <w:marRight w:val="0"/>
              <w:marTop w:val="0"/>
              <w:marBottom w:val="0"/>
              <w:divBdr>
                <w:top w:val="none" w:sz="0" w:space="0" w:color="auto"/>
                <w:left w:val="none" w:sz="0" w:space="0" w:color="auto"/>
                <w:bottom w:val="none" w:sz="0" w:space="0" w:color="auto"/>
                <w:right w:val="none" w:sz="0" w:space="0" w:color="auto"/>
              </w:divBdr>
              <w:divsChild>
                <w:div w:id="1179537390">
                  <w:marLeft w:val="0"/>
                  <w:marRight w:val="0"/>
                  <w:marTop w:val="0"/>
                  <w:marBottom w:val="0"/>
                  <w:divBdr>
                    <w:top w:val="none" w:sz="0" w:space="0" w:color="auto"/>
                    <w:left w:val="none" w:sz="0" w:space="0" w:color="auto"/>
                    <w:bottom w:val="none" w:sz="0" w:space="0" w:color="auto"/>
                    <w:right w:val="none" w:sz="0" w:space="0" w:color="auto"/>
                  </w:divBdr>
                </w:div>
              </w:divsChild>
            </w:div>
            <w:div w:id="459231198">
              <w:marLeft w:val="0"/>
              <w:marRight w:val="0"/>
              <w:marTop w:val="0"/>
              <w:marBottom w:val="0"/>
              <w:divBdr>
                <w:top w:val="none" w:sz="0" w:space="0" w:color="auto"/>
                <w:left w:val="none" w:sz="0" w:space="0" w:color="auto"/>
                <w:bottom w:val="none" w:sz="0" w:space="0" w:color="auto"/>
                <w:right w:val="none" w:sz="0" w:space="0" w:color="auto"/>
              </w:divBdr>
              <w:divsChild>
                <w:div w:id="220020481">
                  <w:marLeft w:val="0"/>
                  <w:marRight w:val="0"/>
                  <w:marTop w:val="0"/>
                  <w:marBottom w:val="0"/>
                  <w:divBdr>
                    <w:top w:val="none" w:sz="0" w:space="0" w:color="auto"/>
                    <w:left w:val="none" w:sz="0" w:space="0" w:color="auto"/>
                    <w:bottom w:val="none" w:sz="0" w:space="0" w:color="auto"/>
                    <w:right w:val="none" w:sz="0" w:space="0" w:color="auto"/>
                  </w:divBdr>
                </w:div>
              </w:divsChild>
            </w:div>
            <w:div w:id="1086418701">
              <w:marLeft w:val="0"/>
              <w:marRight w:val="0"/>
              <w:marTop w:val="0"/>
              <w:marBottom w:val="0"/>
              <w:divBdr>
                <w:top w:val="none" w:sz="0" w:space="0" w:color="auto"/>
                <w:left w:val="none" w:sz="0" w:space="0" w:color="auto"/>
                <w:bottom w:val="none" w:sz="0" w:space="0" w:color="auto"/>
                <w:right w:val="none" w:sz="0" w:space="0" w:color="auto"/>
              </w:divBdr>
              <w:divsChild>
                <w:div w:id="110170498">
                  <w:marLeft w:val="0"/>
                  <w:marRight w:val="0"/>
                  <w:marTop w:val="0"/>
                  <w:marBottom w:val="0"/>
                  <w:divBdr>
                    <w:top w:val="none" w:sz="0" w:space="0" w:color="auto"/>
                    <w:left w:val="none" w:sz="0" w:space="0" w:color="auto"/>
                    <w:bottom w:val="none" w:sz="0" w:space="0" w:color="auto"/>
                    <w:right w:val="none" w:sz="0" w:space="0" w:color="auto"/>
                  </w:divBdr>
                </w:div>
              </w:divsChild>
            </w:div>
            <w:div w:id="1066955699">
              <w:marLeft w:val="0"/>
              <w:marRight w:val="0"/>
              <w:marTop w:val="0"/>
              <w:marBottom w:val="0"/>
              <w:divBdr>
                <w:top w:val="none" w:sz="0" w:space="0" w:color="auto"/>
                <w:left w:val="none" w:sz="0" w:space="0" w:color="auto"/>
                <w:bottom w:val="none" w:sz="0" w:space="0" w:color="auto"/>
                <w:right w:val="none" w:sz="0" w:space="0" w:color="auto"/>
              </w:divBdr>
              <w:divsChild>
                <w:div w:id="1984701651">
                  <w:marLeft w:val="0"/>
                  <w:marRight w:val="0"/>
                  <w:marTop w:val="0"/>
                  <w:marBottom w:val="0"/>
                  <w:divBdr>
                    <w:top w:val="none" w:sz="0" w:space="0" w:color="auto"/>
                    <w:left w:val="none" w:sz="0" w:space="0" w:color="auto"/>
                    <w:bottom w:val="none" w:sz="0" w:space="0" w:color="auto"/>
                    <w:right w:val="none" w:sz="0" w:space="0" w:color="auto"/>
                  </w:divBdr>
                </w:div>
              </w:divsChild>
            </w:div>
            <w:div w:id="786579698">
              <w:marLeft w:val="0"/>
              <w:marRight w:val="0"/>
              <w:marTop w:val="0"/>
              <w:marBottom w:val="0"/>
              <w:divBdr>
                <w:top w:val="none" w:sz="0" w:space="0" w:color="auto"/>
                <w:left w:val="none" w:sz="0" w:space="0" w:color="auto"/>
                <w:bottom w:val="none" w:sz="0" w:space="0" w:color="auto"/>
                <w:right w:val="none" w:sz="0" w:space="0" w:color="auto"/>
              </w:divBdr>
              <w:divsChild>
                <w:div w:id="1095785406">
                  <w:marLeft w:val="0"/>
                  <w:marRight w:val="0"/>
                  <w:marTop w:val="0"/>
                  <w:marBottom w:val="0"/>
                  <w:divBdr>
                    <w:top w:val="none" w:sz="0" w:space="0" w:color="auto"/>
                    <w:left w:val="none" w:sz="0" w:space="0" w:color="auto"/>
                    <w:bottom w:val="none" w:sz="0" w:space="0" w:color="auto"/>
                    <w:right w:val="none" w:sz="0" w:space="0" w:color="auto"/>
                  </w:divBdr>
                </w:div>
              </w:divsChild>
            </w:div>
            <w:div w:id="899285210">
              <w:marLeft w:val="0"/>
              <w:marRight w:val="0"/>
              <w:marTop w:val="0"/>
              <w:marBottom w:val="0"/>
              <w:divBdr>
                <w:top w:val="none" w:sz="0" w:space="0" w:color="auto"/>
                <w:left w:val="none" w:sz="0" w:space="0" w:color="auto"/>
                <w:bottom w:val="none" w:sz="0" w:space="0" w:color="auto"/>
                <w:right w:val="none" w:sz="0" w:space="0" w:color="auto"/>
              </w:divBdr>
              <w:divsChild>
                <w:div w:id="843478452">
                  <w:marLeft w:val="0"/>
                  <w:marRight w:val="0"/>
                  <w:marTop w:val="0"/>
                  <w:marBottom w:val="0"/>
                  <w:divBdr>
                    <w:top w:val="none" w:sz="0" w:space="0" w:color="auto"/>
                    <w:left w:val="none" w:sz="0" w:space="0" w:color="auto"/>
                    <w:bottom w:val="none" w:sz="0" w:space="0" w:color="auto"/>
                    <w:right w:val="none" w:sz="0" w:space="0" w:color="auto"/>
                  </w:divBdr>
                </w:div>
              </w:divsChild>
            </w:div>
            <w:div w:id="1673987250">
              <w:marLeft w:val="0"/>
              <w:marRight w:val="0"/>
              <w:marTop w:val="0"/>
              <w:marBottom w:val="0"/>
              <w:divBdr>
                <w:top w:val="none" w:sz="0" w:space="0" w:color="auto"/>
                <w:left w:val="none" w:sz="0" w:space="0" w:color="auto"/>
                <w:bottom w:val="none" w:sz="0" w:space="0" w:color="auto"/>
                <w:right w:val="none" w:sz="0" w:space="0" w:color="auto"/>
              </w:divBdr>
              <w:divsChild>
                <w:div w:id="927614096">
                  <w:marLeft w:val="0"/>
                  <w:marRight w:val="0"/>
                  <w:marTop w:val="0"/>
                  <w:marBottom w:val="0"/>
                  <w:divBdr>
                    <w:top w:val="none" w:sz="0" w:space="0" w:color="auto"/>
                    <w:left w:val="none" w:sz="0" w:space="0" w:color="auto"/>
                    <w:bottom w:val="none" w:sz="0" w:space="0" w:color="auto"/>
                    <w:right w:val="none" w:sz="0" w:space="0" w:color="auto"/>
                  </w:divBdr>
                </w:div>
              </w:divsChild>
            </w:div>
            <w:div w:id="590546804">
              <w:marLeft w:val="0"/>
              <w:marRight w:val="0"/>
              <w:marTop w:val="0"/>
              <w:marBottom w:val="0"/>
              <w:divBdr>
                <w:top w:val="none" w:sz="0" w:space="0" w:color="auto"/>
                <w:left w:val="none" w:sz="0" w:space="0" w:color="auto"/>
                <w:bottom w:val="none" w:sz="0" w:space="0" w:color="auto"/>
                <w:right w:val="none" w:sz="0" w:space="0" w:color="auto"/>
              </w:divBdr>
              <w:divsChild>
                <w:div w:id="6490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9349">
          <w:marLeft w:val="0"/>
          <w:marRight w:val="0"/>
          <w:marTop w:val="0"/>
          <w:marBottom w:val="600"/>
          <w:divBdr>
            <w:top w:val="none" w:sz="0" w:space="0" w:color="auto"/>
            <w:left w:val="none" w:sz="0" w:space="0" w:color="auto"/>
            <w:bottom w:val="none" w:sz="0" w:space="0" w:color="auto"/>
            <w:right w:val="none" w:sz="0" w:space="0" w:color="auto"/>
          </w:divBdr>
        </w:div>
      </w:divsChild>
    </w:div>
    <w:div w:id="634456698">
      <w:marLeft w:val="0"/>
      <w:marRight w:val="0"/>
      <w:marTop w:val="0"/>
      <w:marBottom w:val="0"/>
      <w:divBdr>
        <w:top w:val="none" w:sz="0" w:space="0" w:color="auto"/>
        <w:left w:val="none" w:sz="0" w:space="0" w:color="auto"/>
        <w:bottom w:val="none" w:sz="0" w:space="0" w:color="auto"/>
        <w:right w:val="none" w:sz="0" w:space="0" w:color="auto"/>
      </w:divBdr>
      <w:divsChild>
        <w:div w:id="2073846599">
          <w:marLeft w:val="0"/>
          <w:marRight w:val="0"/>
          <w:marTop w:val="547"/>
          <w:marBottom w:val="0"/>
          <w:divBdr>
            <w:top w:val="none" w:sz="0" w:space="0" w:color="auto"/>
            <w:left w:val="none" w:sz="0" w:space="0" w:color="auto"/>
            <w:bottom w:val="none" w:sz="0" w:space="0" w:color="auto"/>
            <w:right w:val="none" w:sz="0" w:space="0" w:color="auto"/>
          </w:divBdr>
        </w:div>
        <w:div w:id="956183477">
          <w:marLeft w:val="0"/>
          <w:marRight w:val="0"/>
          <w:marTop w:val="0"/>
          <w:marBottom w:val="0"/>
          <w:divBdr>
            <w:top w:val="none" w:sz="0" w:space="0" w:color="auto"/>
            <w:left w:val="none" w:sz="0" w:space="0" w:color="auto"/>
            <w:bottom w:val="none" w:sz="0" w:space="0" w:color="auto"/>
            <w:right w:val="none" w:sz="0" w:space="0" w:color="auto"/>
          </w:divBdr>
        </w:div>
        <w:div w:id="804009608">
          <w:marLeft w:val="0"/>
          <w:marRight w:val="0"/>
          <w:marTop w:val="0"/>
          <w:marBottom w:val="600"/>
          <w:divBdr>
            <w:top w:val="none" w:sz="0" w:space="0" w:color="auto"/>
            <w:left w:val="none" w:sz="0" w:space="0" w:color="auto"/>
            <w:bottom w:val="none" w:sz="0" w:space="0" w:color="auto"/>
            <w:right w:val="none" w:sz="0" w:space="0" w:color="auto"/>
          </w:divBdr>
        </w:div>
      </w:divsChild>
    </w:div>
    <w:div w:id="734471307">
      <w:marLeft w:val="0"/>
      <w:marRight w:val="0"/>
      <w:marTop w:val="0"/>
      <w:marBottom w:val="0"/>
      <w:divBdr>
        <w:top w:val="none" w:sz="0" w:space="0" w:color="auto"/>
        <w:left w:val="none" w:sz="0" w:space="0" w:color="auto"/>
        <w:bottom w:val="none" w:sz="0" w:space="0" w:color="auto"/>
        <w:right w:val="none" w:sz="0" w:space="0" w:color="auto"/>
      </w:divBdr>
      <w:divsChild>
        <w:div w:id="1511141848">
          <w:marLeft w:val="0"/>
          <w:marRight w:val="0"/>
          <w:marTop w:val="547"/>
          <w:marBottom w:val="0"/>
          <w:divBdr>
            <w:top w:val="none" w:sz="0" w:space="0" w:color="auto"/>
            <w:left w:val="none" w:sz="0" w:space="0" w:color="auto"/>
            <w:bottom w:val="none" w:sz="0" w:space="0" w:color="auto"/>
            <w:right w:val="none" w:sz="0" w:space="0" w:color="auto"/>
          </w:divBdr>
        </w:div>
        <w:div w:id="825170477">
          <w:marLeft w:val="0"/>
          <w:marRight w:val="0"/>
          <w:marTop w:val="0"/>
          <w:marBottom w:val="0"/>
          <w:divBdr>
            <w:top w:val="none" w:sz="0" w:space="0" w:color="auto"/>
            <w:left w:val="none" w:sz="0" w:space="0" w:color="auto"/>
            <w:bottom w:val="none" w:sz="0" w:space="0" w:color="auto"/>
            <w:right w:val="none" w:sz="0" w:space="0" w:color="auto"/>
          </w:divBdr>
        </w:div>
        <w:div w:id="1099108257">
          <w:marLeft w:val="0"/>
          <w:marRight w:val="0"/>
          <w:marTop w:val="0"/>
          <w:marBottom w:val="600"/>
          <w:divBdr>
            <w:top w:val="none" w:sz="0" w:space="0" w:color="auto"/>
            <w:left w:val="none" w:sz="0" w:space="0" w:color="auto"/>
            <w:bottom w:val="none" w:sz="0" w:space="0" w:color="auto"/>
            <w:right w:val="none" w:sz="0" w:space="0" w:color="auto"/>
          </w:divBdr>
        </w:div>
      </w:divsChild>
    </w:div>
    <w:div w:id="742800752">
      <w:marLeft w:val="0"/>
      <w:marRight w:val="0"/>
      <w:marTop w:val="0"/>
      <w:marBottom w:val="0"/>
      <w:divBdr>
        <w:top w:val="none" w:sz="0" w:space="0" w:color="auto"/>
        <w:left w:val="none" w:sz="0" w:space="0" w:color="auto"/>
        <w:bottom w:val="none" w:sz="0" w:space="0" w:color="auto"/>
        <w:right w:val="none" w:sz="0" w:space="0" w:color="auto"/>
      </w:divBdr>
      <w:divsChild>
        <w:div w:id="89131446">
          <w:marLeft w:val="0"/>
          <w:marRight w:val="0"/>
          <w:marTop w:val="547"/>
          <w:marBottom w:val="0"/>
          <w:divBdr>
            <w:top w:val="none" w:sz="0" w:space="0" w:color="auto"/>
            <w:left w:val="none" w:sz="0" w:space="0" w:color="auto"/>
            <w:bottom w:val="none" w:sz="0" w:space="0" w:color="auto"/>
            <w:right w:val="none" w:sz="0" w:space="0" w:color="auto"/>
          </w:divBdr>
        </w:div>
        <w:div w:id="431975590">
          <w:marLeft w:val="0"/>
          <w:marRight w:val="0"/>
          <w:marTop w:val="0"/>
          <w:marBottom w:val="0"/>
          <w:divBdr>
            <w:top w:val="none" w:sz="0" w:space="0" w:color="auto"/>
            <w:left w:val="none" w:sz="0" w:space="0" w:color="auto"/>
            <w:bottom w:val="none" w:sz="0" w:space="0" w:color="auto"/>
            <w:right w:val="none" w:sz="0" w:space="0" w:color="auto"/>
          </w:divBdr>
        </w:div>
        <w:div w:id="1086270148">
          <w:marLeft w:val="0"/>
          <w:marRight w:val="0"/>
          <w:marTop w:val="0"/>
          <w:marBottom w:val="600"/>
          <w:divBdr>
            <w:top w:val="none" w:sz="0" w:space="0" w:color="auto"/>
            <w:left w:val="none" w:sz="0" w:space="0" w:color="auto"/>
            <w:bottom w:val="none" w:sz="0" w:space="0" w:color="auto"/>
            <w:right w:val="none" w:sz="0" w:space="0" w:color="auto"/>
          </w:divBdr>
        </w:div>
      </w:divsChild>
    </w:div>
    <w:div w:id="788208897">
      <w:marLeft w:val="0"/>
      <w:marRight w:val="0"/>
      <w:marTop w:val="0"/>
      <w:marBottom w:val="0"/>
      <w:divBdr>
        <w:top w:val="none" w:sz="0" w:space="0" w:color="auto"/>
        <w:left w:val="none" w:sz="0" w:space="0" w:color="auto"/>
        <w:bottom w:val="none" w:sz="0" w:space="0" w:color="auto"/>
        <w:right w:val="none" w:sz="0" w:space="0" w:color="auto"/>
      </w:divBdr>
      <w:divsChild>
        <w:div w:id="440927142">
          <w:marLeft w:val="0"/>
          <w:marRight w:val="0"/>
          <w:marTop w:val="547"/>
          <w:marBottom w:val="0"/>
          <w:divBdr>
            <w:top w:val="none" w:sz="0" w:space="0" w:color="auto"/>
            <w:left w:val="none" w:sz="0" w:space="0" w:color="auto"/>
            <w:bottom w:val="none" w:sz="0" w:space="0" w:color="auto"/>
            <w:right w:val="none" w:sz="0" w:space="0" w:color="auto"/>
          </w:divBdr>
        </w:div>
        <w:div w:id="734008403">
          <w:marLeft w:val="0"/>
          <w:marRight w:val="0"/>
          <w:marTop w:val="0"/>
          <w:marBottom w:val="0"/>
          <w:divBdr>
            <w:top w:val="none" w:sz="0" w:space="0" w:color="auto"/>
            <w:left w:val="none" w:sz="0" w:space="0" w:color="auto"/>
            <w:bottom w:val="none" w:sz="0" w:space="0" w:color="auto"/>
            <w:right w:val="none" w:sz="0" w:space="0" w:color="auto"/>
          </w:divBdr>
        </w:div>
        <w:div w:id="1206916172">
          <w:marLeft w:val="0"/>
          <w:marRight w:val="0"/>
          <w:marTop w:val="0"/>
          <w:marBottom w:val="600"/>
          <w:divBdr>
            <w:top w:val="none" w:sz="0" w:space="0" w:color="auto"/>
            <w:left w:val="none" w:sz="0" w:space="0" w:color="auto"/>
            <w:bottom w:val="none" w:sz="0" w:space="0" w:color="auto"/>
            <w:right w:val="none" w:sz="0" w:space="0" w:color="auto"/>
          </w:divBdr>
        </w:div>
      </w:divsChild>
    </w:div>
    <w:div w:id="813177226">
      <w:marLeft w:val="0"/>
      <w:marRight w:val="0"/>
      <w:marTop w:val="0"/>
      <w:marBottom w:val="0"/>
      <w:divBdr>
        <w:top w:val="none" w:sz="0" w:space="0" w:color="auto"/>
        <w:left w:val="none" w:sz="0" w:space="0" w:color="auto"/>
        <w:bottom w:val="none" w:sz="0" w:space="0" w:color="auto"/>
        <w:right w:val="none" w:sz="0" w:space="0" w:color="auto"/>
      </w:divBdr>
      <w:divsChild>
        <w:div w:id="2056544249">
          <w:marLeft w:val="0"/>
          <w:marRight w:val="0"/>
          <w:marTop w:val="547"/>
          <w:marBottom w:val="0"/>
          <w:divBdr>
            <w:top w:val="none" w:sz="0" w:space="0" w:color="auto"/>
            <w:left w:val="none" w:sz="0" w:space="0" w:color="auto"/>
            <w:bottom w:val="none" w:sz="0" w:space="0" w:color="auto"/>
            <w:right w:val="none" w:sz="0" w:space="0" w:color="auto"/>
          </w:divBdr>
        </w:div>
        <w:div w:id="413936982">
          <w:marLeft w:val="0"/>
          <w:marRight w:val="0"/>
          <w:marTop w:val="0"/>
          <w:marBottom w:val="0"/>
          <w:divBdr>
            <w:top w:val="none" w:sz="0" w:space="0" w:color="auto"/>
            <w:left w:val="none" w:sz="0" w:space="0" w:color="auto"/>
            <w:bottom w:val="none" w:sz="0" w:space="0" w:color="auto"/>
            <w:right w:val="none" w:sz="0" w:space="0" w:color="auto"/>
          </w:divBdr>
          <w:divsChild>
            <w:div w:id="296108605">
              <w:marLeft w:val="0"/>
              <w:marRight w:val="0"/>
              <w:marTop w:val="0"/>
              <w:marBottom w:val="0"/>
              <w:divBdr>
                <w:top w:val="none" w:sz="0" w:space="0" w:color="auto"/>
                <w:left w:val="none" w:sz="0" w:space="0" w:color="auto"/>
                <w:bottom w:val="none" w:sz="0" w:space="0" w:color="auto"/>
                <w:right w:val="none" w:sz="0" w:space="0" w:color="auto"/>
              </w:divBdr>
              <w:divsChild>
                <w:div w:id="108863547">
                  <w:marLeft w:val="0"/>
                  <w:marRight w:val="0"/>
                  <w:marTop w:val="0"/>
                  <w:marBottom w:val="0"/>
                  <w:divBdr>
                    <w:top w:val="none" w:sz="0" w:space="0" w:color="auto"/>
                    <w:left w:val="none" w:sz="0" w:space="0" w:color="auto"/>
                    <w:bottom w:val="none" w:sz="0" w:space="0" w:color="auto"/>
                    <w:right w:val="none" w:sz="0" w:space="0" w:color="auto"/>
                  </w:divBdr>
                </w:div>
              </w:divsChild>
            </w:div>
            <w:div w:id="1773209699">
              <w:marLeft w:val="0"/>
              <w:marRight w:val="0"/>
              <w:marTop w:val="0"/>
              <w:marBottom w:val="0"/>
              <w:divBdr>
                <w:top w:val="none" w:sz="0" w:space="0" w:color="auto"/>
                <w:left w:val="none" w:sz="0" w:space="0" w:color="auto"/>
                <w:bottom w:val="none" w:sz="0" w:space="0" w:color="auto"/>
                <w:right w:val="none" w:sz="0" w:space="0" w:color="auto"/>
              </w:divBdr>
              <w:divsChild>
                <w:div w:id="999309903">
                  <w:marLeft w:val="0"/>
                  <w:marRight w:val="0"/>
                  <w:marTop w:val="0"/>
                  <w:marBottom w:val="0"/>
                  <w:divBdr>
                    <w:top w:val="none" w:sz="0" w:space="0" w:color="auto"/>
                    <w:left w:val="none" w:sz="0" w:space="0" w:color="auto"/>
                    <w:bottom w:val="none" w:sz="0" w:space="0" w:color="auto"/>
                    <w:right w:val="none" w:sz="0" w:space="0" w:color="auto"/>
                  </w:divBdr>
                </w:div>
              </w:divsChild>
            </w:div>
            <w:div w:id="908273044">
              <w:marLeft w:val="0"/>
              <w:marRight w:val="0"/>
              <w:marTop w:val="0"/>
              <w:marBottom w:val="0"/>
              <w:divBdr>
                <w:top w:val="none" w:sz="0" w:space="0" w:color="auto"/>
                <w:left w:val="none" w:sz="0" w:space="0" w:color="auto"/>
                <w:bottom w:val="none" w:sz="0" w:space="0" w:color="auto"/>
                <w:right w:val="none" w:sz="0" w:space="0" w:color="auto"/>
              </w:divBdr>
              <w:divsChild>
                <w:div w:id="1487893754">
                  <w:marLeft w:val="0"/>
                  <w:marRight w:val="0"/>
                  <w:marTop w:val="0"/>
                  <w:marBottom w:val="0"/>
                  <w:divBdr>
                    <w:top w:val="none" w:sz="0" w:space="0" w:color="auto"/>
                    <w:left w:val="none" w:sz="0" w:space="0" w:color="auto"/>
                    <w:bottom w:val="none" w:sz="0" w:space="0" w:color="auto"/>
                    <w:right w:val="none" w:sz="0" w:space="0" w:color="auto"/>
                  </w:divBdr>
                </w:div>
              </w:divsChild>
            </w:div>
            <w:div w:id="1323856203">
              <w:marLeft w:val="0"/>
              <w:marRight w:val="0"/>
              <w:marTop w:val="0"/>
              <w:marBottom w:val="0"/>
              <w:divBdr>
                <w:top w:val="none" w:sz="0" w:space="0" w:color="auto"/>
                <w:left w:val="none" w:sz="0" w:space="0" w:color="auto"/>
                <w:bottom w:val="none" w:sz="0" w:space="0" w:color="auto"/>
                <w:right w:val="none" w:sz="0" w:space="0" w:color="auto"/>
              </w:divBdr>
              <w:divsChild>
                <w:div w:id="605966123">
                  <w:marLeft w:val="0"/>
                  <w:marRight w:val="0"/>
                  <w:marTop w:val="0"/>
                  <w:marBottom w:val="0"/>
                  <w:divBdr>
                    <w:top w:val="none" w:sz="0" w:space="0" w:color="auto"/>
                    <w:left w:val="none" w:sz="0" w:space="0" w:color="auto"/>
                    <w:bottom w:val="none" w:sz="0" w:space="0" w:color="auto"/>
                    <w:right w:val="none" w:sz="0" w:space="0" w:color="auto"/>
                  </w:divBdr>
                </w:div>
              </w:divsChild>
            </w:div>
            <w:div w:id="1274166087">
              <w:marLeft w:val="0"/>
              <w:marRight w:val="0"/>
              <w:marTop w:val="0"/>
              <w:marBottom w:val="0"/>
              <w:divBdr>
                <w:top w:val="none" w:sz="0" w:space="0" w:color="auto"/>
                <w:left w:val="none" w:sz="0" w:space="0" w:color="auto"/>
                <w:bottom w:val="none" w:sz="0" w:space="0" w:color="auto"/>
                <w:right w:val="none" w:sz="0" w:space="0" w:color="auto"/>
              </w:divBdr>
              <w:divsChild>
                <w:div w:id="2123111698">
                  <w:marLeft w:val="0"/>
                  <w:marRight w:val="0"/>
                  <w:marTop w:val="0"/>
                  <w:marBottom w:val="0"/>
                  <w:divBdr>
                    <w:top w:val="none" w:sz="0" w:space="0" w:color="auto"/>
                    <w:left w:val="none" w:sz="0" w:space="0" w:color="auto"/>
                    <w:bottom w:val="none" w:sz="0" w:space="0" w:color="auto"/>
                    <w:right w:val="none" w:sz="0" w:space="0" w:color="auto"/>
                  </w:divBdr>
                </w:div>
              </w:divsChild>
            </w:div>
            <w:div w:id="1548642394">
              <w:marLeft w:val="0"/>
              <w:marRight w:val="0"/>
              <w:marTop w:val="0"/>
              <w:marBottom w:val="0"/>
              <w:divBdr>
                <w:top w:val="none" w:sz="0" w:space="0" w:color="auto"/>
                <w:left w:val="none" w:sz="0" w:space="0" w:color="auto"/>
                <w:bottom w:val="none" w:sz="0" w:space="0" w:color="auto"/>
                <w:right w:val="none" w:sz="0" w:space="0" w:color="auto"/>
              </w:divBdr>
              <w:divsChild>
                <w:div w:id="853611887">
                  <w:marLeft w:val="0"/>
                  <w:marRight w:val="0"/>
                  <w:marTop w:val="0"/>
                  <w:marBottom w:val="0"/>
                  <w:divBdr>
                    <w:top w:val="none" w:sz="0" w:space="0" w:color="auto"/>
                    <w:left w:val="none" w:sz="0" w:space="0" w:color="auto"/>
                    <w:bottom w:val="none" w:sz="0" w:space="0" w:color="auto"/>
                    <w:right w:val="none" w:sz="0" w:space="0" w:color="auto"/>
                  </w:divBdr>
                </w:div>
              </w:divsChild>
            </w:div>
            <w:div w:id="1809126932">
              <w:marLeft w:val="0"/>
              <w:marRight w:val="0"/>
              <w:marTop w:val="0"/>
              <w:marBottom w:val="0"/>
              <w:divBdr>
                <w:top w:val="none" w:sz="0" w:space="0" w:color="auto"/>
                <w:left w:val="none" w:sz="0" w:space="0" w:color="auto"/>
                <w:bottom w:val="none" w:sz="0" w:space="0" w:color="auto"/>
                <w:right w:val="none" w:sz="0" w:space="0" w:color="auto"/>
              </w:divBdr>
              <w:divsChild>
                <w:div w:id="1726877563">
                  <w:marLeft w:val="0"/>
                  <w:marRight w:val="0"/>
                  <w:marTop w:val="0"/>
                  <w:marBottom w:val="0"/>
                  <w:divBdr>
                    <w:top w:val="none" w:sz="0" w:space="0" w:color="auto"/>
                    <w:left w:val="none" w:sz="0" w:space="0" w:color="auto"/>
                    <w:bottom w:val="none" w:sz="0" w:space="0" w:color="auto"/>
                    <w:right w:val="none" w:sz="0" w:space="0" w:color="auto"/>
                  </w:divBdr>
                </w:div>
              </w:divsChild>
            </w:div>
            <w:div w:id="531382738">
              <w:marLeft w:val="0"/>
              <w:marRight w:val="0"/>
              <w:marTop w:val="0"/>
              <w:marBottom w:val="0"/>
              <w:divBdr>
                <w:top w:val="none" w:sz="0" w:space="0" w:color="auto"/>
                <w:left w:val="none" w:sz="0" w:space="0" w:color="auto"/>
                <w:bottom w:val="none" w:sz="0" w:space="0" w:color="auto"/>
                <w:right w:val="none" w:sz="0" w:space="0" w:color="auto"/>
              </w:divBdr>
              <w:divsChild>
                <w:div w:id="2108692823">
                  <w:marLeft w:val="0"/>
                  <w:marRight w:val="0"/>
                  <w:marTop w:val="0"/>
                  <w:marBottom w:val="0"/>
                  <w:divBdr>
                    <w:top w:val="none" w:sz="0" w:space="0" w:color="auto"/>
                    <w:left w:val="none" w:sz="0" w:space="0" w:color="auto"/>
                    <w:bottom w:val="none" w:sz="0" w:space="0" w:color="auto"/>
                    <w:right w:val="none" w:sz="0" w:space="0" w:color="auto"/>
                  </w:divBdr>
                </w:div>
              </w:divsChild>
            </w:div>
            <w:div w:id="1146319048">
              <w:marLeft w:val="0"/>
              <w:marRight w:val="0"/>
              <w:marTop w:val="0"/>
              <w:marBottom w:val="0"/>
              <w:divBdr>
                <w:top w:val="none" w:sz="0" w:space="0" w:color="auto"/>
                <w:left w:val="none" w:sz="0" w:space="0" w:color="auto"/>
                <w:bottom w:val="none" w:sz="0" w:space="0" w:color="auto"/>
                <w:right w:val="none" w:sz="0" w:space="0" w:color="auto"/>
              </w:divBdr>
              <w:divsChild>
                <w:div w:id="885720983">
                  <w:marLeft w:val="0"/>
                  <w:marRight w:val="0"/>
                  <w:marTop w:val="0"/>
                  <w:marBottom w:val="0"/>
                  <w:divBdr>
                    <w:top w:val="none" w:sz="0" w:space="0" w:color="auto"/>
                    <w:left w:val="none" w:sz="0" w:space="0" w:color="auto"/>
                    <w:bottom w:val="none" w:sz="0" w:space="0" w:color="auto"/>
                    <w:right w:val="none" w:sz="0" w:space="0" w:color="auto"/>
                  </w:divBdr>
                </w:div>
              </w:divsChild>
            </w:div>
            <w:div w:id="1748262049">
              <w:marLeft w:val="0"/>
              <w:marRight w:val="0"/>
              <w:marTop w:val="0"/>
              <w:marBottom w:val="0"/>
              <w:divBdr>
                <w:top w:val="none" w:sz="0" w:space="0" w:color="auto"/>
                <w:left w:val="none" w:sz="0" w:space="0" w:color="auto"/>
                <w:bottom w:val="none" w:sz="0" w:space="0" w:color="auto"/>
                <w:right w:val="none" w:sz="0" w:space="0" w:color="auto"/>
              </w:divBdr>
              <w:divsChild>
                <w:div w:id="1306549494">
                  <w:marLeft w:val="0"/>
                  <w:marRight w:val="0"/>
                  <w:marTop w:val="0"/>
                  <w:marBottom w:val="0"/>
                  <w:divBdr>
                    <w:top w:val="none" w:sz="0" w:space="0" w:color="auto"/>
                    <w:left w:val="none" w:sz="0" w:space="0" w:color="auto"/>
                    <w:bottom w:val="none" w:sz="0" w:space="0" w:color="auto"/>
                    <w:right w:val="none" w:sz="0" w:space="0" w:color="auto"/>
                  </w:divBdr>
                </w:div>
              </w:divsChild>
            </w:div>
            <w:div w:id="744109320">
              <w:marLeft w:val="0"/>
              <w:marRight w:val="0"/>
              <w:marTop w:val="0"/>
              <w:marBottom w:val="0"/>
              <w:divBdr>
                <w:top w:val="none" w:sz="0" w:space="0" w:color="auto"/>
                <w:left w:val="none" w:sz="0" w:space="0" w:color="auto"/>
                <w:bottom w:val="none" w:sz="0" w:space="0" w:color="auto"/>
                <w:right w:val="none" w:sz="0" w:space="0" w:color="auto"/>
              </w:divBdr>
              <w:divsChild>
                <w:div w:id="597639270">
                  <w:marLeft w:val="0"/>
                  <w:marRight w:val="0"/>
                  <w:marTop w:val="0"/>
                  <w:marBottom w:val="0"/>
                  <w:divBdr>
                    <w:top w:val="none" w:sz="0" w:space="0" w:color="auto"/>
                    <w:left w:val="none" w:sz="0" w:space="0" w:color="auto"/>
                    <w:bottom w:val="none" w:sz="0" w:space="0" w:color="auto"/>
                    <w:right w:val="none" w:sz="0" w:space="0" w:color="auto"/>
                  </w:divBdr>
                </w:div>
              </w:divsChild>
            </w:div>
            <w:div w:id="1641573393">
              <w:marLeft w:val="0"/>
              <w:marRight w:val="0"/>
              <w:marTop w:val="0"/>
              <w:marBottom w:val="0"/>
              <w:divBdr>
                <w:top w:val="none" w:sz="0" w:space="0" w:color="auto"/>
                <w:left w:val="none" w:sz="0" w:space="0" w:color="auto"/>
                <w:bottom w:val="none" w:sz="0" w:space="0" w:color="auto"/>
                <w:right w:val="none" w:sz="0" w:space="0" w:color="auto"/>
              </w:divBdr>
              <w:divsChild>
                <w:div w:id="195705926">
                  <w:marLeft w:val="0"/>
                  <w:marRight w:val="0"/>
                  <w:marTop w:val="0"/>
                  <w:marBottom w:val="0"/>
                  <w:divBdr>
                    <w:top w:val="none" w:sz="0" w:space="0" w:color="auto"/>
                    <w:left w:val="none" w:sz="0" w:space="0" w:color="auto"/>
                    <w:bottom w:val="none" w:sz="0" w:space="0" w:color="auto"/>
                    <w:right w:val="none" w:sz="0" w:space="0" w:color="auto"/>
                  </w:divBdr>
                </w:div>
              </w:divsChild>
            </w:div>
            <w:div w:id="1641157148">
              <w:marLeft w:val="0"/>
              <w:marRight w:val="0"/>
              <w:marTop w:val="0"/>
              <w:marBottom w:val="0"/>
              <w:divBdr>
                <w:top w:val="none" w:sz="0" w:space="0" w:color="auto"/>
                <w:left w:val="none" w:sz="0" w:space="0" w:color="auto"/>
                <w:bottom w:val="none" w:sz="0" w:space="0" w:color="auto"/>
                <w:right w:val="none" w:sz="0" w:space="0" w:color="auto"/>
              </w:divBdr>
              <w:divsChild>
                <w:div w:id="1745492583">
                  <w:marLeft w:val="0"/>
                  <w:marRight w:val="0"/>
                  <w:marTop w:val="0"/>
                  <w:marBottom w:val="0"/>
                  <w:divBdr>
                    <w:top w:val="none" w:sz="0" w:space="0" w:color="auto"/>
                    <w:left w:val="none" w:sz="0" w:space="0" w:color="auto"/>
                    <w:bottom w:val="none" w:sz="0" w:space="0" w:color="auto"/>
                    <w:right w:val="none" w:sz="0" w:space="0" w:color="auto"/>
                  </w:divBdr>
                </w:div>
              </w:divsChild>
            </w:div>
            <w:div w:id="552888051">
              <w:marLeft w:val="0"/>
              <w:marRight w:val="0"/>
              <w:marTop w:val="0"/>
              <w:marBottom w:val="0"/>
              <w:divBdr>
                <w:top w:val="none" w:sz="0" w:space="0" w:color="auto"/>
                <w:left w:val="none" w:sz="0" w:space="0" w:color="auto"/>
                <w:bottom w:val="none" w:sz="0" w:space="0" w:color="auto"/>
                <w:right w:val="none" w:sz="0" w:space="0" w:color="auto"/>
              </w:divBdr>
              <w:divsChild>
                <w:div w:id="1153718486">
                  <w:marLeft w:val="0"/>
                  <w:marRight w:val="0"/>
                  <w:marTop w:val="0"/>
                  <w:marBottom w:val="0"/>
                  <w:divBdr>
                    <w:top w:val="none" w:sz="0" w:space="0" w:color="auto"/>
                    <w:left w:val="none" w:sz="0" w:space="0" w:color="auto"/>
                    <w:bottom w:val="none" w:sz="0" w:space="0" w:color="auto"/>
                    <w:right w:val="none" w:sz="0" w:space="0" w:color="auto"/>
                  </w:divBdr>
                </w:div>
              </w:divsChild>
            </w:div>
            <w:div w:id="443816066">
              <w:marLeft w:val="0"/>
              <w:marRight w:val="0"/>
              <w:marTop w:val="0"/>
              <w:marBottom w:val="0"/>
              <w:divBdr>
                <w:top w:val="none" w:sz="0" w:space="0" w:color="auto"/>
                <w:left w:val="none" w:sz="0" w:space="0" w:color="auto"/>
                <w:bottom w:val="none" w:sz="0" w:space="0" w:color="auto"/>
                <w:right w:val="none" w:sz="0" w:space="0" w:color="auto"/>
              </w:divBdr>
              <w:divsChild>
                <w:div w:id="1348411371">
                  <w:marLeft w:val="0"/>
                  <w:marRight w:val="0"/>
                  <w:marTop w:val="0"/>
                  <w:marBottom w:val="0"/>
                  <w:divBdr>
                    <w:top w:val="none" w:sz="0" w:space="0" w:color="auto"/>
                    <w:left w:val="none" w:sz="0" w:space="0" w:color="auto"/>
                    <w:bottom w:val="none" w:sz="0" w:space="0" w:color="auto"/>
                    <w:right w:val="none" w:sz="0" w:space="0" w:color="auto"/>
                  </w:divBdr>
                </w:div>
              </w:divsChild>
            </w:div>
            <w:div w:id="2095660990">
              <w:marLeft w:val="0"/>
              <w:marRight w:val="0"/>
              <w:marTop w:val="0"/>
              <w:marBottom w:val="0"/>
              <w:divBdr>
                <w:top w:val="none" w:sz="0" w:space="0" w:color="auto"/>
                <w:left w:val="none" w:sz="0" w:space="0" w:color="auto"/>
                <w:bottom w:val="none" w:sz="0" w:space="0" w:color="auto"/>
                <w:right w:val="none" w:sz="0" w:space="0" w:color="auto"/>
              </w:divBdr>
              <w:divsChild>
                <w:div w:id="941304401">
                  <w:marLeft w:val="0"/>
                  <w:marRight w:val="0"/>
                  <w:marTop w:val="0"/>
                  <w:marBottom w:val="0"/>
                  <w:divBdr>
                    <w:top w:val="none" w:sz="0" w:space="0" w:color="auto"/>
                    <w:left w:val="none" w:sz="0" w:space="0" w:color="auto"/>
                    <w:bottom w:val="none" w:sz="0" w:space="0" w:color="auto"/>
                    <w:right w:val="none" w:sz="0" w:space="0" w:color="auto"/>
                  </w:divBdr>
                </w:div>
              </w:divsChild>
            </w:div>
            <w:div w:id="615411145">
              <w:marLeft w:val="0"/>
              <w:marRight w:val="0"/>
              <w:marTop w:val="0"/>
              <w:marBottom w:val="0"/>
              <w:divBdr>
                <w:top w:val="none" w:sz="0" w:space="0" w:color="auto"/>
                <w:left w:val="none" w:sz="0" w:space="0" w:color="auto"/>
                <w:bottom w:val="none" w:sz="0" w:space="0" w:color="auto"/>
                <w:right w:val="none" w:sz="0" w:space="0" w:color="auto"/>
              </w:divBdr>
              <w:divsChild>
                <w:div w:id="1756317418">
                  <w:marLeft w:val="0"/>
                  <w:marRight w:val="0"/>
                  <w:marTop w:val="0"/>
                  <w:marBottom w:val="0"/>
                  <w:divBdr>
                    <w:top w:val="none" w:sz="0" w:space="0" w:color="auto"/>
                    <w:left w:val="none" w:sz="0" w:space="0" w:color="auto"/>
                    <w:bottom w:val="none" w:sz="0" w:space="0" w:color="auto"/>
                    <w:right w:val="none" w:sz="0" w:space="0" w:color="auto"/>
                  </w:divBdr>
                </w:div>
              </w:divsChild>
            </w:div>
            <w:div w:id="867840435">
              <w:marLeft w:val="0"/>
              <w:marRight w:val="0"/>
              <w:marTop w:val="0"/>
              <w:marBottom w:val="0"/>
              <w:divBdr>
                <w:top w:val="none" w:sz="0" w:space="0" w:color="auto"/>
                <w:left w:val="none" w:sz="0" w:space="0" w:color="auto"/>
                <w:bottom w:val="none" w:sz="0" w:space="0" w:color="auto"/>
                <w:right w:val="none" w:sz="0" w:space="0" w:color="auto"/>
              </w:divBdr>
              <w:divsChild>
                <w:div w:id="1666127731">
                  <w:marLeft w:val="0"/>
                  <w:marRight w:val="0"/>
                  <w:marTop w:val="0"/>
                  <w:marBottom w:val="0"/>
                  <w:divBdr>
                    <w:top w:val="none" w:sz="0" w:space="0" w:color="auto"/>
                    <w:left w:val="none" w:sz="0" w:space="0" w:color="auto"/>
                    <w:bottom w:val="none" w:sz="0" w:space="0" w:color="auto"/>
                    <w:right w:val="none" w:sz="0" w:space="0" w:color="auto"/>
                  </w:divBdr>
                </w:div>
              </w:divsChild>
            </w:div>
            <w:div w:id="1319846735">
              <w:marLeft w:val="0"/>
              <w:marRight w:val="0"/>
              <w:marTop w:val="0"/>
              <w:marBottom w:val="0"/>
              <w:divBdr>
                <w:top w:val="none" w:sz="0" w:space="0" w:color="auto"/>
                <w:left w:val="none" w:sz="0" w:space="0" w:color="auto"/>
                <w:bottom w:val="none" w:sz="0" w:space="0" w:color="auto"/>
                <w:right w:val="none" w:sz="0" w:space="0" w:color="auto"/>
              </w:divBdr>
              <w:divsChild>
                <w:div w:id="1146244714">
                  <w:marLeft w:val="0"/>
                  <w:marRight w:val="0"/>
                  <w:marTop w:val="0"/>
                  <w:marBottom w:val="0"/>
                  <w:divBdr>
                    <w:top w:val="none" w:sz="0" w:space="0" w:color="auto"/>
                    <w:left w:val="none" w:sz="0" w:space="0" w:color="auto"/>
                    <w:bottom w:val="none" w:sz="0" w:space="0" w:color="auto"/>
                    <w:right w:val="none" w:sz="0" w:space="0" w:color="auto"/>
                  </w:divBdr>
                </w:div>
              </w:divsChild>
            </w:div>
            <w:div w:id="1415976477">
              <w:marLeft w:val="0"/>
              <w:marRight w:val="0"/>
              <w:marTop w:val="0"/>
              <w:marBottom w:val="0"/>
              <w:divBdr>
                <w:top w:val="none" w:sz="0" w:space="0" w:color="auto"/>
                <w:left w:val="none" w:sz="0" w:space="0" w:color="auto"/>
                <w:bottom w:val="none" w:sz="0" w:space="0" w:color="auto"/>
                <w:right w:val="none" w:sz="0" w:space="0" w:color="auto"/>
              </w:divBdr>
              <w:divsChild>
                <w:div w:id="1496142786">
                  <w:marLeft w:val="0"/>
                  <w:marRight w:val="0"/>
                  <w:marTop w:val="0"/>
                  <w:marBottom w:val="0"/>
                  <w:divBdr>
                    <w:top w:val="none" w:sz="0" w:space="0" w:color="auto"/>
                    <w:left w:val="none" w:sz="0" w:space="0" w:color="auto"/>
                    <w:bottom w:val="none" w:sz="0" w:space="0" w:color="auto"/>
                    <w:right w:val="none" w:sz="0" w:space="0" w:color="auto"/>
                  </w:divBdr>
                </w:div>
              </w:divsChild>
            </w:div>
            <w:div w:id="1022322557">
              <w:marLeft w:val="0"/>
              <w:marRight w:val="0"/>
              <w:marTop w:val="0"/>
              <w:marBottom w:val="0"/>
              <w:divBdr>
                <w:top w:val="none" w:sz="0" w:space="0" w:color="auto"/>
                <w:left w:val="none" w:sz="0" w:space="0" w:color="auto"/>
                <w:bottom w:val="none" w:sz="0" w:space="0" w:color="auto"/>
                <w:right w:val="none" w:sz="0" w:space="0" w:color="auto"/>
              </w:divBdr>
              <w:divsChild>
                <w:div w:id="1986544513">
                  <w:marLeft w:val="0"/>
                  <w:marRight w:val="0"/>
                  <w:marTop w:val="0"/>
                  <w:marBottom w:val="0"/>
                  <w:divBdr>
                    <w:top w:val="none" w:sz="0" w:space="0" w:color="auto"/>
                    <w:left w:val="none" w:sz="0" w:space="0" w:color="auto"/>
                    <w:bottom w:val="none" w:sz="0" w:space="0" w:color="auto"/>
                    <w:right w:val="none" w:sz="0" w:space="0" w:color="auto"/>
                  </w:divBdr>
                </w:div>
              </w:divsChild>
            </w:div>
            <w:div w:id="665473675">
              <w:marLeft w:val="0"/>
              <w:marRight w:val="0"/>
              <w:marTop w:val="0"/>
              <w:marBottom w:val="0"/>
              <w:divBdr>
                <w:top w:val="none" w:sz="0" w:space="0" w:color="auto"/>
                <w:left w:val="none" w:sz="0" w:space="0" w:color="auto"/>
                <w:bottom w:val="none" w:sz="0" w:space="0" w:color="auto"/>
                <w:right w:val="none" w:sz="0" w:space="0" w:color="auto"/>
              </w:divBdr>
              <w:divsChild>
                <w:div w:id="1348368203">
                  <w:marLeft w:val="0"/>
                  <w:marRight w:val="0"/>
                  <w:marTop w:val="0"/>
                  <w:marBottom w:val="0"/>
                  <w:divBdr>
                    <w:top w:val="none" w:sz="0" w:space="0" w:color="auto"/>
                    <w:left w:val="none" w:sz="0" w:space="0" w:color="auto"/>
                    <w:bottom w:val="none" w:sz="0" w:space="0" w:color="auto"/>
                    <w:right w:val="none" w:sz="0" w:space="0" w:color="auto"/>
                  </w:divBdr>
                </w:div>
              </w:divsChild>
            </w:div>
            <w:div w:id="475680766">
              <w:marLeft w:val="0"/>
              <w:marRight w:val="0"/>
              <w:marTop w:val="0"/>
              <w:marBottom w:val="0"/>
              <w:divBdr>
                <w:top w:val="none" w:sz="0" w:space="0" w:color="auto"/>
                <w:left w:val="none" w:sz="0" w:space="0" w:color="auto"/>
                <w:bottom w:val="none" w:sz="0" w:space="0" w:color="auto"/>
                <w:right w:val="none" w:sz="0" w:space="0" w:color="auto"/>
              </w:divBdr>
              <w:divsChild>
                <w:div w:id="920870519">
                  <w:marLeft w:val="0"/>
                  <w:marRight w:val="0"/>
                  <w:marTop w:val="0"/>
                  <w:marBottom w:val="0"/>
                  <w:divBdr>
                    <w:top w:val="none" w:sz="0" w:space="0" w:color="auto"/>
                    <w:left w:val="none" w:sz="0" w:space="0" w:color="auto"/>
                    <w:bottom w:val="none" w:sz="0" w:space="0" w:color="auto"/>
                    <w:right w:val="none" w:sz="0" w:space="0" w:color="auto"/>
                  </w:divBdr>
                </w:div>
              </w:divsChild>
            </w:div>
            <w:div w:id="8455018">
              <w:marLeft w:val="0"/>
              <w:marRight w:val="0"/>
              <w:marTop w:val="0"/>
              <w:marBottom w:val="0"/>
              <w:divBdr>
                <w:top w:val="none" w:sz="0" w:space="0" w:color="auto"/>
                <w:left w:val="none" w:sz="0" w:space="0" w:color="auto"/>
                <w:bottom w:val="none" w:sz="0" w:space="0" w:color="auto"/>
                <w:right w:val="none" w:sz="0" w:space="0" w:color="auto"/>
              </w:divBdr>
              <w:divsChild>
                <w:div w:id="1736976587">
                  <w:marLeft w:val="0"/>
                  <w:marRight w:val="0"/>
                  <w:marTop w:val="0"/>
                  <w:marBottom w:val="0"/>
                  <w:divBdr>
                    <w:top w:val="none" w:sz="0" w:space="0" w:color="auto"/>
                    <w:left w:val="none" w:sz="0" w:space="0" w:color="auto"/>
                    <w:bottom w:val="none" w:sz="0" w:space="0" w:color="auto"/>
                    <w:right w:val="none" w:sz="0" w:space="0" w:color="auto"/>
                  </w:divBdr>
                </w:div>
              </w:divsChild>
            </w:div>
            <w:div w:id="767043303">
              <w:marLeft w:val="0"/>
              <w:marRight w:val="0"/>
              <w:marTop w:val="0"/>
              <w:marBottom w:val="0"/>
              <w:divBdr>
                <w:top w:val="none" w:sz="0" w:space="0" w:color="auto"/>
                <w:left w:val="none" w:sz="0" w:space="0" w:color="auto"/>
                <w:bottom w:val="none" w:sz="0" w:space="0" w:color="auto"/>
                <w:right w:val="none" w:sz="0" w:space="0" w:color="auto"/>
              </w:divBdr>
              <w:divsChild>
                <w:div w:id="1866477662">
                  <w:marLeft w:val="0"/>
                  <w:marRight w:val="0"/>
                  <w:marTop w:val="0"/>
                  <w:marBottom w:val="0"/>
                  <w:divBdr>
                    <w:top w:val="none" w:sz="0" w:space="0" w:color="auto"/>
                    <w:left w:val="none" w:sz="0" w:space="0" w:color="auto"/>
                    <w:bottom w:val="none" w:sz="0" w:space="0" w:color="auto"/>
                    <w:right w:val="none" w:sz="0" w:space="0" w:color="auto"/>
                  </w:divBdr>
                </w:div>
              </w:divsChild>
            </w:div>
            <w:div w:id="1555774930">
              <w:marLeft w:val="0"/>
              <w:marRight w:val="0"/>
              <w:marTop w:val="0"/>
              <w:marBottom w:val="0"/>
              <w:divBdr>
                <w:top w:val="none" w:sz="0" w:space="0" w:color="auto"/>
                <w:left w:val="none" w:sz="0" w:space="0" w:color="auto"/>
                <w:bottom w:val="none" w:sz="0" w:space="0" w:color="auto"/>
                <w:right w:val="none" w:sz="0" w:space="0" w:color="auto"/>
              </w:divBdr>
              <w:divsChild>
                <w:div w:id="25446097">
                  <w:marLeft w:val="0"/>
                  <w:marRight w:val="0"/>
                  <w:marTop w:val="0"/>
                  <w:marBottom w:val="0"/>
                  <w:divBdr>
                    <w:top w:val="none" w:sz="0" w:space="0" w:color="auto"/>
                    <w:left w:val="none" w:sz="0" w:space="0" w:color="auto"/>
                    <w:bottom w:val="none" w:sz="0" w:space="0" w:color="auto"/>
                    <w:right w:val="none" w:sz="0" w:space="0" w:color="auto"/>
                  </w:divBdr>
                </w:div>
              </w:divsChild>
            </w:div>
            <w:div w:id="1362590526">
              <w:marLeft w:val="0"/>
              <w:marRight w:val="0"/>
              <w:marTop w:val="0"/>
              <w:marBottom w:val="0"/>
              <w:divBdr>
                <w:top w:val="none" w:sz="0" w:space="0" w:color="auto"/>
                <w:left w:val="none" w:sz="0" w:space="0" w:color="auto"/>
                <w:bottom w:val="none" w:sz="0" w:space="0" w:color="auto"/>
                <w:right w:val="none" w:sz="0" w:space="0" w:color="auto"/>
              </w:divBdr>
              <w:divsChild>
                <w:div w:id="683242329">
                  <w:marLeft w:val="0"/>
                  <w:marRight w:val="0"/>
                  <w:marTop w:val="0"/>
                  <w:marBottom w:val="0"/>
                  <w:divBdr>
                    <w:top w:val="none" w:sz="0" w:space="0" w:color="auto"/>
                    <w:left w:val="none" w:sz="0" w:space="0" w:color="auto"/>
                    <w:bottom w:val="none" w:sz="0" w:space="0" w:color="auto"/>
                    <w:right w:val="none" w:sz="0" w:space="0" w:color="auto"/>
                  </w:divBdr>
                </w:div>
              </w:divsChild>
            </w:div>
            <w:div w:id="11954335">
              <w:marLeft w:val="0"/>
              <w:marRight w:val="0"/>
              <w:marTop w:val="0"/>
              <w:marBottom w:val="0"/>
              <w:divBdr>
                <w:top w:val="none" w:sz="0" w:space="0" w:color="auto"/>
                <w:left w:val="none" w:sz="0" w:space="0" w:color="auto"/>
                <w:bottom w:val="none" w:sz="0" w:space="0" w:color="auto"/>
                <w:right w:val="none" w:sz="0" w:space="0" w:color="auto"/>
              </w:divBdr>
              <w:divsChild>
                <w:div w:id="9511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6946">
          <w:marLeft w:val="0"/>
          <w:marRight w:val="0"/>
          <w:marTop w:val="0"/>
          <w:marBottom w:val="600"/>
          <w:divBdr>
            <w:top w:val="none" w:sz="0" w:space="0" w:color="auto"/>
            <w:left w:val="none" w:sz="0" w:space="0" w:color="auto"/>
            <w:bottom w:val="none" w:sz="0" w:space="0" w:color="auto"/>
            <w:right w:val="none" w:sz="0" w:space="0" w:color="auto"/>
          </w:divBdr>
        </w:div>
      </w:divsChild>
    </w:div>
    <w:div w:id="832069294">
      <w:marLeft w:val="0"/>
      <w:marRight w:val="0"/>
      <w:marTop w:val="0"/>
      <w:marBottom w:val="0"/>
      <w:divBdr>
        <w:top w:val="none" w:sz="0" w:space="0" w:color="auto"/>
        <w:left w:val="none" w:sz="0" w:space="0" w:color="auto"/>
        <w:bottom w:val="none" w:sz="0" w:space="0" w:color="auto"/>
        <w:right w:val="none" w:sz="0" w:space="0" w:color="auto"/>
      </w:divBdr>
      <w:divsChild>
        <w:div w:id="106195018">
          <w:marLeft w:val="0"/>
          <w:marRight w:val="0"/>
          <w:marTop w:val="547"/>
          <w:marBottom w:val="0"/>
          <w:divBdr>
            <w:top w:val="none" w:sz="0" w:space="0" w:color="auto"/>
            <w:left w:val="none" w:sz="0" w:space="0" w:color="auto"/>
            <w:bottom w:val="none" w:sz="0" w:space="0" w:color="auto"/>
            <w:right w:val="none" w:sz="0" w:space="0" w:color="auto"/>
          </w:divBdr>
        </w:div>
        <w:div w:id="374080492">
          <w:marLeft w:val="0"/>
          <w:marRight w:val="0"/>
          <w:marTop w:val="0"/>
          <w:marBottom w:val="0"/>
          <w:divBdr>
            <w:top w:val="none" w:sz="0" w:space="0" w:color="auto"/>
            <w:left w:val="none" w:sz="0" w:space="0" w:color="auto"/>
            <w:bottom w:val="none" w:sz="0" w:space="0" w:color="auto"/>
            <w:right w:val="none" w:sz="0" w:space="0" w:color="auto"/>
          </w:divBdr>
        </w:div>
        <w:div w:id="2064212843">
          <w:marLeft w:val="0"/>
          <w:marRight w:val="0"/>
          <w:marTop w:val="0"/>
          <w:marBottom w:val="600"/>
          <w:divBdr>
            <w:top w:val="none" w:sz="0" w:space="0" w:color="auto"/>
            <w:left w:val="none" w:sz="0" w:space="0" w:color="auto"/>
            <w:bottom w:val="none" w:sz="0" w:space="0" w:color="auto"/>
            <w:right w:val="none" w:sz="0" w:space="0" w:color="auto"/>
          </w:divBdr>
        </w:div>
      </w:divsChild>
    </w:div>
    <w:div w:id="847871195">
      <w:marLeft w:val="0"/>
      <w:marRight w:val="0"/>
      <w:marTop w:val="0"/>
      <w:marBottom w:val="0"/>
      <w:divBdr>
        <w:top w:val="none" w:sz="0" w:space="0" w:color="auto"/>
        <w:left w:val="none" w:sz="0" w:space="0" w:color="auto"/>
        <w:bottom w:val="none" w:sz="0" w:space="0" w:color="auto"/>
        <w:right w:val="none" w:sz="0" w:space="0" w:color="auto"/>
      </w:divBdr>
      <w:divsChild>
        <w:div w:id="1981425271">
          <w:marLeft w:val="0"/>
          <w:marRight w:val="0"/>
          <w:marTop w:val="547"/>
          <w:marBottom w:val="0"/>
          <w:divBdr>
            <w:top w:val="none" w:sz="0" w:space="0" w:color="auto"/>
            <w:left w:val="none" w:sz="0" w:space="0" w:color="auto"/>
            <w:bottom w:val="none" w:sz="0" w:space="0" w:color="auto"/>
            <w:right w:val="none" w:sz="0" w:space="0" w:color="auto"/>
          </w:divBdr>
        </w:div>
        <w:div w:id="1076125312">
          <w:marLeft w:val="0"/>
          <w:marRight w:val="0"/>
          <w:marTop w:val="0"/>
          <w:marBottom w:val="0"/>
          <w:divBdr>
            <w:top w:val="none" w:sz="0" w:space="0" w:color="auto"/>
            <w:left w:val="none" w:sz="0" w:space="0" w:color="auto"/>
            <w:bottom w:val="none" w:sz="0" w:space="0" w:color="auto"/>
            <w:right w:val="none" w:sz="0" w:space="0" w:color="auto"/>
          </w:divBdr>
        </w:div>
        <w:div w:id="1982542012">
          <w:marLeft w:val="0"/>
          <w:marRight w:val="0"/>
          <w:marTop w:val="0"/>
          <w:marBottom w:val="600"/>
          <w:divBdr>
            <w:top w:val="none" w:sz="0" w:space="0" w:color="auto"/>
            <w:left w:val="none" w:sz="0" w:space="0" w:color="auto"/>
            <w:bottom w:val="none" w:sz="0" w:space="0" w:color="auto"/>
            <w:right w:val="none" w:sz="0" w:space="0" w:color="auto"/>
          </w:divBdr>
        </w:div>
      </w:divsChild>
    </w:div>
    <w:div w:id="977760543">
      <w:marLeft w:val="0"/>
      <w:marRight w:val="0"/>
      <w:marTop w:val="0"/>
      <w:marBottom w:val="0"/>
      <w:divBdr>
        <w:top w:val="none" w:sz="0" w:space="0" w:color="auto"/>
        <w:left w:val="none" w:sz="0" w:space="0" w:color="auto"/>
        <w:bottom w:val="none" w:sz="0" w:space="0" w:color="auto"/>
        <w:right w:val="none" w:sz="0" w:space="0" w:color="auto"/>
      </w:divBdr>
      <w:divsChild>
        <w:div w:id="1064372224">
          <w:marLeft w:val="0"/>
          <w:marRight w:val="0"/>
          <w:marTop w:val="547"/>
          <w:marBottom w:val="0"/>
          <w:divBdr>
            <w:top w:val="none" w:sz="0" w:space="0" w:color="auto"/>
            <w:left w:val="none" w:sz="0" w:space="0" w:color="auto"/>
            <w:bottom w:val="none" w:sz="0" w:space="0" w:color="auto"/>
            <w:right w:val="none" w:sz="0" w:space="0" w:color="auto"/>
          </w:divBdr>
        </w:div>
        <w:div w:id="1961372527">
          <w:marLeft w:val="0"/>
          <w:marRight w:val="0"/>
          <w:marTop w:val="0"/>
          <w:marBottom w:val="0"/>
          <w:divBdr>
            <w:top w:val="none" w:sz="0" w:space="0" w:color="auto"/>
            <w:left w:val="none" w:sz="0" w:space="0" w:color="auto"/>
            <w:bottom w:val="none" w:sz="0" w:space="0" w:color="auto"/>
            <w:right w:val="none" w:sz="0" w:space="0" w:color="auto"/>
          </w:divBdr>
        </w:div>
        <w:div w:id="1718813985">
          <w:marLeft w:val="0"/>
          <w:marRight w:val="0"/>
          <w:marTop w:val="0"/>
          <w:marBottom w:val="600"/>
          <w:divBdr>
            <w:top w:val="none" w:sz="0" w:space="0" w:color="auto"/>
            <w:left w:val="none" w:sz="0" w:space="0" w:color="auto"/>
            <w:bottom w:val="none" w:sz="0" w:space="0" w:color="auto"/>
            <w:right w:val="none" w:sz="0" w:space="0" w:color="auto"/>
          </w:divBdr>
        </w:div>
      </w:divsChild>
    </w:div>
    <w:div w:id="979190740">
      <w:marLeft w:val="0"/>
      <w:marRight w:val="0"/>
      <w:marTop w:val="0"/>
      <w:marBottom w:val="0"/>
      <w:divBdr>
        <w:top w:val="none" w:sz="0" w:space="0" w:color="auto"/>
        <w:left w:val="none" w:sz="0" w:space="0" w:color="auto"/>
        <w:bottom w:val="none" w:sz="0" w:space="0" w:color="auto"/>
        <w:right w:val="none" w:sz="0" w:space="0" w:color="auto"/>
      </w:divBdr>
      <w:divsChild>
        <w:div w:id="805242416">
          <w:marLeft w:val="0"/>
          <w:marRight w:val="0"/>
          <w:marTop w:val="547"/>
          <w:marBottom w:val="0"/>
          <w:divBdr>
            <w:top w:val="none" w:sz="0" w:space="0" w:color="auto"/>
            <w:left w:val="none" w:sz="0" w:space="0" w:color="auto"/>
            <w:bottom w:val="none" w:sz="0" w:space="0" w:color="auto"/>
            <w:right w:val="none" w:sz="0" w:space="0" w:color="auto"/>
          </w:divBdr>
        </w:div>
        <w:div w:id="1244340677">
          <w:marLeft w:val="0"/>
          <w:marRight w:val="0"/>
          <w:marTop w:val="0"/>
          <w:marBottom w:val="0"/>
          <w:divBdr>
            <w:top w:val="none" w:sz="0" w:space="0" w:color="auto"/>
            <w:left w:val="none" w:sz="0" w:space="0" w:color="auto"/>
            <w:bottom w:val="none" w:sz="0" w:space="0" w:color="auto"/>
            <w:right w:val="none" w:sz="0" w:space="0" w:color="auto"/>
          </w:divBdr>
        </w:div>
        <w:div w:id="545214755">
          <w:marLeft w:val="0"/>
          <w:marRight w:val="0"/>
          <w:marTop w:val="0"/>
          <w:marBottom w:val="600"/>
          <w:divBdr>
            <w:top w:val="none" w:sz="0" w:space="0" w:color="auto"/>
            <w:left w:val="none" w:sz="0" w:space="0" w:color="auto"/>
            <w:bottom w:val="none" w:sz="0" w:space="0" w:color="auto"/>
            <w:right w:val="none" w:sz="0" w:space="0" w:color="auto"/>
          </w:divBdr>
        </w:div>
      </w:divsChild>
    </w:div>
    <w:div w:id="998918936">
      <w:marLeft w:val="0"/>
      <w:marRight w:val="0"/>
      <w:marTop w:val="0"/>
      <w:marBottom w:val="0"/>
      <w:divBdr>
        <w:top w:val="none" w:sz="0" w:space="0" w:color="auto"/>
        <w:left w:val="none" w:sz="0" w:space="0" w:color="auto"/>
        <w:bottom w:val="none" w:sz="0" w:space="0" w:color="auto"/>
        <w:right w:val="none" w:sz="0" w:space="0" w:color="auto"/>
      </w:divBdr>
      <w:divsChild>
        <w:div w:id="780027470">
          <w:marLeft w:val="0"/>
          <w:marRight w:val="0"/>
          <w:marTop w:val="547"/>
          <w:marBottom w:val="0"/>
          <w:divBdr>
            <w:top w:val="none" w:sz="0" w:space="0" w:color="auto"/>
            <w:left w:val="none" w:sz="0" w:space="0" w:color="auto"/>
            <w:bottom w:val="none" w:sz="0" w:space="0" w:color="auto"/>
            <w:right w:val="none" w:sz="0" w:space="0" w:color="auto"/>
          </w:divBdr>
        </w:div>
        <w:div w:id="841311485">
          <w:marLeft w:val="0"/>
          <w:marRight w:val="0"/>
          <w:marTop w:val="0"/>
          <w:marBottom w:val="0"/>
          <w:divBdr>
            <w:top w:val="none" w:sz="0" w:space="0" w:color="auto"/>
            <w:left w:val="none" w:sz="0" w:space="0" w:color="auto"/>
            <w:bottom w:val="none" w:sz="0" w:space="0" w:color="auto"/>
            <w:right w:val="none" w:sz="0" w:space="0" w:color="auto"/>
          </w:divBdr>
        </w:div>
        <w:div w:id="1674915918">
          <w:marLeft w:val="0"/>
          <w:marRight w:val="0"/>
          <w:marTop w:val="0"/>
          <w:marBottom w:val="600"/>
          <w:divBdr>
            <w:top w:val="none" w:sz="0" w:space="0" w:color="auto"/>
            <w:left w:val="none" w:sz="0" w:space="0" w:color="auto"/>
            <w:bottom w:val="none" w:sz="0" w:space="0" w:color="auto"/>
            <w:right w:val="none" w:sz="0" w:space="0" w:color="auto"/>
          </w:divBdr>
        </w:div>
      </w:divsChild>
    </w:div>
    <w:div w:id="1014385052">
      <w:marLeft w:val="0"/>
      <w:marRight w:val="0"/>
      <w:marTop w:val="0"/>
      <w:marBottom w:val="0"/>
      <w:divBdr>
        <w:top w:val="none" w:sz="0" w:space="0" w:color="auto"/>
        <w:left w:val="none" w:sz="0" w:space="0" w:color="auto"/>
        <w:bottom w:val="none" w:sz="0" w:space="0" w:color="auto"/>
        <w:right w:val="none" w:sz="0" w:space="0" w:color="auto"/>
      </w:divBdr>
      <w:divsChild>
        <w:div w:id="1859392495">
          <w:marLeft w:val="0"/>
          <w:marRight w:val="0"/>
          <w:marTop w:val="547"/>
          <w:marBottom w:val="0"/>
          <w:divBdr>
            <w:top w:val="none" w:sz="0" w:space="0" w:color="auto"/>
            <w:left w:val="none" w:sz="0" w:space="0" w:color="auto"/>
            <w:bottom w:val="none" w:sz="0" w:space="0" w:color="auto"/>
            <w:right w:val="none" w:sz="0" w:space="0" w:color="auto"/>
          </w:divBdr>
        </w:div>
        <w:div w:id="137379467">
          <w:marLeft w:val="0"/>
          <w:marRight w:val="0"/>
          <w:marTop w:val="0"/>
          <w:marBottom w:val="0"/>
          <w:divBdr>
            <w:top w:val="none" w:sz="0" w:space="0" w:color="auto"/>
            <w:left w:val="none" w:sz="0" w:space="0" w:color="auto"/>
            <w:bottom w:val="none" w:sz="0" w:space="0" w:color="auto"/>
            <w:right w:val="none" w:sz="0" w:space="0" w:color="auto"/>
          </w:divBdr>
          <w:divsChild>
            <w:div w:id="106586433">
              <w:marLeft w:val="0"/>
              <w:marRight w:val="0"/>
              <w:marTop w:val="0"/>
              <w:marBottom w:val="0"/>
              <w:divBdr>
                <w:top w:val="none" w:sz="0" w:space="0" w:color="auto"/>
                <w:left w:val="none" w:sz="0" w:space="0" w:color="auto"/>
                <w:bottom w:val="none" w:sz="0" w:space="0" w:color="auto"/>
                <w:right w:val="none" w:sz="0" w:space="0" w:color="auto"/>
              </w:divBdr>
              <w:divsChild>
                <w:div w:id="1384404448">
                  <w:marLeft w:val="0"/>
                  <w:marRight w:val="0"/>
                  <w:marTop w:val="0"/>
                  <w:marBottom w:val="0"/>
                  <w:divBdr>
                    <w:top w:val="none" w:sz="0" w:space="0" w:color="auto"/>
                    <w:left w:val="none" w:sz="0" w:space="0" w:color="auto"/>
                    <w:bottom w:val="none" w:sz="0" w:space="0" w:color="auto"/>
                    <w:right w:val="none" w:sz="0" w:space="0" w:color="auto"/>
                  </w:divBdr>
                </w:div>
              </w:divsChild>
            </w:div>
            <w:div w:id="423915033">
              <w:marLeft w:val="0"/>
              <w:marRight w:val="0"/>
              <w:marTop w:val="0"/>
              <w:marBottom w:val="0"/>
              <w:divBdr>
                <w:top w:val="none" w:sz="0" w:space="0" w:color="auto"/>
                <w:left w:val="none" w:sz="0" w:space="0" w:color="auto"/>
                <w:bottom w:val="none" w:sz="0" w:space="0" w:color="auto"/>
                <w:right w:val="none" w:sz="0" w:space="0" w:color="auto"/>
              </w:divBdr>
              <w:divsChild>
                <w:div w:id="461771391">
                  <w:marLeft w:val="0"/>
                  <w:marRight w:val="0"/>
                  <w:marTop w:val="0"/>
                  <w:marBottom w:val="0"/>
                  <w:divBdr>
                    <w:top w:val="none" w:sz="0" w:space="0" w:color="auto"/>
                    <w:left w:val="none" w:sz="0" w:space="0" w:color="auto"/>
                    <w:bottom w:val="none" w:sz="0" w:space="0" w:color="auto"/>
                    <w:right w:val="none" w:sz="0" w:space="0" w:color="auto"/>
                  </w:divBdr>
                </w:div>
              </w:divsChild>
            </w:div>
            <w:div w:id="710690438">
              <w:marLeft w:val="0"/>
              <w:marRight w:val="0"/>
              <w:marTop w:val="0"/>
              <w:marBottom w:val="0"/>
              <w:divBdr>
                <w:top w:val="none" w:sz="0" w:space="0" w:color="auto"/>
                <w:left w:val="none" w:sz="0" w:space="0" w:color="auto"/>
                <w:bottom w:val="none" w:sz="0" w:space="0" w:color="auto"/>
                <w:right w:val="none" w:sz="0" w:space="0" w:color="auto"/>
              </w:divBdr>
              <w:divsChild>
                <w:div w:id="1401371109">
                  <w:marLeft w:val="0"/>
                  <w:marRight w:val="0"/>
                  <w:marTop w:val="0"/>
                  <w:marBottom w:val="0"/>
                  <w:divBdr>
                    <w:top w:val="none" w:sz="0" w:space="0" w:color="auto"/>
                    <w:left w:val="none" w:sz="0" w:space="0" w:color="auto"/>
                    <w:bottom w:val="none" w:sz="0" w:space="0" w:color="auto"/>
                    <w:right w:val="none" w:sz="0" w:space="0" w:color="auto"/>
                  </w:divBdr>
                </w:div>
              </w:divsChild>
            </w:div>
            <w:div w:id="1071655345">
              <w:marLeft w:val="0"/>
              <w:marRight w:val="0"/>
              <w:marTop w:val="0"/>
              <w:marBottom w:val="0"/>
              <w:divBdr>
                <w:top w:val="none" w:sz="0" w:space="0" w:color="auto"/>
                <w:left w:val="none" w:sz="0" w:space="0" w:color="auto"/>
                <w:bottom w:val="none" w:sz="0" w:space="0" w:color="auto"/>
                <w:right w:val="none" w:sz="0" w:space="0" w:color="auto"/>
              </w:divBdr>
              <w:divsChild>
                <w:div w:id="545609532">
                  <w:marLeft w:val="0"/>
                  <w:marRight w:val="0"/>
                  <w:marTop w:val="0"/>
                  <w:marBottom w:val="0"/>
                  <w:divBdr>
                    <w:top w:val="none" w:sz="0" w:space="0" w:color="auto"/>
                    <w:left w:val="none" w:sz="0" w:space="0" w:color="auto"/>
                    <w:bottom w:val="none" w:sz="0" w:space="0" w:color="auto"/>
                    <w:right w:val="none" w:sz="0" w:space="0" w:color="auto"/>
                  </w:divBdr>
                </w:div>
              </w:divsChild>
            </w:div>
            <w:div w:id="1962691001">
              <w:marLeft w:val="0"/>
              <w:marRight w:val="0"/>
              <w:marTop w:val="0"/>
              <w:marBottom w:val="0"/>
              <w:divBdr>
                <w:top w:val="none" w:sz="0" w:space="0" w:color="auto"/>
                <w:left w:val="none" w:sz="0" w:space="0" w:color="auto"/>
                <w:bottom w:val="none" w:sz="0" w:space="0" w:color="auto"/>
                <w:right w:val="none" w:sz="0" w:space="0" w:color="auto"/>
              </w:divBdr>
              <w:divsChild>
                <w:div w:id="85074325">
                  <w:marLeft w:val="0"/>
                  <w:marRight w:val="0"/>
                  <w:marTop w:val="0"/>
                  <w:marBottom w:val="0"/>
                  <w:divBdr>
                    <w:top w:val="none" w:sz="0" w:space="0" w:color="auto"/>
                    <w:left w:val="none" w:sz="0" w:space="0" w:color="auto"/>
                    <w:bottom w:val="none" w:sz="0" w:space="0" w:color="auto"/>
                    <w:right w:val="none" w:sz="0" w:space="0" w:color="auto"/>
                  </w:divBdr>
                </w:div>
              </w:divsChild>
            </w:div>
            <w:div w:id="374045727">
              <w:marLeft w:val="0"/>
              <w:marRight w:val="0"/>
              <w:marTop w:val="0"/>
              <w:marBottom w:val="0"/>
              <w:divBdr>
                <w:top w:val="none" w:sz="0" w:space="0" w:color="auto"/>
                <w:left w:val="none" w:sz="0" w:space="0" w:color="auto"/>
                <w:bottom w:val="none" w:sz="0" w:space="0" w:color="auto"/>
                <w:right w:val="none" w:sz="0" w:space="0" w:color="auto"/>
              </w:divBdr>
              <w:divsChild>
                <w:div w:id="1751272594">
                  <w:marLeft w:val="0"/>
                  <w:marRight w:val="0"/>
                  <w:marTop w:val="0"/>
                  <w:marBottom w:val="0"/>
                  <w:divBdr>
                    <w:top w:val="none" w:sz="0" w:space="0" w:color="auto"/>
                    <w:left w:val="none" w:sz="0" w:space="0" w:color="auto"/>
                    <w:bottom w:val="none" w:sz="0" w:space="0" w:color="auto"/>
                    <w:right w:val="none" w:sz="0" w:space="0" w:color="auto"/>
                  </w:divBdr>
                </w:div>
              </w:divsChild>
            </w:div>
            <w:div w:id="1311787463">
              <w:marLeft w:val="0"/>
              <w:marRight w:val="0"/>
              <w:marTop w:val="0"/>
              <w:marBottom w:val="0"/>
              <w:divBdr>
                <w:top w:val="none" w:sz="0" w:space="0" w:color="auto"/>
                <w:left w:val="none" w:sz="0" w:space="0" w:color="auto"/>
                <w:bottom w:val="none" w:sz="0" w:space="0" w:color="auto"/>
                <w:right w:val="none" w:sz="0" w:space="0" w:color="auto"/>
              </w:divBdr>
              <w:divsChild>
                <w:div w:id="1678576703">
                  <w:marLeft w:val="0"/>
                  <w:marRight w:val="0"/>
                  <w:marTop w:val="0"/>
                  <w:marBottom w:val="0"/>
                  <w:divBdr>
                    <w:top w:val="none" w:sz="0" w:space="0" w:color="auto"/>
                    <w:left w:val="none" w:sz="0" w:space="0" w:color="auto"/>
                    <w:bottom w:val="none" w:sz="0" w:space="0" w:color="auto"/>
                    <w:right w:val="none" w:sz="0" w:space="0" w:color="auto"/>
                  </w:divBdr>
                </w:div>
              </w:divsChild>
            </w:div>
            <w:div w:id="1259676863">
              <w:marLeft w:val="0"/>
              <w:marRight w:val="0"/>
              <w:marTop w:val="0"/>
              <w:marBottom w:val="0"/>
              <w:divBdr>
                <w:top w:val="none" w:sz="0" w:space="0" w:color="auto"/>
                <w:left w:val="none" w:sz="0" w:space="0" w:color="auto"/>
                <w:bottom w:val="none" w:sz="0" w:space="0" w:color="auto"/>
                <w:right w:val="none" w:sz="0" w:space="0" w:color="auto"/>
              </w:divBdr>
              <w:divsChild>
                <w:div w:id="2067147434">
                  <w:marLeft w:val="0"/>
                  <w:marRight w:val="0"/>
                  <w:marTop w:val="0"/>
                  <w:marBottom w:val="0"/>
                  <w:divBdr>
                    <w:top w:val="none" w:sz="0" w:space="0" w:color="auto"/>
                    <w:left w:val="none" w:sz="0" w:space="0" w:color="auto"/>
                    <w:bottom w:val="none" w:sz="0" w:space="0" w:color="auto"/>
                    <w:right w:val="none" w:sz="0" w:space="0" w:color="auto"/>
                  </w:divBdr>
                </w:div>
              </w:divsChild>
            </w:div>
            <w:div w:id="179122478">
              <w:marLeft w:val="0"/>
              <w:marRight w:val="0"/>
              <w:marTop w:val="0"/>
              <w:marBottom w:val="0"/>
              <w:divBdr>
                <w:top w:val="none" w:sz="0" w:space="0" w:color="auto"/>
                <w:left w:val="none" w:sz="0" w:space="0" w:color="auto"/>
                <w:bottom w:val="none" w:sz="0" w:space="0" w:color="auto"/>
                <w:right w:val="none" w:sz="0" w:space="0" w:color="auto"/>
              </w:divBdr>
              <w:divsChild>
                <w:div w:id="918951964">
                  <w:marLeft w:val="0"/>
                  <w:marRight w:val="0"/>
                  <w:marTop w:val="0"/>
                  <w:marBottom w:val="0"/>
                  <w:divBdr>
                    <w:top w:val="none" w:sz="0" w:space="0" w:color="auto"/>
                    <w:left w:val="none" w:sz="0" w:space="0" w:color="auto"/>
                    <w:bottom w:val="none" w:sz="0" w:space="0" w:color="auto"/>
                    <w:right w:val="none" w:sz="0" w:space="0" w:color="auto"/>
                  </w:divBdr>
                </w:div>
              </w:divsChild>
            </w:div>
            <w:div w:id="590161696">
              <w:marLeft w:val="0"/>
              <w:marRight w:val="0"/>
              <w:marTop w:val="0"/>
              <w:marBottom w:val="0"/>
              <w:divBdr>
                <w:top w:val="none" w:sz="0" w:space="0" w:color="auto"/>
                <w:left w:val="none" w:sz="0" w:space="0" w:color="auto"/>
                <w:bottom w:val="none" w:sz="0" w:space="0" w:color="auto"/>
                <w:right w:val="none" w:sz="0" w:space="0" w:color="auto"/>
              </w:divBdr>
              <w:divsChild>
                <w:div w:id="1478181927">
                  <w:marLeft w:val="0"/>
                  <w:marRight w:val="0"/>
                  <w:marTop w:val="0"/>
                  <w:marBottom w:val="0"/>
                  <w:divBdr>
                    <w:top w:val="none" w:sz="0" w:space="0" w:color="auto"/>
                    <w:left w:val="none" w:sz="0" w:space="0" w:color="auto"/>
                    <w:bottom w:val="none" w:sz="0" w:space="0" w:color="auto"/>
                    <w:right w:val="none" w:sz="0" w:space="0" w:color="auto"/>
                  </w:divBdr>
                </w:div>
              </w:divsChild>
            </w:div>
            <w:div w:id="493649346">
              <w:marLeft w:val="0"/>
              <w:marRight w:val="0"/>
              <w:marTop w:val="0"/>
              <w:marBottom w:val="0"/>
              <w:divBdr>
                <w:top w:val="none" w:sz="0" w:space="0" w:color="auto"/>
                <w:left w:val="none" w:sz="0" w:space="0" w:color="auto"/>
                <w:bottom w:val="none" w:sz="0" w:space="0" w:color="auto"/>
                <w:right w:val="none" w:sz="0" w:space="0" w:color="auto"/>
              </w:divBdr>
              <w:divsChild>
                <w:div w:id="293678194">
                  <w:marLeft w:val="0"/>
                  <w:marRight w:val="0"/>
                  <w:marTop w:val="0"/>
                  <w:marBottom w:val="0"/>
                  <w:divBdr>
                    <w:top w:val="none" w:sz="0" w:space="0" w:color="auto"/>
                    <w:left w:val="none" w:sz="0" w:space="0" w:color="auto"/>
                    <w:bottom w:val="none" w:sz="0" w:space="0" w:color="auto"/>
                    <w:right w:val="none" w:sz="0" w:space="0" w:color="auto"/>
                  </w:divBdr>
                </w:div>
              </w:divsChild>
            </w:div>
            <w:div w:id="91634153">
              <w:marLeft w:val="0"/>
              <w:marRight w:val="0"/>
              <w:marTop w:val="0"/>
              <w:marBottom w:val="0"/>
              <w:divBdr>
                <w:top w:val="none" w:sz="0" w:space="0" w:color="auto"/>
                <w:left w:val="none" w:sz="0" w:space="0" w:color="auto"/>
                <w:bottom w:val="none" w:sz="0" w:space="0" w:color="auto"/>
                <w:right w:val="none" w:sz="0" w:space="0" w:color="auto"/>
              </w:divBdr>
              <w:divsChild>
                <w:div w:id="384303791">
                  <w:marLeft w:val="0"/>
                  <w:marRight w:val="0"/>
                  <w:marTop w:val="0"/>
                  <w:marBottom w:val="0"/>
                  <w:divBdr>
                    <w:top w:val="none" w:sz="0" w:space="0" w:color="auto"/>
                    <w:left w:val="none" w:sz="0" w:space="0" w:color="auto"/>
                    <w:bottom w:val="none" w:sz="0" w:space="0" w:color="auto"/>
                    <w:right w:val="none" w:sz="0" w:space="0" w:color="auto"/>
                  </w:divBdr>
                </w:div>
              </w:divsChild>
            </w:div>
            <w:div w:id="1237936756">
              <w:marLeft w:val="0"/>
              <w:marRight w:val="0"/>
              <w:marTop w:val="0"/>
              <w:marBottom w:val="0"/>
              <w:divBdr>
                <w:top w:val="none" w:sz="0" w:space="0" w:color="auto"/>
                <w:left w:val="none" w:sz="0" w:space="0" w:color="auto"/>
                <w:bottom w:val="none" w:sz="0" w:space="0" w:color="auto"/>
                <w:right w:val="none" w:sz="0" w:space="0" w:color="auto"/>
              </w:divBdr>
              <w:divsChild>
                <w:div w:id="842235448">
                  <w:marLeft w:val="0"/>
                  <w:marRight w:val="0"/>
                  <w:marTop w:val="0"/>
                  <w:marBottom w:val="0"/>
                  <w:divBdr>
                    <w:top w:val="none" w:sz="0" w:space="0" w:color="auto"/>
                    <w:left w:val="none" w:sz="0" w:space="0" w:color="auto"/>
                    <w:bottom w:val="none" w:sz="0" w:space="0" w:color="auto"/>
                    <w:right w:val="none" w:sz="0" w:space="0" w:color="auto"/>
                  </w:divBdr>
                </w:div>
              </w:divsChild>
            </w:div>
            <w:div w:id="844901216">
              <w:marLeft w:val="0"/>
              <w:marRight w:val="0"/>
              <w:marTop w:val="0"/>
              <w:marBottom w:val="0"/>
              <w:divBdr>
                <w:top w:val="none" w:sz="0" w:space="0" w:color="auto"/>
                <w:left w:val="none" w:sz="0" w:space="0" w:color="auto"/>
                <w:bottom w:val="none" w:sz="0" w:space="0" w:color="auto"/>
                <w:right w:val="none" w:sz="0" w:space="0" w:color="auto"/>
              </w:divBdr>
              <w:divsChild>
                <w:div w:id="427193277">
                  <w:marLeft w:val="0"/>
                  <w:marRight w:val="0"/>
                  <w:marTop w:val="0"/>
                  <w:marBottom w:val="0"/>
                  <w:divBdr>
                    <w:top w:val="none" w:sz="0" w:space="0" w:color="auto"/>
                    <w:left w:val="none" w:sz="0" w:space="0" w:color="auto"/>
                    <w:bottom w:val="none" w:sz="0" w:space="0" w:color="auto"/>
                    <w:right w:val="none" w:sz="0" w:space="0" w:color="auto"/>
                  </w:divBdr>
                </w:div>
              </w:divsChild>
            </w:div>
            <w:div w:id="55664567">
              <w:marLeft w:val="0"/>
              <w:marRight w:val="0"/>
              <w:marTop w:val="0"/>
              <w:marBottom w:val="0"/>
              <w:divBdr>
                <w:top w:val="none" w:sz="0" w:space="0" w:color="auto"/>
                <w:left w:val="none" w:sz="0" w:space="0" w:color="auto"/>
                <w:bottom w:val="none" w:sz="0" w:space="0" w:color="auto"/>
                <w:right w:val="none" w:sz="0" w:space="0" w:color="auto"/>
              </w:divBdr>
              <w:divsChild>
                <w:div w:id="557327339">
                  <w:marLeft w:val="0"/>
                  <w:marRight w:val="0"/>
                  <w:marTop w:val="0"/>
                  <w:marBottom w:val="0"/>
                  <w:divBdr>
                    <w:top w:val="none" w:sz="0" w:space="0" w:color="auto"/>
                    <w:left w:val="none" w:sz="0" w:space="0" w:color="auto"/>
                    <w:bottom w:val="none" w:sz="0" w:space="0" w:color="auto"/>
                    <w:right w:val="none" w:sz="0" w:space="0" w:color="auto"/>
                  </w:divBdr>
                </w:div>
              </w:divsChild>
            </w:div>
            <w:div w:id="574247206">
              <w:marLeft w:val="0"/>
              <w:marRight w:val="0"/>
              <w:marTop w:val="0"/>
              <w:marBottom w:val="0"/>
              <w:divBdr>
                <w:top w:val="none" w:sz="0" w:space="0" w:color="auto"/>
                <w:left w:val="none" w:sz="0" w:space="0" w:color="auto"/>
                <w:bottom w:val="none" w:sz="0" w:space="0" w:color="auto"/>
                <w:right w:val="none" w:sz="0" w:space="0" w:color="auto"/>
              </w:divBdr>
              <w:divsChild>
                <w:div w:id="503516462">
                  <w:marLeft w:val="0"/>
                  <w:marRight w:val="0"/>
                  <w:marTop w:val="0"/>
                  <w:marBottom w:val="0"/>
                  <w:divBdr>
                    <w:top w:val="none" w:sz="0" w:space="0" w:color="auto"/>
                    <w:left w:val="none" w:sz="0" w:space="0" w:color="auto"/>
                    <w:bottom w:val="none" w:sz="0" w:space="0" w:color="auto"/>
                    <w:right w:val="none" w:sz="0" w:space="0" w:color="auto"/>
                  </w:divBdr>
                </w:div>
              </w:divsChild>
            </w:div>
            <w:div w:id="1306156805">
              <w:marLeft w:val="0"/>
              <w:marRight w:val="0"/>
              <w:marTop w:val="0"/>
              <w:marBottom w:val="0"/>
              <w:divBdr>
                <w:top w:val="none" w:sz="0" w:space="0" w:color="auto"/>
                <w:left w:val="none" w:sz="0" w:space="0" w:color="auto"/>
                <w:bottom w:val="none" w:sz="0" w:space="0" w:color="auto"/>
                <w:right w:val="none" w:sz="0" w:space="0" w:color="auto"/>
              </w:divBdr>
              <w:divsChild>
                <w:div w:id="1095444411">
                  <w:marLeft w:val="0"/>
                  <w:marRight w:val="0"/>
                  <w:marTop w:val="0"/>
                  <w:marBottom w:val="0"/>
                  <w:divBdr>
                    <w:top w:val="none" w:sz="0" w:space="0" w:color="auto"/>
                    <w:left w:val="none" w:sz="0" w:space="0" w:color="auto"/>
                    <w:bottom w:val="none" w:sz="0" w:space="0" w:color="auto"/>
                    <w:right w:val="none" w:sz="0" w:space="0" w:color="auto"/>
                  </w:divBdr>
                </w:div>
              </w:divsChild>
            </w:div>
            <w:div w:id="1981425647">
              <w:marLeft w:val="0"/>
              <w:marRight w:val="0"/>
              <w:marTop w:val="0"/>
              <w:marBottom w:val="0"/>
              <w:divBdr>
                <w:top w:val="none" w:sz="0" w:space="0" w:color="auto"/>
                <w:left w:val="none" w:sz="0" w:space="0" w:color="auto"/>
                <w:bottom w:val="none" w:sz="0" w:space="0" w:color="auto"/>
                <w:right w:val="none" w:sz="0" w:space="0" w:color="auto"/>
              </w:divBdr>
              <w:divsChild>
                <w:div w:id="1515338092">
                  <w:marLeft w:val="0"/>
                  <w:marRight w:val="0"/>
                  <w:marTop w:val="0"/>
                  <w:marBottom w:val="0"/>
                  <w:divBdr>
                    <w:top w:val="none" w:sz="0" w:space="0" w:color="auto"/>
                    <w:left w:val="none" w:sz="0" w:space="0" w:color="auto"/>
                    <w:bottom w:val="none" w:sz="0" w:space="0" w:color="auto"/>
                    <w:right w:val="none" w:sz="0" w:space="0" w:color="auto"/>
                  </w:divBdr>
                </w:div>
              </w:divsChild>
            </w:div>
            <w:div w:id="570695217">
              <w:marLeft w:val="0"/>
              <w:marRight w:val="0"/>
              <w:marTop w:val="0"/>
              <w:marBottom w:val="0"/>
              <w:divBdr>
                <w:top w:val="none" w:sz="0" w:space="0" w:color="auto"/>
                <w:left w:val="none" w:sz="0" w:space="0" w:color="auto"/>
                <w:bottom w:val="none" w:sz="0" w:space="0" w:color="auto"/>
                <w:right w:val="none" w:sz="0" w:space="0" w:color="auto"/>
              </w:divBdr>
              <w:divsChild>
                <w:div w:id="2128237431">
                  <w:marLeft w:val="0"/>
                  <w:marRight w:val="0"/>
                  <w:marTop w:val="0"/>
                  <w:marBottom w:val="0"/>
                  <w:divBdr>
                    <w:top w:val="none" w:sz="0" w:space="0" w:color="auto"/>
                    <w:left w:val="none" w:sz="0" w:space="0" w:color="auto"/>
                    <w:bottom w:val="none" w:sz="0" w:space="0" w:color="auto"/>
                    <w:right w:val="none" w:sz="0" w:space="0" w:color="auto"/>
                  </w:divBdr>
                </w:div>
              </w:divsChild>
            </w:div>
            <w:div w:id="267852205">
              <w:marLeft w:val="0"/>
              <w:marRight w:val="0"/>
              <w:marTop w:val="0"/>
              <w:marBottom w:val="0"/>
              <w:divBdr>
                <w:top w:val="none" w:sz="0" w:space="0" w:color="auto"/>
                <w:left w:val="none" w:sz="0" w:space="0" w:color="auto"/>
                <w:bottom w:val="none" w:sz="0" w:space="0" w:color="auto"/>
                <w:right w:val="none" w:sz="0" w:space="0" w:color="auto"/>
              </w:divBdr>
              <w:divsChild>
                <w:div w:id="1086463105">
                  <w:marLeft w:val="0"/>
                  <w:marRight w:val="0"/>
                  <w:marTop w:val="0"/>
                  <w:marBottom w:val="0"/>
                  <w:divBdr>
                    <w:top w:val="none" w:sz="0" w:space="0" w:color="auto"/>
                    <w:left w:val="none" w:sz="0" w:space="0" w:color="auto"/>
                    <w:bottom w:val="none" w:sz="0" w:space="0" w:color="auto"/>
                    <w:right w:val="none" w:sz="0" w:space="0" w:color="auto"/>
                  </w:divBdr>
                </w:div>
              </w:divsChild>
            </w:div>
            <w:div w:id="1043402869">
              <w:marLeft w:val="0"/>
              <w:marRight w:val="0"/>
              <w:marTop w:val="0"/>
              <w:marBottom w:val="0"/>
              <w:divBdr>
                <w:top w:val="none" w:sz="0" w:space="0" w:color="auto"/>
                <w:left w:val="none" w:sz="0" w:space="0" w:color="auto"/>
                <w:bottom w:val="none" w:sz="0" w:space="0" w:color="auto"/>
                <w:right w:val="none" w:sz="0" w:space="0" w:color="auto"/>
              </w:divBdr>
              <w:divsChild>
                <w:div w:id="534584737">
                  <w:marLeft w:val="0"/>
                  <w:marRight w:val="0"/>
                  <w:marTop w:val="0"/>
                  <w:marBottom w:val="0"/>
                  <w:divBdr>
                    <w:top w:val="none" w:sz="0" w:space="0" w:color="auto"/>
                    <w:left w:val="none" w:sz="0" w:space="0" w:color="auto"/>
                    <w:bottom w:val="none" w:sz="0" w:space="0" w:color="auto"/>
                    <w:right w:val="none" w:sz="0" w:space="0" w:color="auto"/>
                  </w:divBdr>
                </w:div>
              </w:divsChild>
            </w:div>
            <w:div w:id="615411702">
              <w:marLeft w:val="0"/>
              <w:marRight w:val="0"/>
              <w:marTop w:val="0"/>
              <w:marBottom w:val="0"/>
              <w:divBdr>
                <w:top w:val="none" w:sz="0" w:space="0" w:color="auto"/>
                <w:left w:val="none" w:sz="0" w:space="0" w:color="auto"/>
                <w:bottom w:val="none" w:sz="0" w:space="0" w:color="auto"/>
                <w:right w:val="none" w:sz="0" w:space="0" w:color="auto"/>
              </w:divBdr>
              <w:divsChild>
                <w:div w:id="18056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236">
          <w:marLeft w:val="0"/>
          <w:marRight w:val="0"/>
          <w:marTop w:val="0"/>
          <w:marBottom w:val="600"/>
          <w:divBdr>
            <w:top w:val="none" w:sz="0" w:space="0" w:color="auto"/>
            <w:left w:val="none" w:sz="0" w:space="0" w:color="auto"/>
            <w:bottom w:val="none" w:sz="0" w:space="0" w:color="auto"/>
            <w:right w:val="none" w:sz="0" w:space="0" w:color="auto"/>
          </w:divBdr>
        </w:div>
      </w:divsChild>
    </w:div>
    <w:div w:id="1061294658">
      <w:marLeft w:val="0"/>
      <w:marRight w:val="0"/>
      <w:marTop w:val="0"/>
      <w:marBottom w:val="0"/>
      <w:divBdr>
        <w:top w:val="none" w:sz="0" w:space="0" w:color="auto"/>
        <w:left w:val="none" w:sz="0" w:space="0" w:color="auto"/>
        <w:bottom w:val="none" w:sz="0" w:space="0" w:color="auto"/>
        <w:right w:val="none" w:sz="0" w:space="0" w:color="auto"/>
      </w:divBdr>
      <w:divsChild>
        <w:div w:id="361826525">
          <w:marLeft w:val="0"/>
          <w:marRight w:val="0"/>
          <w:marTop w:val="547"/>
          <w:marBottom w:val="0"/>
          <w:divBdr>
            <w:top w:val="none" w:sz="0" w:space="0" w:color="auto"/>
            <w:left w:val="none" w:sz="0" w:space="0" w:color="auto"/>
            <w:bottom w:val="none" w:sz="0" w:space="0" w:color="auto"/>
            <w:right w:val="none" w:sz="0" w:space="0" w:color="auto"/>
          </w:divBdr>
        </w:div>
        <w:div w:id="1973749852">
          <w:marLeft w:val="0"/>
          <w:marRight w:val="0"/>
          <w:marTop w:val="0"/>
          <w:marBottom w:val="0"/>
          <w:divBdr>
            <w:top w:val="none" w:sz="0" w:space="0" w:color="auto"/>
            <w:left w:val="none" w:sz="0" w:space="0" w:color="auto"/>
            <w:bottom w:val="none" w:sz="0" w:space="0" w:color="auto"/>
            <w:right w:val="none" w:sz="0" w:space="0" w:color="auto"/>
          </w:divBdr>
          <w:divsChild>
            <w:div w:id="345451300">
              <w:marLeft w:val="0"/>
              <w:marRight w:val="0"/>
              <w:marTop w:val="0"/>
              <w:marBottom w:val="0"/>
              <w:divBdr>
                <w:top w:val="none" w:sz="0" w:space="0" w:color="auto"/>
                <w:left w:val="none" w:sz="0" w:space="0" w:color="auto"/>
                <w:bottom w:val="none" w:sz="0" w:space="0" w:color="auto"/>
                <w:right w:val="none" w:sz="0" w:space="0" w:color="auto"/>
              </w:divBdr>
              <w:divsChild>
                <w:div w:id="344523843">
                  <w:marLeft w:val="0"/>
                  <w:marRight w:val="0"/>
                  <w:marTop w:val="0"/>
                  <w:marBottom w:val="0"/>
                  <w:divBdr>
                    <w:top w:val="none" w:sz="0" w:space="0" w:color="auto"/>
                    <w:left w:val="none" w:sz="0" w:space="0" w:color="auto"/>
                    <w:bottom w:val="none" w:sz="0" w:space="0" w:color="auto"/>
                    <w:right w:val="none" w:sz="0" w:space="0" w:color="auto"/>
                  </w:divBdr>
                </w:div>
              </w:divsChild>
            </w:div>
            <w:div w:id="1038354657">
              <w:marLeft w:val="0"/>
              <w:marRight w:val="0"/>
              <w:marTop w:val="0"/>
              <w:marBottom w:val="0"/>
              <w:divBdr>
                <w:top w:val="none" w:sz="0" w:space="0" w:color="auto"/>
                <w:left w:val="none" w:sz="0" w:space="0" w:color="auto"/>
                <w:bottom w:val="none" w:sz="0" w:space="0" w:color="auto"/>
                <w:right w:val="none" w:sz="0" w:space="0" w:color="auto"/>
              </w:divBdr>
              <w:divsChild>
                <w:div w:id="629018570">
                  <w:marLeft w:val="0"/>
                  <w:marRight w:val="0"/>
                  <w:marTop w:val="0"/>
                  <w:marBottom w:val="0"/>
                  <w:divBdr>
                    <w:top w:val="none" w:sz="0" w:space="0" w:color="auto"/>
                    <w:left w:val="none" w:sz="0" w:space="0" w:color="auto"/>
                    <w:bottom w:val="none" w:sz="0" w:space="0" w:color="auto"/>
                    <w:right w:val="none" w:sz="0" w:space="0" w:color="auto"/>
                  </w:divBdr>
                </w:div>
              </w:divsChild>
            </w:div>
            <w:div w:id="1286275860">
              <w:marLeft w:val="0"/>
              <w:marRight w:val="0"/>
              <w:marTop w:val="0"/>
              <w:marBottom w:val="0"/>
              <w:divBdr>
                <w:top w:val="none" w:sz="0" w:space="0" w:color="auto"/>
                <w:left w:val="none" w:sz="0" w:space="0" w:color="auto"/>
                <w:bottom w:val="none" w:sz="0" w:space="0" w:color="auto"/>
                <w:right w:val="none" w:sz="0" w:space="0" w:color="auto"/>
              </w:divBdr>
              <w:divsChild>
                <w:div w:id="1023165460">
                  <w:marLeft w:val="0"/>
                  <w:marRight w:val="0"/>
                  <w:marTop w:val="0"/>
                  <w:marBottom w:val="0"/>
                  <w:divBdr>
                    <w:top w:val="none" w:sz="0" w:space="0" w:color="auto"/>
                    <w:left w:val="none" w:sz="0" w:space="0" w:color="auto"/>
                    <w:bottom w:val="none" w:sz="0" w:space="0" w:color="auto"/>
                    <w:right w:val="none" w:sz="0" w:space="0" w:color="auto"/>
                  </w:divBdr>
                </w:div>
              </w:divsChild>
            </w:div>
            <w:div w:id="2021079254">
              <w:marLeft w:val="0"/>
              <w:marRight w:val="0"/>
              <w:marTop w:val="0"/>
              <w:marBottom w:val="0"/>
              <w:divBdr>
                <w:top w:val="none" w:sz="0" w:space="0" w:color="auto"/>
                <w:left w:val="none" w:sz="0" w:space="0" w:color="auto"/>
                <w:bottom w:val="none" w:sz="0" w:space="0" w:color="auto"/>
                <w:right w:val="none" w:sz="0" w:space="0" w:color="auto"/>
              </w:divBdr>
              <w:divsChild>
                <w:div w:id="349570845">
                  <w:marLeft w:val="0"/>
                  <w:marRight w:val="0"/>
                  <w:marTop w:val="0"/>
                  <w:marBottom w:val="0"/>
                  <w:divBdr>
                    <w:top w:val="none" w:sz="0" w:space="0" w:color="auto"/>
                    <w:left w:val="none" w:sz="0" w:space="0" w:color="auto"/>
                    <w:bottom w:val="none" w:sz="0" w:space="0" w:color="auto"/>
                    <w:right w:val="none" w:sz="0" w:space="0" w:color="auto"/>
                  </w:divBdr>
                </w:div>
              </w:divsChild>
            </w:div>
            <w:div w:id="468088279">
              <w:marLeft w:val="0"/>
              <w:marRight w:val="0"/>
              <w:marTop w:val="0"/>
              <w:marBottom w:val="0"/>
              <w:divBdr>
                <w:top w:val="none" w:sz="0" w:space="0" w:color="auto"/>
                <w:left w:val="none" w:sz="0" w:space="0" w:color="auto"/>
                <w:bottom w:val="none" w:sz="0" w:space="0" w:color="auto"/>
                <w:right w:val="none" w:sz="0" w:space="0" w:color="auto"/>
              </w:divBdr>
              <w:divsChild>
                <w:div w:id="362286158">
                  <w:marLeft w:val="0"/>
                  <w:marRight w:val="0"/>
                  <w:marTop w:val="0"/>
                  <w:marBottom w:val="0"/>
                  <w:divBdr>
                    <w:top w:val="none" w:sz="0" w:space="0" w:color="auto"/>
                    <w:left w:val="none" w:sz="0" w:space="0" w:color="auto"/>
                    <w:bottom w:val="none" w:sz="0" w:space="0" w:color="auto"/>
                    <w:right w:val="none" w:sz="0" w:space="0" w:color="auto"/>
                  </w:divBdr>
                </w:div>
              </w:divsChild>
            </w:div>
            <w:div w:id="1019041285">
              <w:marLeft w:val="0"/>
              <w:marRight w:val="0"/>
              <w:marTop w:val="0"/>
              <w:marBottom w:val="0"/>
              <w:divBdr>
                <w:top w:val="none" w:sz="0" w:space="0" w:color="auto"/>
                <w:left w:val="none" w:sz="0" w:space="0" w:color="auto"/>
                <w:bottom w:val="none" w:sz="0" w:space="0" w:color="auto"/>
                <w:right w:val="none" w:sz="0" w:space="0" w:color="auto"/>
              </w:divBdr>
              <w:divsChild>
                <w:div w:id="1800995281">
                  <w:marLeft w:val="0"/>
                  <w:marRight w:val="0"/>
                  <w:marTop w:val="0"/>
                  <w:marBottom w:val="0"/>
                  <w:divBdr>
                    <w:top w:val="none" w:sz="0" w:space="0" w:color="auto"/>
                    <w:left w:val="none" w:sz="0" w:space="0" w:color="auto"/>
                    <w:bottom w:val="none" w:sz="0" w:space="0" w:color="auto"/>
                    <w:right w:val="none" w:sz="0" w:space="0" w:color="auto"/>
                  </w:divBdr>
                </w:div>
              </w:divsChild>
            </w:div>
            <w:div w:id="989401966">
              <w:marLeft w:val="0"/>
              <w:marRight w:val="0"/>
              <w:marTop w:val="0"/>
              <w:marBottom w:val="0"/>
              <w:divBdr>
                <w:top w:val="none" w:sz="0" w:space="0" w:color="auto"/>
                <w:left w:val="none" w:sz="0" w:space="0" w:color="auto"/>
                <w:bottom w:val="none" w:sz="0" w:space="0" w:color="auto"/>
                <w:right w:val="none" w:sz="0" w:space="0" w:color="auto"/>
              </w:divBdr>
              <w:divsChild>
                <w:div w:id="569929087">
                  <w:marLeft w:val="0"/>
                  <w:marRight w:val="0"/>
                  <w:marTop w:val="0"/>
                  <w:marBottom w:val="0"/>
                  <w:divBdr>
                    <w:top w:val="none" w:sz="0" w:space="0" w:color="auto"/>
                    <w:left w:val="none" w:sz="0" w:space="0" w:color="auto"/>
                    <w:bottom w:val="none" w:sz="0" w:space="0" w:color="auto"/>
                    <w:right w:val="none" w:sz="0" w:space="0" w:color="auto"/>
                  </w:divBdr>
                </w:div>
              </w:divsChild>
            </w:div>
            <w:div w:id="2082167750">
              <w:marLeft w:val="0"/>
              <w:marRight w:val="0"/>
              <w:marTop w:val="0"/>
              <w:marBottom w:val="0"/>
              <w:divBdr>
                <w:top w:val="none" w:sz="0" w:space="0" w:color="auto"/>
                <w:left w:val="none" w:sz="0" w:space="0" w:color="auto"/>
                <w:bottom w:val="none" w:sz="0" w:space="0" w:color="auto"/>
                <w:right w:val="none" w:sz="0" w:space="0" w:color="auto"/>
              </w:divBdr>
              <w:divsChild>
                <w:div w:id="2137678905">
                  <w:marLeft w:val="0"/>
                  <w:marRight w:val="0"/>
                  <w:marTop w:val="0"/>
                  <w:marBottom w:val="0"/>
                  <w:divBdr>
                    <w:top w:val="none" w:sz="0" w:space="0" w:color="auto"/>
                    <w:left w:val="none" w:sz="0" w:space="0" w:color="auto"/>
                    <w:bottom w:val="none" w:sz="0" w:space="0" w:color="auto"/>
                    <w:right w:val="none" w:sz="0" w:space="0" w:color="auto"/>
                  </w:divBdr>
                </w:div>
              </w:divsChild>
            </w:div>
            <w:div w:id="1584755352">
              <w:marLeft w:val="0"/>
              <w:marRight w:val="0"/>
              <w:marTop w:val="0"/>
              <w:marBottom w:val="0"/>
              <w:divBdr>
                <w:top w:val="none" w:sz="0" w:space="0" w:color="auto"/>
                <w:left w:val="none" w:sz="0" w:space="0" w:color="auto"/>
                <w:bottom w:val="none" w:sz="0" w:space="0" w:color="auto"/>
                <w:right w:val="none" w:sz="0" w:space="0" w:color="auto"/>
              </w:divBdr>
              <w:divsChild>
                <w:div w:id="1570462355">
                  <w:marLeft w:val="0"/>
                  <w:marRight w:val="0"/>
                  <w:marTop w:val="0"/>
                  <w:marBottom w:val="0"/>
                  <w:divBdr>
                    <w:top w:val="none" w:sz="0" w:space="0" w:color="auto"/>
                    <w:left w:val="none" w:sz="0" w:space="0" w:color="auto"/>
                    <w:bottom w:val="none" w:sz="0" w:space="0" w:color="auto"/>
                    <w:right w:val="none" w:sz="0" w:space="0" w:color="auto"/>
                  </w:divBdr>
                </w:div>
              </w:divsChild>
            </w:div>
            <w:div w:id="1425301526">
              <w:marLeft w:val="0"/>
              <w:marRight w:val="0"/>
              <w:marTop w:val="0"/>
              <w:marBottom w:val="0"/>
              <w:divBdr>
                <w:top w:val="none" w:sz="0" w:space="0" w:color="auto"/>
                <w:left w:val="none" w:sz="0" w:space="0" w:color="auto"/>
                <w:bottom w:val="none" w:sz="0" w:space="0" w:color="auto"/>
                <w:right w:val="none" w:sz="0" w:space="0" w:color="auto"/>
              </w:divBdr>
              <w:divsChild>
                <w:div w:id="1757357301">
                  <w:marLeft w:val="0"/>
                  <w:marRight w:val="0"/>
                  <w:marTop w:val="0"/>
                  <w:marBottom w:val="0"/>
                  <w:divBdr>
                    <w:top w:val="none" w:sz="0" w:space="0" w:color="auto"/>
                    <w:left w:val="none" w:sz="0" w:space="0" w:color="auto"/>
                    <w:bottom w:val="none" w:sz="0" w:space="0" w:color="auto"/>
                    <w:right w:val="none" w:sz="0" w:space="0" w:color="auto"/>
                  </w:divBdr>
                </w:div>
              </w:divsChild>
            </w:div>
            <w:div w:id="473915110">
              <w:marLeft w:val="0"/>
              <w:marRight w:val="0"/>
              <w:marTop w:val="0"/>
              <w:marBottom w:val="0"/>
              <w:divBdr>
                <w:top w:val="none" w:sz="0" w:space="0" w:color="auto"/>
                <w:left w:val="none" w:sz="0" w:space="0" w:color="auto"/>
                <w:bottom w:val="none" w:sz="0" w:space="0" w:color="auto"/>
                <w:right w:val="none" w:sz="0" w:space="0" w:color="auto"/>
              </w:divBdr>
              <w:divsChild>
                <w:div w:id="1171329930">
                  <w:marLeft w:val="0"/>
                  <w:marRight w:val="0"/>
                  <w:marTop w:val="0"/>
                  <w:marBottom w:val="0"/>
                  <w:divBdr>
                    <w:top w:val="none" w:sz="0" w:space="0" w:color="auto"/>
                    <w:left w:val="none" w:sz="0" w:space="0" w:color="auto"/>
                    <w:bottom w:val="none" w:sz="0" w:space="0" w:color="auto"/>
                    <w:right w:val="none" w:sz="0" w:space="0" w:color="auto"/>
                  </w:divBdr>
                </w:div>
              </w:divsChild>
            </w:div>
            <w:div w:id="1853757053">
              <w:marLeft w:val="0"/>
              <w:marRight w:val="0"/>
              <w:marTop w:val="0"/>
              <w:marBottom w:val="0"/>
              <w:divBdr>
                <w:top w:val="none" w:sz="0" w:space="0" w:color="auto"/>
                <w:left w:val="none" w:sz="0" w:space="0" w:color="auto"/>
                <w:bottom w:val="none" w:sz="0" w:space="0" w:color="auto"/>
                <w:right w:val="none" w:sz="0" w:space="0" w:color="auto"/>
              </w:divBdr>
              <w:divsChild>
                <w:div w:id="927159301">
                  <w:marLeft w:val="0"/>
                  <w:marRight w:val="0"/>
                  <w:marTop w:val="0"/>
                  <w:marBottom w:val="0"/>
                  <w:divBdr>
                    <w:top w:val="none" w:sz="0" w:space="0" w:color="auto"/>
                    <w:left w:val="none" w:sz="0" w:space="0" w:color="auto"/>
                    <w:bottom w:val="none" w:sz="0" w:space="0" w:color="auto"/>
                    <w:right w:val="none" w:sz="0" w:space="0" w:color="auto"/>
                  </w:divBdr>
                </w:div>
              </w:divsChild>
            </w:div>
            <w:div w:id="1958172259">
              <w:marLeft w:val="0"/>
              <w:marRight w:val="0"/>
              <w:marTop w:val="0"/>
              <w:marBottom w:val="0"/>
              <w:divBdr>
                <w:top w:val="none" w:sz="0" w:space="0" w:color="auto"/>
                <w:left w:val="none" w:sz="0" w:space="0" w:color="auto"/>
                <w:bottom w:val="none" w:sz="0" w:space="0" w:color="auto"/>
                <w:right w:val="none" w:sz="0" w:space="0" w:color="auto"/>
              </w:divBdr>
              <w:divsChild>
                <w:div w:id="1514804328">
                  <w:marLeft w:val="0"/>
                  <w:marRight w:val="0"/>
                  <w:marTop w:val="0"/>
                  <w:marBottom w:val="0"/>
                  <w:divBdr>
                    <w:top w:val="none" w:sz="0" w:space="0" w:color="auto"/>
                    <w:left w:val="none" w:sz="0" w:space="0" w:color="auto"/>
                    <w:bottom w:val="none" w:sz="0" w:space="0" w:color="auto"/>
                    <w:right w:val="none" w:sz="0" w:space="0" w:color="auto"/>
                  </w:divBdr>
                </w:div>
              </w:divsChild>
            </w:div>
            <w:div w:id="2022470780">
              <w:marLeft w:val="0"/>
              <w:marRight w:val="0"/>
              <w:marTop w:val="0"/>
              <w:marBottom w:val="0"/>
              <w:divBdr>
                <w:top w:val="none" w:sz="0" w:space="0" w:color="auto"/>
                <w:left w:val="none" w:sz="0" w:space="0" w:color="auto"/>
                <w:bottom w:val="none" w:sz="0" w:space="0" w:color="auto"/>
                <w:right w:val="none" w:sz="0" w:space="0" w:color="auto"/>
              </w:divBdr>
              <w:divsChild>
                <w:div w:id="766002124">
                  <w:marLeft w:val="0"/>
                  <w:marRight w:val="0"/>
                  <w:marTop w:val="0"/>
                  <w:marBottom w:val="0"/>
                  <w:divBdr>
                    <w:top w:val="none" w:sz="0" w:space="0" w:color="auto"/>
                    <w:left w:val="none" w:sz="0" w:space="0" w:color="auto"/>
                    <w:bottom w:val="none" w:sz="0" w:space="0" w:color="auto"/>
                    <w:right w:val="none" w:sz="0" w:space="0" w:color="auto"/>
                  </w:divBdr>
                </w:div>
              </w:divsChild>
            </w:div>
            <w:div w:id="1909655270">
              <w:marLeft w:val="0"/>
              <w:marRight w:val="0"/>
              <w:marTop w:val="0"/>
              <w:marBottom w:val="0"/>
              <w:divBdr>
                <w:top w:val="none" w:sz="0" w:space="0" w:color="auto"/>
                <w:left w:val="none" w:sz="0" w:space="0" w:color="auto"/>
                <w:bottom w:val="none" w:sz="0" w:space="0" w:color="auto"/>
                <w:right w:val="none" w:sz="0" w:space="0" w:color="auto"/>
              </w:divBdr>
              <w:divsChild>
                <w:div w:id="1778793119">
                  <w:marLeft w:val="0"/>
                  <w:marRight w:val="0"/>
                  <w:marTop w:val="0"/>
                  <w:marBottom w:val="0"/>
                  <w:divBdr>
                    <w:top w:val="none" w:sz="0" w:space="0" w:color="auto"/>
                    <w:left w:val="none" w:sz="0" w:space="0" w:color="auto"/>
                    <w:bottom w:val="none" w:sz="0" w:space="0" w:color="auto"/>
                    <w:right w:val="none" w:sz="0" w:space="0" w:color="auto"/>
                  </w:divBdr>
                </w:div>
              </w:divsChild>
            </w:div>
            <w:div w:id="760176940">
              <w:marLeft w:val="0"/>
              <w:marRight w:val="0"/>
              <w:marTop w:val="0"/>
              <w:marBottom w:val="0"/>
              <w:divBdr>
                <w:top w:val="none" w:sz="0" w:space="0" w:color="auto"/>
                <w:left w:val="none" w:sz="0" w:space="0" w:color="auto"/>
                <w:bottom w:val="none" w:sz="0" w:space="0" w:color="auto"/>
                <w:right w:val="none" w:sz="0" w:space="0" w:color="auto"/>
              </w:divBdr>
              <w:divsChild>
                <w:div w:id="1079793898">
                  <w:marLeft w:val="0"/>
                  <w:marRight w:val="0"/>
                  <w:marTop w:val="0"/>
                  <w:marBottom w:val="0"/>
                  <w:divBdr>
                    <w:top w:val="none" w:sz="0" w:space="0" w:color="auto"/>
                    <w:left w:val="none" w:sz="0" w:space="0" w:color="auto"/>
                    <w:bottom w:val="none" w:sz="0" w:space="0" w:color="auto"/>
                    <w:right w:val="none" w:sz="0" w:space="0" w:color="auto"/>
                  </w:divBdr>
                </w:div>
              </w:divsChild>
            </w:div>
            <w:div w:id="592397704">
              <w:marLeft w:val="0"/>
              <w:marRight w:val="0"/>
              <w:marTop w:val="0"/>
              <w:marBottom w:val="0"/>
              <w:divBdr>
                <w:top w:val="none" w:sz="0" w:space="0" w:color="auto"/>
                <w:left w:val="none" w:sz="0" w:space="0" w:color="auto"/>
                <w:bottom w:val="none" w:sz="0" w:space="0" w:color="auto"/>
                <w:right w:val="none" w:sz="0" w:space="0" w:color="auto"/>
              </w:divBdr>
              <w:divsChild>
                <w:div w:id="19936050">
                  <w:marLeft w:val="0"/>
                  <w:marRight w:val="0"/>
                  <w:marTop w:val="0"/>
                  <w:marBottom w:val="0"/>
                  <w:divBdr>
                    <w:top w:val="none" w:sz="0" w:space="0" w:color="auto"/>
                    <w:left w:val="none" w:sz="0" w:space="0" w:color="auto"/>
                    <w:bottom w:val="none" w:sz="0" w:space="0" w:color="auto"/>
                    <w:right w:val="none" w:sz="0" w:space="0" w:color="auto"/>
                  </w:divBdr>
                </w:div>
              </w:divsChild>
            </w:div>
            <w:div w:id="1198935207">
              <w:marLeft w:val="0"/>
              <w:marRight w:val="0"/>
              <w:marTop w:val="0"/>
              <w:marBottom w:val="0"/>
              <w:divBdr>
                <w:top w:val="none" w:sz="0" w:space="0" w:color="auto"/>
                <w:left w:val="none" w:sz="0" w:space="0" w:color="auto"/>
                <w:bottom w:val="none" w:sz="0" w:space="0" w:color="auto"/>
                <w:right w:val="none" w:sz="0" w:space="0" w:color="auto"/>
              </w:divBdr>
              <w:divsChild>
                <w:div w:id="145123447">
                  <w:marLeft w:val="0"/>
                  <w:marRight w:val="0"/>
                  <w:marTop w:val="0"/>
                  <w:marBottom w:val="0"/>
                  <w:divBdr>
                    <w:top w:val="none" w:sz="0" w:space="0" w:color="auto"/>
                    <w:left w:val="none" w:sz="0" w:space="0" w:color="auto"/>
                    <w:bottom w:val="none" w:sz="0" w:space="0" w:color="auto"/>
                    <w:right w:val="none" w:sz="0" w:space="0" w:color="auto"/>
                  </w:divBdr>
                </w:div>
              </w:divsChild>
            </w:div>
            <w:div w:id="1346400818">
              <w:marLeft w:val="0"/>
              <w:marRight w:val="0"/>
              <w:marTop w:val="0"/>
              <w:marBottom w:val="0"/>
              <w:divBdr>
                <w:top w:val="none" w:sz="0" w:space="0" w:color="auto"/>
                <w:left w:val="none" w:sz="0" w:space="0" w:color="auto"/>
                <w:bottom w:val="none" w:sz="0" w:space="0" w:color="auto"/>
                <w:right w:val="none" w:sz="0" w:space="0" w:color="auto"/>
              </w:divBdr>
              <w:divsChild>
                <w:div w:id="1123959314">
                  <w:marLeft w:val="0"/>
                  <w:marRight w:val="0"/>
                  <w:marTop w:val="0"/>
                  <w:marBottom w:val="0"/>
                  <w:divBdr>
                    <w:top w:val="none" w:sz="0" w:space="0" w:color="auto"/>
                    <w:left w:val="none" w:sz="0" w:space="0" w:color="auto"/>
                    <w:bottom w:val="none" w:sz="0" w:space="0" w:color="auto"/>
                    <w:right w:val="none" w:sz="0" w:space="0" w:color="auto"/>
                  </w:divBdr>
                </w:div>
              </w:divsChild>
            </w:div>
            <w:div w:id="1638223793">
              <w:marLeft w:val="0"/>
              <w:marRight w:val="0"/>
              <w:marTop w:val="0"/>
              <w:marBottom w:val="0"/>
              <w:divBdr>
                <w:top w:val="none" w:sz="0" w:space="0" w:color="auto"/>
                <w:left w:val="none" w:sz="0" w:space="0" w:color="auto"/>
                <w:bottom w:val="none" w:sz="0" w:space="0" w:color="auto"/>
                <w:right w:val="none" w:sz="0" w:space="0" w:color="auto"/>
              </w:divBdr>
              <w:divsChild>
                <w:div w:id="489248763">
                  <w:marLeft w:val="0"/>
                  <w:marRight w:val="0"/>
                  <w:marTop w:val="0"/>
                  <w:marBottom w:val="0"/>
                  <w:divBdr>
                    <w:top w:val="none" w:sz="0" w:space="0" w:color="auto"/>
                    <w:left w:val="none" w:sz="0" w:space="0" w:color="auto"/>
                    <w:bottom w:val="none" w:sz="0" w:space="0" w:color="auto"/>
                    <w:right w:val="none" w:sz="0" w:space="0" w:color="auto"/>
                  </w:divBdr>
                </w:div>
              </w:divsChild>
            </w:div>
            <w:div w:id="1215238843">
              <w:marLeft w:val="0"/>
              <w:marRight w:val="0"/>
              <w:marTop w:val="0"/>
              <w:marBottom w:val="0"/>
              <w:divBdr>
                <w:top w:val="none" w:sz="0" w:space="0" w:color="auto"/>
                <w:left w:val="none" w:sz="0" w:space="0" w:color="auto"/>
                <w:bottom w:val="none" w:sz="0" w:space="0" w:color="auto"/>
                <w:right w:val="none" w:sz="0" w:space="0" w:color="auto"/>
              </w:divBdr>
              <w:divsChild>
                <w:div w:id="1585870021">
                  <w:marLeft w:val="0"/>
                  <w:marRight w:val="0"/>
                  <w:marTop w:val="0"/>
                  <w:marBottom w:val="0"/>
                  <w:divBdr>
                    <w:top w:val="none" w:sz="0" w:space="0" w:color="auto"/>
                    <w:left w:val="none" w:sz="0" w:space="0" w:color="auto"/>
                    <w:bottom w:val="none" w:sz="0" w:space="0" w:color="auto"/>
                    <w:right w:val="none" w:sz="0" w:space="0" w:color="auto"/>
                  </w:divBdr>
                </w:div>
              </w:divsChild>
            </w:div>
            <w:div w:id="1606691933">
              <w:marLeft w:val="0"/>
              <w:marRight w:val="0"/>
              <w:marTop w:val="0"/>
              <w:marBottom w:val="0"/>
              <w:divBdr>
                <w:top w:val="none" w:sz="0" w:space="0" w:color="auto"/>
                <w:left w:val="none" w:sz="0" w:space="0" w:color="auto"/>
                <w:bottom w:val="none" w:sz="0" w:space="0" w:color="auto"/>
                <w:right w:val="none" w:sz="0" w:space="0" w:color="auto"/>
              </w:divBdr>
              <w:divsChild>
                <w:div w:id="335310952">
                  <w:marLeft w:val="0"/>
                  <w:marRight w:val="0"/>
                  <w:marTop w:val="0"/>
                  <w:marBottom w:val="0"/>
                  <w:divBdr>
                    <w:top w:val="none" w:sz="0" w:space="0" w:color="auto"/>
                    <w:left w:val="none" w:sz="0" w:space="0" w:color="auto"/>
                    <w:bottom w:val="none" w:sz="0" w:space="0" w:color="auto"/>
                    <w:right w:val="none" w:sz="0" w:space="0" w:color="auto"/>
                  </w:divBdr>
                </w:div>
              </w:divsChild>
            </w:div>
            <w:div w:id="1669287253">
              <w:marLeft w:val="0"/>
              <w:marRight w:val="0"/>
              <w:marTop w:val="0"/>
              <w:marBottom w:val="0"/>
              <w:divBdr>
                <w:top w:val="none" w:sz="0" w:space="0" w:color="auto"/>
                <w:left w:val="none" w:sz="0" w:space="0" w:color="auto"/>
                <w:bottom w:val="none" w:sz="0" w:space="0" w:color="auto"/>
                <w:right w:val="none" w:sz="0" w:space="0" w:color="auto"/>
              </w:divBdr>
              <w:divsChild>
                <w:div w:id="156577791">
                  <w:marLeft w:val="0"/>
                  <w:marRight w:val="0"/>
                  <w:marTop w:val="0"/>
                  <w:marBottom w:val="0"/>
                  <w:divBdr>
                    <w:top w:val="none" w:sz="0" w:space="0" w:color="auto"/>
                    <w:left w:val="none" w:sz="0" w:space="0" w:color="auto"/>
                    <w:bottom w:val="none" w:sz="0" w:space="0" w:color="auto"/>
                    <w:right w:val="none" w:sz="0" w:space="0" w:color="auto"/>
                  </w:divBdr>
                </w:div>
              </w:divsChild>
            </w:div>
            <w:div w:id="749619531">
              <w:marLeft w:val="0"/>
              <w:marRight w:val="0"/>
              <w:marTop w:val="0"/>
              <w:marBottom w:val="0"/>
              <w:divBdr>
                <w:top w:val="none" w:sz="0" w:space="0" w:color="auto"/>
                <w:left w:val="none" w:sz="0" w:space="0" w:color="auto"/>
                <w:bottom w:val="none" w:sz="0" w:space="0" w:color="auto"/>
                <w:right w:val="none" w:sz="0" w:space="0" w:color="auto"/>
              </w:divBdr>
              <w:divsChild>
                <w:div w:id="1110274778">
                  <w:marLeft w:val="0"/>
                  <w:marRight w:val="0"/>
                  <w:marTop w:val="0"/>
                  <w:marBottom w:val="0"/>
                  <w:divBdr>
                    <w:top w:val="none" w:sz="0" w:space="0" w:color="auto"/>
                    <w:left w:val="none" w:sz="0" w:space="0" w:color="auto"/>
                    <w:bottom w:val="none" w:sz="0" w:space="0" w:color="auto"/>
                    <w:right w:val="none" w:sz="0" w:space="0" w:color="auto"/>
                  </w:divBdr>
                </w:div>
              </w:divsChild>
            </w:div>
            <w:div w:id="1233007898">
              <w:marLeft w:val="0"/>
              <w:marRight w:val="0"/>
              <w:marTop w:val="0"/>
              <w:marBottom w:val="0"/>
              <w:divBdr>
                <w:top w:val="none" w:sz="0" w:space="0" w:color="auto"/>
                <w:left w:val="none" w:sz="0" w:space="0" w:color="auto"/>
                <w:bottom w:val="none" w:sz="0" w:space="0" w:color="auto"/>
                <w:right w:val="none" w:sz="0" w:space="0" w:color="auto"/>
              </w:divBdr>
              <w:divsChild>
                <w:div w:id="1839031348">
                  <w:marLeft w:val="0"/>
                  <w:marRight w:val="0"/>
                  <w:marTop w:val="0"/>
                  <w:marBottom w:val="0"/>
                  <w:divBdr>
                    <w:top w:val="none" w:sz="0" w:space="0" w:color="auto"/>
                    <w:left w:val="none" w:sz="0" w:space="0" w:color="auto"/>
                    <w:bottom w:val="none" w:sz="0" w:space="0" w:color="auto"/>
                    <w:right w:val="none" w:sz="0" w:space="0" w:color="auto"/>
                  </w:divBdr>
                </w:div>
              </w:divsChild>
            </w:div>
            <w:div w:id="1074860054">
              <w:marLeft w:val="0"/>
              <w:marRight w:val="0"/>
              <w:marTop w:val="0"/>
              <w:marBottom w:val="0"/>
              <w:divBdr>
                <w:top w:val="none" w:sz="0" w:space="0" w:color="auto"/>
                <w:left w:val="none" w:sz="0" w:space="0" w:color="auto"/>
                <w:bottom w:val="none" w:sz="0" w:space="0" w:color="auto"/>
                <w:right w:val="none" w:sz="0" w:space="0" w:color="auto"/>
              </w:divBdr>
              <w:divsChild>
                <w:div w:id="1014189066">
                  <w:marLeft w:val="0"/>
                  <w:marRight w:val="0"/>
                  <w:marTop w:val="0"/>
                  <w:marBottom w:val="0"/>
                  <w:divBdr>
                    <w:top w:val="none" w:sz="0" w:space="0" w:color="auto"/>
                    <w:left w:val="none" w:sz="0" w:space="0" w:color="auto"/>
                    <w:bottom w:val="none" w:sz="0" w:space="0" w:color="auto"/>
                    <w:right w:val="none" w:sz="0" w:space="0" w:color="auto"/>
                  </w:divBdr>
                </w:div>
              </w:divsChild>
            </w:div>
            <w:div w:id="526063026">
              <w:marLeft w:val="0"/>
              <w:marRight w:val="0"/>
              <w:marTop w:val="0"/>
              <w:marBottom w:val="0"/>
              <w:divBdr>
                <w:top w:val="none" w:sz="0" w:space="0" w:color="auto"/>
                <w:left w:val="none" w:sz="0" w:space="0" w:color="auto"/>
                <w:bottom w:val="none" w:sz="0" w:space="0" w:color="auto"/>
                <w:right w:val="none" w:sz="0" w:space="0" w:color="auto"/>
              </w:divBdr>
              <w:divsChild>
                <w:div w:id="1791972318">
                  <w:marLeft w:val="0"/>
                  <w:marRight w:val="0"/>
                  <w:marTop w:val="0"/>
                  <w:marBottom w:val="0"/>
                  <w:divBdr>
                    <w:top w:val="none" w:sz="0" w:space="0" w:color="auto"/>
                    <w:left w:val="none" w:sz="0" w:space="0" w:color="auto"/>
                    <w:bottom w:val="none" w:sz="0" w:space="0" w:color="auto"/>
                    <w:right w:val="none" w:sz="0" w:space="0" w:color="auto"/>
                  </w:divBdr>
                </w:div>
              </w:divsChild>
            </w:div>
            <w:div w:id="48459955">
              <w:marLeft w:val="0"/>
              <w:marRight w:val="0"/>
              <w:marTop w:val="0"/>
              <w:marBottom w:val="0"/>
              <w:divBdr>
                <w:top w:val="none" w:sz="0" w:space="0" w:color="auto"/>
                <w:left w:val="none" w:sz="0" w:space="0" w:color="auto"/>
                <w:bottom w:val="none" w:sz="0" w:space="0" w:color="auto"/>
                <w:right w:val="none" w:sz="0" w:space="0" w:color="auto"/>
              </w:divBdr>
              <w:divsChild>
                <w:div w:id="1566452292">
                  <w:marLeft w:val="0"/>
                  <w:marRight w:val="0"/>
                  <w:marTop w:val="0"/>
                  <w:marBottom w:val="0"/>
                  <w:divBdr>
                    <w:top w:val="none" w:sz="0" w:space="0" w:color="auto"/>
                    <w:left w:val="none" w:sz="0" w:space="0" w:color="auto"/>
                    <w:bottom w:val="none" w:sz="0" w:space="0" w:color="auto"/>
                    <w:right w:val="none" w:sz="0" w:space="0" w:color="auto"/>
                  </w:divBdr>
                </w:div>
              </w:divsChild>
            </w:div>
            <w:div w:id="1539470757">
              <w:marLeft w:val="0"/>
              <w:marRight w:val="0"/>
              <w:marTop w:val="0"/>
              <w:marBottom w:val="0"/>
              <w:divBdr>
                <w:top w:val="none" w:sz="0" w:space="0" w:color="auto"/>
                <w:left w:val="none" w:sz="0" w:space="0" w:color="auto"/>
                <w:bottom w:val="none" w:sz="0" w:space="0" w:color="auto"/>
                <w:right w:val="none" w:sz="0" w:space="0" w:color="auto"/>
              </w:divBdr>
              <w:divsChild>
                <w:div w:id="690453745">
                  <w:marLeft w:val="0"/>
                  <w:marRight w:val="0"/>
                  <w:marTop w:val="0"/>
                  <w:marBottom w:val="0"/>
                  <w:divBdr>
                    <w:top w:val="none" w:sz="0" w:space="0" w:color="auto"/>
                    <w:left w:val="none" w:sz="0" w:space="0" w:color="auto"/>
                    <w:bottom w:val="none" w:sz="0" w:space="0" w:color="auto"/>
                    <w:right w:val="none" w:sz="0" w:space="0" w:color="auto"/>
                  </w:divBdr>
                </w:div>
              </w:divsChild>
            </w:div>
            <w:div w:id="1923639744">
              <w:marLeft w:val="0"/>
              <w:marRight w:val="0"/>
              <w:marTop w:val="0"/>
              <w:marBottom w:val="0"/>
              <w:divBdr>
                <w:top w:val="none" w:sz="0" w:space="0" w:color="auto"/>
                <w:left w:val="none" w:sz="0" w:space="0" w:color="auto"/>
                <w:bottom w:val="none" w:sz="0" w:space="0" w:color="auto"/>
                <w:right w:val="none" w:sz="0" w:space="0" w:color="auto"/>
              </w:divBdr>
              <w:divsChild>
                <w:div w:id="1422405932">
                  <w:marLeft w:val="0"/>
                  <w:marRight w:val="0"/>
                  <w:marTop w:val="0"/>
                  <w:marBottom w:val="0"/>
                  <w:divBdr>
                    <w:top w:val="none" w:sz="0" w:space="0" w:color="auto"/>
                    <w:left w:val="none" w:sz="0" w:space="0" w:color="auto"/>
                    <w:bottom w:val="none" w:sz="0" w:space="0" w:color="auto"/>
                    <w:right w:val="none" w:sz="0" w:space="0" w:color="auto"/>
                  </w:divBdr>
                </w:div>
              </w:divsChild>
            </w:div>
            <w:div w:id="221989630">
              <w:marLeft w:val="0"/>
              <w:marRight w:val="0"/>
              <w:marTop w:val="0"/>
              <w:marBottom w:val="0"/>
              <w:divBdr>
                <w:top w:val="none" w:sz="0" w:space="0" w:color="auto"/>
                <w:left w:val="none" w:sz="0" w:space="0" w:color="auto"/>
                <w:bottom w:val="none" w:sz="0" w:space="0" w:color="auto"/>
                <w:right w:val="none" w:sz="0" w:space="0" w:color="auto"/>
              </w:divBdr>
              <w:divsChild>
                <w:div w:id="269318723">
                  <w:marLeft w:val="0"/>
                  <w:marRight w:val="0"/>
                  <w:marTop w:val="0"/>
                  <w:marBottom w:val="0"/>
                  <w:divBdr>
                    <w:top w:val="none" w:sz="0" w:space="0" w:color="auto"/>
                    <w:left w:val="none" w:sz="0" w:space="0" w:color="auto"/>
                    <w:bottom w:val="none" w:sz="0" w:space="0" w:color="auto"/>
                    <w:right w:val="none" w:sz="0" w:space="0" w:color="auto"/>
                  </w:divBdr>
                </w:div>
              </w:divsChild>
            </w:div>
            <w:div w:id="68623974">
              <w:marLeft w:val="0"/>
              <w:marRight w:val="0"/>
              <w:marTop w:val="0"/>
              <w:marBottom w:val="0"/>
              <w:divBdr>
                <w:top w:val="none" w:sz="0" w:space="0" w:color="auto"/>
                <w:left w:val="none" w:sz="0" w:space="0" w:color="auto"/>
                <w:bottom w:val="none" w:sz="0" w:space="0" w:color="auto"/>
                <w:right w:val="none" w:sz="0" w:space="0" w:color="auto"/>
              </w:divBdr>
              <w:divsChild>
                <w:div w:id="323750582">
                  <w:marLeft w:val="0"/>
                  <w:marRight w:val="0"/>
                  <w:marTop w:val="0"/>
                  <w:marBottom w:val="0"/>
                  <w:divBdr>
                    <w:top w:val="none" w:sz="0" w:space="0" w:color="auto"/>
                    <w:left w:val="none" w:sz="0" w:space="0" w:color="auto"/>
                    <w:bottom w:val="none" w:sz="0" w:space="0" w:color="auto"/>
                    <w:right w:val="none" w:sz="0" w:space="0" w:color="auto"/>
                  </w:divBdr>
                </w:div>
              </w:divsChild>
            </w:div>
            <w:div w:id="1155805279">
              <w:marLeft w:val="0"/>
              <w:marRight w:val="0"/>
              <w:marTop w:val="0"/>
              <w:marBottom w:val="0"/>
              <w:divBdr>
                <w:top w:val="none" w:sz="0" w:space="0" w:color="auto"/>
                <w:left w:val="none" w:sz="0" w:space="0" w:color="auto"/>
                <w:bottom w:val="none" w:sz="0" w:space="0" w:color="auto"/>
                <w:right w:val="none" w:sz="0" w:space="0" w:color="auto"/>
              </w:divBdr>
              <w:divsChild>
                <w:div w:id="1145849666">
                  <w:marLeft w:val="0"/>
                  <w:marRight w:val="0"/>
                  <w:marTop w:val="0"/>
                  <w:marBottom w:val="0"/>
                  <w:divBdr>
                    <w:top w:val="none" w:sz="0" w:space="0" w:color="auto"/>
                    <w:left w:val="none" w:sz="0" w:space="0" w:color="auto"/>
                    <w:bottom w:val="none" w:sz="0" w:space="0" w:color="auto"/>
                    <w:right w:val="none" w:sz="0" w:space="0" w:color="auto"/>
                  </w:divBdr>
                </w:div>
              </w:divsChild>
            </w:div>
            <w:div w:id="1208569951">
              <w:marLeft w:val="0"/>
              <w:marRight w:val="0"/>
              <w:marTop w:val="0"/>
              <w:marBottom w:val="0"/>
              <w:divBdr>
                <w:top w:val="none" w:sz="0" w:space="0" w:color="auto"/>
                <w:left w:val="none" w:sz="0" w:space="0" w:color="auto"/>
                <w:bottom w:val="none" w:sz="0" w:space="0" w:color="auto"/>
                <w:right w:val="none" w:sz="0" w:space="0" w:color="auto"/>
              </w:divBdr>
              <w:divsChild>
                <w:div w:id="1342199089">
                  <w:marLeft w:val="0"/>
                  <w:marRight w:val="0"/>
                  <w:marTop w:val="0"/>
                  <w:marBottom w:val="0"/>
                  <w:divBdr>
                    <w:top w:val="none" w:sz="0" w:space="0" w:color="auto"/>
                    <w:left w:val="none" w:sz="0" w:space="0" w:color="auto"/>
                    <w:bottom w:val="none" w:sz="0" w:space="0" w:color="auto"/>
                    <w:right w:val="none" w:sz="0" w:space="0" w:color="auto"/>
                  </w:divBdr>
                </w:div>
              </w:divsChild>
            </w:div>
            <w:div w:id="2121025385">
              <w:marLeft w:val="0"/>
              <w:marRight w:val="0"/>
              <w:marTop w:val="0"/>
              <w:marBottom w:val="0"/>
              <w:divBdr>
                <w:top w:val="none" w:sz="0" w:space="0" w:color="auto"/>
                <w:left w:val="none" w:sz="0" w:space="0" w:color="auto"/>
                <w:bottom w:val="none" w:sz="0" w:space="0" w:color="auto"/>
                <w:right w:val="none" w:sz="0" w:space="0" w:color="auto"/>
              </w:divBdr>
              <w:divsChild>
                <w:div w:id="1918857494">
                  <w:marLeft w:val="0"/>
                  <w:marRight w:val="0"/>
                  <w:marTop w:val="0"/>
                  <w:marBottom w:val="0"/>
                  <w:divBdr>
                    <w:top w:val="none" w:sz="0" w:space="0" w:color="auto"/>
                    <w:left w:val="none" w:sz="0" w:space="0" w:color="auto"/>
                    <w:bottom w:val="none" w:sz="0" w:space="0" w:color="auto"/>
                    <w:right w:val="none" w:sz="0" w:space="0" w:color="auto"/>
                  </w:divBdr>
                </w:div>
              </w:divsChild>
            </w:div>
            <w:div w:id="533421930">
              <w:marLeft w:val="0"/>
              <w:marRight w:val="0"/>
              <w:marTop w:val="0"/>
              <w:marBottom w:val="0"/>
              <w:divBdr>
                <w:top w:val="none" w:sz="0" w:space="0" w:color="auto"/>
                <w:left w:val="none" w:sz="0" w:space="0" w:color="auto"/>
                <w:bottom w:val="none" w:sz="0" w:space="0" w:color="auto"/>
                <w:right w:val="none" w:sz="0" w:space="0" w:color="auto"/>
              </w:divBdr>
              <w:divsChild>
                <w:div w:id="839806367">
                  <w:marLeft w:val="0"/>
                  <w:marRight w:val="0"/>
                  <w:marTop w:val="0"/>
                  <w:marBottom w:val="0"/>
                  <w:divBdr>
                    <w:top w:val="none" w:sz="0" w:space="0" w:color="auto"/>
                    <w:left w:val="none" w:sz="0" w:space="0" w:color="auto"/>
                    <w:bottom w:val="none" w:sz="0" w:space="0" w:color="auto"/>
                    <w:right w:val="none" w:sz="0" w:space="0" w:color="auto"/>
                  </w:divBdr>
                </w:div>
              </w:divsChild>
            </w:div>
            <w:div w:id="423494466">
              <w:marLeft w:val="0"/>
              <w:marRight w:val="0"/>
              <w:marTop w:val="0"/>
              <w:marBottom w:val="0"/>
              <w:divBdr>
                <w:top w:val="none" w:sz="0" w:space="0" w:color="auto"/>
                <w:left w:val="none" w:sz="0" w:space="0" w:color="auto"/>
                <w:bottom w:val="none" w:sz="0" w:space="0" w:color="auto"/>
                <w:right w:val="none" w:sz="0" w:space="0" w:color="auto"/>
              </w:divBdr>
              <w:divsChild>
                <w:div w:id="1999310766">
                  <w:marLeft w:val="0"/>
                  <w:marRight w:val="0"/>
                  <w:marTop w:val="0"/>
                  <w:marBottom w:val="0"/>
                  <w:divBdr>
                    <w:top w:val="none" w:sz="0" w:space="0" w:color="auto"/>
                    <w:left w:val="none" w:sz="0" w:space="0" w:color="auto"/>
                    <w:bottom w:val="none" w:sz="0" w:space="0" w:color="auto"/>
                    <w:right w:val="none" w:sz="0" w:space="0" w:color="auto"/>
                  </w:divBdr>
                </w:div>
              </w:divsChild>
            </w:div>
            <w:div w:id="1032995268">
              <w:marLeft w:val="0"/>
              <w:marRight w:val="0"/>
              <w:marTop w:val="0"/>
              <w:marBottom w:val="0"/>
              <w:divBdr>
                <w:top w:val="none" w:sz="0" w:space="0" w:color="auto"/>
                <w:left w:val="none" w:sz="0" w:space="0" w:color="auto"/>
                <w:bottom w:val="none" w:sz="0" w:space="0" w:color="auto"/>
                <w:right w:val="none" w:sz="0" w:space="0" w:color="auto"/>
              </w:divBdr>
              <w:divsChild>
                <w:div w:id="9600667">
                  <w:marLeft w:val="0"/>
                  <w:marRight w:val="0"/>
                  <w:marTop w:val="0"/>
                  <w:marBottom w:val="0"/>
                  <w:divBdr>
                    <w:top w:val="none" w:sz="0" w:space="0" w:color="auto"/>
                    <w:left w:val="none" w:sz="0" w:space="0" w:color="auto"/>
                    <w:bottom w:val="none" w:sz="0" w:space="0" w:color="auto"/>
                    <w:right w:val="none" w:sz="0" w:space="0" w:color="auto"/>
                  </w:divBdr>
                </w:div>
              </w:divsChild>
            </w:div>
            <w:div w:id="325206897">
              <w:marLeft w:val="0"/>
              <w:marRight w:val="0"/>
              <w:marTop w:val="0"/>
              <w:marBottom w:val="0"/>
              <w:divBdr>
                <w:top w:val="none" w:sz="0" w:space="0" w:color="auto"/>
                <w:left w:val="none" w:sz="0" w:space="0" w:color="auto"/>
                <w:bottom w:val="none" w:sz="0" w:space="0" w:color="auto"/>
                <w:right w:val="none" w:sz="0" w:space="0" w:color="auto"/>
              </w:divBdr>
              <w:divsChild>
                <w:div w:id="201285028">
                  <w:marLeft w:val="0"/>
                  <w:marRight w:val="0"/>
                  <w:marTop w:val="0"/>
                  <w:marBottom w:val="0"/>
                  <w:divBdr>
                    <w:top w:val="none" w:sz="0" w:space="0" w:color="auto"/>
                    <w:left w:val="none" w:sz="0" w:space="0" w:color="auto"/>
                    <w:bottom w:val="none" w:sz="0" w:space="0" w:color="auto"/>
                    <w:right w:val="none" w:sz="0" w:space="0" w:color="auto"/>
                  </w:divBdr>
                </w:div>
              </w:divsChild>
            </w:div>
            <w:div w:id="754130896">
              <w:marLeft w:val="0"/>
              <w:marRight w:val="0"/>
              <w:marTop w:val="0"/>
              <w:marBottom w:val="0"/>
              <w:divBdr>
                <w:top w:val="none" w:sz="0" w:space="0" w:color="auto"/>
                <w:left w:val="none" w:sz="0" w:space="0" w:color="auto"/>
                <w:bottom w:val="none" w:sz="0" w:space="0" w:color="auto"/>
                <w:right w:val="none" w:sz="0" w:space="0" w:color="auto"/>
              </w:divBdr>
              <w:divsChild>
                <w:div w:id="1462263766">
                  <w:marLeft w:val="0"/>
                  <w:marRight w:val="0"/>
                  <w:marTop w:val="0"/>
                  <w:marBottom w:val="0"/>
                  <w:divBdr>
                    <w:top w:val="none" w:sz="0" w:space="0" w:color="auto"/>
                    <w:left w:val="none" w:sz="0" w:space="0" w:color="auto"/>
                    <w:bottom w:val="none" w:sz="0" w:space="0" w:color="auto"/>
                    <w:right w:val="none" w:sz="0" w:space="0" w:color="auto"/>
                  </w:divBdr>
                </w:div>
              </w:divsChild>
            </w:div>
            <w:div w:id="1703509046">
              <w:marLeft w:val="0"/>
              <w:marRight w:val="0"/>
              <w:marTop w:val="0"/>
              <w:marBottom w:val="0"/>
              <w:divBdr>
                <w:top w:val="none" w:sz="0" w:space="0" w:color="auto"/>
                <w:left w:val="none" w:sz="0" w:space="0" w:color="auto"/>
                <w:bottom w:val="none" w:sz="0" w:space="0" w:color="auto"/>
                <w:right w:val="none" w:sz="0" w:space="0" w:color="auto"/>
              </w:divBdr>
              <w:divsChild>
                <w:div w:id="1916745968">
                  <w:marLeft w:val="0"/>
                  <w:marRight w:val="0"/>
                  <w:marTop w:val="0"/>
                  <w:marBottom w:val="0"/>
                  <w:divBdr>
                    <w:top w:val="none" w:sz="0" w:space="0" w:color="auto"/>
                    <w:left w:val="none" w:sz="0" w:space="0" w:color="auto"/>
                    <w:bottom w:val="none" w:sz="0" w:space="0" w:color="auto"/>
                    <w:right w:val="none" w:sz="0" w:space="0" w:color="auto"/>
                  </w:divBdr>
                </w:div>
              </w:divsChild>
            </w:div>
            <w:div w:id="204299962">
              <w:marLeft w:val="0"/>
              <w:marRight w:val="0"/>
              <w:marTop w:val="0"/>
              <w:marBottom w:val="0"/>
              <w:divBdr>
                <w:top w:val="none" w:sz="0" w:space="0" w:color="auto"/>
                <w:left w:val="none" w:sz="0" w:space="0" w:color="auto"/>
                <w:bottom w:val="none" w:sz="0" w:space="0" w:color="auto"/>
                <w:right w:val="none" w:sz="0" w:space="0" w:color="auto"/>
              </w:divBdr>
              <w:divsChild>
                <w:div w:id="1626690743">
                  <w:marLeft w:val="0"/>
                  <w:marRight w:val="0"/>
                  <w:marTop w:val="0"/>
                  <w:marBottom w:val="0"/>
                  <w:divBdr>
                    <w:top w:val="none" w:sz="0" w:space="0" w:color="auto"/>
                    <w:left w:val="none" w:sz="0" w:space="0" w:color="auto"/>
                    <w:bottom w:val="none" w:sz="0" w:space="0" w:color="auto"/>
                    <w:right w:val="none" w:sz="0" w:space="0" w:color="auto"/>
                  </w:divBdr>
                </w:div>
              </w:divsChild>
            </w:div>
            <w:div w:id="759180609">
              <w:marLeft w:val="0"/>
              <w:marRight w:val="0"/>
              <w:marTop w:val="0"/>
              <w:marBottom w:val="0"/>
              <w:divBdr>
                <w:top w:val="none" w:sz="0" w:space="0" w:color="auto"/>
                <w:left w:val="none" w:sz="0" w:space="0" w:color="auto"/>
                <w:bottom w:val="none" w:sz="0" w:space="0" w:color="auto"/>
                <w:right w:val="none" w:sz="0" w:space="0" w:color="auto"/>
              </w:divBdr>
              <w:divsChild>
                <w:div w:id="443813933">
                  <w:marLeft w:val="0"/>
                  <w:marRight w:val="0"/>
                  <w:marTop w:val="0"/>
                  <w:marBottom w:val="0"/>
                  <w:divBdr>
                    <w:top w:val="none" w:sz="0" w:space="0" w:color="auto"/>
                    <w:left w:val="none" w:sz="0" w:space="0" w:color="auto"/>
                    <w:bottom w:val="none" w:sz="0" w:space="0" w:color="auto"/>
                    <w:right w:val="none" w:sz="0" w:space="0" w:color="auto"/>
                  </w:divBdr>
                </w:div>
              </w:divsChild>
            </w:div>
            <w:div w:id="1978294722">
              <w:marLeft w:val="0"/>
              <w:marRight w:val="0"/>
              <w:marTop w:val="0"/>
              <w:marBottom w:val="0"/>
              <w:divBdr>
                <w:top w:val="none" w:sz="0" w:space="0" w:color="auto"/>
                <w:left w:val="none" w:sz="0" w:space="0" w:color="auto"/>
                <w:bottom w:val="none" w:sz="0" w:space="0" w:color="auto"/>
                <w:right w:val="none" w:sz="0" w:space="0" w:color="auto"/>
              </w:divBdr>
              <w:divsChild>
                <w:div w:id="594435438">
                  <w:marLeft w:val="0"/>
                  <w:marRight w:val="0"/>
                  <w:marTop w:val="0"/>
                  <w:marBottom w:val="0"/>
                  <w:divBdr>
                    <w:top w:val="none" w:sz="0" w:space="0" w:color="auto"/>
                    <w:left w:val="none" w:sz="0" w:space="0" w:color="auto"/>
                    <w:bottom w:val="none" w:sz="0" w:space="0" w:color="auto"/>
                    <w:right w:val="none" w:sz="0" w:space="0" w:color="auto"/>
                  </w:divBdr>
                </w:div>
              </w:divsChild>
            </w:div>
            <w:div w:id="324600029">
              <w:marLeft w:val="0"/>
              <w:marRight w:val="0"/>
              <w:marTop w:val="0"/>
              <w:marBottom w:val="0"/>
              <w:divBdr>
                <w:top w:val="none" w:sz="0" w:space="0" w:color="auto"/>
                <w:left w:val="none" w:sz="0" w:space="0" w:color="auto"/>
                <w:bottom w:val="none" w:sz="0" w:space="0" w:color="auto"/>
                <w:right w:val="none" w:sz="0" w:space="0" w:color="auto"/>
              </w:divBdr>
              <w:divsChild>
                <w:div w:id="2083943663">
                  <w:marLeft w:val="0"/>
                  <w:marRight w:val="0"/>
                  <w:marTop w:val="0"/>
                  <w:marBottom w:val="0"/>
                  <w:divBdr>
                    <w:top w:val="none" w:sz="0" w:space="0" w:color="auto"/>
                    <w:left w:val="none" w:sz="0" w:space="0" w:color="auto"/>
                    <w:bottom w:val="none" w:sz="0" w:space="0" w:color="auto"/>
                    <w:right w:val="none" w:sz="0" w:space="0" w:color="auto"/>
                  </w:divBdr>
                </w:div>
              </w:divsChild>
            </w:div>
            <w:div w:id="2071920802">
              <w:marLeft w:val="0"/>
              <w:marRight w:val="0"/>
              <w:marTop w:val="0"/>
              <w:marBottom w:val="0"/>
              <w:divBdr>
                <w:top w:val="none" w:sz="0" w:space="0" w:color="auto"/>
                <w:left w:val="none" w:sz="0" w:space="0" w:color="auto"/>
                <w:bottom w:val="none" w:sz="0" w:space="0" w:color="auto"/>
                <w:right w:val="none" w:sz="0" w:space="0" w:color="auto"/>
              </w:divBdr>
              <w:divsChild>
                <w:div w:id="564296028">
                  <w:marLeft w:val="0"/>
                  <w:marRight w:val="0"/>
                  <w:marTop w:val="0"/>
                  <w:marBottom w:val="0"/>
                  <w:divBdr>
                    <w:top w:val="none" w:sz="0" w:space="0" w:color="auto"/>
                    <w:left w:val="none" w:sz="0" w:space="0" w:color="auto"/>
                    <w:bottom w:val="none" w:sz="0" w:space="0" w:color="auto"/>
                    <w:right w:val="none" w:sz="0" w:space="0" w:color="auto"/>
                  </w:divBdr>
                </w:div>
              </w:divsChild>
            </w:div>
            <w:div w:id="1350986764">
              <w:marLeft w:val="0"/>
              <w:marRight w:val="0"/>
              <w:marTop w:val="0"/>
              <w:marBottom w:val="0"/>
              <w:divBdr>
                <w:top w:val="none" w:sz="0" w:space="0" w:color="auto"/>
                <w:left w:val="none" w:sz="0" w:space="0" w:color="auto"/>
                <w:bottom w:val="none" w:sz="0" w:space="0" w:color="auto"/>
                <w:right w:val="none" w:sz="0" w:space="0" w:color="auto"/>
              </w:divBdr>
              <w:divsChild>
                <w:div w:id="1186676475">
                  <w:marLeft w:val="0"/>
                  <w:marRight w:val="0"/>
                  <w:marTop w:val="0"/>
                  <w:marBottom w:val="0"/>
                  <w:divBdr>
                    <w:top w:val="none" w:sz="0" w:space="0" w:color="auto"/>
                    <w:left w:val="none" w:sz="0" w:space="0" w:color="auto"/>
                    <w:bottom w:val="none" w:sz="0" w:space="0" w:color="auto"/>
                    <w:right w:val="none" w:sz="0" w:space="0" w:color="auto"/>
                  </w:divBdr>
                </w:div>
              </w:divsChild>
            </w:div>
            <w:div w:id="262151047">
              <w:marLeft w:val="0"/>
              <w:marRight w:val="0"/>
              <w:marTop w:val="0"/>
              <w:marBottom w:val="0"/>
              <w:divBdr>
                <w:top w:val="none" w:sz="0" w:space="0" w:color="auto"/>
                <w:left w:val="none" w:sz="0" w:space="0" w:color="auto"/>
                <w:bottom w:val="none" w:sz="0" w:space="0" w:color="auto"/>
                <w:right w:val="none" w:sz="0" w:space="0" w:color="auto"/>
              </w:divBdr>
              <w:divsChild>
                <w:div w:id="680278357">
                  <w:marLeft w:val="0"/>
                  <w:marRight w:val="0"/>
                  <w:marTop w:val="0"/>
                  <w:marBottom w:val="0"/>
                  <w:divBdr>
                    <w:top w:val="none" w:sz="0" w:space="0" w:color="auto"/>
                    <w:left w:val="none" w:sz="0" w:space="0" w:color="auto"/>
                    <w:bottom w:val="none" w:sz="0" w:space="0" w:color="auto"/>
                    <w:right w:val="none" w:sz="0" w:space="0" w:color="auto"/>
                  </w:divBdr>
                </w:div>
              </w:divsChild>
            </w:div>
            <w:div w:id="410658173">
              <w:marLeft w:val="0"/>
              <w:marRight w:val="0"/>
              <w:marTop w:val="0"/>
              <w:marBottom w:val="0"/>
              <w:divBdr>
                <w:top w:val="none" w:sz="0" w:space="0" w:color="auto"/>
                <w:left w:val="none" w:sz="0" w:space="0" w:color="auto"/>
                <w:bottom w:val="none" w:sz="0" w:space="0" w:color="auto"/>
                <w:right w:val="none" w:sz="0" w:space="0" w:color="auto"/>
              </w:divBdr>
              <w:divsChild>
                <w:div w:id="577591826">
                  <w:marLeft w:val="0"/>
                  <w:marRight w:val="0"/>
                  <w:marTop w:val="0"/>
                  <w:marBottom w:val="0"/>
                  <w:divBdr>
                    <w:top w:val="none" w:sz="0" w:space="0" w:color="auto"/>
                    <w:left w:val="none" w:sz="0" w:space="0" w:color="auto"/>
                    <w:bottom w:val="none" w:sz="0" w:space="0" w:color="auto"/>
                    <w:right w:val="none" w:sz="0" w:space="0" w:color="auto"/>
                  </w:divBdr>
                </w:div>
              </w:divsChild>
            </w:div>
            <w:div w:id="180902377">
              <w:marLeft w:val="0"/>
              <w:marRight w:val="0"/>
              <w:marTop w:val="0"/>
              <w:marBottom w:val="0"/>
              <w:divBdr>
                <w:top w:val="none" w:sz="0" w:space="0" w:color="auto"/>
                <w:left w:val="none" w:sz="0" w:space="0" w:color="auto"/>
                <w:bottom w:val="none" w:sz="0" w:space="0" w:color="auto"/>
                <w:right w:val="none" w:sz="0" w:space="0" w:color="auto"/>
              </w:divBdr>
              <w:divsChild>
                <w:div w:id="855580761">
                  <w:marLeft w:val="0"/>
                  <w:marRight w:val="0"/>
                  <w:marTop w:val="0"/>
                  <w:marBottom w:val="0"/>
                  <w:divBdr>
                    <w:top w:val="none" w:sz="0" w:space="0" w:color="auto"/>
                    <w:left w:val="none" w:sz="0" w:space="0" w:color="auto"/>
                    <w:bottom w:val="none" w:sz="0" w:space="0" w:color="auto"/>
                    <w:right w:val="none" w:sz="0" w:space="0" w:color="auto"/>
                  </w:divBdr>
                </w:div>
              </w:divsChild>
            </w:div>
            <w:div w:id="1388725452">
              <w:marLeft w:val="0"/>
              <w:marRight w:val="0"/>
              <w:marTop w:val="0"/>
              <w:marBottom w:val="0"/>
              <w:divBdr>
                <w:top w:val="none" w:sz="0" w:space="0" w:color="auto"/>
                <w:left w:val="none" w:sz="0" w:space="0" w:color="auto"/>
                <w:bottom w:val="none" w:sz="0" w:space="0" w:color="auto"/>
                <w:right w:val="none" w:sz="0" w:space="0" w:color="auto"/>
              </w:divBdr>
              <w:divsChild>
                <w:div w:id="15480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7110">
          <w:marLeft w:val="0"/>
          <w:marRight w:val="0"/>
          <w:marTop w:val="0"/>
          <w:marBottom w:val="600"/>
          <w:divBdr>
            <w:top w:val="none" w:sz="0" w:space="0" w:color="auto"/>
            <w:left w:val="none" w:sz="0" w:space="0" w:color="auto"/>
            <w:bottom w:val="none" w:sz="0" w:space="0" w:color="auto"/>
            <w:right w:val="none" w:sz="0" w:space="0" w:color="auto"/>
          </w:divBdr>
        </w:div>
      </w:divsChild>
    </w:div>
    <w:div w:id="1066150091">
      <w:marLeft w:val="0"/>
      <w:marRight w:val="0"/>
      <w:marTop w:val="0"/>
      <w:marBottom w:val="0"/>
      <w:divBdr>
        <w:top w:val="none" w:sz="0" w:space="0" w:color="auto"/>
        <w:left w:val="none" w:sz="0" w:space="0" w:color="auto"/>
        <w:bottom w:val="none" w:sz="0" w:space="0" w:color="auto"/>
        <w:right w:val="none" w:sz="0" w:space="0" w:color="auto"/>
      </w:divBdr>
      <w:divsChild>
        <w:div w:id="1492869922">
          <w:marLeft w:val="0"/>
          <w:marRight w:val="0"/>
          <w:marTop w:val="547"/>
          <w:marBottom w:val="0"/>
          <w:divBdr>
            <w:top w:val="none" w:sz="0" w:space="0" w:color="auto"/>
            <w:left w:val="none" w:sz="0" w:space="0" w:color="auto"/>
            <w:bottom w:val="none" w:sz="0" w:space="0" w:color="auto"/>
            <w:right w:val="none" w:sz="0" w:space="0" w:color="auto"/>
          </w:divBdr>
        </w:div>
        <w:div w:id="117191928">
          <w:marLeft w:val="0"/>
          <w:marRight w:val="0"/>
          <w:marTop w:val="0"/>
          <w:marBottom w:val="0"/>
          <w:divBdr>
            <w:top w:val="none" w:sz="0" w:space="0" w:color="auto"/>
            <w:left w:val="none" w:sz="0" w:space="0" w:color="auto"/>
            <w:bottom w:val="none" w:sz="0" w:space="0" w:color="auto"/>
            <w:right w:val="none" w:sz="0" w:space="0" w:color="auto"/>
          </w:divBdr>
        </w:div>
        <w:div w:id="808013087">
          <w:marLeft w:val="0"/>
          <w:marRight w:val="0"/>
          <w:marTop w:val="0"/>
          <w:marBottom w:val="600"/>
          <w:divBdr>
            <w:top w:val="none" w:sz="0" w:space="0" w:color="auto"/>
            <w:left w:val="none" w:sz="0" w:space="0" w:color="auto"/>
            <w:bottom w:val="none" w:sz="0" w:space="0" w:color="auto"/>
            <w:right w:val="none" w:sz="0" w:space="0" w:color="auto"/>
          </w:divBdr>
        </w:div>
      </w:divsChild>
    </w:div>
    <w:div w:id="1086456970">
      <w:marLeft w:val="0"/>
      <w:marRight w:val="0"/>
      <w:marTop w:val="0"/>
      <w:marBottom w:val="0"/>
      <w:divBdr>
        <w:top w:val="none" w:sz="0" w:space="0" w:color="auto"/>
        <w:left w:val="none" w:sz="0" w:space="0" w:color="auto"/>
        <w:bottom w:val="none" w:sz="0" w:space="0" w:color="auto"/>
        <w:right w:val="none" w:sz="0" w:space="0" w:color="auto"/>
      </w:divBdr>
      <w:divsChild>
        <w:div w:id="1134563500">
          <w:marLeft w:val="0"/>
          <w:marRight w:val="0"/>
          <w:marTop w:val="547"/>
          <w:marBottom w:val="0"/>
          <w:divBdr>
            <w:top w:val="none" w:sz="0" w:space="0" w:color="auto"/>
            <w:left w:val="none" w:sz="0" w:space="0" w:color="auto"/>
            <w:bottom w:val="none" w:sz="0" w:space="0" w:color="auto"/>
            <w:right w:val="none" w:sz="0" w:space="0" w:color="auto"/>
          </w:divBdr>
        </w:div>
        <w:div w:id="1679231476">
          <w:marLeft w:val="0"/>
          <w:marRight w:val="0"/>
          <w:marTop w:val="0"/>
          <w:marBottom w:val="0"/>
          <w:divBdr>
            <w:top w:val="none" w:sz="0" w:space="0" w:color="auto"/>
            <w:left w:val="none" w:sz="0" w:space="0" w:color="auto"/>
            <w:bottom w:val="none" w:sz="0" w:space="0" w:color="auto"/>
            <w:right w:val="none" w:sz="0" w:space="0" w:color="auto"/>
          </w:divBdr>
          <w:divsChild>
            <w:div w:id="462699932">
              <w:marLeft w:val="0"/>
              <w:marRight w:val="0"/>
              <w:marTop w:val="0"/>
              <w:marBottom w:val="0"/>
              <w:divBdr>
                <w:top w:val="none" w:sz="0" w:space="0" w:color="auto"/>
                <w:left w:val="none" w:sz="0" w:space="0" w:color="auto"/>
                <w:bottom w:val="none" w:sz="0" w:space="0" w:color="auto"/>
                <w:right w:val="none" w:sz="0" w:space="0" w:color="auto"/>
              </w:divBdr>
              <w:divsChild>
                <w:div w:id="3488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785">
          <w:marLeft w:val="0"/>
          <w:marRight w:val="0"/>
          <w:marTop w:val="0"/>
          <w:marBottom w:val="600"/>
          <w:divBdr>
            <w:top w:val="none" w:sz="0" w:space="0" w:color="auto"/>
            <w:left w:val="none" w:sz="0" w:space="0" w:color="auto"/>
            <w:bottom w:val="none" w:sz="0" w:space="0" w:color="auto"/>
            <w:right w:val="none" w:sz="0" w:space="0" w:color="auto"/>
          </w:divBdr>
        </w:div>
      </w:divsChild>
    </w:div>
    <w:div w:id="1149126357">
      <w:marLeft w:val="0"/>
      <w:marRight w:val="0"/>
      <w:marTop w:val="0"/>
      <w:marBottom w:val="0"/>
      <w:divBdr>
        <w:top w:val="none" w:sz="0" w:space="0" w:color="auto"/>
        <w:left w:val="none" w:sz="0" w:space="0" w:color="auto"/>
        <w:bottom w:val="none" w:sz="0" w:space="0" w:color="auto"/>
        <w:right w:val="none" w:sz="0" w:space="0" w:color="auto"/>
      </w:divBdr>
      <w:divsChild>
        <w:div w:id="1468084043">
          <w:marLeft w:val="0"/>
          <w:marRight w:val="0"/>
          <w:marTop w:val="547"/>
          <w:marBottom w:val="0"/>
          <w:divBdr>
            <w:top w:val="none" w:sz="0" w:space="0" w:color="auto"/>
            <w:left w:val="none" w:sz="0" w:space="0" w:color="auto"/>
            <w:bottom w:val="none" w:sz="0" w:space="0" w:color="auto"/>
            <w:right w:val="none" w:sz="0" w:space="0" w:color="auto"/>
          </w:divBdr>
        </w:div>
        <w:div w:id="1769499550">
          <w:marLeft w:val="0"/>
          <w:marRight w:val="0"/>
          <w:marTop w:val="0"/>
          <w:marBottom w:val="0"/>
          <w:divBdr>
            <w:top w:val="none" w:sz="0" w:space="0" w:color="auto"/>
            <w:left w:val="none" w:sz="0" w:space="0" w:color="auto"/>
            <w:bottom w:val="none" w:sz="0" w:space="0" w:color="auto"/>
            <w:right w:val="none" w:sz="0" w:space="0" w:color="auto"/>
          </w:divBdr>
        </w:div>
        <w:div w:id="1044911828">
          <w:marLeft w:val="0"/>
          <w:marRight w:val="0"/>
          <w:marTop w:val="0"/>
          <w:marBottom w:val="600"/>
          <w:divBdr>
            <w:top w:val="none" w:sz="0" w:space="0" w:color="auto"/>
            <w:left w:val="none" w:sz="0" w:space="0" w:color="auto"/>
            <w:bottom w:val="none" w:sz="0" w:space="0" w:color="auto"/>
            <w:right w:val="none" w:sz="0" w:space="0" w:color="auto"/>
          </w:divBdr>
        </w:div>
      </w:divsChild>
    </w:div>
    <w:div w:id="1179395057">
      <w:marLeft w:val="0"/>
      <w:marRight w:val="0"/>
      <w:marTop w:val="0"/>
      <w:marBottom w:val="0"/>
      <w:divBdr>
        <w:top w:val="none" w:sz="0" w:space="0" w:color="auto"/>
        <w:left w:val="none" w:sz="0" w:space="0" w:color="auto"/>
        <w:bottom w:val="none" w:sz="0" w:space="0" w:color="auto"/>
        <w:right w:val="none" w:sz="0" w:space="0" w:color="auto"/>
      </w:divBdr>
      <w:divsChild>
        <w:div w:id="1189030102">
          <w:marLeft w:val="0"/>
          <w:marRight w:val="0"/>
          <w:marTop w:val="547"/>
          <w:marBottom w:val="0"/>
          <w:divBdr>
            <w:top w:val="none" w:sz="0" w:space="0" w:color="auto"/>
            <w:left w:val="none" w:sz="0" w:space="0" w:color="auto"/>
            <w:bottom w:val="none" w:sz="0" w:space="0" w:color="auto"/>
            <w:right w:val="none" w:sz="0" w:space="0" w:color="auto"/>
          </w:divBdr>
        </w:div>
        <w:div w:id="950891200">
          <w:marLeft w:val="0"/>
          <w:marRight w:val="0"/>
          <w:marTop w:val="0"/>
          <w:marBottom w:val="0"/>
          <w:divBdr>
            <w:top w:val="none" w:sz="0" w:space="0" w:color="auto"/>
            <w:left w:val="none" w:sz="0" w:space="0" w:color="auto"/>
            <w:bottom w:val="none" w:sz="0" w:space="0" w:color="auto"/>
            <w:right w:val="none" w:sz="0" w:space="0" w:color="auto"/>
          </w:divBdr>
        </w:div>
        <w:div w:id="1255165285">
          <w:marLeft w:val="0"/>
          <w:marRight w:val="0"/>
          <w:marTop w:val="0"/>
          <w:marBottom w:val="600"/>
          <w:divBdr>
            <w:top w:val="none" w:sz="0" w:space="0" w:color="auto"/>
            <w:left w:val="none" w:sz="0" w:space="0" w:color="auto"/>
            <w:bottom w:val="none" w:sz="0" w:space="0" w:color="auto"/>
            <w:right w:val="none" w:sz="0" w:space="0" w:color="auto"/>
          </w:divBdr>
        </w:div>
      </w:divsChild>
    </w:div>
    <w:div w:id="1230923543">
      <w:marLeft w:val="0"/>
      <w:marRight w:val="0"/>
      <w:marTop w:val="0"/>
      <w:marBottom w:val="0"/>
      <w:divBdr>
        <w:top w:val="none" w:sz="0" w:space="0" w:color="auto"/>
        <w:left w:val="none" w:sz="0" w:space="0" w:color="auto"/>
        <w:bottom w:val="none" w:sz="0" w:space="0" w:color="auto"/>
        <w:right w:val="none" w:sz="0" w:space="0" w:color="auto"/>
      </w:divBdr>
      <w:divsChild>
        <w:div w:id="1419791933">
          <w:marLeft w:val="0"/>
          <w:marRight w:val="0"/>
          <w:marTop w:val="547"/>
          <w:marBottom w:val="0"/>
          <w:divBdr>
            <w:top w:val="none" w:sz="0" w:space="0" w:color="auto"/>
            <w:left w:val="none" w:sz="0" w:space="0" w:color="auto"/>
            <w:bottom w:val="none" w:sz="0" w:space="0" w:color="auto"/>
            <w:right w:val="none" w:sz="0" w:space="0" w:color="auto"/>
          </w:divBdr>
        </w:div>
        <w:div w:id="697699666">
          <w:marLeft w:val="0"/>
          <w:marRight w:val="0"/>
          <w:marTop w:val="0"/>
          <w:marBottom w:val="0"/>
          <w:divBdr>
            <w:top w:val="none" w:sz="0" w:space="0" w:color="auto"/>
            <w:left w:val="none" w:sz="0" w:space="0" w:color="auto"/>
            <w:bottom w:val="none" w:sz="0" w:space="0" w:color="auto"/>
            <w:right w:val="none" w:sz="0" w:space="0" w:color="auto"/>
          </w:divBdr>
        </w:div>
        <w:div w:id="426314738">
          <w:marLeft w:val="0"/>
          <w:marRight w:val="0"/>
          <w:marTop w:val="0"/>
          <w:marBottom w:val="600"/>
          <w:divBdr>
            <w:top w:val="none" w:sz="0" w:space="0" w:color="auto"/>
            <w:left w:val="none" w:sz="0" w:space="0" w:color="auto"/>
            <w:bottom w:val="none" w:sz="0" w:space="0" w:color="auto"/>
            <w:right w:val="none" w:sz="0" w:space="0" w:color="auto"/>
          </w:divBdr>
        </w:div>
      </w:divsChild>
    </w:div>
    <w:div w:id="1274366793">
      <w:marLeft w:val="0"/>
      <w:marRight w:val="0"/>
      <w:marTop w:val="0"/>
      <w:marBottom w:val="0"/>
      <w:divBdr>
        <w:top w:val="none" w:sz="0" w:space="0" w:color="auto"/>
        <w:left w:val="none" w:sz="0" w:space="0" w:color="auto"/>
        <w:bottom w:val="none" w:sz="0" w:space="0" w:color="auto"/>
        <w:right w:val="none" w:sz="0" w:space="0" w:color="auto"/>
      </w:divBdr>
      <w:divsChild>
        <w:div w:id="1701122253">
          <w:marLeft w:val="0"/>
          <w:marRight w:val="0"/>
          <w:marTop w:val="547"/>
          <w:marBottom w:val="0"/>
          <w:divBdr>
            <w:top w:val="none" w:sz="0" w:space="0" w:color="auto"/>
            <w:left w:val="none" w:sz="0" w:space="0" w:color="auto"/>
            <w:bottom w:val="none" w:sz="0" w:space="0" w:color="auto"/>
            <w:right w:val="none" w:sz="0" w:space="0" w:color="auto"/>
          </w:divBdr>
        </w:div>
        <w:div w:id="324552111">
          <w:marLeft w:val="0"/>
          <w:marRight w:val="0"/>
          <w:marTop w:val="0"/>
          <w:marBottom w:val="0"/>
          <w:divBdr>
            <w:top w:val="none" w:sz="0" w:space="0" w:color="auto"/>
            <w:left w:val="none" w:sz="0" w:space="0" w:color="auto"/>
            <w:bottom w:val="none" w:sz="0" w:space="0" w:color="auto"/>
            <w:right w:val="none" w:sz="0" w:space="0" w:color="auto"/>
          </w:divBdr>
        </w:div>
        <w:div w:id="1737556857">
          <w:marLeft w:val="0"/>
          <w:marRight w:val="0"/>
          <w:marTop w:val="0"/>
          <w:marBottom w:val="600"/>
          <w:divBdr>
            <w:top w:val="none" w:sz="0" w:space="0" w:color="auto"/>
            <w:left w:val="none" w:sz="0" w:space="0" w:color="auto"/>
            <w:bottom w:val="none" w:sz="0" w:space="0" w:color="auto"/>
            <w:right w:val="none" w:sz="0" w:space="0" w:color="auto"/>
          </w:divBdr>
        </w:div>
      </w:divsChild>
    </w:div>
    <w:div w:id="1292200788">
      <w:marLeft w:val="0"/>
      <w:marRight w:val="0"/>
      <w:marTop w:val="0"/>
      <w:marBottom w:val="0"/>
      <w:divBdr>
        <w:top w:val="none" w:sz="0" w:space="0" w:color="auto"/>
        <w:left w:val="none" w:sz="0" w:space="0" w:color="auto"/>
        <w:bottom w:val="none" w:sz="0" w:space="0" w:color="auto"/>
        <w:right w:val="none" w:sz="0" w:space="0" w:color="auto"/>
      </w:divBdr>
      <w:divsChild>
        <w:div w:id="1265456076">
          <w:marLeft w:val="0"/>
          <w:marRight w:val="0"/>
          <w:marTop w:val="547"/>
          <w:marBottom w:val="0"/>
          <w:divBdr>
            <w:top w:val="none" w:sz="0" w:space="0" w:color="auto"/>
            <w:left w:val="none" w:sz="0" w:space="0" w:color="auto"/>
            <w:bottom w:val="none" w:sz="0" w:space="0" w:color="auto"/>
            <w:right w:val="none" w:sz="0" w:space="0" w:color="auto"/>
          </w:divBdr>
        </w:div>
        <w:div w:id="1429960337">
          <w:marLeft w:val="0"/>
          <w:marRight w:val="0"/>
          <w:marTop w:val="0"/>
          <w:marBottom w:val="0"/>
          <w:divBdr>
            <w:top w:val="none" w:sz="0" w:space="0" w:color="auto"/>
            <w:left w:val="none" w:sz="0" w:space="0" w:color="auto"/>
            <w:bottom w:val="none" w:sz="0" w:space="0" w:color="auto"/>
            <w:right w:val="none" w:sz="0" w:space="0" w:color="auto"/>
          </w:divBdr>
          <w:divsChild>
            <w:div w:id="1935435521">
              <w:marLeft w:val="0"/>
              <w:marRight w:val="0"/>
              <w:marTop w:val="0"/>
              <w:marBottom w:val="0"/>
              <w:divBdr>
                <w:top w:val="none" w:sz="0" w:space="0" w:color="auto"/>
                <w:left w:val="none" w:sz="0" w:space="0" w:color="auto"/>
                <w:bottom w:val="none" w:sz="0" w:space="0" w:color="auto"/>
                <w:right w:val="none" w:sz="0" w:space="0" w:color="auto"/>
              </w:divBdr>
              <w:divsChild>
                <w:div w:id="1711804086">
                  <w:marLeft w:val="0"/>
                  <w:marRight w:val="0"/>
                  <w:marTop w:val="0"/>
                  <w:marBottom w:val="0"/>
                  <w:divBdr>
                    <w:top w:val="none" w:sz="0" w:space="0" w:color="auto"/>
                    <w:left w:val="none" w:sz="0" w:space="0" w:color="auto"/>
                    <w:bottom w:val="none" w:sz="0" w:space="0" w:color="auto"/>
                    <w:right w:val="none" w:sz="0" w:space="0" w:color="auto"/>
                  </w:divBdr>
                </w:div>
              </w:divsChild>
            </w:div>
            <w:div w:id="998310535">
              <w:marLeft w:val="0"/>
              <w:marRight w:val="0"/>
              <w:marTop w:val="0"/>
              <w:marBottom w:val="0"/>
              <w:divBdr>
                <w:top w:val="none" w:sz="0" w:space="0" w:color="auto"/>
                <w:left w:val="none" w:sz="0" w:space="0" w:color="auto"/>
                <w:bottom w:val="none" w:sz="0" w:space="0" w:color="auto"/>
                <w:right w:val="none" w:sz="0" w:space="0" w:color="auto"/>
              </w:divBdr>
              <w:divsChild>
                <w:div w:id="1086148715">
                  <w:marLeft w:val="0"/>
                  <w:marRight w:val="0"/>
                  <w:marTop w:val="0"/>
                  <w:marBottom w:val="0"/>
                  <w:divBdr>
                    <w:top w:val="none" w:sz="0" w:space="0" w:color="auto"/>
                    <w:left w:val="none" w:sz="0" w:space="0" w:color="auto"/>
                    <w:bottom w:val="none" w:sz="0" w:space="0" w:color="auto"/>
                    <w:right w:val="none" w:sz="0" w:space="0" w:color="auto"/>
                  </w:divBdr>
                </w:div>
              </w:divsChild>
            </w:div>
            <w:div w:id="1074470008">
              <w:marLeft w:val="0"/>
              <w:marRight w:val="0"/>
              <w:marTop w:val="0"/>
              <w:marBottom w:val="0"/>
              <w:divBdr>
                <w:top w:val="none" w:sz="0" w:space="0" w:color="auto"/>
                <w:left w:val="none" w:sz="0" w:space="0" w:color="auto"/>
                <w:bottom w:val="none" w:sz="0" w:space="0" w:color="auto"/>
                <w:right w:val="none" w:sz="0" w:space="0" w:color="auto"/>
              </w:divBdr>
              <w:divsChild>
                <w:div w:id="1840653753">
                  <w:marLeft w:val="0"/>
                  <w:marRight w:val="0"/>
                  <w:marTop w:val="0"/>
                  <w:marBottom w:val="0"/>
                  <w:divBdr>
                    <w:top w:val="none" w:sz="0" w:space="0" w:color="auto"/>
                    <w:left w:val="none" w:sz="0" w:space="0" w:color="auto"/>
                    <w:bottom w:val="none" w:sz="0" w:space="0" w:color="auto"/>
                    <w:right w:val="none" w:sz="0" w:space="0" w:color="auto"/>
                  </w:divBdr>
                </w:div>
              </w:divsChild>
            </w:div>
            <w:div w:id="2002345755">
              <w:marLeft w:val="0"/>
              <w:marRight w:val="0"/>
              <w:marTop w:val="0"/>
              <w:marBottom w:val="0"/>
              <w:divBdr>
                <w:top w:val="none" w:sz="0" w:space="0" w:color="auto"/>
                <w:left w:val="none" w:sz="0" w:space="0" w:color="auto"/>
                <w:bottom w:val="none" w:sz="0" w:space="0" w:color="auto"/>
                <w:right w:val="none" w:sz="0" w:space="0" w:color="auto"/>
              </w:divBdr>
              <w:divsChild>
                <w:div w:id="1010528240">
                  <w:marLeft w:val="0"/>
                  <w:marRight w:val="0"/>
                  <w:marTop w:val="0"/>
                  <w:marBottom w:val="0"/>
                  <w:divBdr>
                    <w:top w:val="none" w:sz="0" w:space="0" w:color="auto"/>
                    <w:left w:val="none" w:sz="0" w:space="0" w:color="auto"/>
                    <w:bottom w:val="none" w:sz="0" w:space="0" w:color="auto"/>
                    <w:right w:val="none" w:sz="0" w:space="0" w:color="auto"/>
                  </w:divBdr>
                </w:div>
              </w:divsChild>
            </w:div>
            <w:div w:id="1221090557">
              <w:marLeft w:val="0"/>
              <w:marRight w:val="0"/>
              <w:marTop w:val="0"/>
              <w:marBottom w:val="0"/>
              <w:divBdr>
                <w:top w:val="none" w:sz="0" w:space="0" w:color="auto"/>
                <w:left w:val="none" w:sz="0" w:space="0" w:color="auto"/>
                <w:bottom w:val="none" w:sz="0" w:space="0" w:color="auto"/>
                <w:right w:val="none" w:sz="0" w:space="0" w:color="auto"/>
              </w:divBdr>
              <w:divsChild>
                <w:div w:id="938297204">
                  <w:marLeft w:val="0"/>
                  <w:marRight w:val="0"/>
                  <w:marTop w:val="0"/>
                  <w:marBottom w:val="0"/>
                  <w:divBdr>
                    <w:top w:val="none" w:sz="0" w:space="0" w:color="auto"/>
                    <w:left w:val="none" w:sz="0" w:space="0" w:color="auto"/>
                    <w:bottom w:val="none" w:sz="0" w:space="0" w:color="auto"/>
                    <w:right w:val="none" w:sz="0" w:space="0" w:color="auto"/>
                  </w:divBdr>
                </w:div>
              </w:divsChild>
            </w:div>
            <w:div w:id="764233831">
              <w:marLeft w:val="0"/>
              <w:marRight w:val="0"/>
              <w:marTop w:val="0"/>
              <w:marBottom w:val="0"/>
              <w:divBdr>
                <w:top w:val="none" w:sz="0" w:space="0" w:color="auto"/>
                <w:left w:val="none" w:sz="0" w:space="0" w:color="auto"/>
                <w:bottom w:val="none" w:sz="0" w:space="0" w:color="auto"/>
                <w:right w:val="none" w:sz="0" w:space="0" w:color="auto"/>
              </w:divBdr>
              <w:divsChild>
                <w:div w:id="1888833556">
                  <w:marLeft w:val="0"/>
                  <w:marRight w:val="0"/>
                  <w:marTop w:val="0"/>
                  <w:marBottom w:val="0"/>
                  <w:divBdr>
                    <w:top w:val="none" w:sz="0" w:space="0" w:color="auto"/>
                    <w:left w:val="none" w:sz="0" w:space="0" w:color="auto"/>
                    <w:bottom w:val="none" w:sz="0" w:space="0" w:color="auto"/>
                    <w:right w:val="none" w:sz="0" w:space="0" w:color="auto"/>
                  </w:divBdr>
                </w:div>
              </w:divsChild>
            </w:div>
            <w:div w:id="1789621670">
              <w:marLeft w:val="0"/>
              <w:marRight w:val="0"/>
              <w:marTop w:val="0"/>
              <w:marBottom w:val="0"/>
              <w:divBdr>
                <w:top w:val="none" w:sz="0" w:space="0" w:color="auto"/>
                <w:left w:val="none" w:sz="0" w:space="0" w:color="auto"/>
                <w:bottom w:val="none" w:sz="0" w:space="0" w:color="auto"/>
                <w:right w:val="none" w:sz="0" w:space="0" w:color="auto"/>
              </w:divBdr>
              <w:divsChild>
                <w:div w:id="967903879">
                  <w:marLeft w:val="0"/>
                  <w:marRight w:val="0"/>
                  <w:marTop w:val="0"/>
                  <w:marBottom w:val="0"/>
                  <w:divBdr>
                    <w:top w:val="none" w:sz="0" w:space="0" w:color="auto"/>
                    <w:left w:val="none" w:sz="0" w:space="0" w:color="auto"/>
                    <w:bottom w:val="none" w:sz="0" w:space="0" w:color="auto"/>
                    <w:right w:val="none" w:sz="0" w:space="0" w:color="auto"/>
                  </w:divBdr>
                </w:div>
              </w:divsChild>
            </w:div>
            <w:div w:id="5786425">
              <w:marLeft w:val="0"/>
              <w:marRight w:val="0"/>
              <w:marTop w:val="0"/>
              <w:marBottom w:val="0"/>
              <w:divBdr>
                <w:top w:val="none" w:sz="0" w:space="0" w:color="auto"/>
                <w:left w:val="none" w:sz="0" w:space="0" w:color="auto"/>
                <w:bottom w:val="none" w:sz="0" w:space="0" w:color="auto"/>
                <w:right w:val="none" w:sz="0" w:space="0" w:color="auto"/>
              </w:divBdr>
              <w:divsChild>
                <w:div w:id="465126722">
                  <w:marLeft w:val="0"/>
                  <w:marRight w:val="0"/>
                  <w:marTop w:val="0"/>
                  <w:marBottom w:val="0"/>
                  <w:divBdr>
                    <w:top w:val="none" w:sz="0" w:space="0" w:color="auto"/>
                    <w:left w:val="none" w:sz="0" w:space="0" w:color="auto"/>
                    <w:bottom w:val="none" w:sz="0" w:space="0" w:color="auto"/>
                    <w:right w:val="none" w:sz="0" w:space="0" w:color="auto"/>
                  </w:divBdr>
                </w:div>
              </w:divsChild>
            </w:div>
            <w:div w:id="235750262">
              <w:marLeft w:val="0"/>
              <w:marRight w:val="0"/>
              <w:marTop w:val="0"/>
              <w:marBottom w:val="0"/>
              <w:divBdr>
                <w:top w:val="none" w:sz="0" w:space="0" w:color="auto"/>
                <w:left w:val="none" w:sz="0" w:space="0" w:color="auto"/>
                <w:bottom w:val="none" w:sz="0" w:space="0" w:color="auto"/>
                <w:right w:val="none" w:sz="0" w:space="0" w:color="auto"/>
              </w:divBdr>
              <w:divsChild>
                <w:div w:id="1593783767">
                  <w:marLeft w:val="0"/>
                  <w:marRight w:val="0"/>
                  <w:marTop w:val="0"/>
                  <w:marBottom w:val="0"/>
                  <w:divBdr>
                    <w:top w:val="none" w:sz="0" w:space="0" w:color="auto"/>
                    <w:left w:val="none" w:sz="0" w:space="0" w:color="auto"/>
                    <w:bottom w:val="none" w:sz="0" w:space="0" w:color="auto"/>
                    <w:right w:val="none" w:sz="0" w:space="0" w:color="auto"/>
                  </w:divBdr>
                </w:div>
              </w:divsChild>
            </w:div>
            <w:div w:id="2051685816">
              <w:marLeft w:val="0"/>
              <w:marRight w:val="0"/>
              <w:marTop w:val="0"/>
              <w:marBottom w:val="0"/>
              <w:divBdr>
                <w:top w:val="none" w:sz="0" w:space="0" w:color="auto"/>
                <w:left w:val="none" w:sz="0" w:space="0" w:color="auto"/>
                <w:bottom w:val="none" w:sz="0" w:space="0" w:color="auto"/>
                <w:right w:val="none" w:sz="0" w:space="0" w:color="auto"/>
              </w:divBdr>
              <w:divsChild>
                <w:div w:id="418987576">
                  <w:marLeft w:val="0"/>
                  <w:marRight w:val="0"/>
                  <w:marTop w:val="0"/>
                  <w:marBottom w:val="0"/>
                  <w:divBdr>
                    <w:top w:val="none" w:sz="0" w:space="0" w:color="auto"/>
                    <w:left w:val="none" w:sz="0" w:space="0" w:color="auto"/>
                    <w:bottom w:val="none" w:sz="0" w:space="0" w:color="auto"/>
                    <w:right w:val="none" w:sz="0" w:space="0" w:color="auto"/>
                  </w:divBdr>
                </w:div>
              </w:divsChild>
            </w:div>
            <w:div w:id="248852514">
              <w:marLeft w:val="0"/>
              <w:marRight w:val="0"/>
              <w:marTop w:val="0"/>
              <w:marBottom w:val="0"/>
              <w:divBdr>
                <w:top w:val="none" w:sz="0" w:space="0" w:color="auto"/>
                <w:left w:val="none" w:sz="0" w:space="0" w:color="auto"/>
                <w:bottom w:val="none" w:sz="0" w:space="0" w:color="auto"/>
                <w:right w:val="none" w:sz="0" w:space="0" w:color="auto"/>
              </w:divBdr>
              <w:divsChild>
                <w:div w:id="1710498108">
                  <w:marLeft w:val="0"/>
                  <w:marRight w:val="0"/>
                  <w:marTop w:val="0"/>
                  <w:marBottom w:val="0"/>
                  <w:divBdr>
                    <w:top w:val="none" w:sz="0" w:space="0" w:color="auto"/>
                    <w:left w:val="none" w:sz="0" w:space="0" w:color="auto"/>
                    <w:bottom w:val="none" w:sz="0" w:space="0" w:color="auto"/>
                    <w:right w:val="none" w:sz="0" w:space="0" w:color="auto"/>
                  </w:divBdr>
                </w:div>
              </w:divsChild>
            </w:div>
            <w:div w:id="1540439118">
              <w:marLeft w:val="0"/>
              <w:marRight w:val="0"/>
              <w:marTop w:val="0"/>
              <w:marBottom w:val="0"/>
              <w:divBdr>
                <w:top w:val="none" w:sz="0" w:space="0" w:color="auto"/>
                <w:left w:val="none" w:sz="0" w:space="0" w:color="auto"/>
                <w:bottom w:val="none" w:sz="0" w:space="0" w:color="auto"/>
                <w:right w:val="none" w:sz="0" w:space="0" w:color="auto"/>
              </w:divBdr>
              <w:divsChild>
                <w:div w:id="828205232">
                  <w:marLeft w:val="0"/>
                  <w:marRight w:val="0"/>
                  <w:marTop w:val="0"/>
                  <w:marBottom w:val="0"/>
                  <w:divBdr>
                    <w:top w:val="none" w:sz="0" w:space="0" w:color="auto"/>
                    <w:left w:val="none" w:sz="0" w:space="0" w:color="auto"/>
                    <w:bottom w:val="none" w:sz="0" w:space="0" w:color="auto"/>
                    <w:right w:val="none" w:sz="0" w:space="0" w:color="auto"/>
                  </w:divBdr>
                </w:div>
              </w:divsChild>
            </w:div>
            <w:div w:id="794906645">
              <w:marLeft w:val="0"/>
              <w:marRight w:val="0"/>
              <w:marTop w:val="0"/>
              <w:marBottom w:val="0"/>
              <w:divBdr>
                <w:top w:val="none" w:sz="0" w:space="0" w:color="auto"/>
                <w:left w:val="none" w:sz="0" w:space="0" w:color="auto"/>
                <w:bottom w:val="none" w:sz="0" w:space="0" w:color="auto"/>
                <w:right w:val="none" w:sz="0" w:space="0" w:color="auto"/>
              </w:divBdr>
              <w:divsChild>
                <w:div w:id="97915980">
                  <w:marLeft w:val="0"/>
                  <w:marRight w:val="0"/>
                  <w:marTop w:val="0"/>
                  <w:marBottom w:val="0"/>
                  <w:divBdr>
                    <w:top w:val="none" w:sz="0" w:space="0" w:color="auto"/>
                    <w:left w:val="none" w:sz="0" w:space="0" w:color="auto"/>
                    <w:bottom w:val="none" w:sz="0" w:space="0" w:color="auto"/>
                    <w:right w:val="none" w:sz="0" w:space="0" w:color="auto"/>
                  </w:divBdr>
                </w:div>
              </w:divsChild>
            </w:div>
            <w:div w:id="10186253">
              <w:marLeft w:val="0"/>
              <w:marRight w:val="0"/>
              <w:marTop w:val="0"/>
              <w:marBottom w:val="0"/>
              <w:divBdr>
                <w:top w:val="none" w:sz="0" w:space="0" w:color="auto"/>
                <w:left w:val="none" w:sz="0" w:space="0" w:color="auto"/>
                <w:bottom w:val="none" w:sz="0" w:space="0" w:color="auto"/>
                <w:right w:val="none" w:sz="0" w:space="0" w:color="auto"/>
              </w:divBdr>
              <w:divsChild>
                <w:div w:id="1199247011">
                  <w:marLeft w:val="0"/>
                  <w:marRight w:val="0"/>
                  <w:marTop w:val="0"/>
                  <w:marBottom w:val="0"/>
                  <w:divBdr>
                    <w:top w:val="none" w:sz="0" w:space="0" w:color="auto"/>
                    <w:left w:val="none" w:sz="0" w:space="0" w:color="auto"/>
                    <w:bottom w:val="none" w:sz="0" w:space="0" w:color="auto"/>
                    <w:right w:val="none" w:sz="0" w:space="0" w:color="auto"/>
                  </w:divBdr>
                </w:div>
              </w:divsChild>
            </w:div>
            <w:div w:id="384330567">
              <w:marLeft w:val="0"/>
              <w:marRight w:val="0"/>
              <w:marTop w:val="0"/>
              <w:marBottom w:val="0"/>
              <w:divBdr>
                <w:top w:val="none" w:sz="0" w:space="0" w:color="auto"/>
                <w:left w:val="none" w:sz="0" w:space="0" w:color="auto"/>
                <w:bottom w:val="none" w:sz="0" w:space="0" w:color="auto"/>
                <w:right w:val="none" w:sz="0" w:space="0" w:color="auto"/>
              </w:divBdr>
              <w:divsChild>
                <w:div w:id="214128850">
                  <w:marLeft w:val="0"/>
                  <w:marRight w:val="0"/>
                  <w:marTop w:val="0"/>
                  <w:marBottom w:val="0"/>
                  <w:divBdr>
                    <w:top w:val="none" w:sz="0" w:space="0" w:color="auto"/>
                    <w:left w:val="none" w:sz="0" w:space="0" w:color="auto"/>
                    <w:bottom w:val="none" w:sz="0" w:space="0" w:color="auto"/>
                    <w:right w:val="none" w:sz="0" w:space="0" w:color="auto"/>
                  </w:divBdr>
                </w:div>
              </w:divsChild>
            </w:div>
            <w:div w:id="811754102">
              <w:marLeft w:val="0"/>
              <w:marRight w:val="0"/>
              <w:marTop w:val="0"/>
              <w:marBottom w:val="0"/>
              <w:divBdr>
                <w:top w:val="none" w:sz="0" w:space="0" w:color="auto"/>
                <w:left w:val="none" w:sz="0" w:space="0" w:color="auto"/>
                <w:bottom w:val="none" w:sz="0" w:space="0" w:color="auto"/>
                <w:right w:val="none" w:sz="0" w:space="0" w:color="auto"/>
              </w:divBdr>
              <w:divsChild>
                <w:div w:id="621882065">
                  <w:marLeft w:val="0"/>
                  <w:marRight w:val="0"/>
                  <w:marTop w:val="0"/>
                  <w:marBottom w:val="0"/>
                  <w:divBdr>
                    <w:top w:val="none" w:sz="0" w:space="0" w:color="auto"/>
                    <w:left w:val="none" w:sz="0" w:space="0" w:color="auto"/>
                    <w:bottom w:val="none" w:sz="0" w:space="0" w:color="auto"/>
                    <w:right w:val="none" w:sz="0" w:space="0" w:color="auto"/>
                  </w:divBdr>
                </w:div>
              </w:divsChild>
            </w:div>
            <w:div w:id="101729753">
              <w:marLeft w:val="0"/>
              <w:marRight w:val="0"/>
              <w:marTop w:val="0"/>
              <w:marBottom w:val="0"/>
              <w:divBdr>
                <w:top w:val="none" w:sz="0" w:space="0" w:color="auto"/>
                <w:left w:val="none" w:sz="0" w:space="0" w:color="auto"/>
                <w:bottom w:val="none" w:sz="0" w:space="0" w:color="auto"/>
                <w:right w:val="none" w:sz="0" w:space="0" w:color="auto"/>
              </w:divBdr>
              <w:divsChild>
                <w:div w:id="2055034779">
                  <w:marLeft w:val="0"/>
                  <w:marRight w:val="0"/>
                  <w:marTop w:val="0"/>
                  <w:marBottom w:val="0"/>
                  <w:divBdr>
                    <w:top w:val="none" w:sz="0" w:space="0" w:color="auto"/>
                    <w:left w:val="none" w:sz="0" w:space="0" w:color="auto"/>
                    <w:bottom w:val="none" w:sz="0" w:space="0" w:color="auto"/>
                    <w:right w:val="none" w:sz="0" w:space="0" w:color="auto"/>
                  </w:divBdr>
                </w:div>
              </w:divsChild>
            </w:div>
            <w:div w:id="994725514">
              <w:marLeft w:val="0"/>
              <w:marRight w:val="0"/>
              <w:marTop w:val="0"/>
              <w:marBottom w:val="0"/>
              <w:divBdr>
                <w:top w:val="none" w:sz="0" w:space="0" w:color="auto"/>
                <w:left w:val="none" w:sz="0" w:space="0" w:color="auto"/>
                <w:bottom w:val="none" w:sz="0" w:space="0" w:color="auto"/>
                <w:right w:val="none" w:sz="0" w:space="0" w:color="auto"/>
              </w:divBdr>
              <w:divsChild>
                <w:div w:id="11088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2890">
          <w:marLeft w:val="0"/>
          <w:marRight w:val="0"/>
          <w:marTop w:val="0"/>
          <w:marBottom w:val="600"/>
          <w:divBdr>
            <w:top w:val="none" w:sz="0" w:space="0" w:color="auto"/>
            <w:left w:val="none" w:sz="0" w:space="0" w:color="auto"/>
            <w:bottom w:val="none" w:sz="0" w:space="0" w:color="auto"/>
            <w:right w:val="none" w:sz="0" w:space="0" w:color="auto"/>
          </w:divBdr>
        </w:div>
      </w:divsChild>
    </w:div>
    <w:div w:id="1331179036">
      <w:marLeft w:val="0"/>
      <w:marRight w:val="0"/>
      <w:marTop w:val="0"/>
      <w:marBottom w:val="0"/>
      <w:divBdr>
        <w:top w:val="none" w:sz="0" w:space="0" w:color="auto"/>
        <w:left w:val="none" w:sz="0" w:space="0" w:color="auto"/>
        <w:bottom w:val="none" w:sz="0" w:space="0" w:color="auto"/>
        <w:right w:val="none" w:sz="0" w:space="0" w:color="auto"/>
      </w:divBdr>
      <w:divsChild>
        <w:div w:id="1435859443">
          <w:marLeft w:val="0"/>
          <w:marRight w:val="0"/>
          <w:marTop w:val="547"/>
          <w:marBottom w:val="0"/>
          <w:divBdr>
            <w:top w:val="none" w:sz="0" w:space="0" w:color="auto"/>
            <w:left w:val="none" w:sz="0" w:space="0" w:color="auto"/>
            <w:bottom w:val="none" w:sz="0" w:space="0" w:color="auto"/>
            <w:right w:val="none" w:sz="0" w:space="0" w:color="auto"/>
          </w:divBdr>
        </w:div>
        <w:div w:id="954486307">
          <w:marLeft w:val="0"/>
          <w:marRight w:val="0"/>
          <w:marTop w:val="0"/>
          <w:marBottom w:val="0"/>
          <w:divBdr>
            <w:top w:val="none" w:sz="0" w:space="0" w:color="auto"/>
            <w:left w:val="none" w:sz="0" w:space="0" w:color="auto"/>
            <w:bottom w:val="none" w:sz="0" w:space="0" w:color="auto"/>
            <w:right w:val="none" w:sz="0" w:space="0" w:color="auto"/>
          </w:divBdr>
          <w:divsChild>
            <w:div w:id="1137726378">
              <w:marLeft w:val="0"/>
              <w:marRight w:val="0"/>
              <w:marTop w:val="0"/>
              <w:marBottom w:val="0"/>
              <w:divBdr>
                <w:top w:val="none" w:sz="0" w:space="0" w:color="auto"/>
                <w:left w:val="none" w:sz="0" w:space="0" w:color="auto"/>
                <w:bottom w:val="none" w:sz="0" w:space="0" w:color="auto"/>
                <w:right w:val="none" w:sz="0" w:space="0" w:color="auto"/>
              </w:divBdr>
              <w:divsChild>
                <w:div w:id="450976526">
                  <w:marLeft w:val="0"/>
                  <w:marRight w:val="0"/>
                  <w:marTop w:val="0"/>
                  <w:marBottom w:val="0"/>
                  <w:divBdr>
                    <w:top w:val="none" w:sz="0" w:space="0" w:color="auto"/>
                    <w:left w:val="none" w:sz="0" w:space="0" w:color="auto"/>
                    <w:bottom w:val="none" w:sz="0" w:space="0" w:color="auto"/>
                    <w:right w:val="none" w:sz="0" w:space="0" w:color="auto"/>
                  </w:divBdr>
                </w:div>
              </w:divsChild>
            </w:div>
            <w:div w:id="2023126715">
              <w:marLeft w:val="0"/>
              <w:marRight w:val="0"/>
              <w:marTop w:val="0"/>
              <w:marBottom w:val="0"/>
              <w:divBdr>
                <w:top w:val="none" w:sz="0" w:space="0" w:color="auto"/>
                <w:left w:val="none" w:sz="0" w:space="0" w:color="auto"/>
                <w:bottom w:val="none" w:sz="0" w:space="0" w:color="auto"/>
                <w:right w:val="none" w:sz="0" w:space="0" w:color="auto"/>
              </w:divBdr>
              <w:divsChild>
                <w:div w:id="1137801698">
                  <w:marLeft w:val="0"/>
                  <w:marRight w:val="0"/>
                  <w:marTop w:val="0"/>
                  <w:marBottom w:val="0"/>
                  <w:divBdr>
                    <w:top w:val="none" w:sz="0" w:space="0" w:color="auto"/>
                    <w:left w:val="none" w:sz="0" w:space="0" w:color="auto"/>
                    <w:bottom w:val="none" w:sz="0" w:space="0" w:color="auto"/>
                    <w:right w:val="none" w:sz="0" w:space="0" w:color="auto"/>
                  </w:divBdr>
                </w:div>
              </w:divsChild>
            </w:div>
            <w:div w:id="890265052">
              <w:marLeft w:val="0"/>
              <w:marRight w:val="0"/>
              <w:marTop w:val="0"/>
              <w:marBottom w:val="0"/>
              <w:divBdr>
                <w:top w:val="none" w:sz="0" w:space="0" w:color="auto"/>
                <w:left w:val="none" w:sz="0" w:space="0" w:color="auto"/>
                <w:bottom w:val="none" w:sz="0" w:space="0" w:color="auto"/>
                <w:right w:val="none" w:sz="0" w:space="0" w:color="auto"/>
              </w:divBdr>
              <w:divsChild>
                <w:div w:id="183833536">
                  <w:marLeft w:val="0"/>
                  <w:marRight w:val="0"/>
                  <w:marTop w:val="0"/>
                  <w:marBottom w:val="0"/>
                  <w:divBdr>
                    <w:top w:val="none" w:sz="0" w:space="0" w:color="auto"/>
                    <w:left w:val="none" w:sz="0" w:space="0" w:color="auto"/>
                    <w:bottom w:val="none" w:sz="0" w:space="0" w:color="auto"/>
                    <w:right w:val="none" w:sz="0" w:space="0" w:color="auto"/>
                  </w:divBdr>
                </w:div>
              </w:divsChild>
            </w:div>
            <w:div w:id="1111172156">
              <w:marLeft w:val="0"/>
              <w:marRight w:val="0"/>
              <w:marTop w:val="0"/>
              <w:marBottom w:val="0"/>
              <w:divBdr>
                <w:top w:val="none" w:sz="0" w:space="0" w:color="auto"/>
                <w:left w:val="none" w:sz="0" w:space="0" w:color="auto"/>
                <w:bottom w:val="none" w:sz="0" w:space="0" w:color="auto"/>
                <w:right w:val="none" w:sz="0" w:space="0" w:color="auto"/>
              </w:divBdr>
              <w:divsChild>
                <w:div w:id="1914849740">
                  <w:marLeft w:val="0"/>
                  <w:marRight w:val="0"/>
                  <w:marTop w:val="0"/>
                  <w:marBottom w:val="0"/>
                  <w:divBdr>
                    <w:top w:val="none" w:sz="0" w:space="0" w:color="auto"/>
                    <w:left w:val="none" w:sz="0" w:space="0" w:color="auto"/>
                    <w:bottom w:val="none" w:sz="0" w:space="0" w:color="auto"/>
                    <w:right w:val="none" w:sz="0" w:space="0" w:color="auto"/>
                  </w:divBdr>
                </w:div>
              </w:divsChild>
            </w:div>
            <w:div w:id="640112642">
              <w:marLeft w:val="0"/>
              <w:marRight w:val="0"/>
              <w:marTop w:val="0"/>
              <w:marBottom w:val="0"/>
              <w:divBdr>
                <w:top w:val="none" w:sz="0" w:space="0" w:color="auto"/>
                <w:left w:val="none" w:sz="0" w:space="0" w:color="auto"/>
                <w:bottom w:val="none" w:sz="0" w:space="0" w:color="auto"/>
                <w:right w:val="none" w:sz="0" w:space="0" w:color="auto"/>
              </w:divBdr>
              <w:divsChild>
                <w:div w:id="340475969">
                  <w:marLeft w:val="0"/>
                  <w:marRight w:val="0"/>
                  <w:marTop w:val="0"/>
                  <w:marBottom w:val="0"/>
                  <w:divBdr>
                    <w:top w:val="none" w:sz="0" w:space="0" w:color="auto"/>
                    <w:left w:val="none" w:sz="0" w:space="0" w:color="auto"/>
                    <w:bottom w:val="none" w:sz="0" w:space="0" w:color="auto"/>
                    <w:right w:val="none" w:sz="0" w:space="0" w:color="auto"/>
                  </w:divBdr>
                </w:div>
              </w:divsChild>
            </w:div>
            <w:div w:id="129177327">
              <w:marLeft w:val="0"/>
              <w:marRight w:val="0"/>
              <w:marTop w:val="0"/>
              <w:marBottom w:val="0"/>
              <w:divBdr>
                <w:top w:val="none" w:sz="0" w:space="0" w:color="auto"/>
                <w:left w:val="none" w:sz="0" w:space="0" w:color="auto"/>
                <w:bottom w:val="none" w:sz="0" w:space="0" w:color="auto"/>
                <w:right w:val="none" w:sz="0" w:space="0" w:color="auto"/>
              </w:divBdr>
              <w:divsChild>
                <w:div w:id="1752115093">
                  <w:marLeft w:val="0"/>
                  <w:marRight w:val="0"/>
                  <w:marTop w:val="0"/>
                  <w:marBottom w:val="0"/>
                  <w:divBdr>
                    <w:top w:val="none" w:sz="0" w:space="0" w:color="auto"/>
                    <w:left w:val="none" w:sz="0" w:space="0" w:color="auto"/>
                    <w:bottom w:val="none" w:sz="0" w:space="0" w:color="auto"/>
                    <w:right w:val="none" w:sz="0" w:space="0" w:color="auto"/>
                  </w:divBdr>
                </w:div>
              </w:divsChild>
            </w:div>
            <w:div w:id="1277323828">
              <w:marLeft w:val="0"/>
              <w:marRight w:val="0"/>
              <w:marTop w:val="0"/>
              <w:marBottom w:val="0"/>
              <w:divBdr>
                <w:top w:val="none" w:sz="0" w:space="0" w:color="auto"/>
                <w:left w:val="none" w:sz="0" w:space="0" w:color="auto"/>
                <w:bottom w:val="none" w:sz="0" w:space="0" w:color="auto"/>
                <w:right w:val="none" w:sz="0" w:space="0" w:color="auto"/>
              </w:divBdr>
              <w:divsChild>
                <w:div w:id="1746299383">
                  <w:marLeft w:val="0"/>
                  <w:marRight w:val="0"/>
                  <w:marTop w:val="0"/>
                  <w:marBottom w:val="0"/>
                  <w:divBdr>
                    <w:top w:val="none" w:sz="0" w:space="0" w:color="auto"/>
                    <w:left w:val="none" w:sz="0" w:space="0" w:color="auto"/>
                    <w:bottom w:val="none" w:sz="0" w:space="0" w:color="auto"/>
                    <w:right w:val="none" w:sz="0" w:space="0" w:color="auto"/>
                  </w:divBdr>
                </w:div>
              </w:divsChild>
            </w:div>
            <w:div w:id="1589071355">
              <w:marLeft w:val="0"/>
              <w:marRight w:val="0"/>
              <w:marTop w:val="0"/>
              <w:marBottom w:val="0"/>
              <w:divBdr>
                <w:top w:val="none" w:sz="0" w:space="0" w:color="auto"/>
                <w:left w:val="none" w:sz="0" w:space="0" w:color="auto"/>
                <w:bottom w:val="none" w:sz="0" w:space="0" w:color="auto"/>
                <w:right w:val="none" w:sz="0" w:space="0" w:color="auto"/>
              </w:divBdr>
              <w:divsChild>
                <w:div w:id="65537707">
                  <w:marLeft w:val="0"/>
                  <w:marRight w:val="0"/>
                  <w:marTop w:val="0"/>
                  <w:marBottom w:val="0"/>
                  <w:divBdr>
                    <w:top w:val="none" w:sz="0" w:space="0" w:color="auto"/>
                    <w:left w:val="none" w:sz="0" w:space="0" w:color="auto"/>
                    <w:bottom w:val="none" w:sz="0" w:space="0" w:color="auto"/>
                    <w:right w:val="none" w:sz="0" w:space="0" w:color="auto"/>
                  </w:divBdr>
                </w:div>
              </w:divsChild>
            </w:div>
            <w:div w:id="1598979513">
              <w:marLeft w:val="0"/>
              <w:marRight w:val="0"/>
              <w:marTop w:val="0"/>
              <w:marBottom w:val="0"/>
              <w:divBdr>
                <w:top w:val="none" w:sz="0" w:space="0" w:color="auto"/>
                <w:left w:val="none" w:sz="0" w:space="0" w:color="auto"/>
                <w:bottom w:val="none" w:sz="0" w:space="0" w:color="auto"/>
                <w:right w:val="none" w:sz="0" w:space="0" w:color="auto"/>
              </w:divBdr>
              <w:divsChild>
                <w:div w:id="595869906">
                  <w:marLeft w:val="0"/>
                  <w:marRight w:val="0"/>
                  <w:marTop w:val="0"/>
                  <w:marBottom w:val="0"/>
                  <w:divBdr>
                    <w:top w:val="none" w:sz="0" w:space="0" w:color="auto"/>
                    <w:left w:val="none" w:sz="0" w:space="0" w:color="auto"/>
                    <w:bottom w:val="none" w:sz="0" w:space="0" w:color="auto"/>
                    <w:right w:val="none" w:sz="0" w:space="0" w:color="auto"/>
                  </w:divBdr>
                </w:div>
              </w:divsChild>
            </w:div>
            <w:div w:id="272900259">
              <w:marLeft w:val="0"/>
              <w:marRight w:val="0"/>
              <w:marTop w:val="0"/>
              <w:marBottom w:val="0"/>
              <w:divBdr>
                <w:top w:val="none" w:sz="0" w:space="0" w:color="auto"/>
                <w:left w:val="none" w:sz="0" w:space="0" w:color="auto"/>
                <w:bottom w:val="none" w:sz="0" w:space="0" w:color="auto"/>
                <w:right w:val="none" w:sz="0" w:space="0" w:color="auto"/>
              </w:divBdr>
              <w:divsChild>
                <w:div w:id="1194727349">
                  <w:marLeft w:val="0"/>
                  <w:marRight w:val="0"/>
                  <w:marTop w:val="0"/>
                  <w:marBottom w:val="0"/>
                  <w:divBdr>
                    <w:top w:val="none" w:sz="0" w:space="0" w:color="auto"/>
                    <w:left w:val="none" w:sz="0" w:space="0" w:color="auto"/>
                    <w:bottom w:val="none" w:sz="0" w:space="0" w:color="auto"/>
                    <w:right w:val="none" w:sz="0" w:space="0" w:color="auto"/>
                  </w:divBdr>
                </w:div>
              </w:divsChild>
            </w:div>
            <w:div w:id="1115904355">
              <w:marLeft w:val="0"/>
              <w:marRight w:val="0"/>
              <w:marTop w:val="0"/>
              <w:marBottom w:val="0"/>
              <w:divBdr>
                <w:top w:val="none" w:sz="0" w:space="0" w:color="auto"/>
                <w:left w:val="none" w:sz="0" w:space="0" w:color="auto"/>
                <w:bottom w:val="none" w:sz="0" w:space="0" w:color="auto"/>
                <w:right w:val="none" w:sz="0" w:space="0" w:color="auto"/>
              </w:divBdr>
              <w:divsChild>
                <w:div w:id="823206689">
                  <w:marLeft w:val="0"/>
                  <w:marRight w:val="0"/>
                  <w:marTop w:val="0"/>
                  <w:marBottom w:val="0"/>
                  <w:divBdr>
                    <w:top w:val="none" w:sz="0" w:space="0" w:color="auto"/>
                    <w:left w:val="none" w:sz="0" w:space="0" w:color="auto"/>
                    <w:bottom w:val="none" w:sz="0" w:space="0" w:color="auto"/>
                    <w:right w:val="none" w:sz="0" w:space="0" w:color="auto"/>
                  </w:divBdr>
                </w:div>
              </w:divsChild>
            </w:div>
            <w:div w:id="901915735">
              <w:marLeft w:val="0"/>
              <w:marRight w:val="0"/>
              <w:marTop w:val="0"/>
              <w:marBottom w:val="0"/>
              <w:divBdr>
                <w:top w:val="none" w:sz="0" w:space="0" w:color="auto"/>
                <w:left w:val="none" w:sz="0" w:space="0" w:color="auto"/>
                <w:bottom w:val="none" w:sz="0" w:space="0" w:color="auto"/>
                <w:right w:val="none" w:sz="0" w:space="0" w:color="auto"/>
              </w:divBdr>
              <w:divsChild>
                <w:div w:id="1038704284">
                  <w:marLeft w:val="0"/>
                  <w:marRight w:val="0"/>
                  <w:marTop w:val="0"/>
                  <w:marBottom w:val="0"/>
                  <w:divBdr>
                    <w:top w:val="none" w:sz="0" w:space="0" w:color="auto"/>
                    <w:left w:val="none" w:sz="0" w:space="0" w:color="auto"/>
                    <w:bottom w:val="none" w:sz="0" w:space="0" w:color="auto"/>
                    <w:right w:val="none" w:sz="0" w:space="0" w:color="auto"/>
                  </w:divBdr>
                </w:div>
              </w:divsChild>
            </w:div>
            <w:div w:id="1586458897">
              <w:marLeft w:val="0"/>
              <w:marRight w:val="0"/>
              <w:marTop w:val="0"/>
              <w:marBottom w:val="0"/>
              <w:divBdr>
                <w:top w:val="none" w:sz="0" w:space="0" w:color="auto"/>
                <w:left w:val="none" w:sz="0" w:space="0" w:color="auto"/>
                <w:bottom w:val="none" w:sz="0" w:space="0" w:color="auto"/>
                <w:right w:val="none" w:sz="0" w:space="0" w:color="auto"/>
              </w:divBdr>
              <w:divsChild>
                <w:div w:id="909849449">
                  <w:marLeft w:val="0"/>
                  <w:marRight w:val="0"/>
                  <w:marTop w:val="0"/>
                  <w:marBottom w:val="0"/>
                  <w:divBdr>
                    <w:top w:val="none" w:sz="0" w:space="0" w:color="auto"/>
                    <w:left w:val="none" w:sz="0" w:space="0" w:color="auto"/>
                    <w:bottom w:val="none" w:sz="0" w:space="0" w:color="auto"/>
                    <w:right w:val="none" w:sz="0" w:space="0" w:color="auto"/>
                  </w:divBdr>
                </w:div>
              </w:divsChild>
            </w:div>
            <w:div w:id="1558511724">
              <w:marLeft w:val="0"/>
              <w:marRight w:val="0"/>
              <w:marTop w:val="0"/>
              <w:marBottom w:val="0"/>
              <w:divBdr>
                <w:top w:val="none" w:sz="0" w:space="0" w:color="auto"/>
                <w:left w:val="none" w:sz="0" w:space="0" w:color="auto"/>
                <w:bottom w:val="none" w:sz="0" w:space="0" w:color="auto"/>
                <w:right w:val="none" w:sz="0" w:space="0" w:color="auto"/>
              </w:divBdr>
              <w:divsChild>
                <w:div w:id="874851173">
                  <w:marLeft w:val="0"/>
                  <w:marRight w:val="0"/>
                  <w:marTop w:val="0"/>
                  <w:marBottom w:val="0"/>
                  <w:divBdr>
                    <w:top w:val="none" w:sz="0" w:space="0" w:color="auto"/>
                    <w:left w:val="none" w:sz="0" w:space="0" w:color="auto"/>
                    <w:bottom w:val="none" w:sz="0" w:space="0" w:color="auto"/>
                    <w:right w:val="none" w:sz="0" w:space="0" w:color="auto"/>
                  </w:divBdr>
                </w:div>
              </w:divsChild>
            </w:div>
            <w:div w:id="1732725235">
              <w:marLeft w:val="0"/>
              <w:marRight w:val="0"/>
              <w:marTop w:val="0"/>
              <w:marBottom w:val="0"/>
              <w:divBdr>
                <w:top w:val="none" w:sz="0" w:space="0" w:color="auto"/>
                <w:left w:val="none" w:sz="0" w:space="0" w:color="auto"/>
                <w:bottom w:val="none" w:sz="0" w:space="0" w:color="auto"/>
                <w:right w:val="none" w:sz="0" w:space="0" w:color="auto"/>
              </w:divBdr>
              <w:divsChild>
                <w:div w:id="1543400992">
                  <w:marLeft w:val="0"/>
                  <w:marRight w:val="0"/>
                  <w:marTop w:val="0"/>
                  <w:marBottom w:val="0"/>
                  <w:divBdr>
                    <w:top w:val="none" w:sz="0" w:space="0" w:color="auto"/>
                    <w:left w:val="none" w:sz="0" w:space="0" w:color="auto"/>
                    <w:bottom w:val="none" w:sz="0" w:space="0" w:color="auto"/>
                    <w:right w:val="none" w:sz="0" w:space="0" w:color="auto"/>
                  </w:divBdr>
                </w:div>
              </w:divsChild>
            </w:div>
            <w:div w:id="134684705">
              <w:marLeft w:val="0"/>
              <w:marRight w:val="0"/>
              <w:marTop w:val="0"/>
              <w:marBottom w:val="0"/>
              <w:divBdr>
                <w:top w:val="none" w:sz="0" w:space="0" w:color="auto"/>
                <w:left w:val="none" w:sz="0" w:space="0" w:color="auto"/>
                <w:bottom w:val="none" w:sz="0" w:space="0" w:color="auto"/>
                <w:right w:val="none" w:sz="0" w:space="0" w:color="auto"/>
              </w:divBdr>
              <w:divsChild>
                <w:div w:id="216666937">
                  <w:marLeft w:val="0"/>
                  <w:marRight w:val="0"/>
                  <w:marTop w:val="0"/>
                  <w:marBottom w:val="0"/>
                  <w:divBdr>
                    <w:top w:val="none" w:sz="0" w:space="0" w:color="auto"/>
                    <w:left w:val="none" w:sz="0" w:space="0" w:color="auto"/>
                    <w:bottom w:val="none" w:sz="0" w:space="0" w:color="auto"/>
                    <w:right w:val="none" w:sz="0" w:space="0" w:color="auto"/>
                  </w:divBdr>
                </w:div>
              </w:divsChild>
            </w:div>
            <w:div w:id="2123065160">
              <w:marLeft w:val="0"/>
              <w:marRight w:val="0"/>
              <w:marTop w:val="0"/>
              <w:marBottom w:val="0"/>
              <w:divBdr>
                <w:top w:val="none" w:sz="0" w:space="0" w:color="auto"/>
                <w:left w:val="none" w:sz="0" w:space="0" w:color="auto"/>
                <w:bottom w:val="none" w:sz="0" w:space="0" w:color="auto"/>
                <w:right w:val="none" w:sz="0" w:space="0" w:color="auto"/>
              </w:divBdr>
              <w:divsChild>
                <w:div w:id="867789701">
                  <w:marLeft w:val="0"/>
                  <w:marRight w:val="0"/>
                  <w:marTop w:val="0"/>
                  <w:marBottom w:val="0"/>
                  <w:divBdr>
                    <w:top w:val="none" w:sz="0" w:space="0" w:color="auto"/>
                    <w:left w:val="none" w:sz="0" w:space="0" w:color="auto"/>
                    <w:bottom w:val="none" w:sz="0" w:space="0" w:color="auto"/>
                    <w:right w:val="none" w:sz="0" w:space="0" w:color="auto"/>
                  </w:divBdr>
                </w:div>
              </w:divsChild>
            </w:div>
            <w:div w:id="93484072">
              <w:marLeft w:val="0"/>
              <w:marRight w:val="0"/>
              <w:marTop w:val="0"/>
              <w:marBottom w:val="0"/>
              <w:divBdr>
                <w:top w:val="none" w:sz="0" w:space="0" w:color="auto"/>
                <w:left w:val="none" w:sz="0" w:space="0" w:color="auto"/>
                <w:bottom w:val="none" w:sz="0" w:space="0" w:color="auto"/>
                <w:right w:val="none" w:sz="0" w:space="0" w:color="auto"/>
              </w:divBdr>
              <w:divsChild>
                <w:div w:id="1683773560">
                  <w:marLeft w:val="0"/>
                  <w:marRight w:val="0"/>
                  <w:marTop w:val="0"/>
                  <w:marBottom w:val="0"/>
                  <w:divBdr>
                    <w:top w:val="none" w:sz="0" w:space="0" w:color="auto"/>
                    <w:left w:val="none" w:sz="0" w:space="0" w:color="auto"/>
                    <w:bottom w:val="none" w:sz="0" w:space="0" w:color="auto"/>
                    <w:right w:val="none" w:sz="0" w:space="0" w:color="auto"/>
                  </w:divBdr>
                </w:div>
              </w:divsChild>
            </w:div>
            <w:div w:id="1576285199">
              <w:marLeft w:val="0"/>
              <w:marRight w:val="0"/>
              <w:marTop w:val="0"/>
              <w:marBottom w:val="0"/>
              <w:divBdr>
                <w:top w:val="none" w:sz="0" w:space="0" w:color="auto"/>
                <w:left w:val="none" w:sz="0" w:space="0" w:color="auto"/>
                <w:bottom w:val="none" w:sz="0" w:space="0" w:color="auto"/>
                <w:right w:val="none" w:sz="0" w:space="0" w:color="auto"/>
              </w:divBdr>
              <w:divsChild>
                <w:div w:id="1092553064">
                  <w:marLeft w:val="0"/>
                  <w:marRight w:val="0"/>
                  <w:marTop w:val="0"/>
                  <w:marBottom w:val="0"/>
                  <w:divBdr>
                    <w:top w:val="none" w:sz="0" w:space="0" w:color="auto"/>
                    <w:left w:val="none" w:sz="0" w:space="0" w:color="auto"/>
                    <w:bottom w:val="none" w:sz="0" w:space="0" w:color="auto"/>
                    <w:right w:val="none" w:sz="0" w:space="0" w:color="auto"/>
                  </w:divBdr>
                </w:div>
              </w:divsChild>
            </w:div>
            <w:div w:id="2017225891">
              <w:marLeft w:val="0"/>
              <w:marRight w:val="0"/>
              <w:marTop w:val="0"/>
              <w:marBottom w:val="0"/>
              <w:divBdr>
                <w:top w:val="none" w:sz="0" w:space="0" w:color="auto"/>
                <w:left w:val="none" w:sz="0" w:space="0" w:color="auto"/>
                <w:bottom w:val="none" w:sz="0" w:space="0" w:color="auto"/>
                <w:right w:val="none" w:sz="0" w:space="0" w:color="auto"/>
              </w:divBdr>
              <w:divsChild>
                <w:div w:id="1303543153">
                  <w:marLeft w:val="0"/>
                  <w:marRight w:val="0"/>
                  <w:marTop w:val="0"/>
                  <w:marBottom w:val="0"/>
                  <w:divBdr>
                    <w:top w:val="none" w:sz="0" w:space="0" w:color="auto"/>
                    <w:left w:val="none" w:sz="0" w:space="0" w:color="auto"/>
                    <w:bottom w:val="none" w:sz="0" w:space="0" w:color="auto"/>
                    <w:right w:val="none" w:sz="0" w:space="0" w:color="auto"/>
                  </w:divBdr>
                </w:div>
              </w:divsChild>
            </w:div>
            <w:div w:id="172889717">
              <w:marLeft w:val="0"/>
              <w:marRight w:val="0"/>
              <w:marTop w:val="0"/>
              <w:marBottom w:val="0"/>
              <w:divBdr>
                <w:top w:val="none" w:sz="0" w:space="0" w:color="auto"/>
                <w:left w:val="none" w:sz="0" w:space="0" w:color="auto"/>
                <w:bottom w:val="none" w:sz="0" w:space="0" w:color="auto"/>
                <w:right w:val="none" w:sz="0" w:space="0" w:color="auto"/>
              </w:divBdr>
              <w:divsChild>
                <w:div w:id="1203596636">
                  <w:marLeft w:val="0"/>
                  <w:marRight w:val="0"/>
                  <w:marTop w:val="0"/>
                  <w:marBottom w:val="0"/>
                  <w:divBdr>
                    <w:top w:val="none" w:sz="0" w:space="0" w:color="auto"/>
                    <w:left w:val="none" w:sz="0" w:space="0" w:color="auto"/>
                    <w:bottom w:val="none" w:sz="0" w:space="0" w:color="auto"/>
                    <w:right w:val="none" w:sz="0" w:space="0" w:color="auto"/>
                  </w:divBdr>
                </w:div>
              </w:divsChild>
            </w:div>
            <w:div w:id="935090537">
              <w:marLeft w:val="0"/>
              <w:marRight w:val="0"/>
              <w:marTop w:val="0"/>
              <w:marBottom w:val="0"/>
              <w:divBdr>
                <w:top w:val="none" w:sz="0" w:space="0" w:color="auto"/>
                <w:left w:val="none" w:sz="0" w:space="0" w:color="auto"/>
                <w:bottom w:val="none" w:sz="0" w:space="0" w:color="auto"/>
                <w:right w:val="none" w:sz="0" w:space="0" w:color="auto"/>
              </w:divBdr>
              <w:divsChild>
                <w:div w:id="2386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6874">
          <w:marLeft w:val="0"/>
          <w:marRight w:val="0"/>
          <w:marTop w:val="0"/>
          <w:marBottom w:val="600"/>
          <w:divBdr>
            <w:top w:val="none" w:sz="0" w:space="0" w:color="auto"/>
            <w:left w:val="none" w:sz="0" w:space="0" w:color="auto"/>
            <w:bottom w:val="none" w:sz="0" w:space="0" w:color="auto"/>
            <w:right w:val="none" w:sz="0" w:space="0" w:color="auto"/>
          </w:divBdr>
        </w:div>
      </w:divsChild>
    </w:div>
    <w:div w:id="1377124063">
      <w:marLeft w:val="0"/>
      <w:marRight w:val="0"/>
      <w:marTop w:val="0"/>
      <w:marBottom w:val="0"/>
      <w:divBdr>
        <w:top w:val="none" w:sz="0" w:space="0" w:color="auto"/>
        <w:left w:val="none" w:sz="0" w:space="0" w:color="auto"/>
        <w:bottom w:val="none" w:sz="0" w:space="0" w:color="auto"/>
        <w:right w:val="none" w:sz="0" w:space="0" w:color="auto"/>
      </w:divBdr>
      <w:divsChild>
        <w:div w:id="210773296">
          <w:marLeft w:val="0"/>
          <w:marRight w:val="0"/>
          <w:marTop w:val="547"/>
          <w:marBottom w:val="0"/>
          <w:divBdr>
            <w:top w:val="none" w:sz="0" w:space="0" w:color="auto"/>
            <w:left w:val="none" w:sz="0" w:space="0" w:color="auto"/>
            <w:bottom w:val="none" w:sz="0" w:space="0" w:color="auto"/>
            <w:right w:val="none" w:sz="0" w:space="0" w:color="auto"/>
          </w:divBdr>
        </w:div>
        <w:div w:id="28652313">
          <w:marLeft w:val="0"/>
          <w:marRight w:val="0"/>
          <w:marTop w:val="0"/>
          <w:marBottom w:val="0"/>
          <w:divBdr>
            <w:top w:val="none" w:sz="0" w:space="0" w:color="auto"/>
            <w:left w:val="none" w:sz="0" w:space="0" w:color="auto"/>
            <w:bottom w:val="none" w:sz="0" w:space="0" w:color="auto"/>
            <w:right w:val="none" w:sz="0" w:space="0" w:color="auto"/>
          </w:divBdr>
          <w:divsChild>
            <w:div w:id="699205560">
              <w:marLeft w:val="418"/>
              <w:marRight w:val="0"/>
              <w:marTop w:val="0"/>
              <w:marBottom w:val="240"/>
              <w:divBdr>
                <w:top w:val="none" w:sz="0" w:space="0" w:color="auto"/>
                <w:left w:val="none" w:sz="0" w:space="0" w:color="auto"/>
                <w:bottom w:val="none" w:sz="0" w:space="0" w:color="auto"/>
                <w:right w:val="none" w:sz="0" w:space="0" w:color="auto"/>
              </w:divBdr>
            </w:div>
            <w:div w:id="1762724694">
              <w:marLeft w:val="418"/>
              <w:marRight w:val="0"/>
              <w:marTop w:val="0"/>
              <w:marBottom w:val="240"/>
              <w:divBdr>
                <w:top w:val="none" w:sz="0" w:space="0" w:color="auto"/>
                <w:left w:val="none" w:sz="0" w:space="0" w:color="auto"/>
                <w:bottom w:val="none" w:sz="0" w:space="0" w:color="auto"/>
                <w:right w:val="none" w:sz="0" w:space="0" w:color="auto"/>
              </w:divBdr>
            </w:div>
            <w:div w:id="3409073">
              <w:marLeft w:val="418"/>
              <w:marRight w:val="0"/>
              <w:marTop w:val="0"/>
              <w:marBottom w:val="0"/>
              <w:divBdr>
                <w:top w:val="none" w:sz="0" w:space="0" w:color="auto"/>
                <w:left w:val="none" w:sz="0" w:space="0" w:color="auto"/>
                <w:bottom w:val="none" w:sz="0" w:space="0" w:color="auto"/>
                <w:right w:val="none" w:sz="0" w:space="0" w:color="auto"/>
              </w:divBdr>
            </w:div>
          </w:divsChild>
        </w:div>
        <w:div w:id="1852597400">
          <w:marLeft w:val="0"/>
          <w:marRight w:val="0"/>
          <w:marTop w:val="0"/>
          <w:marBottom w:val="600"/>
          <w:divBdr>
            <w:top w:val="none" w:sz="0" w:space="0" w:color="auto"/>
            <w:left w:val="none" w:sz="0" w:space="0" w:color="auto"/>
            <w:bottom w:val="none" w:sz="0" w:space="0" w:color="auto"/>
            <w:right w:val="none" w:sz="0" w:space="0" w:color="auto"/>
          </w:divBdr>
        </w:div>
      </w:divsChild>
    </w:div>
    <w:div w:id="1377774380">
      <w:marLeft w:val="0"/>
      <w:marRight w:val="0"/>
      <w:marTop w:val="0"/>
      <w:marBottom w:val="0"/>
      <w:divBdr>
        <w:top w:val="none" w:sz="0" w:space="0" w:color="auto"/>
        <w:left w:val="none" w:sz="0" w:space="0" w:color="auto"/>
        <w:bottom w:val="none" w:sz="0" w:space="0" w:color="auto"/>
        <w:right w:val="none" w:sz="0" w:space="0" w:color="auto"/>
      </w:divBdr>
      <w:divsChild>
        <w:div w:id="85809598">
          <w:marLeft w:val="0"/>
          <w:marRight w:val="0"/>
          <w:marTop w:val="547"/>
          <w:marBottom w:val="0"/>
          <w:divBdr>
            <w:top w:val="none" w:sz="0" w:space="0" w:color="auto"/>
            <w:left w:val="none" w:sz="0" w:space="0" w:color="auto"/>
            <w:bottom w:val="none" w:sz="0" w:space="0" w:color="auto"/>
            <w:right w:val="none" w:sz="0" w:space="0" w:color="auto"/>
          </w:divBdr>
        </w:div>
        <w:div w:id="1953246235">
          <w:marLeft w:val="0"/>
          <w:marRight w:val="0"/>
          <w:marTop w:val="0"/>
          <w:marBottom w:val="0"/>
          <w:divBdr>
            <w:top w:val="none" w:sz="0" w:space="0" w:color="auto"/>
            <w:left w:val="none" w:sz="0" w:space="0" w:color="auto"/>
            <w:bottom w:val="none" w:sz="0" w:space="0" w:color="auto"/>
            <w:right w:val="none" w:sz="0" w:space="0" w:color="auto"/>
          </w:divBdr>
        </w:div>
        <w:div w:id="546331993">
          <w:marLeft w:val="0"/>
          <w:marRight w:val="0"/>
          <w:marTop w:val="0"/>
          <w:marBottom w:val="600"/>
          <w:divBdr>
            <w:top w:val="none" w:sz="0" w:space="0" w:color="auto"/>
            <w:left w:val="none" w:sz="0" w:space="0" w:color="auto"/>
            <w:bottom w:val="none" w:sz="0" w:space="0" w:color="auto"/>
            <w:right w:val="none" w:sz="0" w:space="0" w:color="auto"/>
          </w:divBdr>
        </w:div>
      </w:divsChild>
    </w:div>
    <w:div w:id="1385565648">
      <w:marLeft w:val="0"/>
      <w:marRight w:val="0"/>
      <w:marTop w:val="0"/>
      <w:marBottom w:val="0"/>
      <w:divBdr>
        <w:top w:val="none" w:sz="0" w:space="0" w:color="auto"/>
        <w:left w:val="none" w:sz="0" w:space="0" w:color="auto"/>
        <w:bottom w:val="none" w:sz="0" w:space="0" w:color="auto"/>
        <w:right w:val="none" w:sz="0" w:space="0" w:color="auto"/>
      </w:divBdr>
      <w:divsChild>
        <w:div w:id="337272868">
          <w:marLeft w:val="0"/>
          <w:marRight w:val="0"/>
          <w:marTop w:val="547"/>
          <w:marBottom w:val="0"/>
          <w:divBdr>
            <w:top w:val="none" w:sz="0" w:space="0" w:color="auto"/>
            <w:left w:val="none" w:sz="0" w:space="0" w:color="auto"/>
            <w:bottom w:val="none" w:sz="0" w:space="0" w:color="auto"/>
            <w:right w:val="none" w:sz="0" w:space="0" w:color="auto"/>
          </w:divBdr>
        </w:div>
        <w:div w:id="786890961">
          <w:marLeft w:val="0"/>
          <w:marRight w:val="0"/>
          <w:marTop w:val="0"/>
          <w:marBottom w:val="0"/>
          <w:divBdr>
            <w:top w:val="none" w:sz="0" w:space="0" w:color="auto"/>
            <w:left w:val="none" w:sz="0" w:space="0" w:color="auto"/>
            <w:bottom w:val="none" w:sz="0" w:space="0" w:color="auto"/>
            <w:right w:val="none" w:sz="0" w:space="0" w:color="auto"/>
          </w:divBdr>
        </w:div>
        <w:div w:id="1682199013">
          <w:marLeft w:val="0"/>
          <w:marRight w:val="0"/>
          <w:marTop w:val="0"/>
          <w:marBottom w:val="600"/>
          <w:divBdr>
            <w:top w:val="none" w:sz="0" w:space="0" w:color="auto"/>
            <w:left w:val="none" w:sz="0" w:space="0" w:color="auto"/>
            <w:bottom w:val="none" w:sz="0" w:space="0" w:color="auto"/>
            <w:right w:val="none" w:sz="0" w:space="0" w:color="auto"/>
          </w:divBdr>
        </w:div>
      </w:divsChild>
    </w:div>
    <w:div w:id="1387952974">
      <w:marLeft w:val="0"/>
      <w:marRight w:val="0"/>
      <w:marTop w:val="0"/>
      <w:marBottom w:val="0"/>
      <w:divBdr>
        <w:top w:val="none" w:sz="0" w:space="0" w:color="auto"/>
        <w:left w:val="none" w:sz="0" w:space="0" w:color="auto"/>
        <w:bottom w:val="none" w:sz="0" w:space="0" w:color="auto"/>
        <w:right w:val="none" w:sz="0" w:space="0" w:color="auto"/>
      </w:divBdr>
      <w:divsChild>
        <w:div w:id="1805077322">
          <w:marLeft w:val="0"/>
          <w:marRight w:val="0"/>
          <w:marTop w:val="547"/>
          <w:marBottom w:val="0"/>
          <w:divBdr>
            <w:top w:val="none" w:sz="0" w:space="0" w:color="auto"/>
            <w:left w:val="none" w:sz="0" w:space="0" w:color="auto"/>
            <w:bottom w:val="none" w:sz="0" w:space="0" w:color="auto"/>
            <w:right w:val="none" w:sz="0" w:space="0" w:color="auto"/>
          </w:divBdr>
        </w:div>
        <w:div w:id="1736321629">
          <w:marLeft w:val="0"/>
          <w:marRight w:val="0"/>
          <w:marTop w:val="0"/>
          <w:marBottom w:val="0"/>
          <w:divBdr>
            <w:top w:val="none" w:sz="0" w:space="0" w:color="auto"/>
            <w:left w:val="none" w:sz="0" w:space="0" w:color="auto"/>
            <w:bottom w:val="none" w:sz="0" w:space="0" w:color="auto"/>
            <w:right w:val="none" w:sz="0" w:space="0" w:color="auto"/>
          </w:divBdr>
        </w:div>
        <w:div w:id="870725271">
          <w:marLeft w:val="0"/>
          <w:marRight w:val="0"/>
          <w:marTop w:val="0"/>
          <w:marBottom w:val="600"/>
          <w:divBdr>
            <w:top w:val="none" w:sz="0" w:space="0" w:color="auto"/>
            <w:left w:val="none" w:sz="0" w:space="0" w:color="auto"/>
            <w:bottom w:val="none" w:sz="0" w:space="0" w:color="auto"/>
            <w:right w:val="none" w:sz="0" w:space="0" w:color="auto"/>
          </w:divBdr>
        </w:div>
      </w:divsChild>
    </w:div>
    <w:div w:id="1396011499">
      <w:marLeft w:val="0"/>
      <w:marRight w:val="0"/>
      <w:marTop w:val="0"/>
      <w:marBottom w:val="0"/>
      <w:divBdr>
        <w:top w:val="none" w:sz="0" w:space="0" w:color="auto"/>
        <w:left w:val="none" w:sz="0" w:space="0" w:color="auto"/>
        <w:bottom w:val="none" w:sz="0" w:space="0" w:color="auto"/>
        <w:right w:val="none" w:sz="0" w:space="0" w:color="auto"/>
      </w:divBdr>
      <w:divsChild>
        <w:div w:id="954798801">
          <w:marLeft w:val="0"/>
          <w:marRight w:val="0"/>
          <w:marTop w:val="547"/>
          <w:marBottom w:val="0"/>
          <w:divBdr>
            <w:top w:val="none" w:sz="0" w:space="0" w:color="auto"/>
            <w:left w:val="none" w:sz="0" w:space="0" w:color="auto"/>
            <w:bottom w:val="none" w:sz="0" w:space="0" w:color="auto"/>
            <w:right w:val="none" w:sz="0" w:space="0" w:color="auto"/>
          </w:divBdr>
        </w:div>
        <w:div w:id="1698852195">
          <w:marLeft w:val="0"/>
          <w:marRight w:val="0"/>
          <w:marTop w:val="0"/>
          <w:marBottom w:val="0"/>
          <w:divBdr>
            <w:top w:val="none" w:sz="0" w:space="0" w:color="auto"/>
            <w:left w:val="none" w:sz="0" w:space="0" w:color="auto"/>
            <w:bottom w:val="none" w:sz="0" w:space="0" w:color="auto"/>
            <w:right w:val="none" w:sz="0" w:space="0" w:color="auto"/>
          </w:divBdr>
        </w:div>
        <w:div w:id="548996062">
          <w:marLeft w:val="0"/>
          <w:marRight w:val="0"/>
          <w:marTop w:val="0"/>
          <w:marBottom w:val="600"/>
          <w:divBdr>
            <w:top w:val="none" w:sz="0" w:space="0" w:color="auto"/>
            <w:left w:val="none" w:sz="0" w:space="0" w:color="auto"/>
            <w:bottom w:val="none" w:sz="0" w:space="0" w:color="auto"/>
            <w:right w:val="none" w:sz="0" w:space="0" w:color="auto"/>
          </w:divBdr>
        </w:div>
      </w:divsChild>
    </w:div>
    <w:div w:id="1396666893">
      <w:marLeft w:val="0"/>
      <w:marRight w:val="0"/>
      <w:marTop w:val="0"/>
      <w:marBottom w:val="0"/>
      <w:divBdr>
        <w:top w:val="none" w:sz="0" w:space="0" w:color="auto"/>
        <w:left w:val="none" w:sz="0" w:space="0" w:color="auto"/>
        <w:bottom w:val="none" w:sz="0" w:space="0" w:color="auto"/>
        <w:right w:val="none" w:sz="0" w:space="0" w:color="auto"/>
      </w:divBdr>
      <w:divsChild>
        <w:div w:id="133790764">
          <w:marLeft w:val="0"/>
          <w:marRight w:val="0"/>
          <w:marTop w:val="547"/>
          <w:marBottom w:val="0"/>
          <w:divBdr>
            <w:top w:val="none" w:sz="0" w:space="0" w:color="auto"/>
            <w:left w:val="none" w:sz="0" w:space="0" w:color="auto"/>
            <w:bottom w:val="none" w:sz="0" w:space="0" w:color="auto"/>
            <w:right w:val="none" w:sz="0" w:space="0" w:color="auto"/>
          </w:divBdr>
        </w:div>
        <w:div w:id="2027519326">
          <w:marLeft w:val="0"/>
          <w:marRight w:val="0"/>
          <w:marTop w:val="0"/>
          <w:marBottom w:val="0"/>
          <w:divBdr>
            <w:top w:val="none" w:sz="0" w:space="0" w:color="auto"/>
            <w:left w:val="none" w:sz="0" w:space="0" w:color="auto"/>
            <w:bottom w:val="none" w:sz="0" w:space="0" w:color="auto"/>
            <w:right w:val="none" w:sz="0" w:space="0" w:color="auto"/>
          </w:divBdr>
        </w:div>
        <w:div w:id="755781429">
          <w:marLeft w:val="0"/>
          <w:marRight w:val="0"/>
          <w:marTop w:val="0"/>
          <w:marBottom w:val="600"/>
          <w:divBdr>
            <w:top w:val="none" w:sz="0" w:space="0" w:color="auto"/>
            <w:left w:val="none" w:sz="0" w:space="0" w:color="auto"/>
            <w:bottom w:val="none" w:sz="0" w:space="0" w:color="auto"/>
            <w:right w:val="none" w:sz="0" w:space="0" w:color="auto"/>
          </w:divBdr>
        </w:div>
      </w:divsChild>
    </w:div>
    <w:div w:id="1440685956">
      <w:marLeft w:val="0"/>
      <w:marRight w:val="0"/>
      <w:marTop w:val="0"/>
      <w:marBottom w:val="0"/>
      <w:divBdr>
        <w:top w:val="none" w:sz="0" w:space="0" w:color="auto"/>
        <w:left w:val="none" w:sz="0" w:space="0" w:color="auto"/>
        <w:bottom w:val="none" w:sz="0" w:space="0" w:color="auto"/>
        <w:right w:val="none" w:sz="0" w:space="0" w:color="auto"/>
      </w:divBdr>
      <w:divsChild>
        <w:div w:id="421998438">
          <w:marLeft w:val="0"/>
          <w:marRight w:val="0"/>
          <w:marTop w:val="547"/>
          <w:marBottom w:val="0"/>
          <w:divBdr>
            <w:top w:val="none" w:sz="0" w:space="0" w:color="auto"/>
            <w:left w:val="none" w:sz="0" w:space="0" w:color="auto"/>
            <w:bottom w:val="none" w:sz="0" w:space="0" w:color="auto"/>
            <w:right w:val="none" w:sz="0" w:space="0" w:color="auto"/>
          </w:divBdr>
        </w:div>
        <w:div w:id="1007514668">
          <w:marLeft w:val="0"/>
          <w:marRight w:val="0"/>
          <w:marTop w:val="0"/>
          <w:marBottom w:val="0"/>
          <w:divBdr>
            <w:top w:val="none" w:sz="0" w:space="0" w:color="auto"/>
            <w:left w:val="none" w:sz="0" w:space="0" w:color="auto"/>
            <w:bottom w:val="none" w:sz="0" w:space="0" w:color="auto"/>
            <w:right w:val="none" w:sz="0" w:space="0" w:color="auto"/>
          </w:divBdr>
          <w:divsChild>
            <w:div w:id="1667786440">
              <w:marLeft w:val="418"/>
              <w:marRight w:val="0"/>
              <w:marTop w:val="0"/>
              <w:marBottom w:val="240"/>
              <w:divBdr>
                <w:top w:val="none" w:sz="0" w:space="0" w:color="auto"/>
                <w:left w:val="none" w:sz="0" w:space="0" w:color="auto"/>
                <w:bottom w:val="none" w:sz="0" w:space="0" w:color="auto"/>
                <w:right w:val="none" w:sz="0" w:space="0" w:color="auto"/>
              </w:divBdr>
            </w:div>
            <w:div w:id="549462537">
              <w:marLeft w:val="418"/>
              <w:marRight w:val="0"/>
              <w:marTop w:val="0"/>
              <w:marBottom w:val="240"/>
              <w:divBdr>
                <w:top w:val="none" w:sz="0" w:space="0" w:color="auto"/>
                <w:left w:val="none" w:sz="0" w:space="0" w:color="auto"/>
                <w:bottom w:val="none" w:sz="0" w:space="0" w:color="auto"/>
                <w:right w:val="none" w:sz="0" w:space="0" w:color="auto"/>
              </w:divBdr>
            </w:div>
            <w:div w:id="9070802">
              <w:marLeft w:val="418"/>
              <w:marRight w:val="0"/>
              <w:marTop w:val="0"/>
              <w:marBottom w:val="240"/>
              <w:divBdr>
                <w:top w:val="none" w:sz="0" w:space="0" w:color="auto"/>
                <w:left w:val="none" w:sz="0" w:space="0" w:color="auto"/>
                <w:bottom w:val="none" w:sz="0" w:space="0" w:color="auto"/>
                <w:right w:val="none" w:sz="0" w:space="0" w:color="auto"/>
              </w:divBdr>
            </w:div>
            <w:div w:id="1562979633">
              <w:marLeft w:val="418"/>
              <w:marRight w:val="0"/>
              <w:marTop w:val="0"/>
              <w:marBottom w:val="240"/>
              <w:divBdr>
                <w:top w:val="none" w:sz="0" w:space="0" w:color="auto"/>
                <w:left w:val="none" w:sz="0" w:space="0" w:color="auto"/>
                <w:bottom w:val="none" w:sz="0" w:space="0" w:color="auto"/>
                <w:right w:val="none" w:sz="0" w:space="0" w:color="auto"/>
              </w:divBdr>
            </w:div>
          </w:divsChild>
        </w:div>
        <w:div w:id="1509246693">
          <w:marLeft w:val="0"/>
          <w:marRight w:val="0"/>
          <w:marTop w:val="0"/>
          <w:marBottom w:val="600"/>
          <w:divBdr>
            <w:top w:val="none" w:sz="0" w:space="0" w:color="auto"/>
            <w:left w:val="none" w:sz="0" w:space="0" w:color="auto"/>
            <w:bottom w:val="none" w:sz="0" w:space="0" w:color="auto"/>
            <w:right w:val="none" w:sz="0" w:space="0" w:color="auto"/>
          </w:divBdr>
        </w:div>
      </w:divsChild>
    </w:div>
    <w:div w:id="1444037821">
      <w:marLeft w:val="0"/>
      <w:marRight w:val="0"/>
      <w:marTop w:val="0"/>
      <w:marBottom w:val="0"/>
      <w:divBdr>
        <w:top w:val="none" w:sz="0" w:space="0" w:color="auto"/>
        <w:left w:val="none" w:sz="0" w:space="0" w:color="auto"/>
        <w:bottom w:val="none" w:sz="0" w:space="0" w:color="auto"/>
        <w:right w:val="none" w:sz="0" w:space="0" w:color="auto"/>
      </w:divBdr>
      <w:divsChild>
        <w:div w:id="1298147249">
          <w:marLeft w:val="0"/>
          <w:marRight w:val="0"/>
          <w:marTop w:val="547"/>
          <w:marBottom w:val="0"/>
          <w:divBdr>
            <w:top w:val="none" w:sz="0" w:space="0" w:color="auto"/>
            <w:left w:val="none" w:sz="0" w:space="0" w:color="auto"/>
            <w:bottom w:val="none" w:sz="0" w:space="0" w:color="auto"/>
            <w:right w:val="none" w:sz="0" w:space="0" w:color="auto"/>
          </w:divBdr>
        </w:div>
        <w:div w:id="569077818">
          <w:marLeft w:val="0"/>
          <w:marRight w:val="0"/>
          <w:marTop w:val="0"/>
          <w:marBottom w:val="0"/>
          <w:divBdr>
            <w:top w:val="none" w:sz="0" w:space="0" w:color="auto"/>
            <w:left w:val="none" w:sz="0" w:space="0" w:color="auto"/>
            <w:bottom w:val="none" w:sz="0" w:space="0" w:color="auto"/>
            <w:right w:val="none" w:sz="0" w:space="0" w:color="auto"/>
          </w:divBdr>
          <w:divsChild>
            <w:div w:id="1556818087">
              <w:marLeft w:val="0"/>
              <w:marRight w:val="0"/>
              <w:marTop w:val="0"/>
              <w:marBottom w:val="0"/>
              <w:divBdr>
                <w:top w:val="none" w:sz="0" w:space="0" w:color="auto"/>
                <w:left w:val="none" w:sz="0" w:space="0" w:color="auto"/>
                <w:bottom w:val="none" w:sz="0" w:space="0" w:color="auto"/>
                <w:right w:val="none" w:sz="0" w:space="0" w:color="auto"/>
              </w:divBdr>
              <w:divsChild>
                <w:div w:id="817306942">
                  <w:marLeft w:val="0"/>
                  <w:marRight w:val="0"/>
                  <w:marTop w:val="0"/>
                  <w:marBottom w:val="0"/>
                  <w:divBdr>
                    <w:top w:val="none" w:sz="0" w:space="0" w:color="auto"/>
                    <w:left w:val="none" w:sz="0" w:space="0" w:color="auto"/>
                    <w:bottom w:val="none" w:sz="0" w:space="0" w:color="auto"/>
                    <w:right w:val="none" w:sz="0" w:space="0" w:color="auto"/>
                  </w:divBdr>
                </w:div>
              </w:divsChild>
            </w:div>
            <w:div w:id="1418165998">
              <w:marLeft w:val="0"/>
              <w:marRight w:val="0"/>
              <w:marTop w:val="0"/>
              <w:marBottom w:val="0"/>
              <w:divBdr>
                <w:top w:val="none" w:sz="0" w:space="0" w:color="auto"/>
                <w:left w:val="none" w:sz="0" w:space="0" w:color="auto"/>
                <w:bottom w:val="none" w:sz="0" w:space="0" w:color="auto"/>
                <w:right w:val="none" w:sz="0" w:space="0" w:color="auto"/>
              </w:divBdr>
              <w:divsChild>
                <w:div w:id="890044635">
                  <w:marLeft w:val="0"/>
                  <w:marRight w:val="0"/>
                  <w:marTop w:val="0"/>
                  <w:marBottom w:val="0"/>
                  <w:divBdr>
                    <w:top w:val="none" w:sz="0" w:space="0" w:color="auto"/>
                    <w:left w:val="none" w:sz="0" w:space="0" w:color="auto"/>
                    <w:bottom w:val="none" w:sz="0" w:space="0" w:color="auto"/>
                    <w:right w:val="none" w:sz="0" w:space="0" w:color="auto"/>
                  </w:divBdr>
                </w:div>
              </w:divsChild>
            </w:div>
            <w:div w:id="971977946">
              <w:marLeft w:val="0"/>
              <w:marRight w:val="0"/>
              <w:marTop w:val="0"/>
              <w:marBottom w:val="0"/>
              <w:divBdr>
                <w:top w:val="none" w:sz="0" w:space="0" w:color="auto"/>
                <w:left w:val="none" w:sz="0" w:space="0" w:color="auto"/>
                <w:bottom w:val="none" w:sz="0" w:space="0" w:color="auto"/>
                <w:right w:val="none" w:sz="0" w:space="0" w:color="auto"/>
              </w:divBdr>
              <w:divsChild>
                <w:div w:id="573929859">
                  <w:marLeft w:val="0"/>
                  <w:marRight w:val="0"/>
                  <w:marTop w:val="0"/>
                  <w:marBottom w:val="0"/>
                  <w:divBdr>
                    <w:top w:val="none" w:sz="0" w:space="0" w:color="auto"/>
                    <w:left w:val="none" w:sz="0" w:space="0" w:color="auto"/>
                    <w:bottom w:val="none" w:sz="0" w:space="0" w:color="auto"/>
                    <w:right w:val="none" w:sz="0" w:space="0" w:color="auto"/>
                  </w:divBdr>
                </w:div>
              </w:divsChild>
            </w:div>
            <w:div w:id="1860267313">
              <w:marLeft w:val="0"/>
              <w:marRight w:val="0"/>
              <w:marTop w:val="0"/>
              <w:marBottom w:val="0"/>
              <w:divBdr>
                <w:top w:val="none" w:sz="0" w:space="0" w:color="auto"/>
                <w:left w:val="none" w:sz="0" w:space="0" w:color="auto"/>
                <w:bottom w:val="none" w:sz="0" w:space="0" w:color="auto"/>
                <w:right w:val="none" w:sz="0" w:space="0" w:color="auto"/>
              </w:divBdr>
              <w:divsChild>
                <w:div w:id="741954305">
                  <w:marLeft w:val="0"/>
                  <w:marRight w:val="0"/>
                  <w:marTop w:val="0"/>
                  <w:marBottom w:val="0"/>
                  <w:divBdr>
                    <w:top w:val="none" w:sz="0" w:space="0" w:color="auto"/>
                    <w:left w:val="none" w:sz="0" w:space="0" w:color="auto"/>
                    <w:bottom w:val="none" w:sz="0" w:space="0" w:color="auto"/>
                    <w:right w:val="none" w:sz="0" w:space="0" w:color="auto"/>
                  </w:divBdr>
                </w:div>
              </w:divsChild>
            </w:div>
            <w:div w:id="19015067">
              <w:marLeft w:val="0"/>
              <w:marRight w:val="0"/>
              <w:marTop w:val="0"/>
              <w:marBottom w:val="0"/>
              <w:divBdr>
                <w:top w:val="none" w:sz="0" w:space="0" w:color="auto"/>
                <w:left w:val="none" w:sz="0" w:space="0" w:color="auto"/>
                <w:bottom w:val="none" w:sz="0" w:space="0" w:color="auto"/>
                <w:right w:val="none" w:sz="0" w:space="0" w:color="auto"/>
              </w:divBdr>
              <w:divsChild>
                <w:div w:id="409811895">
                  <w:marLeft w:val="0"/>
                  <w:marRight w:val="0"/>
                  <w:marTop w:val="0"/>
                  <w:marBottom w:val="0"/>
                  <w:divBdr>
                    <w:top w:val="none" w:sz="0" w:space="0" w:color="auto"/>
                    <w:left w:val="none" w:sz="0" w:space="0" w:color="auto"/>
                    <w:bottom w:val="none" w:sz="0" w:space="0" w:color="auto"/>
                    <w:right w:val="none" w:sz="0" w:space="0" w:color="auto"/>
                  </w:divBdr>
                </w:div>
              </w:divsChild>
            </w:div>
            <w:div w:id="456024217">
              <w:marLeft w:val="0"/>
              <w:marRight w:val="0"/>
              <w:marTop w:val="0"/>
              <w:marBottom w:val="0"/>
              <w:divBdr>
                <w:top w:val="none" w:sz="0" w:space="0" w:color="auto"/>
                <w:left w:val="none" w:sz="0" w:space="0" w:color="auto"/>
                <w:bottom w:val="none" w:sz="0" w:space="0" w:color="auto"/>
                <w:right w:val="none" w:sz="0" w:space="0" w:color="auto"/>
              </w:divBdr>
              <w:divsChild>
                <w:div w:id="1137064901">
                  <w:marLeft w:val="0"/>
                  <w:marRight w:val="0"/>
                  <w:marTop w:val="0"/>
                  <w:marBottom w:val="0"/>
                  <w:divBdr>
                    <w:top w:val="none" w:sz="0" w:space="0" w:color="auto"/>
                    <w:left w:val="none" w:sz="0" w:space="0" w:color="auto"/>
                    <w:bottom w:val="none" w:sz="0" w:space="0" w:color="auto"/>
                    <w:right w:val="none" w:sz="0" w:space="0" w:color="auto"/>
                  </w:divBdr>
                </w:div>
              </w:divsChild>
            </w:div>
            <w:div w:id="1115514193">
              <w:marLeft w:val="0"/>
              <w:marRight w:val="0"/>
              <w:marTop w:val="0"/>
              <w:marBottom w:val="0"/>
              <w:divBdr>
                <w:top w:val="none" w:sz="0" w:space="0" w:color="auto"/>
                <w:left w:val="none" w:sz="0" w:space="0" w:color="auto"/>
                <w:bottom w:val="none" w:sz="0" w:space="0" w:color="auto"/>
                <w:right w:val="none" w:sz="0" w:space="0" w:color="auto"/>
              </w:divBdr>
              <w:divsChild>
                <w:div w:id="2070227722">
                  <w:marLeft w:val="0"/>
                  <w:marRight w:val="0"/>
                  <w:marTop w:val="0"/>
                  <w:marBottom w:val="0"/>
                  <w:divBdr>
                    <w:top w:val="none" w:sz="0" w:space="0" w:color="auto"/>
                    <w:left w:val="none" w:sz="0" w:space="0" w:color="auto"/>
                    <w:bottom w:val="none" w:sz="0" w:space="0" w:color="auto"/>
                    <w:right w:val="none" w:sz="0" w:space="0" w:color="auto"/>
                  </w:divBdr>
                </w:div>
              </w:divsChild>
            </w:div>
            <w:div w:id="1786728672">
              <w:marLeft w:val="0"/>
              <w:marRight w:val="0"/>
              <w:marTop w:val="0"/>
              <w:marBottom w:val="0"/>
              <w:divBdr>
                <w:top w:val="none" w:sz="0" w:space="0" w:color="auto"/>
                <w:left w:val="none" w:sz="0" w:space="0" w:color="auto"/>
                <w:bottom w:val="none" w:sz="0" w:space="0" w:color="auto"/>
                <w:right w:val="none" w:sz="0" w:space="0" w:color="auto"/>
              </w:divBdr>
              <w:divsChild>
                <w:div w:id="2051107453">
                  <w:marLeft w:val="0"/>
                  <w:marRight w:val="0"/>
                  <w:marTop w:val="0"/>
                  <w:marBottom w:val="0"/>
                  <w:divBdr>
                    <w:top w:val="none" w:sz="0" w:space="0" w:color="auto"/>
                    <w:left w:val="none" w:sz="0" w:space="0" w:color="auto"/>
                    <w:bottom w:val="none" w:sz="0" w:space="0" w:color="auto"/>
                    <w:right w:val="none" w:sz="0" w:space="0" w:color="auto"/>
                  </w:divBdr>
                </w:div>
              </w:divsChild>
            </w:div>
            <w:div w:id="1486513543">
              <w:marLeft w:val="0"/>
              <w:marRight w:val="0"/>
              <w:marTop w:val="0"/>
              <w:marBottom w:val="0"/>
              <w:divBdr>
                <w:top w:val="none" w:sz="0" w:space="0" w:color="auto"/>
                <w:left w:val="none" w:sz="0" w:space="0" w:color="auto"/>
                <w:bottom w:val="none" w:sz="0" w:space="0" w:color="auto"/>
                <w:right w:val="none" w:sz="0" w:space="0" w:color="auto"/>
              </w:divBdr>
              <w:divsChild>
                <w:div w:id="1159806282">
                  <w:marLeft w:val="0"/>
                  <w:marRight w:val="0"/>
                  <w:marTop w:val="0"/>
                  <w:marBottom w:val="0"/>
                  <w:divBdr>
                    <w:top w:val="none" w:sz="0" w:space="0" w:color="auto"/>
                    <w:left w:val="none" w:sz="0" w:space="0" w:color="auto"/>
                    <w:bottom w:val="none" w:sz="0" w:space="0" w:color="auto"/>
                    <w:right w:val="none" w:sz="0" w:space="0" w:color="auto"/>
                  </w:divBdr>
                </w:div>
              </w:divsChild>
            </w:div>
            <w:div w:id="2118671407">
              <w:marLeft w:val="0"/>
              <w:marRight w:val="0"/>
              <w:marTop w:val="0"/>
              <w:marBottom w:val="0"/>
              <w:divBdr>
                <w:top w:val="none" w:sz="0" w:space="0" w:color="auto"/>
                <w:left w:val="none" w:sz="0" w:space="0" w:color="auto"/>
                <w:bottom w:val="none" w:sz="0" w:space="0" w:color="auto"/>
                <w:right w:val="none" w:sz="0" w:space="0" w:color="auto"/>
              </w:divBdr>
              <w:divsChild>
                <w:div w:id="259794940">
                  <w:marLeft w:val="0"/>
                  <w:marRight w:val="0"/>
                  <w:marTop w:val="0"/>
                  <w:marBottom w:val="0"/>
                  <w:divBdr>
                    <w:top w:val="none" w:sz="0" w:space="0" w:color="auto"/>
                    <w:left w:val="none" w:sz="0" w:space="0" w:color="auto"/>
                    <w:bottom w:val="none" w:sz="0" w:space="0" w:color="auto"/>
                    <w:right w:val="none" w:sz="0" w:space="0" w:color="auto"/>
                  </w:divBdr>
                </w:div>
              </w:divsChild>
            </w:div>
            <w:div w:id="403530629">
              <w:marLeft w:val="0"/>
              <w:marRight w:val="0"/>
              <w:marTop w:val="0"/>
              <w:marBottom w:val="0"/>
              <w:divBdr>
                <w:top w:val="none" w:sz="0" w:space="0" w:color="auto"/>
                <w:left w:val="none" w:sz="0" w:space="0" w:color="auto"/>
                <w:bottom w:val="none" w:sz="0" w:space="0" w:color="auto"/>
                <w:right w:val="none" w:sz="0" w:space="0" w:color="auto"/>
              </w:divBdr>
              <w:divsChild>
                <w:div w:id="379867959">
                  <w:marLeft w:val="0"/>
                  <w:marRight w:val="0"/>
                  <w:marTop w:val="0"/>
                  <w:marBottom w:val="0"/>
                  <w:divBdr>
                    <w:top w:val="none" w:sz="0" w:space="0" w:color="auto"/>
                    <w:left w:val="none" w:sz="0" w:space="0" w:color="auto"/>
                    <w:bottom w:val="none" w:sz="0" w:space="0" w:color="auto"/>
                    <w:right w:val="none" w:sz="0" w:space="0" w:color="auto"/>
                  </w:divBdr>
                </w:div>
              </w:divsChild>
            </w:div>
            <w:div w:id="546449814">
              <w:marLeft w:val="0"/>
              <w:marRight w:val="0"/>
              <w:marTop w:val="0"/>
              <w:marBottom w:val="0"/>
              <w:divBdr>
                <w:top w:val="none" w:sz="0" w:space="0" w:color="auto"/>
                <w:left w:val="none" w:sz="0" w:space="0" w:color="auto"/>
                <w:bottom w:val="none" w:sz="0" w:space="0" w:color="auto"/>
                <w:right w:val="none" w:sz="0" w:space="0" w:color="auto"/>
              </w:divBdr>
              <w:divsChild>
                <w:div w:id="2075932970">
                  <w:marLeft w:val="0"/>
                  <w:marRight w:val="0"/>
                  <w:marTop w:val="0"/>
                  <w:marBottom w:val="0"/>
                  <w:divBdr>
                    <w:top w:val="none" w:sz="0" w:space="0" w:color="auto"/>
                    <w:left w:val="none" w:sz="0" w:space="0" w:color="auto"/>
                    <w:bottom w:val="none" w:sz="0" w:space="0" w:color="auto"/>
                    <w:right w:val="none" w:sz="0" w:space="0" w:color="auto"/>
                  </w:divBdr>
                </w:div>
              </w:divsChild>
            </w:div>
            <w:div w:id="961151965">
              <w:marLeft w:val="0"/>
              <w:marRight w:val="0"/>
              <w:marTop w:val="0"/>
              <w:marBottom w:val="0"/>
              <w:divBdr>
                <w:top w:val="none" w:sz="0" w:space="0" w:color="auto"/>
                <w:left w:val="none" w:sz="0" w:space="0" w:color="auto"/>
                <w:bottom w:val="none" w:sz="0" w:space="0" w:color="auto"/>
                <w:right w:val="none" w:sz="0" w:space="0" w:color="auto"/>
              </w:divBdr>
              <w:divsChild>
                <w:div w:id="2113745361">
                  <w:marLeft w:val="0"/>
                  <w:marRight w:val="0"/>
                  <w:marTop w:val="0"/>
                  <w:marBottom w:val="0"/>
                  <w:divBdr>
                    <w:top w:val="none" w:sz="0" w:space="0" w:color="auto"/>
                    <w:left w:val="none" w:sz="0" w:space="0" w:color="auto"/>
                    <w:bottom w:val="none" w:sz="0" w:space="0" w:color="auto"/>
                    <w:right w:val="none" w:sz="0" w:space="0" w:color="auto"/>
                  </w:divBdr>
                </w:div>
              </w:divsChild>
            </w:div>
            <w:div w:id="1792823903">
              <w:marLeft w:val="0"/>
              <w:marRight w:val="0"/>
              <w:marTop w:val="0"/>
              <w:marBottom w:val="0"/>
              <w:divBdr>
                <w:top w:val="none" w:sz="0" w:space="0" w:color="auto"/>
                <w:left w:val="none" w:sz="0" w:space="0" w:color="auto"/>
                <w:bottom w:val="none" w:sz="0" w:space="0" w:color="auto"/>
                <w:right w:val="none" w:sz="0" w:space="0" w:color="auto"/>
              </w:divBdr>
              <w:divsChild>
                <w:div w:id="1081678085">
                  <w:marLeft w:val="0"/>
                  <w:marRight w:val="0"/>
                  <w:marTop w:val="0"/>
                  <w:marBottom w:val="0"/>
                  <w:divBdr>
                    <w:top w:val="none" w:sz="0" w:space="0" w:color="auto"/>
                    <w:left w:val="none" w:sz="0" w:space="0" w:color="auto"/>
                    <w:bottom w:val="none" w:sz="0" w:space="0" w:color="auto"/>
                    <w:right w:val="none" w:sz="0" w:space="0" w:color="auto"/>
                  </w:divBdr>
                </w:div>
              </w:divsChild>
            </w:div>
            <w:div w:id="881360592">
              <w:marLeft w:val="0"/>
              <w:marRight w:val="0"/>
              <w:marTop w:val="0"/>
              <w:marBottom w:val="0"/>
              <w:divBdr>
                <w:top w:val="none" w:sz="0" w:space="0" w:color="auto"/>
                <w:left w:val="none" w:sz="0" w:space="0" w:color="auto"/>
                <w:bottom w:val="none" w:sz="0" w:space="0" w:color="auto"/>
                <w:right w:val="none" w:sz="0" w:space="0" w:color="auto"/>
              </w:divBdr>
              <w:divsChild>
                <w:div w:id="934020298">
                  <w:marLeft w:val="0"/>
                  <w:marRight w:val="0"/>
                  <w:marTop w:val="0"/>
                  <w:marBottom w:val="0"/>
                  <w:divBdr>
                    <w:top w:val="none" w:sz="0" w:space="0" w:color="auto"/>
                    <w:left w:val="none" w:sz="0" w:space="0" w:color="auto"/>
                    <w:bottom w:val="none" w:sz="0" w:space="0" w:color="auto"/>
                    <w:right w:val="none" w:sz="0" w:space="0" w:color="auto"/>
                  </w:divBdr>
                </w:div>
              </w:divsChild>
            </w:div>
            <w:div w:id="572816123">
              <w:marLeft w:val="0"/>
              <w:marRight w:val="0"/>
              <w:marTop w:val="0"/>
              <w:marBottom w:val="0"/>
              <w:divBdr>
                <w:top w:val="none" w:sz="0" w:space="0" w:color="auto"/>
                <w:left w:val="none" w:sz="0" w:space="0" w:color="auto"/>
                <w:bottom w:val="none" w:sz="0" w:space="0" w:color="auto"/>
                <w:right w:val="none" w:sz="0" w:space="0" w:color="auto"/>
              </w:divBdr>
              <w:divsChild>
                <w:div w:id="662660097">
                  <w:marLeft w:val="0"/>
                  <w:marRight w:val="0"/>
                  <w:marTop w:val="0"/>
                  <w:marBottom w:val="0"/>
                  <w:divBdr>
                    <w:top w:val="none" w:sz="0" w:space="0" w:color="auto"/>
                    <w:left w:val="none" w:sz="0" w:space="0" w:color="auto"/>
                    <w:bottom w:val="none" w:sz="0" w:space="0" w:color="auto"/>
                    <w:right w:val="none" w:sz="0" w:space="0" w:color="auto"/>
                  </w:divBdr>
                </w:div>
              </w:divsChild>
            </w:div>
            <w:div w:id="1238711456">
              <w:marLeft w:val="0"/>
              <w:marRight w:val="0"/>
              <w:marTop w:val="0"/>
              <w:marBottom w:val="0"/>
              <w:divBdr>
                <w:top w:val="none" w:sz="0" w:space="0" w:color="auto"/>
                <w:left w:val="none" w:sz="0" w:space="0" w:color="auto"/>
                <w:bottom w:val="none" w:sz="0" w:space="0" w:color="auto"/>
                <w:right w:val="none" w:sz="0" w:space="0" w:color="auto"/>
              </w:divBdr>
              <w:divsChild>
                <w:div w:id="150560506">
                  <w:marLeft w:val="0"/>
                  <w:marRight w:val="0"/>
                  <w:marTop w:val="0"/>
                  <w:marBottom w:val="0"/>
                  <w:divBdr>
                    <w:top w:val="none" w:sz="0" w:space="0" w:color="auto"/>
                    <w:left w:val="none" w:sz="0" w:space="0" w:color="auto"/>
                    <w:bottom w:val="none" w:sz="0" w:space="0" w:color="auto"/>
                    <w:right w:val="none" w:sz="0" w:space="0" w:color="auto"/>
                  </w:divBdr>
                </w:div>
              </w:divsChild>
            </w:div>
            <w:div w:id="1761363616">
              <w:marLeft w:val="0"/>
              <w:marRight w:val="0"/>
              <w:marTop w:val="0"/>
              <w:marBottom w:val="0"/>
              <w:divBdr>
                <w:top w:val="none" w:sz="0" w:space="0" w:color="auto"/>
                <w:left w:val="none" w:sz="0" w:space="0" w:color="auto"/>
                <w:bottom w:val="none" w:sz="0" w:space="0" w:color="auto"/>
                <w:right w:val="none" w:sz="0" w:space="0" w:color="auto"/>
              </w:divBdr>
              <w:divsChild>
                <w:div w:id="1564680787">
                  <w:marLeft w:val="0"/>
                  <w:marRight w:val="0"/>
                  <w:marTop w:val="0"/>
                  <w:marBottom w:val="0"/>
                  <w:divBdr>
                    <w:top w:val="none" w:sz="0" w:space="0" w:color="auto"/>
                    <w:left w:val="none" w:sz="0" w:space="0" w:color="auto"/>
                    <w:bottom w:val="none" w:sz="0" w:space="0" w:color="auto"/>
                    <w:right w:val="none" w:sz="0" w:space="0" w:color="auto"/>
                  </w:divBdr>
                </w:div>
              </w:divsChild>
            </w:div>
            <w:div w:id="1823349983">
              <w:marLeft w:val="0"/>
              <w:marRight w:val="0"/>
              <w:marTop w:val="0"/>
              <w:marBottom w:val="0"/>
              <w:divBdr>
                <w:top w:val="none" w:sz="0" w:space="0" w:color="auto"/>
                <w:left w:val="none" w:sz="0" w:space="0" w:color="auto"/>
                <w:bottom w:val="none" w:sz="0" w:space="0" w:color="auto"/>
                <w:right w:val="none" w:sz="0" w:space="0" w:color="auto"/>
              </w:divBdr>
              <w:divsChild>
                <w:div w:id="396588723">
                  <w:marLeft w:val="0"/>
                  <w:marRight w:val="0"/>
                  <w:marTop w:val="0"/>
                  <w:marBottom w:val="0"/>
                  <w:divBdr>
                    <w:top w:val="none" w:sz="0" w:space="0" w:color="auto"/>
                    <w:left w:val="none" w:sz="0" w:space="0" w:color="auto"/>
                    <w:bottom w:val="none" w:sz="0" w:space="0" w:color="auto"/>
                    <w:right w:val="none" w:sz="0" w:space="0" w:color="auto"/>
                  </w:divBdr>
                </w:div>
              </w:divsChild>
            </w:div>
            <w:div w:id="194660994">
              <w:marLeft w:val="0"/>
              <w:marRight w:val="0"/>
              <w:marTop w:val="0"/>
              <w:marBottom w:val="0"/>
              <w:divBdr>
                <w:top w:val="none" w:sz="0" w:space="0" w:color="auto"/>
                <w:left w:val="none" w:sz="0" w:space="0" w:color="auto"/>
                <w:bottom w:val="none" w:sz="0" w:space="0" w:color="auto"/>
                <w:right w:val="none" w:sz="0" w:space="0" w:color="auto"/>
              </w:divBdr>
              <w:divsChild>
                <w:div w:id="714156335">
                  <w:marLeft w:val="0"/>
                  <w:marRight w:val="0"/>
                  <w:marTop w:val="0"/>
                  <w:marBottom w:val="0"/>
                  <w:divBdr>
                    <w:top w:val="none" w:sz="0" w:space="0" w:color="auto"/>
                    <w:left w:val="none" w:sz="0" w:space="0" w:color="auto"/>
                    <w:bottom w:val="none" w:sz="0" w:space="0" w:color="auto"/>
                    <w:right w:val="none" w:sz="0" w:space="0" w:color="auto"/>
                  </w:divBdr>
                </w:div>
              </w:divsChild>
            </w:div>
            <w:div w:id="426536744">
              <w:marLeft w:val="0"/>
              <w:marRight w:val="0"/>
              <w:marTop w:val="0"/>
              <w:marBottom w:val="0"/>
              <w:divBdr>
                <w:top w:val="none" w:sz="0" w:space="0" w:color="auto"/>
                <w:left w:val="none" w:sz="0" w:space="0" w:color="auto"/>
                <w:bottom w:val="none" w:sz="0" w:space="0" w:color="auto"/>
                <w:right w:val="none" w:sz="0" w:space="0" w:color="auto"/>
              </w:divBdr>
              <w:divsChild>
                <w:div w:id="197747232">
                  <w:marLeft w:val="0"/>
                  <w:marRight w:val="0"/>
                  <w:marTop w:val="0"/>
                  <w:marBottom w:val="0"/>
                  <w:divBdr>
                    <w:top w:val="none" w:sz="0" w:space="0" w:color="auto"/>
                    <w:left w:val="none" w:sz="0" w:space="0" w:color="auto"/>
                    <w:bottom w:val="none" w:sz="0" w:space="0" w:color="auto"/>
                    <w:right w:val="none" w:sz="0" w:space="0" w:color="auto"/>
                  </w:divBdr>
                </w:div>
              </w:divsChild>
            </w:div>
            <w:div w:id="1847355878">
              <w:marLeft w:val="0"/>
              <w:marRight w:val="0"/>
              <w:marTop w:val="0"/>
              <w:marBottom w:val="0"/>
              <w:divBdr>
                <w:top w:val="none" w:sz="0" w:space="0" w:color="auto"/>
                <w:left w:val="none" w:sz="0" w:space="0" w:color="auto"/>
                <w:bottom w:val="none" w:sz="0" w:space="0" w:color="auto"/>
                <w:right w:val="none" w:sz="0" w:space="0" w:color="auto"/>
              </w:divBdr>
              <w:divsChild>
                <w:div w:id="1801344549">
                  <w:marLeft w:val="0"/>
                  <w:marRight w:val="0"/>
                  <w:marTop w:val="0"/>
                  <w:marBottom w:val="0"/>
                  <w:divBdr>
                    <w:top w:val="none" w:sz="0" w:space="0" w:color="auto"/>
                    <w:left w:val="none" w:sz="0" w:space="0" w:color="auto"/>
                    <w:bottom w:val="none" w:sz="0" w:space="0" w:color="auto"/>
                    <w:right w:val="none" w:sz="0" w:space="0" w:color="auto"/>
                  </w:divBdr>
                </w:div>
              </w:divsChild>
            </w:div>
            <w:div w:id="631790430">
              <w:marLeft w:val="0"/>
              <w:marRight w:val="0"/>
              <w:marTop w:val="0"/>
              <w:marBottom w:val="0"/>
              <w:divBdr>
                <w:top w:val="none" w:sz="0" w:space="0" w:color="auto"/>
                <w:left w:val="none" w:sz="0" w:space="0" w:color="auto"/>
                <w:bottom w:val="none" w:sz="0" w:space="0" w:color="auto"/>
                <w:right w:val="none" w:sz="0" w:space="0" w:color="auto"/>
              </w:divBdr>
              <w:divsChild>
                <w:div w:id="1236821617">
                  <w:marLeft w:val="0"/>
                  <w:marRight w:val="0"/>
                  <w:marTop w:val="0"/>
                  <w:marBottom w:val="0"/>
                  <w:divBdr>
                    <w:top w:val="none" w:sz="0" w:space="0" w:color="auto"/>
                    <w:left w:val="none" w:sz="0" w:space="0" w:color="auto"/>
                    <w:bottom w:val="none" w:sz="0" w:space="0" w:color="auto"/>
                    <w:right w:val="none" w:sz="0" w:space="0" w:color="auto"/>
                  </w:divBdr>
                </w:div>
              </w:divsChild>
            </w:div>
            <w:div w:id="2107579395">
              <w:marLeft w:val="0"/>
              <w:marRight w:val="0"/>
              <w:marTop w:val="0"/>
              <w:marBottom w:val="0"/>
              <w:divBdr>
                <w:top w:val="none" w:sz="0" w:space="0" w:color="auto"/>
                <w:left w:val="none" w:sz="0" w:space="0" w:color="auto"/>
                <w:bottom w:val="none" w:sz="0" w:space="0" w:color="auto"/>
                <w:right w:val="none" w:sz="0" w:space="0" w:color="auto"/>
              </w:divBdr>
              <w:divsChild>
                <w:div w:id="1152065074">
                  <w:marLeft w:val="0"/>
                  <w:marRight w:val="0"/>
                  <w:marTop w:val="0"/>
                  <w:marBottom w:val="0"/>
                  <w:divBdr>
                    <w:top w:val="none" w:sz="0" w:space="0" w:color="auto"/>
                    <w:left w:val="none" w:sz="0" w:space="0" w:color="auto"/>
                    <w:bottom w:val="none" w:sz="0" w:space="0" w:color="auto"/>
                    <w:right w:val="none" w:sz="0" w:space="0" w:color="auto"/>
                  </w:divBdr>
                </w:div>
              </w:divsChild>
            </w:div>
            <w:div w:id="1779058085">
              <w:marLeft w:val="0"/>
              <w:marRight w:val="0"/>
              <w:marTop w:val="0"/>
              <w:marBottom w:val="0"/>
              <w:divBdr>
                <w:top w:val="none" w:sz="0" w:space="0" w:color="auto"/>
                <w:left w:val="none" w:sz="0" w:space="0" w:color="auto"/>
                <w:bottom w:val="none" w:sz="0" w:space="0" w:color="auto"/>
                <w:right w:val="none" w:sz="0" w:space="0" w:color="auto"/>
              </w:divBdr>
              <w:divsChild>
                <w:div w:id="6540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421">
          <w:marLeft w:val="0"/>
          <w:marRight w:val="0"/>
          <w:marTop w:val="0"/>
          <w:marBottom w:val="600"/>
          <w:divBdr>
            <w:top w:val="none" w:sz="0" w:space="0" w:color="auto"/>
            <w:left w:val="none" w:sz="0" w:space="0" w:color="auto"/>
            <w:bottom w:val="none" w:sz="0" w:space="0" w:color="auto"/>
            <w:right w:val="none" w:sz="0" w:space="0" w:color="auto"/>
          </w:divBdr>
        </w:div>
      </w:divsChild>
    </w:div>
    <w:div w:id="1459881244">
      <w:marLeft w:val="0"/>
      <w:marRight w:val="0"/>
      <w:marTop w:val="0"/>
      <w:marBottom w:val="0"/>
      <w:divBdr>
        <w:top w:val="none" w:sz="0" w:space="0" w:color="auto"/>
        <w:left w:val="none" w:sz="0" w:space="0" w:color="auto"/>
        <w:bottom w:val="none" w:sz="0" w:space="0" w:color="auto"/>
        <w:right w:val="none" w:sz="0" w:space="0" w:color="auto"/>
      </w:divBdr>
      <w:divsChild>
        <w:div w:id="1263496170">
          <w:marLeft w:val="0"/>
          <w:marRight w:val="0"/>
          <w:marTop w:val="547"/>
          <w:marBottom w:val="0"/>
          <w:divBdr>
            <w:top w:val="none" w:sz="0" w:space="0" w:color="auto"/>
            <w:left w:val="none" w:sz="0" w:space="0" w:color="auto"/>
            <w:bottom w:val="none" w:sz="0" w:space="0" w:color="auto"/>
            <w:right w:val="none" w:sz="0" w:space="0" w:color="auto"/>
          </w:divBdr>
        </w:div>
        <w:div w:id="338655630">
          <w:marLeft w:val="0"/>
          <w:marRight w:val="0"/>
          <w:marTop w:val="0"/>
          <w:marBottom w:val="0"/>
          <w:divBdr>
            <w:top w:val="none" w:sz="0" w:space="0" w:color="auto"/>
            <w:left w:val="none" w:sz="0" w:space="0" w:color="auto"/>
            <w:bottom w:val="none" w:sz="0" w:space="0" w:color="auto"/>
            <w:right w:val="none" w:sz="0" w:space="0" w:color="auto"/>
          </w:divBdr>
        </w:div>
        <w:div w:id="1627198801">
          <w:marLeft w:val="0"/>
          <w:marRight w:val="0"/>
          <w:marTop w:val="0"/>
          <w:marBottom w:val="600"/>
          <w:divBdr>
            <w:top w:val="none" w:sz="0" w:space="0" w:color="auto"/>
            <w:left w:val="none" w:sz="0" w:space="0" w:color="auto"/>
            <w:bottom w:val="none" w:sz="0" w:space="0" w:color="auto"/>
            <w:right w:val="none" w:sz="0" w:space="0" w:color="auto"/>
          </w:divBdr>
        </w:div>
      </w:divsChild>
    </w:div>
    <w:div w:id="1469471793">
      <w:marLeft w:val="0"/>
      <w:marRight w:val="0"/>
      <w:marTop w:val="0"/>
      <w:marBottom w:val="0"/>
      <w:divBdr>
        <w:top w:val="none" w:sz="0" w:space="0" w:color="auto"/>
        <w:left w:val="none" w:sz="0" w:space="0" w:color="auto"/>
        <w:bottom w:val="none" w:sz="0" w:space="0" w:color="auto"/>
        <w:right w:val="none" w:sz="0" w:space="0" w:color="auto"/>
      </w:divBdr>
      <w:divsChild>
        <w:div w:id="2099710112">
          <w:marLeft w:val="0"/>
          <w:marRight w:val="0"/>
          <w:marTop w:val="547"/>
          <w:marBottom w:val="0"/>
          <w:divBdr>
            <w:top w:val="none" w:sz="0" w:space="0" w:color="auto"/>
            <w:left w:val="none" w:sz="0" w:space="0" w:color="auto"/>
            <w:bottom w:val="none" w:sz="0" w:space="0" w:color="auto"/>
            <w:right w:val="none" w:sz="0" w:space="0" w:color="auto"/>
          </w:divBdr>
        </w:div>
        <w:div w:id="791941229">
          <w:marLeft w:val="0"/>
          <w:marRight w:val="0"/>
          <w:marTop w:val="0"/>
          <w:marBottom w:val="0"/>
          <w:divBdr>
            <w:top w:val="none" w:sz="0" w:space="0" w:color="auto"/>
            <w:left w:val="none" w:sz="0" w:space="0" w:color="auto"/>
            <w:bottom w:val="none" w:sz="0" w:space="0" w:color="auto"/>
            <w:right w:val="none" w:sz="0" w:space="0" w:color="auto"/>
          </w:divBdr>
          <w:divsChild>
            <w:div w:id="1735860042">
              <w:marLeft w:val="0"/>
              <w:marRight w:val="0"/>
              <w:marTop w:val="0"/>
              <w:marBottom w:val="0"/>
              <w:divBdr>
                <w:top w:val="none" w:sz="0" w:space="0" w:color="auto"/>
                <w:left w:val="none" w:sz="0" w:space="0" w:color="auto"/>
                <w:bottom w:val="none" w:sz="0" w:space="0" w:color="auto"/>
                <w:right w:val="none" w:sz="0" w:space="0" w:color="auto"/>
              </w:divBdr>
              <w:divsChild>
                <w:div w:id="1737584524">
                  <w:marLeft w:val="0"/>
                  <w:marRight w:val="0"/>
                  <w:marTop w:val="0"/>
                  <w:marBottom w:val="0"/>
                  <w:divBdr>
                    <w:top w:val="none" w:sz="0" w:space="0" w:color="auto"/>
                    <w:left w:val="none" w:sz="0" w:space="0" w:color="auto"/>
                    <w:bottom w:val="none" w:sz="0" w:space="0" w:color="auto"/>
                    <w:right w:val="none" w:sz="0" w:space="0" w:color="auto"/>
                  </w:divBdr>
                </w:div>
              </w:divsChild>
            </w:div>
            <w:div w:id="1912806750">
              <w:marLeft w:val="0"/>
              <w:marRight w:val="0"/>
              <w:marTop w:val="0"/>
              <w:marBottom w:val="0"/>
              <w:divBdr>
                <w:top w:val="none" w:sz="0" w:space="0" w:color="auto"/>
                <w:left w:val="none" w:sz="0" w:space="0" w:color="auto"/>
                <w:bottom w:val="none" w:sz="0" w:space="0" w:color="auto"/>
                <w:right w:val="none" w:sz="0" w:space="0" w:color="auto"/>
              </w:divBdr>
              <w:divsChild>
                <w:div w:id="2072265088">
                  <w:marLeft w:val="0"/>
                  <w:marRight w:val="0"/>
                  <w:marTop w:val="0"/>
                  <w:marBottom w:val="0"/>
                  <w:divBdr>
                    <w:top w:val="none" w:sz="0" w:space="0" w:color="auto"/>
                    <w:left w:val="none" w:sz="0" w:space="0" w:color="auto"/>
                    <w:bottom w:val="none" w:sz="0" w:space="0" w:color="auto"/>
                    <w:right w:val="none" w:sz="0" w:space="0" w:color="auto"/>
                  </w:divBdr>
                </w:div>
              </w:divsChild>
            </w:div>
            <w:div w:id="398209470">
              <w:marLeft w:val="0"/>
              <w:marRight w:val="0"/>
              <w:marTop w:val="0"/>
              <w:marBottom w:val="0"/>
              <w:divBdr>
                <w:top w:val="none" w:sz="0" w:space="0" w:color="auto"/>
                <w:left w:val="none" w:sz="0" w:space="0" w:color="auto"/>
                <w:bottom w:val="none" w:sz="0" w:space="0" w:color="auto"/>
                <w:right w:val="none" w:sz="0" w:space="0" w:color="auto"/>
              </w:divBdr>
              <w:divsChild>
                <w:div w:id="730424528">
                  <w:marLeft w:val="0"/>
                  <w:marRight w:val="0"/>
                  <w:marTop w:val="0"/>
                  <w:marBottom w:val="0"/>
                  <w:divBdr>
                    <w:top w:val="none" w:sz="0" w:space="0" w:color="auto"/>
                    <w:left w:val="none" w:sz="0" w:space="0" w:color="auto"/>
                    <w:bottom w:val="none" w:sz="0" w:space="0" w:color="auto"/>
                    <w:right w:val="none" w:sz="0" w:space="0" w:color="auto"/>
                  </w:divBdr>
                </w:div>
              </w:divsChild>
            </w:div>
            <w:div w:id="660888780">
              <w:marLeft w:val="0"/>
              <w:marRight w:val="0"/>
              <w:marTop w:val="0"/>
              <w:marBottom w:val="0"/>
              <w:divBdr>
                <w:top w:val="none" w:sz="0" w:space="0" w:color="auto"/>
                <w:left w:val="none" w:sz="0" w:space="0" w:color="auto"/>
                <w:bottom w:val="none" w:sz="0" w:space="0" w:color="auto"/>
                <w:right w:val="none" w:sz="0" w:space="0" w:color="auto"/>
              </w:divBdr>
              <w:divsChild>
                <w:div w:id="1775855911">
                  <w:marLeft w:val="0"/>
                  <w:marRight w:val="0"/>
                  <w:marTop w:val="0"/>
                  <w:marBottom w:val="0"/>
                  <w:divBdr>
                    <w:top w:val="none" w:sz="0" w:space="0" w:color="auto"/>
                    <w:left w:val="none" w:sz="0" w:space="0" w:color="auto"/>
                    <w:bottom w:val="none" w:sz="0" w:space="0" w:color="auto"/>
                    <w:right w:val="none" w:sz="0" w:space="0" w:color="auto"/>
                  </w:divBdr>
                </w:div>
              </w:divsChild>
            </w:div>
            <w:div w:id="765929191">
              <w:marLeft w:val="0"/>
              <w:marRight w:val="0"/>
              <w:marTop w:val="0"/>
              <w:marBottom w:val="0"/>
              <w:divBdr>
                <w:top w:val="none" w:sz="0" w:space="0" w:color="auto"/>
                <w:left w:val="none" w:sz="0" w:space="0" w:color="auto"/>
                <w:bottom w:val="none" w:sz="0" w:space="0" w:color="auto"/>
                <w:right w:val="none" w:sz="0" w:space="0" w:color="auto"/>
              </w:divBdr>
              <w:divsChild>
                <w:div w:id="685012611">
                  <w:marLeft w:val="0"/>
                  <w:marRight w:val="0"/>
                  <w:marTop w:val="0"/>
                  <w:marBottom w:val="0"/>
                  <w:divBdr>
                    <w:top w:val="none" w:sz="0" w:space="0" w:color="auto"/>
                    <w:left w:val="none" w:sz="0" w:space="0" w:color="auto"/>
                    <w:bottom w:val="none" w:sz="0" w:space="0" w:color="auto"/>
                    <w:right w:val="none" w:sz="0" w:space="0" w:color="auto"/>
                  </w:divBdr>
                </w:div>
              </w:divsChild>
            </w:div>
            <w:div w:id="2010212283">
              <w:marLeft w:val="0"/>
              <w:marRight w:val="0"/>
              <w:marTop w:val="0"/>
              <w:marBottom w:val="0"/>
              <w:divBdr>
                <w:top w:val="none" w:sz="0" w:space="0" w:color="auto"/>
                <w:left w:val="none" w:sz="0" w:space="0" w:color="auto"/>
                <w:bottom w:val="none" w:sz="0" w:space="0" w:color="auto"/>
                <w:right w:val="none" w:sz="0" w:space="0" w:color="auto"/>
              </w:divBdr>
              <w:divsChild>
                <w:div w:id="1914316459">
                  <w:marLeft w:val="0"/>
                  <w:marRight w:val="0"/>
                  <w:marTop w:val="0"/>
                  <w:marBottom w:val="0"/>
                  <w:divBdr>
                    <w:top w:val="none" w:sz="0" w:space="0" w:color="auto"/>
                    <w:left w:val="none" w:sz="0" w:space="0" w:color="auto"/>
                    <w:bottom w:val="none" w:sz="0" w:space="0" w:color="auto"/>
                    <w:right w:val="none" w:sz="0" w:space="0" w:color="auto"/>
                  </w:divBdr>
                </w:div>
              </w:divsChild>
            </w:div>
            <w:div w:id="513348455">
              <w:marLeft w:val="0"/>
              <w:marRight w:val="0"/>
              <w:marTop w:val="0"/>
              <w:marBottom w:val="0"/>
              <w:divBdr>
                <w:top w:val="none" w:sz="0" w:space="0" w:color="auto"/>
                <w:left w:val="none" w:sz="0" w:space="0" w:color="auto"/>
                <w:bottom w:val="none" w:sz="0" w:space="0" w:color="auto"/>
                <w:right w:val="none" w:sz="0" w:space="0" w:color="auto"/>
              </w:divBdr>
              <w:divsChild>
                <w:div w:id="420953206">
                  <w:marLeft w:val="0"/>
                  <w:marRight w:val="0"/>
                  <w:marTop w:val="0"/>
                  <w:marBottom w:val="0"/>
                  <w:divBdr>
                    <w:top w:val="none" w:sz="0" w:space="0" w:color="auto"/>
                    <w:left w:val="none" w:sz="0" w:space="0" w:color="auto"/>
                    <w:bottom w:val="none" w:sz="0" w:space="0" w:color="auto"/>
                    <w:right w:val="none" w:sz="0" w:space="0" w:color="auto"/>
                  </w:divBdr>
                </w:div>
              </w:divsChild>
            </w:div>
            <w:div w:id="1184436555">
              <w:marLeft w:val="0"/>
              <w:marRight w:val="0"/>
              <w:marTop w:val="0"/>
              <w:marBottom w:val="0"/>
              <w:divBdr>
                <w:top w:val="none" w:sz="0" w:space="0" w:color="auto"/>
                <w:left w:val="none" w:sz="0" w:space="0" w:color="auto"/>
                <w:bottom w:val="none" w:sz="0" w:space="0" w:color="auto"/>
                <w:right w:val="none" w:sz="0" w:space="0" w:color="auto"/>
              </w:divBdr>
              <w:divsChild>
                <w:div w:id="1933856929">
                  <w:marLeft w:val="0"/>
                  <w:marRight w:val="0"/>
                  <w:marTop w:val="0"/>
                  <w:marBottom w:val="0"/>
                  <w:divBdr>
                    <w:top w:val="none" w:sz="0" w:space="0" w:color="auto"/>
                    <w:left w:val="none" w:sz="0" w:space="0" w:color="auto"/>
                    <w:bottom w:val="none" w:sz="0" w:space="0" w:color="auto"/>
                    <w:right w:val="none" w:sz="0" w:space="0" w:color="auto"/>
                  </w:divBdr>
                </w:div>
              </w:divsChild>
            </w:div>
            <w:div w:id="530338783">
              <w:marLeft w:val="0"/>
              <w:marRight w:val="0"/>
              <w:marTop w:val="0"/>
              <w:marBottom w:val="0"/>
              <w:divBdr>
                <w:top w:val="none" w:sz="0" w:space="0" w:color="auto"/>
                <w:left w:val="none" w:sz="0" w:space="0" w:color="auto"/>
                <w:bottom w:val="none" w:sz="0" w:space="0" w:color="auto"/>
                <w:right w:val="none" w:sz="0" w:space="0" w:color="auto"/>
              </w:divBdr>
              <w:divsChild>
                <w:div w:id="1784224507">
                  <w:marLeft w:val="0"/>
                  <w:marRight w:val="0"/>
                  <w:marTop w:val="0"/>
                  <w:marBottom w:val="0"/>
                  <w:divBdr>
                    <w:top w:val="none" w:sz="0" w:space="0" w:color="auto"/>
                    <w:left w:val="none" w:sz="0" w:space="0" w:color="auto"/>
                    <w:bottom w:val="none" w:sz="0" w:space="0" w:color="auto"/>
                    <w:right w:val="none" w:sz="0" w:space="0" w:color="auto"/>
                  </w:divBdr>
                </w:div>
              </w:divsChild>
            </w:div>
            <w:div w:id="88353190">
              <w:marLeft w:val="0"/>
              <w:marRight w:val="0"/>
              <w:marTop w:val="0"/>
              <w:marBottom w:val="0"/>
              <w:divBdr>
                <w:top w:val="none" w:sz="0" w:space="0" w:color="auto"/>
                <w:left w:val="none" w:sz="0" w:space="0" w:color="auto"/>
                <w:bottom w:val="none" w:sz="0" w:space="0" w:color="auto"/>
                <w:right w:val="none" w:sz="0" w:space="0" w:color="auto"/>
              </w:divBdr>
              <w:divsChild>
                <w:div w:id="993220444">
                  <w:marLeft w:val="0"/>
                  <w:marRight w:val="0"/>
                  <w:marTop w:val="0"/>
                  <w:marBottom w:val="0"/>
                  <w:divBdr>
                    <w:top w:val="none" w:sz="0" w:space="0" w:color="auto"/>
                    <w:left w:val="none" w:sz="0" w:space="0" w:color="auto"/>
                    <w:bottom w:val="none" w:sz="0" w:space="0" w:color="auto"/>
                    <w:right w:val="none" w:sz="0" w:space="0" w:color="auto"/>
                  </w:divBdr>
                </w:div>
              </w:divsChild>
            </w:div>
            <w:div w:id="1306815672">
              <w:marLeft w:val="0"/>
              <w:marRight w:val="0"/>
              <w:marTop w:val="0"/>
              <w:marBottom w:val="0"/>
              <w:divBdr>
                <w:top w:val="none" w:sz="0" w:space="0" w:color="auto"/>
                <w:left w:val="none" w:sz="0" w:space="0" w:color="auto"/>
                <w:bottom w:val="none" w:sz="0" w:space="0" w:color="auto"/>
                <w:right w:val="none" w:sz="0" w:space="0" w:color="auto"/>
              </w:divBdr>
              <w:divsChild>
                <w:div w:id="1540361352">
                  <w:marLeft w:val="0"/>
                  <w:marRight w:val="0"/>
                  <w:marTop w:val="0"/>
                  <w:marBottom w:val="0"/>
                  <w:divBdr>
                    <w:top w:val="none" w:sz="0" w:space="0" w:color="auto"/>
                    <w:left w:val="none" w:sz="0" w:space="0" w:color="auto"/>
                    <w:bottom w:val="none" w:sz="0" w:space="0" w:color="auto"/>
                    <w:right w:val="none" w:sz="0" w:space="0" w:color="auto"/>
                  </w:divBdr>
                </w:div>
              </w:divsChild>
            </w:div>
            <w:div w:id="225797365">
              <w:marLeft w:val="0"/>
              <w:marRight w:val="0"/>
              <w:marTop w:val="0"/>
              <w:marBottom w:val="0"/>
              <w:divBdr>
                <w:top w:val="none" w:sz="0" w:space="0" w:color="auto"/>
                <w:left w:val="none" w:sz="0" w:space="0" w:color="auto"/>
                <w:bottom w:val="none" w:sz="0" w:space="0" w:color="auto"/>
                <w:right w:val="none" w:sz="0" w:space="0" w:color="auto"/>
              </w:divBdr>
              <w:divsChild>
                <w:div w:id="2013289282">
                  <w:marLeft w:val="0"/>
                  <w:marRight w:val="0"/>
                  <w:marTop w:val="0"/>
                  <w:marBottom w:val="0"/>
                  <w:divBdr>
                    <w:top w:val="none" w:sz="0" w:space="0" w:color="auto"/>
                    <w:left w:val="none" w:sz="0" w:space="0" w:color="auto"/>
                    <w:bottom w:val="none" w:sz="0" w:space="0" w:color="auto"/>
                    <w:right w:val="none" w:sz="0" w:space="0" w:color="auto"/>
                  </w:divBdr>
                </w:div>
              </w:divsChild>
            </w:div>
            <w:div w:id="1242444771">
              <w:marLeft w:val="0"/>
              <w:marRight w:val="0"/>
              <w:marTop w:val="0"/>
              <w:marBottom w:val="0"/>
              <w:divBdr>
                <w:top w:val="none" w:sz="0" w:space="0" w:color="auto"/>
                <w:left w:val="none" w:sz="0" w:space="0" w:color="auto"/>
                <w:bottom w:val="none" w:sz="0" w:space="0" w:color="auto"/>
                <w:right w:val="none" w:sz="0" w:space="0" w:color="auto"/>
              </w:divBdr>
              <w:divsChild>
                <w:div w:id="625694945">
                  <w:marLeft w:val="0"/>
                  <w:marRight w:val="0"/>
                  <w:marTop w:val="0"/>
                  <w:marBottom w:val="0"/>
                  <w:divBdr>
                    <w:top w:val="none" w:sz="0" w:space="0" w:color="auto"/>
                    <w:left w:val="none" w:sz="0" w:space="0" w:color="auto"/>
                    <w:bottom w:val="none" w:sz="0" w:space="0" w:color="auto"/>
                    <w:right w:val="none" w:sz="0" w:space="0" w:color="auto"/>
                  </w:divBdr>
                </w:div>
              </w:divsChild>
            </w:div>
            <w:div w:id="795760307">
              <w:marLeft w:val="0"/>
              <w:marRight w:val="0"/>
              <w:marTop w:val="0"/>
              <w:marBottom w:val="0"/>
              <w:divBdr>
                <w:top w:val="none" w:sz="0" w:space="0" w:color="auto"/>
                <w:left w:val="none" w:sz="0" w:space="0" w:color="auto"/>
                <w:bottom w:val="none" w:sz="0" w:space="0" w:color="auto"/>
                <w:right w:val="none" w:sz="0" w:space="0" w:color="auto"/>
              </w:divBdr>
              <w:divsChild>
                <w:div w:id="653536023">
                  <w:marLeft w:val="0"/>
                  <w:marRight w:val="0"/>
                  <w:marTop w:val="0"/>
                  <w:marBottom w:val="0"/>
                  <w:divBdr>
                    <w:top w:val="none" w:sz="0" w:space="0" w:color="auto"/>
                    <w:left w:val="none" w:sz="0" w:space="0" w:color="auto"/>
                    <w:bottom w:val="none" w:sz="0" w:space="0" w:color="auto"/>
                    <w:right w:val="none" w:sz="0" w:space="0" w:color="auto"/>
                  </w:divBdr>
                </w:div>
              </w:divsChild>
            </w:div>
            <w:div w:id="394400046">
              <w:marLeft w:val="0"/>
              <w:marRight w:val="0"/>
              <w:marTop w:val="0"/>
              <w:marBottom w:val="0"/>
              <w:divBdr>
                <w:top w:val="none" w:sz="0" w:space="0" w:color="auto"/>
                <w:left w:val="none" w:sz="0" w:space="0" w:color="auto"/>
                <w:bottom w:val="none" w:sz="0" w:space="0" w:color="auto"/>
                <w:right w:val="none" w:sz="0" w:space="0" w:color="auto"/>
              </w:divBdr>
              <w:divsChild>
                <w:div w:id="1017463253">
                  <w:marLeft w:val="0"/>
                  <w:marRight w:val="0"/>
                  <w:marTop w:val="0"/>
                  <w:marBottom w:val="0"/>
                  <w:divBdr>
                    <w:top w:val="none" w:sz="0" w:space="0" w:color="auto"/>
                    <w:left w:val="none" w:sz="0" w:space="0" w:color="auto"/>
                    <w:bottom w:val="none" w:sz="0" w:space="0" w:color="auto"/>
                    <w:right w:val="none" w:sz="0" w:space="0" w:color="auto"/>
                  </w:divBdr>
                </w:div>
              </w:divsChild>
            </w:div>
            <w:div w:id="1895240332">
              <w:marLeft w:val="0"/>
              <w:marRight w:val="0"/>
              <w:marTop w:val="0"/>
              <w:marBottom w:val="0"/>
              <w:divBdr>
                <w:top w:val="none" w:sz="0" w:space="0" w:color="auto"/>
                <w:left w:val="none" w:sz="0" w:space="0" w:color="auto"/>
                <w:bottom w:val="none" w:sz="0" w:space="0" w:color="auto"/>
                <w:right w:val="none" w:sz="0" w:space="0" w:color="auto"/>
              </w:divBdr>
              <w:divsChild>
                <w:div w:id="2016565851">
                  <w:marLeft w:val="0"/>
                  <w:marRight w:val="0"/>
                  <w:marTop w:val="0"/>
                  <w:marBottom w:val="0"/>
                  <w:divBdr>
                    <w:top w:val="none" w:sz="0" w:space="0" w:color="auto"/>
                    <w:left w:val="none" w:sz="0" w:space="0" w:color="auto"/>
                    <w:bottom w:val="none" w:sz="0" w:space="0" w:color="auto"/>
                    <w:right w:val="none" w:sz="0" w:space="0" w:color="auto"/>
                  </w:divBdr>
                </w:div>
              </w:divsChild>
            </w:div>
            <w:div w:id="411854865">
              <w:marLeft w:val="0"/>
              <w:marRight w:val="0"/>
              <w:marTop w:val="0"/>
              <w:marBottom w:val="0"/>
              <w:divBdr>
                <w:top w:val="none" w:sz="0" w:space="0" w:color="auto"/>
                <w:left w:val="none" w:sz="0" w:space="0" w:color="auto"/>
                <w:bottom w:val="none" w:sz="0" w:space="0" w:color="auto"/>
                <w:right w:val="none" w:sz="0" w:space="0" w:color="auto"/>
              </w:divBdr>
              <w:divsChild>
                <w:div w:id="581067814">
                  <w:marLeft w:val="0"/>
                  <w:marRight w:val="0"/>
                  <w:marTop w:val="0"/>
                  <w:marBottom w:val="0"/>
                  <w:divBdr>
                    <w:top w:val="none" w:sz="0" w:space="0" w:color="auto"/>
                    <w:left w:val="none" w:sz="0" w:space="0" w:color="auto"/>
                    <w:bottom w:val="none" w:sz="0" w:space="0" w:color="auto"/>
                    <w:right w:val="none" w:sz="0" w:space="0" w:color="auto"/>
                  </w:divBdr>
                </w:div>
              </w:divsChild>
            </w:div>
            <w:div w:id="837429593">
              <w:marLeft w:val="0"/>
              <w:marRight w:val="0"/>
              <w:marTop w:val="0"/>
              <w:marBottom w:val="0"/>
              <w:divBdr>
                <w:top w:val="none" w:sz="0" w:space="0" w:color="auto"/>
                <w:left w:val="none" w:sz="0" w:space="0" w:color="auto"/>
                <w:bottom w:val="none" w:sz="0" w:space="0" w:color="auto"/>
                <w:right w:val="none" w:sz="0" w:space="0" w:color="auto"/>
              </w:divBdr>
              <w:divsChild>
                <w:div w:id="2109344947">
                  <w:marLeft w:val="0"/>
                  <w:marRight w:val="0"/>
                  <w:marTop w:val="0"/>
                  <w:marBottom w:val="0"/>
                  <w:divBdr>
                    <w:top w:val="none" w:sz="0" w:space="0" w:color="auto"/>
                    <w:left w:val="none" w:sz="0" w:space="0" w:color="auto"/>
                    <w:bottom w:val="none" w:sz="0" w:space="0" w:color="auto"/>
                    <w:right w:val="none" w:sz="0" w:space="0" w:color="auto"/>
                  </w:divBdr>
                </w:div>
              </w:divsChild>
            </w:div>
            <w:div w:id="482283717">
              <w:marLeft w:val="0"/>
              <w:marRight w:val="0"/>
              <w:marTop w:val="0"/>
              <w:marBottom w:val="0"/>
              <w:divBdr>
                <w:top w:val="none" w:sz="0" w:space="0" w:color="auto"/>
                <w:left w:val="none" w:sz="0" w:space="0" w:color="auto"/>
                <w:bottom w:val="none" w:sz="0" w:space="0" w:color="auto"/>
                <w:right w:val="none" w:sz="0" w:space="0" w:color="auto"/>
              </w:divBdr>
              <w:divsChild>
                <w:div w:id="1093555176">
                  <w:marLeft w:val="0"/>
                  <w:marRight w:val="0"/>
                  <w:marTop w:val="0"/>
                  <w:marBottom w:val="0"/>
                  <w:divBdr>
                    <w:top w:val="none" w:sz="0" w:space="0" w:color="auto"/>
                    <w:left w:val="none" w:sz="0" w:space="0" w:color="auto"/>
                    <w:bottom w:val="none" w:sz="0" w:space="0" w:color="auto"/>
                    <w:right w:val="none" w:sz="0" w:space="0" w:color="auto"/>
                  </w:divBdr>
                </w:div>
              </w:divsChild>
            </w:div>
            <w:div w:id="2125806068">
              <w:marLeft w:val="0"/>
              <w:marRight w:val="0"/>
              <w:marTop w:val="0"/>
              <w:marBottom w:val="0"/>
              <w:divBdr>
                <w:top w:val="none" w:sz="0" w:space="0" w:color="auto"/>
                <w:left w:val="none" w:sz="0" w:space="0" w:color="auto"/>
                <w:bottom w:val="none" w:sz="0" w:space="0" w:color="auto"/>
                <w:right w:val="none" w:sz="0" w:space="0" w:color="auto"/>
              </w:divBdr>
              <w:divsChild>
                <w:div w:id="1533611943">
                  <w:marLeft w:val="0"/>
                  <w:marRight w:val="0"/>
                  <w:marTop w:val="0"/>
                  <w:marBottom w:val="0"/>
                  <w:divBdr>
                    <w:top w:val="none" w:sz="0" w:space="0" w:color="auto"/>
                    <w:left w:val="none" w:sz="0" w:space="0" w:color="auto"/>
                    <w:bottom w:val="none" w:sz="0" w:space="0" w:color="auto"/>
                    <w:right w:val="none" w:sz="0" w:space="0" w:color="auto"/>
                  </w:divBdr>
                </w:div>
              </w:divsChild>
            </w:div>
            <w:div w:id="1062673305">
              <w:marLeft w:val="0"/>
              <w:marRight w:val="0"/>
              <w:marTop w:val="0"/>
              <w:marBottom w:val="0"/>
              <w:divBdr>
                <w:top w:val="none" w:sz="0" w:space="0" w:color="auto"/>
                <w:left w:val="none" w:sz="0" w:space="0" w:color="auto"/>
                <w:bottom w:val="none" w:sz="0" w:space="0" w:color="auto"/>
                <w:right w:val="none" w:sz="0" w:space="0" w:color="auto"/>
              </w:divBdr>
              <w:divsChild>
                <w:div w:id="1638485332">
                  <w:marLeft w:val="0"/>
                  <w:marRight w:val="0"/>
                  <w:marTop w:val="0"/>
                  <w:marBottom w:val="0"/>
                  <w:divBdr>
                    <w:top w:val="none" w:sz="0" w:space="0" w:color="auto"/>
                    <w:left w:val="none" w:sz="0" w:space="0" w:color="auto"/>
                    <w:bottom w:val="none" w:sz="0" w:space="0" w:color="auto"/>
                    <w:right w:val="none" w:sz="0" w:space="0" w:color="auto"/>
                  </w:divBdr>
                </w:div>
              </w:divsChild>
            </w:div>
            <w:div w:id="699428184">
              <w:marLeft w:val="0"/>
              <w:marRight w:val="0"/>
              <w:marTop w:val="0"/>
              <w:marBottom w:val="0"/>
              <w:divBdr>
                <w:top w:val="none" w:sz="0" w:space="0" w:color="auto"/>
                <w:left w:val="none" w:sz="0" w:space="0" w:color="auto"/>
                <w:bottom w:val="none" w:sz="0" w:space="0" w:color="auto"/>
                <w:right w:val="none" w:sz="0" w:space="0" w:color="auto"/>
              </w:divBdr>
              <w:divsChild>
                <w:div w:id="1549102332">
                  <w:marLeft w:val="0"/>
                  <w:marRight w:val="0"/>
                  <w:marTop w:val="0"/>
                  <w:marBottom w:val="0"/>
                  <w:divBdr>
                    <w:top w:val="none" w:sz="0" w:space="0" w:color="auto"/>
                    <w:left w:val="none" w:sz="0" w:space="0" w:color="auto"/>
                    <w:bottom w:val="none" w:sz="0" w:space="0" w:color="auto"/>
                    <w:right w:val="none" w:sz="0" w:space="0" w:color="auto"/>
                  </w:divBdr>
                </w:div>
              </w:divsChild>
            </w:div>
            <w:div w:id="1468553223">
              <w:marLeft w:val="0"/>
              <w:marRight w:val="0"/>
              <w:marTop w:val="0"/>
              <w:marBottom w:val="0"/>
              <w:divBdr>
                <w:top w:val="none" w:sz="0" w:space="0" w:color="auto"/>
                <w:left w:val="none" w:sz="0" w:space="0" w:color="auto"/>
                <w:bottom w:val="none" w:sz="0" w:space="0" w:color="auto"/>
                <w:right w:val="none" w:sz="0" w:space="0" w:color="auto"/>
              </w:divBdr>
              <w:divsChild>
                <w:div w:id="1833984436">
                  <w:marLeft w:val="0"/>
                  <w:marRight w:val="0"/>
                  <w:marTop w:val="0"/>
                  <w:marBottom w:val="0"/>
                  <w:divBdr>
                    <w:top w:val="none" w:sz="0" w:space="0" w:color="auto"/>
                    <w:left w:val="none" w:sz="0" w:space="0" w:color="auto"/>
                    <w:bottom w:val="none" w:sz="0" w:space="0" w:color="auto"/>
                    <w:right w:val="none" w:sz="0" w:space="0" w:color="auto"/>
                  </w:divBdr>
                </w:div>
              </w:divsChild>
            </w:div>
            <w:div w:id="1120799179">
              <w:marLeft w:val="0"/>
              <w:marRight w:val="0"/>
              <w:marTop w:val="0"/>
              <w:marBottom w:val="0"/>
              <w:divBdr>
                <w:top w:val="none" w:sz="0" w:space="0" w:color="auto"/>
                <w:left w:val="none" w:sz="0" w:space="0" w:color="auto"/>
                <w:bottom w:val="none" w:sz="0" w:space="0" w:color="auto"/>
                <w:right w:val="none" w:sz="0" w:space="0" w:color="auto"/>
              </w:divBdr>
              <w:divsChild>
                <w:div w:id="775321383">
                  <w:marLeft w:val="0"/>
                  <w:marRight w:val="0"/>
                  <w:marTop w:val="0"/>
                  <w:marBottom w:val="0"/>
                  <w:divBdr>
                    <w:top w:val="none" w:sz="0" w:space="0" w:color="auto"/>
                    <w:left w:val="none" w:sz="0" w:space="0" w:color="auto"/>
                    <w:bottom w:val="none" w:sz="0" w:space="0" w:color="auto"/>
                    <w:right w:val="none" w:sz="0" w:space="0" w:color="auto"/>
                  </w:divBdr>
                </w:div>
              </w:divsChild>
            </w:div>
            <w:div w:id="909535616">
              <w:marLeft w:val="0"/>
              <w:marRight w:val="0"/>
              <w:marTop w:val="0"/>
              <w:marBottom w:val="0"/>
              <w:divBdr>
                <w:top w:val="none" w:sz="0" w:space="0" w:color="auto"/>
                <w:left w:val="none" w:sz="0" w:space="0" w:color="auto"/>
                <w:bottom w:val="none" w:sz="0" w:space="0" w:color="auto"/>
                <w:right w:val="none" w:sz="0" w:space="0" w:color="auto"/>
              </w:divBdr>
              <w:divsChild>
                <w:div w:id="1034967137">
                  <w:marLeft w:val="0"/>
                  <w:marRight w:val="0"/>
                  <w:marTop w:val="0"/>
                  <w:marBottom w:val="0"/>
                  <w:divBdr>
                    <w:top w:val="none" w:sz="0" w:space="0" w:color="auto"/>
                    <w:left w:val="none" w:sz="0" w:space="0" w:color="auto"/>
                    <w:bottom w:val="none" w:sz="0" w:space="0" w:color="auto"/>
                    <w:right w:val="none" w:sz="0" w:space="0" w:color="auto"/>
                  </w:divBdr>
                </w:div>
              </w:divsChild>
            </w:div>
            <w:div w:id="1264410767">
              <w:marLeft w:val="0"/>
              <w:marRight w:val="0"/>
              <w:marTop w:val="0"/>
              <w:marBottom w:val="0"/>
              <w:divBdr>
                <w:top w:val="none" w:sz="0" w:space="0" w:color="auto"/>
                <w:left w:val="none" w:sz="0" w:space="0" w:color="auto"/>
                <w:bottom w:val="none" w:sz="0" w:space="0" w:color="auto"/>
                <w:right w:val="none" w:sz="0" w:space="0" w:color="auto"/>
              </w:divBdr>
              <w:divsChild>
                <w:div w:id="135682817">
                  <w:marLeft w:val="0"/>
                  <w:marRight w:val="0"/>
                  <w:marTop w:val="0"/>
                  <w:marBottom w:val="0"/>
                  <w:divBdr>
                    <w:top w:val="none" w:sz="0" w:space="0" w:color="auto"/>
                    <w:left w:val="none" w:sz="0" w:space="0" w:color="auto"/>
                    <w:bottom w:val="none" w:sz="0" w:space="0" w:color="auto"/>
                    <w:right w:val="none" w:sz="0" w:space="0" w:color="auto"/>
                  </w:divBdr>
                </w:div>
              </w:divsChild>
            </w:div>
            <w:div w:id="999574848">
              <w:marLeft w:val="0"/>
              <w:marRight w:val="0"/>
              <w:marTop w:val="0"/>
              <w:marBottom w:val="0"/>
              <w:divBdr>
                <w:top w:val="none" w:sz="0" w:space="0" w:color="auto"/>
                <w:left w:val="none" w:sz="0" w:space="0" w:color="auto"/>
                <w:bottom w:val="none" w:sz="0" w:space="0" w:color="auto"/>
                <w:right w:val="none" w:sz="0" w:space="0" w:color="auto"/>
              </w:divBdr>
              <w:divsChild>
                <w:div w:id="50083942">
                  <w:marLeft w:val="0"/>
                  <w:marRight w:val="0"/>
                  <w:marTop w:val="0"/>
                  <w:marBottom w:val="0"/>
                  <w:divBdr>
                    <w:top w:val="none" w:sz="0" w:space="0" w:color="auto"/>
                    <w:left w:val="none" w:sz="0" w:space="0" w:color="auto"/>
                    <w:bottom w:val="none" w:sz="0" w:space="0" w:color="auto"/>
                    <w:right w:val="none" w:sz="0" w:space="0" w:color="auto"/>
                  </w:divBdr>
                </w:div>
              </w:divsChild>
            </w:div>
            <w:div w:id="144206721">
              <w:marLeft w:val="0"/>
              <w:marRight w:val="0"/>
              <w:marTop w:val="0"/>
              <w:marBottom w:val="0"/>
              <w:divBdr>
                <w:top w:val="none" w:sz="0" w:space="0" w:color="auto"/>
                <w:left w:val="none" w:sz="0" w:space="0" w:color="auto"/>
                <w:bottom w:val="none" w:sz="0" w:space="0" w:color="auto"/>
                <w:right w:val="none" w:sz="0" w:space="0" w:color="auto"/>
              </w:divBdr>
              <w:divsChild>
                <w:div w:id="483737588">
                  <w:marLeft w:val="0"/>
                  <w:marRight w:val="0"/>
                  <w:marTop w:val="0"/>
                  <w:marBottom w:val="0"/>
                  <w:divBdr>
                    <w:top w:val="none" w:sz="0" w:space="0" w:color="auto"/>
                    <w:left w:val="none" w:sz="0" w:space="0" w:color="auto"/>
                    <w:bottom w:val="none" w:sz="0" w:space="0" w:color="auto"/>
                    <w:right w:val="none" w:sz="0" w:space="0" w:color="auto"/>
                  </w:divBdr>
                </w:div>
              </w:divsChild>
            </w:div>
            <w:div w:id="552546676">
              <w:marLeft w:val="0"/>
              <w:marRight w:val="0"/>
              <w:marTop w:val="0"/>
              <w:marBottom w:val="0"/>
              <w:divBdr>
                <w:top w:val="none" w:sz="0" w:space="0" w:color="auto"/>
                <w:left w:val="none" w:sz="0" w:space="0" w:color="auto"/>
                <w:bottom w:val="none" w:sz="0" w:space="0" w:color="auto"/>
                <w:right w:val="none" w:sz="0" w:space="0" w:color="auto"/>
              </w:divBdr>
              <w:divsChild>
                <w:div w:id="1257208304">
                  <w:marLeft w:val="0"/>
                  <w:marRight w:val="0"/>
                  <w:marTop w:val="0"/>
                  <w:marBottom w:val="0"/>
                  <w:divBdr>
                    <w:top w:val="none" w:sz="0" w:space="0" w:color="auto"/>
                    <w:left w:val="none" w:sz="0" w:space="0" w:color="auto"/>
                    <w:bottom w:val="none" w:sz="0" w:space="0" w:color="auto"/>
                    <w:right w:val="none" w:sz="0" w:space="0" w:color="auto"/>
                  </w:divBdr>
                </w:div>
              </w:divsChild>
            </w:div>
            <w:div w:id="2059552521">
              <w:marLeft w:val="0"/>
              <w:marRight w:val="0"/>
              <w:marTop w:val="0"/>
              <w:marBottom w:val="0"/>
              <w:divBdr>
                <w:top w:val="none" w:sz="0" w:space="0" w:color="auto"/>
                <w:left w:val="none" w:sz="0" w:space="0" w:color="auto"/>
                <w:bottom w:val="none" w:sz="0" w:space="0" w:color="auto"/>
                <w:right w:val="none" w:sz="0" w:space="0" w:color="auto"/>
              </w:divBdr>
              <w:divsChild>
                <w:div w:id="10516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8560">
          <w:marLeft w:val="0"/>
          <w:marRight w:val="0"/>
          <w:marTop w:val="0"/>
          <w:marBottom w:val="600"/>
          <w:divBdr>
            <w:top w:val="none" w:sz="0" w:space="0" w:color="auto"/>
            <w:left w:val="none" w:sz="0" w:space="0" w:color="auto"/>
            <w:bottom w:val="none" w:sz="0" w:space="0" w:color="auto"/>
            <w:right w:val="none" w:sz="0" w:space="0" w:color="auto"/>
          </w:divBdr>
        </w:div>
      </w:divsChild>
    </w:div>
    <w:div w:id="1476142647">
      <w:marLeft w:val="0"/>
      <w:marRight w:val="0"/>
      <w:marTop w:val="0"/>
      <w:marBottom w:val="0"/>
      <w:divBdr>
        <w:top w:val="none" w:sz="0" w:space="0" w:color="auto"/>
        <w:left w:val="none" w:sz="0" w:space="0" w:color="auto"/>
        <w:bottom w:val="none" w:sz="0" w:space="0" w:color="auto"/>
        <w:right w:val="none" w:sz="0" w:space="0" w:color="auto"/>
      </w:divBdr>
      <w:divsChild>
        <w:div w:id="316961453">
          <w:marLeft w:val="0"/>
          <w:marRight w:val="0"/>
          <w:marTop w:val="547"/>
          <w:marBottom w:val="0"/>
          <w:divBdr>
            <w:top w:val="none" w:sz="0" w:space="0" w:color="auto"/>
            <w:left w:val="none" w:sz="0" w:space="0" w:color="auto"/>
            <w:bottom w:val="none" w:sz="0" w:space="0" w:color="auto"/>
            <w:right w:val="none" w:sz="0" w:space="0" w:color="auto"/>
          </w:divBdr>
        </w:div>
        <w:div w:id="1699160583">
          <w:marLeft w:val="0"/>
          <w:marRight w:val="0"/>
          <w:marTop w:val="0"/>
          <w:marBottom w:val="0"/>
          <w:divBdr>
            <w:top w:val="none" w:sz="0" w:space="0" w:color="auto"/>
            <w:left w:val="none" w:sz="0" w:space="0" w:color="auto"/>
            <w:bottom w:val="none" w:sz="0" w:space="0" w:color="auto"/>
            <w:right w:val="none" w:sz="0" w:space="0" w:color="auto"/>
          </w:divBdr>
        </w:div>
        <w:div w:id="77021888">
          <w:marLeft w:val="0"/>
          <w:marRight w:val="0"/>
          <w:marTop w:val="0"/>
          <w:marBottom w:val="600"/>
          <w:divBdr>
            <w:top w:val="none" w:sz="0" w:space="0" w:color="auto"/>
            <w:left w:val="none" w:sz="0" w:space="0" w:color="auto"/>
            <w:bottom w:val="none" w:sz="0" w:space="0" w:color="auto"/>
            <w:right w:val="none" w:sz="0" w:space="0" w:color="auto"/>
          </w:divBdr>
        </w:div>
      </w:divsChild>
    </w:div>
    <w:div w:id="1511141352">
      <w:marLeft w:val="0"/>
      <w:marRight w:val="0"/>
      <w:marTop w:val="0"/>
      <w:marBottom w:val="0"/>
      <w:divBdr>
        <w:top w:val="none" w:sz="0" w:space="0" w:color="auto"/>
        <w:left w:val="none" w:sz="0" w:space="0" w:color="auto"/>
        <w:bottom w:val="none" w:sz="0" w:space="0" w:color="auto"/>
        <w:right w:val="none" w:sz="0" w:space="0" w:color="auto"/>
      </w:divBdr>
      <w:divsChild>
        <w:div w:id="24063572">
          <w:marLeft w:val="0"/>
          <w:marRight w:val="0"/>
          <w:marTop w:val="547"/>
          <w:marBottom w:val="0"/>
          <w:divBdr>
            <w:top w:val="none" w:sz="0" w:space="0" w:color="auto"/>
            <w:left w:val="none" w:sz="0" w:space="0" w:color="auto"/>
            <w:bottom w:val="none" w:sz="0" w:space="0" w:color="auto"/>
            <w:right w:val="none" w:sz="0" w:space="0" w:color="auto"/>
          </w:divBdr>
        </w:div>
        <w:div w:id="1206720862">
          <w:marLeft w:val="0"/>
          <w:marRight w:val="0"/>
          <w:marTop w:val="0"/>
          <w:marBottom w:val="0"/>
          <w:divBdr>
            <w:top w:val="none" w:sz="0" w:space="0" w:color="auto"/>
            <w:left w:val="none" w:sz="0" w:space="0" w:color="auto"/>
            <w:bottom w:val="none" w:sz="0" w:space="0" w:color="auto"/>
            <w:right w:val="none" w:sz="0" w:space="0" w:color="auto"/>
          </w:divBdr>
        </w:div>
        <w:div w:id="1211695160">
          <w:marLeft w:val="0"/>
          <w:marRight w:val="0"/>
          <w:marTop w:val="0"/>
          <w:marBottom w:val="600"/>
          <w:divBdr>
            <w:top w:val="none" w:sz="0" w:space="0" w:color="auto"/>
            <w:left w:val="none" w:sz="0" w:space="0" w:color="auto"/>
            <w:bottom w:val="none" w:sz="0" w:space="0" w:color="auto"/>
            <w:right w:val="none" w:sz="0" w:space="0" w:color="auto"/>
          </w:divBdr>
        </w:div>
      </w:divsChild>
    </w:div>
    <w:div w:id="1533880557">
      <w:marLeft w:val="0"/>
      <w:marRight w:val="0"/>
      <w:marTop w:val="0"/>
      <w:marBottom w:val="0"/>
      <w:divBdr>
        <w:top w:val="none" w:sz="0" w:space="0" w:color="auto"/>
        <w:left w:val="none" w:sz="0" w:space="0" w:color="auto"/>
        <w:bottom w:val="none" w:sz="0" w:space="0" w:color="auto"/>
        <w:right w:val="none" w:sz="0" w:space="0" w:color="auto"/>
      </w:divBdr>
      <w:divsChild>
        <w:div w:id="1713919593">
          <w:marLeft w:val="0"/>
          <w:marRight w:val="0"/>
          <w:marTop w:val="547"/>
          <w:marBottom w:val="0"/>
          <w:divBdr>
            <w:top w:val="none" w:sz="0" w:space="0" w:color="auto"/>
            <w:left w:val="none" w:sz="0" w:space="0" w:color="auto"/>
            <w:bottom w:val="none" w:sz="0" w:space="0" w:color="auto"/>
            <w:right w:val="none" w:sz="0" w:space="0" w:color="auto"/>
          </w:divBdr>
        </w:div>
        <w:div w:id="308022163">
          <w:marLeft w:val="0"/>
          <w:marRight w:val="0"/>
          <w:marTop w:val="0"/>
          <w:marBottom w:val="0"/>
          <w:divBdr>
            <w:top w:val="none" w:sz="0" w:space="0" w:color="auto"/>
            <w:left w:val="none" w:sz="0" w:space="0" w:color="auto"/>
            <w:bottom w:val="none" w:sz="0" w:space="0" w:color="auto"/>
            <w:right w:val="none" w:sz="0" w:space="0" w:color="auto"/>
          </w:divBdr>
        </w:div>
        <w:div w:id="79371825">
          <w:marLeft w:val="0"/>
          <w:marRight w:val="0"/>
          <w:marTop w:val="0"/>
          <w:marBottom w:val="600"/>
          <w:divBdr>
            <w:top w:val="none" w:sz="0" w:space="0" w:color="auto"/>
            <w:left w:val="none" w:sz="0" w:space="0" w:color="auto"/>
            <w:bottom w:val="none" w:sz="0" w:space="0" w:color="auto"/>
            <w:right w:val="none" w:sz="0" w:space="0" w:color="auto"/>
          </w:divBdr>
        </w:div>
      </w:divsChild>
    </w:div>
    <w:div w:id="1586262199">
      <w:marLeft w:val="0"/>
      <w:marRight w:val="0"/>
      <w:marTop w:val="0"/>
      <w:marBottom w:val="0"/>
      <w:divBdr>
        <w:top w:val="none" w:sz="0" w:space="0" w:color="auto"/>
        <w:left w:val="none" w:sz="0" w:space="0" w:color="auto"/>
        <w:bottom w:val="none" w:sz="0" w:space="0" w:color="auto"/>
        <w:right w:val="none" w:sz="0" w:space="0" w:color="auto"/>
      </w:divBdr>
      <w:divsChild>
        <w:div w:id="2133161124">
          <w:marLeft w:val="0"/>
          <w:marRight w:val="0"/>
          <w:marTop w:val="547"/>
          <w:marBottom w:val="0"/>
          <w:divBdr>
            <w:top w:val="none" w:sz="0" w:space="0" w:color="auto"/>
            <w:left w:val="none" w:sz="0" w:space="0" w:color="auto"/>
            <w:bottom w:val="none" w:sz="0" w:space="0" w:color="auto"/>
            <w:right w:val="none" w:sz="0" w:space="0" w:color="auto"/>
          </w:divBdr>
        </w:div>
        <w:div w:id="754715842">
          <w:marLeft w:val="0"/>
          <w:marRight w:val="0"/>
          <w:marTop w:val="0"/>
          <w:marBottom w:val="0"/>
          <w:divBdr>
            <w:top w:val="none" w:sz="0" w:space="0" w:color="auto"/>
            <w:left w:val="none" w:sz="0" w:space="0" w:color="auto"/>
            <w:bottom w:val="none" w:sz="0" w:space="0" w:color="auto"/>
            <w:right w:val="none" w:sz="0" w:space="0" w:color="auto"/>
          </w:divBdr>
        </w:div>
        <w:div w:id="1959219515">
          <w:marLeft w:val="0"/>
          <w:marRight w:val="0"/>
          <w:marTop w:val="0"/>
          <w:marBottom w:val="600"/>
          <w:divBdr>
            <w:top w:val="none" w:sz="0" w:space="0" w:color="auto"/>
            <w:left w:val="none" w:sz="0" w:space="0" w:color="auto"/>
            <w:bottom w:val="none" w:sz="0" w:space="0" w:color="auto"/>
            <w:right w:val="none" w:sz="0" w:space="0" w:color="auto"/>
          </w:divBdr>
        </w:div>
      </w:divsChild>
    </w:div>
    <w:div w:id="1595087431">
      <w:marLeft w:val="0"/>
      <w:marRight w:val="0"/>
      <w:marTop w:val="0"/>
      <w:marBottom w:val="0"/>
      <w:divBdr>
        <w:top w:val="none" w:sz="0" w:space="0" w:color="auto"/>
        <w:left w:val="none" w:sz="0" w:space="0" w:color="auto"/>
        <w:bottom w:val="none" w:sz="0" w:space="0" w:color="auto"/>
        <w:right w:val="none" w:sz="0" w:space="0" w:color="auto"/>
      </w:divBdr>
      <w:divsChild>
        <w:div w:id="916207472">
          <w:marLeft w:val="0"/>
          <w:marRight w:val="0"/>
          <w:marTop w:val="547"/>
          <w:marBottom w:val="0"/>
          <w:divBdr>
            <w:top w:val="none" w:sz="0" w:space="0" w:color="auto"/>
            <w:left w:val="none" w:sz="0" w:space="0" w:color="auto"/>
            <w:bottom w:val="none" w:sz="0" w:space="0" w:color="auto"/>
            <w:right w:val="none" w:sz="0" w:space="0" w:color="auto"/>
          </w:divBdr>
        </w:div>
        <w:div w:id="700401133">
          <w:marLeft w:val="0"/>
          <w:marRight w:val="0"/>
          <w:marTop w:val="0"/>
          <w:marBottom w:val="0"/>
          <w:divBdr>
            <w:top w:val="none" w:sz="0" w:space="0" w:color="auto"/>
            <w:left w:val="none" w:sz="0" w:space="0" w:color="auto"/>
            <w:bottom w:val="none" w:sz="0" w:space="0" w:color="auto"/>
            <w:right w:val="none" w:sz="0" w:space="0" w:color="auto"/>
          </w:divBdr>
        </w:div>
        <w:div w:id="784466670">
          <w:marLeft w:val="0"/>
          <w:marRight w:val="0"/>
          <w:marTop w:val="0"/>
          <w:marBottom w:val="600"/>
          <w:divBdr>
            <w:top w:val="none" w:sz="0" w:space="0" w:color="auto"/>
            <w:left w:val="none" w:sz="0" w:space="0" w:color="auto"/>
            <w:bottom w:val="none" w:sz="0" w:space="0" w:color="auto"/>
            <w:right w:val="none" w:sz="0" w:space="0" w:color="auto"/>
          </w:divBdr>
        </w:div>
      </w:divsChild>
    </w:div>
    <w:div w:id="1626308189">
      <w:marLeft w:val="0"/>
      <w:marRight w:val="0"/>
      <w:marTop w:val="0"/>
      <w:marBottom w:val="0"/>
      <w:divBdr>
        <w:top w:val="none" w:sz="0" w:space="0" w:color="auto"/>
        <w:left w:val="none" w:sz="0" w:space="0" w:color="auto"/>
        <w:bottom w:val="none" w:sz="0" w:space="0" w:color="auto"/>
        <w:right w:val="none" w:sz="0" w:space="0" w:color="auto"/>
      </w:divBdr>
      <w:divsChild>
        <w:div w:id="1556699408">
          <w:marLeft w:val="0"/>
          <w:marRight w:val="0"/>
          <w:marTop w:val="547"/>
          <w:marBottom w:val="0"/>
          <w:divBdr>
            <w:top w:val="none" w:sz="0" w:space="0" w:color="auto"/>
            <w:left w:val="none" w:sz="0" w:space="0" w:color="auto"/>
            <w:bottom w:val="none" w:sz="0" w:space="0" w:color="auto"/>
            <w:right w:val="none" w:sz="0" w:space="0" w:color="auto"/>
          </w:divBdr>
        </w:div>
        <w:div w:id="1565524750">
          <w:marLeft w:val="0"/>
          <w:marRight w:val="0"/>
          <w:marTop w:val="0"/>
          <w:marBottom w:val="0"/>
          <w:divBdr>
            <w:top w:val="none" w:sz="0" w:space="0" w:color="auto"/>
            <w:left w:val="none" w:sz="0" w:space="0" w:color="auto"/>
            <w:bottom w:val="none" w:sz="0" w:space="0" w:color="auto"/>
            <w:right w:val="none" w:sz="0" w:space="0" w:color="auto"/>
          </w:divBdr>
        </w:div>
        <w:div w:id="1252662186">
          <w:marLeft w:val="0"/>
          <w:marRight w:val="0"/>
          <w:marTop w:val="0"/>
          <w:marBottom w:val="600"/>
          <w:divBdr>
            <w:top w:val="none" w:sz="0" w:space="0" w:color="auto"/>
            <w:left w:val="none" w:sz="0" w:space="0" w:color="auto"/>
            <w:bottom w:val="none" w:sz="0" w:space="0" w:color="auto"/>
            <w:right w:val="none" w:sz="0" w:space="0" w:color="auto"/>
          </w:divBdr>
        </w:div>
      </w:divsChild>
    </w:div>
    <w:div w:id="1645698550">
      <w:marLeft w:val="0"/>
      <w:marRight w:val="0"/>
      <w:marTop w:val="0"/>
      <w:marBottom w:val="0"/>
      <w:divBdr>
        <w:top w:val="none" w:sz="0" w:space="0" w:color="auto"/>
        <w:left w:val="none" w:sz="0" w:space="0" w:color="auto"/>
        <w:bottom w:val="none" w:sz="0" w:space="0" w:color="auto"/>
        <w:right w:val="none" w:sz="0" w:space="0" w:color="auto"/>
      </w:divBdr>
      <w:divsChild>
        <w:div w:id="530070661">
          <w:marLeft w:val="0"/>
          <w:marRight w:val="0"/>
          <w:marTop w:val="547"/>
          <w:marBottom w:val="0"/>
          <w:divBdr>
            <w:top w:val="none" w:sz="0" w:space="0" w:color="auto"/>
            <w:left w:val="none" w:sz="0" w:space="0" w:color="auto"/>
            <w:bottom w:val="none" w:sz="0" w:space="0" w:color="auto"/>
            <w:right w:val="none" w:sz="0" w:space="0" w:color="auto"/>
          </w:divBdr>
        </w:div>
        <w:div w:id="1755976402">
          <w:marLeft w:val="0"/>
          <w:marRight w:val="0"/>
          <w:marTop w:val="0"/>
          <w:marBottom w:val="0"/>
          <w:divBdr>
            <w:top w:val="none" w:sz="0" w:space="0" w:color="auto"/>
            <w:left w:val="none" w:sz="0" w:space="0" w:color="auto"/>
            <w:bottom w:val="none" w:sz="0" w:space="0" w:color="auto"/>
            <w:right w:val="none" w:sz="0" w:space="0" w:color="auto"/>
          </w:divBdr>
          <w:divsChild>
            <w:div w:id="1171724607">
              <w:marLeft w:val="0"/>
              <w:marRight w:val="0"/>
              <w:marTop w:val="0"/>
              <w:marBottom w:val="0"/>
              <w:divBdr>
                <w:top w:val="none" w:sz="0" w:space="0" w:color="auto"/>
                <w:left w:val="none" w:sz="0" w:space="0" w:color="auto"/>
                <w:bottom w:val="none" w:sz="0" w:space="0" w:color="auto"/>
                <w:right w:val="none" w:sz="0" w:space="0" w:color="auto"/>
              </w:divBdr>
              <w:divsChild>
                <w:div w:id="1272668659">
                  <w:marLeft w:val="0"/>
                  <w:marRight w:val="0"/>
                  <w:marTop w:val="0"/>
                  <w:marBottom w:val="0"/>
                  <w:divBdr>
                    <w:top w:val="none" w:sz="0" w:space="0" w:color="auto"/>
                    <w:left w:val="none" w:sz="0" w:space="0" w:color="auto"/>
                    <w:bottom w:val="none" w:sz="0" w:space="0" w:color="auto"/>
                    <w:right w:val="none" w:sz="0" w:space="0" w:color="auto"/>
                  </w:divBdr>
                </w:div>
              </w:divsChild>
            </w:div>
            <w:div w:id="109016616">
              <w:marLeft w:val="0"/>
              <w:marRight w:val="0"/>
              <w:marTop w:val="0"/>
              <w:marBottom w:val="0"/>
              <w:divBdr>
                <w:top w:val="none" w:sz="0" w:space="0" w:color="auto"/>
                <w:left w:val="none" w:sz="0" w:space="0" w:color="auto"/>
                <w:bottom w:val="none" w:sz="0" w:space="0" w:color="auto"/>
                <w:right w:val="none" w:sz="0" w:space="0" w:color="auto"/>
              </w:divBdr>
              <w:divsChild>
                <w:div w:id="185485814">
                  <w:marLeft w:val="0"/>
                  <w:marRight w:val="0"/>
                  <w:marTop w:val="0"/>
                  <w:marBottom w:val="0"/>
                  <w:divBdr>
                    <w:top w:val="none" w:sz="0" w:space="0" w:color="auto"/>
                    <w:left w:val="none" w:sz="0" w:space="0" w:color="auto"/>
                    <w:bottom w:val="none" w:sz="0" w:space="0" w:color="auto"/>
                    <w:right w:val="none" w:sz="0" w:space="0" w:color="auto"/>
                  </w:divBdr>
                </w:div>
              </w:divsChild>
            </w:div>
            <w:div w:id="1422608123">
              <w:marLeft w:val="0"/>
              <w:marRight w:val="0"/>
              <w:marTop w:val="0"/>
              <w:marBottom w:val="0"/>
              <w:divBdr>
                <w:top w:val="none" w:sz="0" w:space="0" w:color="auto"/>
                <w:left w:val="none" w:sz="0" w:space="0" w:color="auto"/>
                <w:bottom w:val="none" w:sz="0" w:space="0" w:color="auto"/>
                <w:right w:val="none" w:sz="0" w:space="0" w:color="auto"/>
              </w:divBdr>
              <w:divsChild>
                <w:div w:id="2077967831">
                  <w:marLeft w:val="0"/>
                  <w:marRight w:val="0"/>
                  <w:marTop w:val="0"/>
                  <w:marBottom w:val="0"/>
                  <w:divBdr>
                    <w:top w:val="none" w:sz="0" w:space="0" w:color="auto"/>
                    <w:left w:val="none" w:sz="0" w:space="0" w:color="auto"/>
                    <w:bottom w:val="none" w:sz="0" w:space="0" w:color="auto"/>
                    <w:right w:val="none" w:sz="0" w:space="0" w:color="auto"/>
                  </w:divBdr>
                </w:div>
              </w:divsChild>
            </w:div>
            <w:div w:id="762536902">
              <w:marLeft w:val="0"/>
              <w:marRight w:val="0"/>
              <w:marTop w:val="0"/>
              <w:marBottom w:val="0"/>
              <w:divBdr>
                <w:top w:val="none" w:sz="0" w:space="0" w:color="auto"/>
                <w:left w:val="none" w:sz="0" w:space="0" w:color="auto"/>
                <w:bottom w:val="none" w:sz="0" w:space="0" w:color="auto"/>
                <w:right w:val="none" w:sz="0" w:space="0" w:color="auto"/>
              </w:divBdr>
              <w:divsChild>
                <w:div w:id="477189013">
                  <w:marLeft w:val="0"/>
                  <w:marRight w:val="0"/>
                  <w:marTop w:val="0"/>
                  <w:marBottom w:val="0"/>
                  <w:divBdr>
                    <w:top w:val="none" w:sz="0" w:space="0" w:color="auto"/>
                    <w:left w:val="none" w:sz="0" w:space="0" w:color="auto"/>
                    <w:bottom w:val="none" w:sz="0" w:space="0" w:color="auto"/>
                    <w:right w:val="none" w:sz="0" w:space="0" w:color="auto"/>
                  </w:divBdr>
                </w:div>
              </w:divsChild>
            </w:div>
            <w:div w:id="169296115">
              <w:marLeft w:val="0"/>
              <w:marRight w:val="0"/>
              <w:marTop w:val="0"/>
              <w:marBottom w:val="0"/>
              <w:divBdr>
                <w:top w:val="none" w:sz="0" w:space="0" w:color="auto"/>
                <w:left w:val="none" w:sz="0" w:space="0" w:color="auto"/>
                <w:bottom w:val="none" w:sz="0" w:space="0" w:color="auto"/>
                <w:right w:val="none" w:sz="0" w:space="0" w:color="auto"/>
              </w:divBdr>
              <w:divsChild>
                <w:div w:id="1375541840">
                  <w:marLeft w:val="0"/>
                  <w:marRight w:val="0"/>
                  <w:marTop w:val="0"/>
                  <w:marBottom w:val="0"/>
                  <w:divBdr>
                    <w:top w:val="none" w:sz="0" w:space="0" w:color="auto"/>
                    <w:left w:val="none" w:sz="0" w:space="0" w:color="auto"/>
                    <w:bottom w:val="none" w:sz="0" w:space="0" w:color="auto"/>
                    <w:right w:val="none" w:sz="0" w:space="0" w:color="auto"/>
                  </w:divBdr>
                </w:div>
              </w:divsChild>
            </w:div>
            <w:div w:id="702050293">
              <w:marLeft w:val="0"/>
              <w:marRight w:val="0"/>
              <w:marTop w:val="0"/>
              <w:marBottom w:val="0"/>
              <w:divBdr>
                <w:top w:val="none" w:sz="0" w:space="0" w:color="auto"/>
                <w:left w:val="none" w:sz="0" w:space="0" w:color="auto"/>
                <w:bottom w:val="none" w:sz="0" w:space="0" w:color="auto"/>
                <w:right w:val="none" w:sz="0" w:space="0" w:color="auto"/>
              </w:divBdr>
              <w:divsChild>
                <w:div w:id="956910021">
                  <w:marLeft w:val="0"/>
                  <w:marRight w:val="0"/>
                  <w:marTop w:val="0"/>
                  <w:marBottom w:val="0"/>
                  <w:divBdr>
                    <w:top w:val="none" w:sz="0" w:space="0" w:color="auto"/>
                    <w:left w:val="none" w:sz="0" w:space="0" w:color="auto"/>
                    <w:bottom w:val="none" w:sz="0" w:space="0" w:color="auto"/>
                    <w:right w:val="none" w:sz="0" w:space="0" w:color="auto"/>
                  </w:divBdr>
                </w:div>
              </w:divsChild>
            </w:div>
            <w:div w:id="663750717">
              <w:marLeft w:val="0"/>
              <w:marRight w:val="0"/>
              <w:marTop w:val="0"/>
              <w:marBottom w:val="0"/>
              <w:divBdr>
                <w:top w:val="none" w:sz="0" w:space="0" w:color="auto"/>
                <w:left w:val="none" w:sz="0" w:space="0" w:color="auto"/>
                <w:bottom w:val="none" w:sz="0" w:space="0" w:color="auto"/>
                <w:right w:val="none" w:sz="0" w:space="0" w:color="auto"/>
              </w:divBdr>
              <w:divsChild>
                <w:div w:id="815608740">
                  <w:marLeft w:val="0"/>
                  <w:marRight w:val="0"/>
                  <w:marTop w:val="0"/>
                  <w:marBottom w:val="0"/>
                  <w:divBdr>
                    <w:top w:val="none" w:sz="0" w:space="0" w:color="auto"/>
                    <w:left w:val="none" w:sz="0" w:space="0" w:color="auto"/>
                    <w:bottom w:val="none" w:sz="0" w:space="0" w:color="auto"/>
                    <w:right w:val="none" w:sz="0" w:space="0" w:color="auto"/>
                  </w:divBdr>
                </w:div>
              </w:divsChild>
            </w:div>
            <w:div w:id="768888308">
              <w:marLeft w:val="0"/>
              <w:marRight w:val="0"/>
              <w:marTop w:val="0"/>
              <w:marBottom w:val="0"/>
              <w:divBdr>
                <w:top w:val="none" w:sz="0" w:space="0" w:color="auto"/>
                <w:left w:val="none" w:sz="0" w:space="0" w:color="auto"/>
                <w:bottom w:val="none" w:sz="0" w:space="0" w:color="auto"/>
                <w:right w:val="none" w:sz="0" w:space="0" w:color="auto"/>
              </w:divBdr>
              <w:divsChild>
                <w:div w:id="486020842">
                  <w:marLeft w:val="0"/>
                  <w:marRight w:val="0"/>
                  <w:marTop w:val="0"/>
                  <w:marBottom w:val="0"/>
                  <w:divBdr>
                    <w:top w:val="none" w:sz="0" w:space="0" w:color="auto"/>
                    <w:left w:val="none" w:sz="0" w:space="0" w:color="auto"/>
                    <w:bottom w:val="none" w:sz="0" w:space="0" w:color="auto"/>
                    <w:right w:val="none" w:sz="0" w:space="0" w:color="auto"/>
                  </w:divBdr>
                </w:div>
              </w:divsChild>
            </w:div>
            <w:div w:id="759715048">
              <w:marLeft w:val="0"/>
              <w:marRight w:val="0"/>
              <w:marTop w:val="0"/>
              <w:marBottom w:val="0"/>
              <w:divBdr>
                <w:top w:val="none" w:sz="0" w:space="0" w:color="auto"/>
                <w:left w:val="none" w:sz="0" w:space="0" w:color="auto"/>
                <w:bottom w:val="none" w:sz="0" w:space="0" w:color="auto"/>
                <w:right w:val="none" w:sz="0" w:space="0" w:color="auto"/>
              </w:divBdr>
              <w:divsChild>
                <w:div w:id="913248705">
                  <w:marLeft w:val="0"/>
                  <w:marRight w:val="0"/>
                  <w:marTop w:val="0"/>
                  <w:marBottom w:val="0"/>
                  <w:divBdr>
                    <w:top w:val="none" w:sz="0" w:space="0" w:color="auto"/>
                    <w:left w:val="none" w:sz="0" w:space="0" w:color="auto"/>
                    <w:bottom w:val="none" w:sz="0" w:space="0" w:color="auto"/>
                    <w:right w:val="none" w:sz="0" w:space="0" w:color="auto"/>
                  </w:divBdr>
                </w:div>
              </w:divsChild>
            </w:div>
            <w:div w:id="1290940066">
              <w:marLeft w:val="0"/>
              <w:marRight w:val="0"/>
              <w:marTop w:val="0"/>
              <w:marBottom w:val="0"/>
              <w:divBdr>
                <w:top w:val="none" w:sz="0" w:space="0" w:color="auto"/>
                <w:left w:val="none" w:sz="0" w:space="0" w:color="auto"/>
                <w:bottom w:val="none" w:sz="0" w:space="0" w:color="auto"/>
                <w:right w:val="none" w:sz="0" w:space="0" w:color="auto"/>
              </w:divBdr>
              <w:divsChild>
                <w:div w:id="1454328118">
                  <w:marLeft w:val="0"/>
                  <w:marRight w:val="0"/>
                  <w:marTop w:val="0"/>
                  <w:marBottom w:val="0"/>
                  <w:divBdr>
                    <w:top w:val="none" w:sz="0" w:space="0" w:color="auto"/>
                    <w:left w:val="none" w:sz="0" w:space="0" w:color="auto"/>
                    <w:bottom w:val="none" w:sz="0" w:space="0" w:color="auto"/>
                    <w:right w:val="none" w:sz="0" w:space="0" w:color="auto"/>
                  </w:divBdr>
                </w:div>
              </w:divsChild>
            </w:div>
            <w:div w:id="184025340">
              <w:marLeft w:val="0"/>
              <w:marRight w:val="0"/>
              <w:marTop w:val="0"/>
              <w:marBottom w:val="0"/>
              <w:divBdr>
                <w:top w:val="none" w:sz="0" w:space="0" w:color="auto"/>
                <w:left w:val="none" w:sz="0" w:space="0" w:color="auto"/>
                <w:bottom w:val="none" w:sz="0" w:space="0" w:color="auto"/>
                <w:right w:val="none" w:sz="0" w:space="0" w:color="auto"/>
              </w:divBdr>
              <w:divsChild>
                <w:div w:id="5083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2128">
          <w:marLeft w:val="0"/>
          <w:marRight w:val="0"/>
          <w:marTop w:val="0"/>
          <w:marBottom w:val="600"/>
          <w:divBdr>
            <w:top w:val="none" w:sz="0" w:space="0" w:color="auto"/>
            <w:left w:val="none" w:sz="0" w:space="0" w:color="auto"/>
            <w:bottom w:val="none" w:sz="0" w:space="0" w:color="auto"/>
            <w:right w:val="none" w:sz="0" w:space="0" w:color="auto"/>
          </w:divBdr>
        </w:div>
      </w:divsChild>
    </w:div>
    <w:div w:id="1736511646">
      <w:marLeft w:val="0"/>
      <w:marRight w:val="0"/>
      <w:marTop w:val="0"/>
      <w:marBottom w:val="0"/>
      <w:divBdr>
        <w:top w:val="none" w:sz="0" w:space="0" w:color="auto"/>
        <w:left w:val="none" w:sz="0" w:space="0" w:color="auto"/>
        <w:bottom w:val="none" w:sz="0" w:space="0" w:color="auto"/>
        <w:right w:val="none" w:sz="0" w:space="0" w:color="auto"/>
      </w:divBdr>
      <w:divsChild>
        <w:div w:id="398939286">
          <w:marLeft w:val="0"/>
          <w:marRight w:val="0"/>
          <w:marTop w:val="547"/>
          <w:marBottom w:val="0"/>
          <w:divBdr>
            <w:top w:val="none" w:sz="0" w:space="0" w:color="auto"/>
            <w:left w:val="none" w:sz="0" w:space="0" w:color="auto"/>
            <w:bottom w:val="none" w:sz="0" w:space="0" w:color="auto"/>
            <w:right w:val="none" w:sz="0" w:space="0" w:color="auto"/>
          </w:divBdr>
        </w:div>
        <w:div w:id="318731305">
          <w:marLeft w:val="0"/>
          <w:marRight w:val="0"/>
          <w:marTop w:val="0"/>
          <w:marBottom w:val="0"/>
          <w:divBdr>
            <w:top w:val="none" w:sz="0" w:space="0" w:color="auto"/>
            <w:left w:val="none" w:sz="0" w:space="0" w:color="auto"/>
            <w:bottom w:val="none" w:sz="0" w:space="0" w:color="auto"/>
            <w:right w:val="none" w:sz="0" w:space="0" w:color="auto"/>
          </w:divBdr>
        </w:div>
        <w:div w:id="111675131">
          <w:marLeft w:val="0"/>
          <w:marRight w:val="0"/>
          <w:marTop w:val="0"/>
          <w:marBottom w:val="600"/>
          <w:divBdr>
            <w:top w:val="none" w:sz="0" w:space="0" w:color="auto"/>
            <w:left w:val="none" w:sz="0" w:space="0" w:color="auto"/>
            <w:bottom w:val="none" w:sz="0" w:space="0" w:color="auto"/>
            <w:right w:val="none" w:sz="0" w:space="0" w:color="auto"/>
          </w:divBdr>
        </w:div>
      </w:divsChild>
    </w:div>
    <w:div w:id="1776435686">
      <w:marLeft w:val="0"/>
      <w:marRight w:val="0"/>
      <w:marTop w:val="0"/>
      <w:marBottom w:val="0"/>
      <w:divBdr>
        <w:top w:val="none" w:sz="0" w:space="0" w:color="auto"/>
        <w:left w:val="none" w:sz="0" w:space="0" w:color="auto"/>
        <w:bottom w:val="none" w:sz="0" w:space="0" w:color="auto"/>
        <w:right w:val="none" w:sz="0" w:space="0" w:color="auto"/>
      </w:divBdr>
      <w:divsChild>
        <w:div w:id="1633363313">
          <w:marLeft w:val="0"/>
          <w:marRight w:val="0"/>
          <w:marTop w:val="547"/>
          <w:marBottom w:val="0"/>
          <w:divBdr>
            <w:top w:val="none" w:sz="0" w:space="0" w:color="auto"/>
            <w:left w:val="none" w:sz="0" w:space="0" w:color="auto"/>
            <w:bottom w:val="none" w:sz="0" w:space="0" w:color="auto"/>
            <w:right w:val="none" w:sz="0" w:space="0" w:color="auto"/>
          </w:divBdr>
        </w:div>
        <w:div w:id="1643929338">
          <w:marLeft w:val="0"/>
          <w:marRight w:val="0"/>
          <w:marTop w:val="0"/>
          <w:marBottom w:val="0"/>
          <w:divBdr>
            <w:top w:val="none" w:sz="0" w:space="0" w:color="auto"/>
            <w:left w:val="none" w:sz="0" w:space="0" w:color="auto"/>
            <w:bottom w:val="none" w:sz="0" w:space="0" w:color="auto"/>
            <w:right w:val="none" w:sz="0" w:space="0" w:color="auto"/>
          </w:divBdr>
        </w:div>
        <w:div w:id="1247038395">
          <w:marLeft w:val="0"/>
          <w:marRight w:val="0"/>
          <w:marTop w:val="0"/>
          <w:marBottom w:val="600"/>
          <w:divBdr>
            <w:top w:val="none" w:sz="0" w:space="0" w:color="auto"/>
            <w:left w:val="none" w:sz="0" w:space="0" w:color="auto"/>
            <w:bottom w:val="none" w:sz="0" w:space="0" w:color="auto"/>
            <w:right w:val="none" w:sz="0" w:space="0" w:color="auto"/>
          </w:divBdr>
        </w:div>
      </w:divsChild>
    </w:div>
    <w:div w:id="1786197019">
      <w:marLeft w:val="0"/>
      <w:marRight w:val="0"/>
      <w:marTop w:val="0"/>
      <w:marBottom w:val="0"/>
      <w:divBdr>
        <w:top w:val="none" w:sz="0" w:space="0" w:color="auto"/>
        <w:left w:val="none" w:sz="0" w:space="0" w:color="auto"/>
        <w:bottom w:val="none" w:sz="0" w:space="0" w:color="auto"/>
        <w:right w:val="none" w:sz="0" w:space="0" w:color="auto"/>
      </w:divBdr>
    </w:div>
    <w:div w:id="1823306318">
      <w:marLeft w:val="0"/>
      <w:marRight w:val="0"/>
      <w:marTop w:val="0"/>
      <w:marBottom w:val="0"/>
      <w:divBdr>
        <w:top w:val="none" w:sz="0" w:space="0" w:color="auto"/>
        <w:left w:val="none" w:sz="0" w:space="0" w:color="auto"/>
        <w:bottom w:val="none" w:sz="0" w:space="0" w:color="auto"/>
        <w:right w:val="none" w:sz="0" w:space="0" w:color="auto"/>
      </w:divBdr>
      <w:divsChild>
        <w:div w:id="1177157969">
          <w:marLeft w:val="0"/>
          <w:marRight w:val="0"/>
          <w:marTop w:val="547"/>
          <w:marBottom w:val="0"/>
          <w:divBdr>
            <w:top w:val="none" w:sz="0" w:space="0" w:color="auto"/>
            <w:left w:val="none" w:sz="0" w:space="0" w:color="auto"/>
            <w:bottom w:val="none" w:sz="0" w:space="0" w:color="auto"/>
            <w:right w:val="none" w:sz="0" w:space="0" w:color="auto"/>
          </w:divBdr>
        </w:div>
        <w:div w:id="467822956">
          <w:marLeft w:val="0"/>
          <w:marRight w:val="0"/>
          <w:marTop w:val="0"/>
          <w:marBottom w:val="0"/>
          <w:divBdr>
            <w:top w:val="none" w:sz="0" w:space="0" w:color="auto"/>
            <w:left w:val="none" w:sz="0" w:space="0" w:color="auto"/>
            <w:bottom w:val="none" w:sz="0" w:space="0" w:color="auto"/>
            <w:right w:val="none" w:sz="0" w:space="0" w:color="auto"/>
          </w:divBdr>
        </w:div>
        <w:div w:id="1919056270">
          <w:marLeft w:val="0"/>
          <w:marRight w:val="0"/>
          <w:marTop w:val="0"/>
          <w:marBottom w:val="600"/>
          <w:divBdr>
            <w:top w:val="none" w:sz="0" w:space="0" w:color="auto"/>
            <w:left w:val="none" w:sz="0" w:space="0" w:color="auto"/>
            <w:bottom w:val="none" w:sz="0" w:space="0" w:color="auto"/>
            <w:right w:val="none" w:sz="0" w:space="0" w:color="auto"/>
          </w:divBdr>
        </w:div>
      </w:divsChild>
    </w:div>
    <w:div w:id="1881211978">
      <w:marLeft w:val="0"/>
      <w:marRight w:val="0"/>
      <w:marTop w:val="0"/>
      <w:marBottom w:val="0"/>
      <w:divBdr>
        <w:top w:val="none" w:sz="0" w:space="0" w:color="auto"/>
        <w:left w:val="none" w:sz="0" w:space="0" w:color="auto"/>
        <w:bottom w:val="none" w:sz="0" w:space="0" w:color="auto"/>
        <w:right w:val="none" w:sz="0" w:space="0" w:color="auto"/>
      </w:divBdr>
      <w:divsChild>
        <w:div w:id="1222445743">
          <w:marLeft w:val="0"/>
          <w:marRight w:val="0"/>
          <w:marTop w:val="547"/>
          <w:marBottom w:val="0"/>
          <w:divBdr>
            <w:top w:val="none" w:sz="0" w:space="0" w:color="auto"/>
            <w:left w:val="none" w:sz="0" w:space="0" w:color="auto"/>
            <w:bottom w:val="none" w:sz="0" w:space="0" w:color="auto"/>
            <w:right w:val="none" w:sz="0" w:space="0" w:color="auto"/>
          </w:divBdr>
        </w:div>
        <w:div w:id="1758211267">
          <w:marLeft w:val="0"/>
          <w:marRight w:val="0"/>
          <w:marTop w:val="0"/>
          <w:marBottom w:val="0"/>
          <w:divBdr>
            <w:top w:val="none" w:sz="0" w:space="0" w:color="auto"/>
            <w:left w:val="none" w:sz="0" w:space="0" w:color="auto"/>
            <w:bottom w:val="none" w:sz="0" w:space="0" w:color="auto"/>
            <w:right w:val="none" w:sz="0" w:space="0" w:color="auto"/>
          </w:divBdr>
        </w:div>
        <w:div w:id="1426997943">
          <w:marLeft w:val="0"/>
          <w:marRight w:val="0"/>
          <w:marTop w:val="0"/>
          <w:marBottom w:val="600"/>
          <w:divBdr>
            <w:top w:val="none" w:sz="0" w:space="0" w:color="auto"/>
            <w:left w:val="none" w:sz="0" w:space="0" w:color="auto"/>
            <w:bottom w:val="none" w:sz="0" w:space="0" w:color="auto"/>
            <w:right w:val="none" w:sz="0" w:space="0" w:color="auto"/>
          </w:divBdr>
        </w:div>
      </w:divsChild>
    </w:div>
    <w:div w:id="1888369376">
      <w:marLeft w:val="0"/>
      <w:marRight w:val="0"/>
      <w:marTop w:val="0"/>
      <w:marBottom w:val="0"/>
      <w:divBdr>
        <w:top w:val="none" w:sz="0" w:space="0" w:color="auto"/>
        <w:left w:val="none" w:sz="0" w:space="0" w:color="auto"/>
        <w:bottom w:val="none" w:sz="0" w:space="0" w:color="auto"/>
        <w:right w:val="none" w:sz="0" w:space="0" w:color="auto"/>
      </w:divBdr>
      <w:divsChild>
        <w:div w:id="1715083361">
          <w:marLeft w:val="0"/>
          <w:marRight w:val="0"/>
          <w:marTop w:val="547"/>
          <w:marBottom w:val="0"/>
          <w:divBdr>
            <w:top w:val="none" w:sz="0" w:space="0" w:color="auto"/>
            <w:left w:val="none" w:sz="0" w:space="0" w:color="auto"/>
            <w:bottom w:val="none" w:sz="0" w:space="0" w:color="auto"/>
            <w:right w:val="none" w:sz="0" w:space="0" w:color="auto"/>
          </w:divBdr>
        </w:div>
        <w:div w:id="1076249874">
          <w:marLeft w:val="0"/>
          <w:marRight w:val="0"/>
          <w:marTop w:val="0"/>
          <w:marBottom w:val="0"/>
          <w:divBdr>
            <w:top w:val="none" w:sz="0" w:space="0" w:color="auto"/>
            <w:left w:val="none" w:sz="0" w:space="0" w:color="auto"/>
            <w:bottom w:val="none" w:sz="0" w:space="0" w:color="auto"/>
            <w:right w:val="none" w:sz="0" w:space="0" w:color="auto"/>
          </w:divBdr>
        </w:div>
        <w:div w:id="1766419787">
          <w:marLeft w:val="0"/>
          <w:marRight w:val="0"/>
          <w:marTop w:val="0"/>
          <w:marBottom w:val="600"/>
          <w:divBdr>
            <w:top w:val="none" w:sz="0" w:space="0" w:color="auto"/>
            <w:left w:val="none" w:sz="0" w:space="0" w:color="auto"/>
            <w:bottom w:val="none" w:sz="0" w:space="0" w:color="auto"/>
            <w:right w:val="none" w:sz="0" w:space="0" w:color="auto"/>
          </w:divBdr>
        </w:div>
      </w:divsChild>
    </w:div>
    <w:div w:id="1890607813">
      <w:marLeft w:val="0"/>
      <w:marRight w:val="0"/>
      <w:marTop w:val="0"/>
      <w:marBottom w:val="0"/>
      <w:divBdr>
        <w:top w:val="none" w:sz="0" w:space="0" w:color="auto"/>
        <w:left w:val="none" w:sz="0" w:space="0" w:color="auto"/>
        <w:bottom w:val="none" w:sz="0" w:space="0" w:color="auto"/>
        <w:right w:val="none" w:sz="0" w:space="0" w:color="auto"/>
      </w:divBdr>
      <w:divsChild>
        <w:div w:id="714475580">
          <w:marLeft w:val="0"/>
          <w:marRight w:val="0"/>
          <w:marTop w:val="547"/>
          <w:marBottom w:val="0"/>
          <w:divBdr>
            <w:top w:val="none" w:sz="0" w:space="0" w:color="auto"/>
            <w:left w:val="none" w:sz="0" w:space="0" w:color="auto"/>
            <w:bottom w:val="none" w:sz="0" w:space="0" w:color="auto"/>
            <w:right w:val="none" w:sz="0" w:space="0" w:color="auto"/>
          </w:divBdr>
        </w:div>
        <w:div w:id="1711296745">
          <w:marLeft w:val="0"/>
          <w:marRight w:val="0"/>
          <w:marTop w:val="0"/>
          <w:marBottom w:val="0"/>
          <w:divBdr>
            <w:top w:val="none" w:sz="0" w:space="0" w:color="auto"/>
            <w:left w:val="none" w:sz="0" w:space="0" w:color="auto"/>
            <w:bottom w:val="none" w:sz="0" w:space="0" w:color="auto"/>
            <w:right w:val="none" w:sz="0" w:space="0" w:color="auto"/>
          </w:divBdr>
        </w:div>
        <w:div w:id="338436658">
          <w:marLeft w:val="0"/>
          <w:marRight w:val="0"/>
          <w:marTop w:val="0"/>
          <w:marBottom w:val="600"/>
          <w:divBdr>
            <w:top w:val="none" w:sz="0" w:space="0" w:color="auto"/>
            <w:left w:val="none" w:sz="0" w:space="0" w:color="auto"/>
            <w:bottom w:val="none" w:sz="0" w:space="0" w:color="auto"/>
            <w:right w:val="none" w:sz="0" w:space="0" w:color="auto"/>
          </w:divBdr>
        </w:div>
      </w:divsChild>
    </w:div>
    <w:div w:id="1913537110">
      <w:marLeft w:val="0"/>
      <w:marRight w:val="0"/>
      <w:marTop w:val="0"/>
      <w:marBottom w:val="0"/>
      <w:divBdr>
        <w:top w:val="none" w:sz="0" w:space="0" w:color="auto"/>
        <w:left w:val="none" w:sz="0" w:space="0" w:color="auto"/>
        <w:bottom w:val="none" w:sz="0" w:space="0" w:color="auto"/>
        <w:right w:val="none" w:sz="0" w:space="0" w:color="auto"/>
      </w:divBdr>
      <w:divsChild>
        <w:div w:id="1710228311">
          <w:marLeft w:val="0"/>
          <w:marRight w:val="0"/>
          <w:marTop w:val="547"/>
          <w:marBottom w:val="0"/>
          <w:divBdr>
            <w:top w:val="none" w:sz="0" w:space="0" w:color="auto"/>
            <w:left w:val="none" w:sz="0" w:space="0" w:color="auto"/>
            <w:bottom w:val="none" w:sz="0" w:space="0" w:color="auto"/>
            <w:right w:val="none" w:sz="0" w:space="0" w:color="auto"/>
          </w:divBdr>
        </w:div>
        <w:div w:id="768353284">
          <w:marLeft w:val="0"/>
          <w:marRight w:val="0"/>
          <w:marTop w:val="0"/>
          <w:marBottom w:val="0"/>
          <w:divBdr>
            <w:top w:val="none" w:sz="0" w:space="0" w:color="auto"/>
            <w:left w:val="none" w:sz="0" w:space="0" w:color="auto"/>
            <w:bottom w:val="none" w:sz="0" w:space="0" w:color="auto"/>
            <w:right w:val="none" w:sz="0" w:space="0" w:color="auto"/>
          </w:divBdr>
        </w:div>
        <w:div w:id="798764645">
          <w:marLeft w:val="0"/>
          <w:marRight w:val="0"/>
          <w:marTop w:val="0"/>
          <w:marBottom w:val="600"/>
          <w:divBdr>
            <w:top w:val="none" w:sz="0" w:space="0" w:color="auto"/>
            <w:left w:val="none" w:sz="0" w:space="0" w:color="auto"/>
            <w:bottom w:val="none" w:sz="0" w:space="0" w:color="auto"/>
            <w:right w:val="none" w:sz="0" w:space="0" w:color="auto"/>
          </w:divBdr>
        </w:div>
      </w:divsChild>
    </w:div>
    <w:div w:id="1940873398">
      <w:marLeft w:val="0"/>
      <w:marRight w:val="0"/>
      <w:marTop w:val="0"/>
      <w:marBottom w:val="0"/>
      <w:divBdr>
        <w:top w:val="none" w:sz="0" w:space="0" w:color="auto"/>
        <w:left w:val="none" w:sz="0" w:space="0" w:color="auto"/>
        <w:bottom w:val="none" w:sz="0" w:space="0" w:color="auto"/>
        <w:right w:val="none" w:sz="0" w:space="0" w:color="auto"/>
      </w:divBdr>
      <w:divsChild>
        <w:div w:id="1970746014">
          <w:marLeft w:val="0"/>
          <w:marRight w:val="0"/>
          <w:marTop w:val="144"/>
          <w:marBottom w:val="0"/>
          <w:divBdr>
            <w:top w:val="none" w:sz="0" w:space="0" w:color="auto"/>
            <w:left w:val="none" w:sz="0" w:space="0" w:color="auto"/>
            <w:bottom w:val="none" w:sz="0" w:space="0" w:color="auto"/>
            <w:right w:val="none" w:sz="0" w:space="0" w:color="auto"/>
          </w:divBdr>
        </w:div>
        <w:div w:id="1141465298">
          <w:marLeft w:val="0"/>
          <w:marRight w:val="0"/>
          <w:marTop w:val="0"/>
          <w:marBottom w:val="0"/>
          <w:divBdr>
            <w:top w:val="none" w:sz="0" w:space="0" w:color="auto"/>
            <w:left w:val="none" w:sz="0" w:space="0" w:color="auto"/>
            <w:bottom w:val="none" w:sz="0" w:space="0" w:color="auto"/>
            <w:right w:val="none" w:sz="0" w:space="0" w:color="auto"/>
          </w:divBdr>
          <w:divsChild>
            <w:div w:id="443840490">
              <w:marLeft w:val="0"/>
              <w:marRight w:val="0"/>
              <w:marTop w:val="0"/>
              <w:marBottom w:val="0"/>
              <w:divBdr>
                <w:top w:val="none" w:sz="0" w:space="0" w:color="auto"/>
                <w:left w:val="none" w:sz="0" w:space="0" w:color="auto"/>
                <w:bottom w:val="none" w:sz="0" w:space="0" w:color="auto"/>
                <w:right w:val="none" w:sz="0" w:space="0" w:color="auto"/>
              </w:divBdr>
              <w:divsChild>
                <w:div w:id="2066758047">
                  <w:marLeft w:val="0"/>
                  <w:marRight w:val="0"/>
                  <w:marTop w:val="0"/>
                  <w:marBottom w:val="0"/>
                  <w:divBdr>
                    <w:top w:val="none" w:sz="0" w:space="0" w:color="auto"/>
                    <w:left w:val="none" w:sz="0" w:space="0" w:color="auto"/>
                    <w:bottom w:val="none" w:sz="0" w:space="0" w:color="auto"/>
                    <w:right w:val="none" w:sz="0" w:space="0" w:color="auto"/>
                  </w:divBdr>
                </w:div>
              </w:divsChild>
            </w:div>
            <w:div w:id="1196190671">
              <w:marLeft w:val="0"/>
              <w:marRight w:val="0"/>
              <w:marTop w:val="0"/>
              <w:marBottom w:val="0"/>
              <w:divBdr>
                <w:top w:val="none" w:sz="0" w:space="0" w:color="auto"/>
                <w:left w:val="none" w:sz="0" w:space="0" w:color="auto"/>
                <w:bottom w:val="none" w:sz="0" w:space="0" w:color="auto"/>
                <w:right w:val="none" w:sz="0" w:space="0" w:color="auto"/>
              </w:divBdr>
              <w:divsChild>
                <w:div w:id="35324510">
                  <w:marLeft w:val="0"/>
                  <w:marRight w:val="0"/>
                  <w:marTop w:val="0"/>
                  <w:marBottom w:val="0"/>
                  <w:divBdr>
                    <w:top w:val="none" w:sz="0" w:space="0" w:color="auto"/>
                    <w:left w:val="none" w:sz="0" w:space="0" w:color="auto"/>
                    <w:bottom w:val="none" w:sz="0" w:space="0" w:color="auto"/>
                    <w:right w:val="none" w:sz="0" w:space="0" w:color="auto"/>
                  </w:divBdr>
                </w:div>
              </w:divsChild>
            </w:div>
            <w:div w:id="2020572800">
              <w:marLeft w:val="0"/>
              <w:marRight w:val="0"/>
              <w:marTop w:val="0"/>
              <w:marBottom w:val="0"/>
              <w:divBdr>
                <w:top w:val="none" w:sz="0" w:space="0" w:color="auto"/>
                <w:left w:val="none" w:sz="0" w:space="0" w:color="auto"/>
                <w:bottom w:val="none" w:sz="0" w:space="0" w:color="auto"/>
                <w:right w:val="none" w:sz="0" w:space="0" w:color="auto"/>
              </w:divBdr>
              <w:divsChild>
                <w:div w:id="414933756">
                  <w:marLeft w:val="0"/>
                  <w:marRight w:val="0"/>
                  <w:marTop w:val="0"/>
                  <w:marBottom w:val="0"/>
                  <w:divBdr>
                    <w:top w:val="none" w:sz="0" w:space="0" w:color="auto"/>
                    <w:left w:val="none" w:sz="0" w:space="0" w:color="auto"/>
                    <w:bottom w:val="none" w:sz="0" w:space="0" w:color="auto"/>
                    <w:right w:val="none" w:sz="0" w:space="0" w:color="auto"/>
                  </w:divBdr>
                </w:div>
              </w:divsChild>
            </w:div>
            <w:div w:id="2114132516">
              <w:marLeft w:val="0"/>
              <w:marRight w:val="0"/>
              <w:marTop w:val="0"/>
              <w:marBottom w:val="0"/>
              <w:divBdr>
                <w:top w:val="none" w:sz="0" w:space="0" w:color="auto"/>
                <w:left w:val="none" w:sz="0" w:space="0" w:color="auto"/>
                <w:bottom w:val="none" w:sz="0" w:space="0" w:color="auto"/>
                <w:right w:val="none" w:sz="0" w:space="0" w:color="auto"/>
              </w:divBdr>
              <w:divsChild>
                <w:div w:id="11088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3843">
      <w:marLeft w:val="0"/>
      <w:marRight w:val="0"/>
      <w:marTop w:val="0"/>
      <w:marBottom w:val="0"/>
      <w:divBdr>
        <w:top w:val="none" w:sz="0" w:space="0" w:color="auto"/>
        <w:left w:val="none" w:sz="0" w:space="0" w:color="auto"/>
        <w:bottom w:val="none" w:sz="0" w:space="0" w:color="auto"/>
        <w:right w:val="none" w:sz="0" w:space="0" w:color="auto"/>
      </w:divBdr>
      <w:divsChild>
        <w:div w:id="214438465">
          <w:marLeft w:val="0"/>
          <w:marRight w:val="0"/>
          <w:marTop w:val="547"/>
          <w:marBottom w:val="0"/>
          <w:divBdr>
            <w:top w:val="none" w:sz="0" w:space="0" w:color="auto"/>
            <w:left w:val="none" w:sz="0" w:space="0" w:color="auto"/>
            <w:bottom w:val="none" w:sz="0" w:space="0" w:color="auto"/>
            <w:right w:val="none" w:sz="0" w:space="0" w:color="auto"/>
          </w:divBdr>
        </w:div>
        <w:div w:id="1671642437">
          <w:marLeft w:val="0"/>
          <w:marRight w:val="0"/>
          <w:marTop w:val="0"/>
          <w:marBottom w:val="0"/>
          <w:divBdr>
            <w:top w:val="none" w:sz="0" w:space="0" w:color="auto"/>
            <w:left w:val="none" w:sz="0" w:space="0" w:color="auto"/>
            <w:bottom w:val="none" w:sz="0" w:space="0" w:color="auto"/>
            <w:right w:val="none" w:sz="0" w:space="0" w:color="auto"/>
          </w:divBdr>
        </w:div>
        <w:div w:id="728724865">
          <w:marLeft w:val="0"/>
          <w:marRight w:val="0"/>
          <w:marTop w:val="0"/>
          <w:marBottom w:val="600"/>
          <w:divBdr>
            <w:top w:val="none" w:sz="0" w:space="0" w:color="auto"/>
            <w:left w:val="none" w:sz="0" w:space="0" w:color="auto"/>
            <w:bottom w:val="none" w:sz="0" w:space="0" w:color="auto"/>
            <w:right w:val="none" w:sz="0" w:space="0" w:color="auto"/>
          </w:divBdr>
        </w:div>
      </w:divsChild>
    </w:div>
    <w:div w:id="1994143406">
      <w:marLeft w:val="0"/>
      <w:marRight w:val="0"/>
      <w:marTop w:val="0"/>
      <w:marBottom w:val="0"/>
      <w:divBdr>
        <w:top w:val="none" w:sz="0" w:space="0" w:color="auto"/>
        <w:left w:val="none" w:sz="0" w:space="0" w:color="auto"/>
        <w:bottom w:val="none" w:sz="0" w:space="0" w:color="auto"/>
        <w:right w:val="none" w:sz="0" w:space="0" w:color="auto"/>
      </w:divBdr>
      <w:divsChild>
        <w:div w:id="105081063">
          <w:marLeft w:val="0"/>
          <w:marRight w:val="0"/>
          <w:marTop w:val="547"/>
          <w:marBottom w:val="0"/>
          <w:divBdr>
            <w:top w:val="none" w:sz="0" w:space="0" w:color="auto"/>
            <w:left w:val="none" w:sz="0" w:space="0" w:color="auto"/>
            <w:bottom w:val="none" w:sz="0" w:space="0" w:color="auto"/>
            <w:right w:val="none" w:sz="0" w:space="0" w:color="auto"/>
          </w:divBdr>
        </w:div>
        <w:div w:id="7103840">
          <w:marLeft w:val="0"/>
          <w:marRight w:val="0"/>
          <w:marTop w:val="0"/>
          <w:marBottom w:val="0"/>
          <w:divBdr>
            <w:top w:val="none" w:sz="0" w:space="0" w:color="auto"/>
            <w:left w:val="none" w:sz="0" w:space="0" w:color="auto"/>
            <w:bottom w:val="none" w:sz="0" w:space="0" w:color="auto"/>
            <w:right w:val="none" w:sz="0" w:space="0" w:color="auto"/>
          </w:divBdr>
        </w:div>
        <w:div w:id="969632421">
          <w:marLeft w:val="0"/>
          <w:marRight w:val="0"/>
          <w:marTop w:val="0"/>
          <w:marBottom w:val="600"/>
          <w:divBdr>
            <w:top w:val="none" w:sz="0" w:space="0" w:color="auto"/>
            <w:left w:val="none" w:sz="0" w:space="0" w:color="auto"/>
            <w:bottom w:val="none" w:sz="0" w:space="0" w:color="auto"/>
            <w:right w:val="none" w:sz="0" w:space="0" w:color="auto"/>
          </w:divBdr>
        </w:div>
      </w:divsChild>
    </w:div>
    <w:div w:id="2007856069">
      <w:marLeft w:val="0"/>
      <w:marRight w:val="0"/>
      <w:marTop w:val="0"/>
      <w:marBottom w:val="0"/>
      <w:divBdr>
        <w:top w:val="none" w:sz="0" w:space="0" w:color="auto"/>
        <w:left w:val="none" w:sz="0" w:space="0" w:color="auto"/>
        <w:bottom w:val="none" w:sz="0" w:space="0" w:color="auto"/>
        <w:right w:val="none" w:sz="0" w:space="0" w:color="auto"/>
      </w:divBdr>
      <w:divsChild>
        <w:div w:id="2131894078">
          <w:marLeft w:val="0"/>
          <w:marRight w:val="0"/>
          <w:marTop w:val="547"/>
          <w:marBottom w:val="0"/>
          <w:divBdr>
            <w:top w:val="none" w:sz="0" w:space="0" w:color="auto"/>
            <w:left w:val="none" w:sz="0" w:space="0" w:color="auto"/>
            <w:bottom w:val="none" w:sz="0" w:space="0" w:color="auto"/>
            <w:right w:val="none" w:sz="0" w:space="0" w:color="auto"/>
          </w:divBdr>
        </w:div>
        <w:div w:id="1949894663">
          <w:marLeft w:val="0"/>
          <w:marRight w:val="0"/>
          <w:marTop w:val="0"/>
          <w:marBottom w:val="0"/>
          <w:divBdr>
            <w:top w:val="none" w:sz="0" w:space="0" w:color="auto"/>
            <w:left w:val="none" w:sz="0" w:space="0" w:color="auto"/>
            <w:bottom w:val="none" w:sz="0" w:space="0" w:color="auto"/>
            <w:right w:val="none" w:sz="0" w:space="0" w:color="auto"/>
          </w:divBdr>
          <w:divsChild>
            <w:div w:id="1450323095">
              <w:marLeft w:val="0"/>
              <w:marRight w:val="0"/>
              <w:marTop w:val="0"/>
              <w:marBottom w:val="0"/>
              <w:divBdr>
                <w:top w:val="none" w:sz="0" w:space="0" w:color="auto"/>
                <w:left w:val="none" w:sz="0" w:space="0" w:color="auto"/>
                <w:bottom w:val="none" w:sz="0" w:space="0" w:color="auto"/>
                <w:right w:val="none" w:sz="0" w:space="0" w:color="auto"/>
              </w:divBdr>
              <w:divsChild>
                <w:div w:id="268854675">
                  <w:marLeft w:val="0"/>
                  <w:marRight w:val="0"/>
                  <w:marTop w:val="0"/>
                  <w:marBottom w:val="0"/>
                  <w:divBdr>
                    <w:top w:val="none" w:sz="0" w:space="0" w:color="auto"/>
                    <w:left w:val="none" w:sz="0" w:space="0" w:color="auto"/>
                    <w:bottom w:val="none" w:sz="0" w:space="0" w:color="auto"/>
                    <w:right w:val="none" w:sz="0" w:space="0" w:color="auto"/>
                  </w:divBdr>
                </w:div>
              </w:divsChild>
            </w:div>
            <w:div w:id="1326787904">
              <w:marLeft w:val="0"/>
              <w:marRight w:val="0"/>
              <w:marTop w:val="0"/>
              <w:marBottom w:val="0"/>
              <w:divBdr>
                <w:top w:val="none" w:sz="0" w:space="0" w:color="auto"/>
                <w:left w:val="none" w:sz="0" w:space="0" w:color="auto"/>
                <w:bottom w:val="none" w:sz="0" w:space="0" w:color="auto"/>
                <w:right w:val="none" w:sz="0" w:space="0" w:color="auto"/>
              </w:divBdr>
              <w:divsChild>
                <w:div w:id="909198356">
                  <w:marLeft w:val="0"/>
                  <w:marRight w:val="0"/>
                  <w:marTop w:val="0"/>
                  <w:marBottom w:val="0"/>
                  <w:divBdr>
                    <w:top w:val="none" w:sz="0" w:space="0" w:color="auto"/>
                    <w:left w:val="none" w:sz="0" w:space="0" w:color="auto"/>
                    <w:bottom w:val="none" w:sz="0" w:space="0" w:color="auto"/>
                    <w:right w:val="none" w:sz="0" w:space="0" w:color="auto"/>
                  </w:divBdr>
                </w:div>
              </w:divsChild>
            </w:div>
            <w:div w:id="1439329180">
              <w:marLeft w:val="0"/>
              <w:marRight w:val="0"/>
              <w:marTop w:val="0"/>
              <w:marBottom w:val="0"/>
              <w:divBdr>
                <w:top w:val="none" w:sz="0" w:space="0" w:color="auto"/>
                <w:left w:val="none" w:sz="0" w:space="0" w:color="auto"/>
                <w:bottom w:val="none" w:sz="0" w:space="0" w:color="auto"/>
                <w:right w:val="none" w:sz="0" w:space="0" w:color="auto"/>
              </w:divBdr>
              <w:divsChild>
                <w:div w:id="2000883018">
                  <w:marLeft w:val="0"/>
                  <w:marRight w:val="0"/>
                  <w:marTop w:val="0"/>
                  <w:marBottom w:val="0"/>
                  <w:divBdr>
                    <w:top w:val="none" w:sz="0" w:space="0" w:color="auto"/>
                    <w:left w:val="none" w:sz="0" w:space="0" w:color="auto"/>
                    <w:bottom w:val="none" w:sz="0" w:space="0" w:color="auto"/>
                    <w:right w:val="none" w:sz="0" w:space="0" w:color="auto"/>
                  </w:divBdr>
                </w:div>
              </w:divsChild>
            </w:div>
            <w:div w:id="1659382513">
              <w:marLeft w:val="0"/>
              <w:marRight w:val="0"/>
              <w:marTop w:val="0"/>
              <w:marBottom w:val="0"/>
              <w:divBdr>
                <w:top w:val="none" w:sz="0" w:space="0" w:color="auto"/>
                <w:left w:val="none" w:sz="0" w:space="0" w:color="auto"/>
                <w:bottom w:val="none" w:sz="0" w:space="0" w:color="auto"/>
                <w:right w:val="none" w:sz="0" w:space="0" w:color="auto"/>
              </w:divBdr>
              <w:divsChild>
                <w:div w:id="1861779067">
                  <w:marLeft w:val="0"/>
                  <w:marRight w:val="0"/>
                  <w:marTop w:val="0"/>
                  <w:marBottom w:val="0"/>
                  <w:divBdr>
                    <w:top w:val="none" w:sz="0" w:space="0" w:color="auto"/>
                    <w:left w:val="none" w:sz="0" w:space="0" w:color="auto"/>
                    <w:bottom w:val="none" w:sz="0" w:space="0" w:color="auto"/>
                    <w:right w:val="none" w:sz="0" w:space="0" w:color="auto"/>
                  </w:divBdr>
                </w:div>
              </w:divsChild>
            </w:div>
            <w:div w:id="1792549996">
              <w:marLeft w:val="0"/>
              <w:marRight w:val="0"/>
              <w:marTop w:val="0"/>
              <w:marBottom w:val="0"/>
              <w:divBdr>
                <w:top w:val="none" w:sz="0" w:space="0" w:color="auto"/>
                <w:left w:val="none" w:sz="0" w:space="0" w:color="auto"/>
                <w:bottom w:val="none" w:sz="0" w:space="0" w:color="auto"/>
                <w:right w:val="none" w:sz="0" w:space="0" w:color="auto"/>
              </w:divBdr>
              <w:divsChild>
                <w:div w:id="2022201880">
                  <w:marLeft w:val="0"/>
                  <w:marRight w:val="0"/>
                  <w:marTop w:val="0"/>
                  <w:marBottom w:val="0"/>
                  <w:divBdr>
                    <w:top w:val="none" w:sz="0" w:space="0" w:color="auto"/>
                    <w:left w:val="none" w:sz="0" w:space="0" w:color="auto"/>
                    <w:bottom w:val="none" w:sz="0" w:space="0" w:color="auto"/>
                    <w:right w:val="none" w:sz="0" w:space="0" w:color="auto"/>
                  </w:divBdr>
                </w:div>
              </w:divsChild>
            </w:div>
            <w:div w:id="1656908492">
              <w:marLeft w:val="0"/>
              <w:marRight w:val="0"/>
              <w:marTop w:val="0"/>
              <w:marBottom w:val="0"/>
              <w:divBdr>
                <w:top w:val="none" w:sz="0" w:space="0" w:color="auto"/>
                <w:left w:val="none" w:sz="0" w:space="0" w:color="auto"/>
                <w:bottom w:val="none" w:sz="0" w:space="0" w:color="auto"/>
                <w:right w:val="none" w:sz="0" w:space="0" w:color="auto"/>
              </w:divBdr>
              <w:divsChild>
                <w:div w:id="1713535614">
                  <w:marLeft w:val="0"/>
                  <w:marRight w:val="0"/>
                  <w:marTop w:val="0"/>
                  <w:marBottom w:val="0"/>
                  <w:divBdr>
                    <w:top w:val="none" w:sz="0" w:space="0" w:color="auto"/>
                    <w:left w:val="none" w:sz="0" w:space="0" w:color="auto"/>
                    <w:bottom w:val="none" w:sz="0" w:space="0" w:color="auto"/>
                    <w:right w:val="none" w:sz="0" w:space="0" w:color="auto"/>
                  </w:divBdr>
                </w:div>
              </w:divsChild>
            </w:div>
            <w:div w:id="1725712530">
              <w:marLeft w:val="0"/>
              <w:marRight w:val="0"/>
              <w:marTop w:val="0"/>
              <w:marBottom w:val="0"/>
              <w:divBdr>
                <w:top w:val="none" w:sz="0" w:space="0" w:color="auto"/>
                <w:left w:val="none" w:sz="0" w:space="0" w:color="auto"/>
                <w:bottom w:val="none" w:sz="0" w:space="0" w:color="auto"/>
                <w:right w:val="none" w:sz="0" w:space="0" w:color="auto"/>
              </w:divBdr>
              <w:divsChild>
                <w:div w:id="805510482">
                  <w:marLeft w:val="0"/>
                  <w:marRight w:val="0"/>
                  <w:marTop w:val="0"/>
                  <w:marBottom w:val="0"/>
                  <w:divBdr>
                    <w:top w:val="none" w:sz="0" w:space="0" w:color="auto"/>
                    <w:left w:val="none" w:sz="0" w:space="0" w:color="auto"/>
                    <w:bottom w:val="none" w:sz="0" w:space="0" w:color="auto"/>
                    <w:right w:val="none" w:sz="0" w:space="0" w:color="auto"/>
                  </w:divBdr>
                </w:div>
              </w:divsChild>
            </w:div>
            <w:div w:id="1789854014">
              <w:marLeft w:val="0"/>
              <w:marRight w:val="0"/>
              <w:marTop w:val="0"/>
              <w:marBottom w:val="0"/>
              <w:divBdr>
                <w:top w:val="none" w:sz="0" w:space="0" w:color="auto"/>
                <w:left w:val="none" w:sz="0" w:space="0" w:color="auto"/>
                <w:bottom w:val="none" w:sz="0" w:space="0" w:color="auto"/>
                <w:right w:val="none" w:sz="0" w:space="0" w:color="auto"/>
              </w:divBdr>
              <w:divsChild>
                <w:div w:id="483199520">
                  <w:marLeft w:val="0"/>
                  <w:marRight w:val="0"/>
                  <w:marTop w:val="0"/>
                  <w:marBottom w:val="0"/>
                  <w:divBdr>
                    <w:top w:val="none" w:sz="0" w:space="0" w:color="auto"/>
                    <w:left w:val="none" w:sz="0" w:space="0" w:color="auto"/>
                    <w:bottom w:val="none" w:sz="0" w:space="0" w:color="auto"/>
                    <w:right w:val="none" w:sz="0" w:space="0" w:color="auto"/>
                  </w:divBdr>
                </w:div>
              </w:divsChild>
            </w:div>
            <w:div w:id="1197696510">
              <w:marLeft w:val="0"/>
              <w:marRight w:val="0"/>
              <w:marTop w:val="0"/>
              <w:marBottom w:val="0"/>
              <w:divBdr>
                <w:top w:val="none" w:sz="0" w:space="0" w:color="auto"/>
                <w:left w:val="none" w:sz="0" w:space="0" w:color="auto"/>
                <w:bottom w:val="none" w:sz="0" w:space="0" w:color="auto"/>
                <w:right w:val="none" w:sz="0" w:space="0" w:color="auto"/>
              </w:divBdr>
              <w:divsChild>
                <w:div w:id="481433720">
                  <w:marLeft w:val="0"/>
                  <w:marRight w:val="0"/>
                  <w:marTop w:val="0"/>
                  <w:marBottom w:val="0"/>
                  <w:divBdr>
                    <w:top w:val="none" w:sz="0" w:space="0" w:color="auto"/>
                    <w:left w:val="none" w:sz="0" w:space="0" w:color="auto"/>
                    <w:bottom w:val="none" w:sz="0" w:space="0" w:color="auto"/>
                    <w:right w:val="none" w:sz="0" w:space="0" w:color="auto"/>
                  </w:divBdr>
                </w:div>
              </w:divsChild>
            </w:div>
            <w:div w:id="1098212933">
              <w:marLeft w:val="0"/>
              <w:marRight w:val="0"/>
              <w:marTop w:val="0"/>
              <w:marBottom w:val="0"/>
              <w:divBdr>
                <w:top w:val="none" w:sz="0" w:space="0" w:color="auto"/>
                <w:left w:val="none" w:sz="0" w:space="0" w:color="auto"/>
                <w:bottom w:val="none" w:sz="0" w:space="0" w:color="auto"/>
                <w:right w:val="none" w:sz="0" w:space="0" w:color="auto"/>
              </w:divBdr>
              <w:divsChild>
                <w:div w:id="1909991805">
                  <w:marLeft w:val="0"/>
                  <w:marRight w:val="0"/>
                  <w:marTop w:val="0"/>
                  <w:marBottom w:val="0"/>
                  <w:divBdr>
                    <w:top w:val="none" w:sz="0" w:space="0" w:color="auto"/>
                    <w:left w:val="none" w:sz="0" w:space="0" w:color="auto"/>
                    <w:bottom w:val="none" w:sz="0" w:space="0" w:color="auto"/>
                    <w:right w:val="none" w:sz="0" w:space="0" w:color="auto"/>
                  </w:divBdr>
                </w:div>
              </w:divsChild>
            </w:div>
            <w:div w:id="1389264416">
              <w:marLeft w:val="0"/>
              <w:marRight w:val="0"/>
              <w:marTop w:val="0"/>
              <w:marBottom w:val="0"/>
              <w:divBdr>
                <w:top w:val="none" w:sz="0" w:space="0" w:color="auto"/>
                <w:left w:val="none" w:sz="0" w:space="0" w:color="auto"/>
                <w:bottom w:val="none" w:sz="0" w:space="0" w:color="auto"/>
                <w:right w:val="none" w:sz="0" w:space="0" w:color="auto"/>
              </w:divBdr>
              <w:divsChild>
                <w:div w:id="493107890">
                  <w:marLeft w:val="0"/>
                  <w:marRight w:val="0"/>
                  <w:marTop w:val="0"/>
                  <w:marBottom w:val="0"/>
                  <w:divBdr>
                    <w:top w:val="none" w:sz="0" w:space="0" w:color="auto"/>
                    <w:left w:val="none" w:sz="0" w:space="0" w:color="auto"/>
                    <w:bottom w:val="none" w:sz="0" w:space="0" w:color="auto"/>
                    <w:right w:val="none" w:sz="0" w:space="0" w:color="auto"/>
                  </w:divBdr>
                </w:div>
              </w:divsChild>
            </w:div>
            <w:div w:id="1753240392">
              <w:marLeft w:val="0"/>
              <w:marRight w:val="0"/>
              <w:marTop w:val="0"/>
              <w:marBottom w:val="0"/>
              <w:divBdr>
                <w:top w:val="none" w:sz="0" w:space="0" w:color="auto"/>
                <w:left w:val="none" w:sz="0" w:space="0" w:color="auto"/>
                <w:bottom w:val="none" w:sz="0" w:space="0" w:color="auto"/>
                <w:right w:val="none" w:sz="0" w:space="0" w:color="auto"/>
              </w:divBdr>
              <w:divsChild>
                <w:div w:id="767776286">
                  <w:marLeft w:val="0"/>
                  <w:marRight w:val="0"/>
                  <w:marTop w:val="0"/>
                  <w:marBottom w:val="0"/>
                  <w:divBdr>
                    <w:top w:val="none" w:sz="0" w:space="0" w:color="auto"/>
                    <w:left w:val="none" w:sz="0" w:space="0" w:color="auto"/>
                    <w:bottom w:val="none" w:sz="0" w:space="0" w:color="auto"/>
                    <w:right w:val="none" w:sz="0" w:space="0" w:color="auto"/>
                  </w:divBdr>
                </w:div>
              </w:divsChild>
            </w:div>
            <w:div w:id="384066646">
              <w:marLeft w:val="0"/>
              <w:marRight w:val="0"/>
              <w:marTop w:val="0"/>
              <w:marBottom w:val="0"/>
              <w:divBdr>
                <w:top w:val="none" w:sz="0" w:space="0" w:color="auto"/>
                <w:left w:val="none" w:sz="0" w:space="0" w:color="auto"/>
                <w:bottom w:val="none" w:sz="0" w:space="0" w:color="auto"/>
                <w:right w:val="none" w:sz="0" w:space="0" w:color="auto"/>
              </w:divBdr>
              <w:divsChild>
                <w:div w:id="358240472">
                  <w:marLeft w:val="0"/>
                  <w:marRight w:val="0"/>
                  <w:marTop w:val="0"/>
                  <w:marBottom w:val="0"/>
                  <w:divBdr>
                    <w:top w:val="none" w:sz="0" w:space="0" w:color="auto"/>
                    <w:left w:val="none" w:sz="0" w:space="0" w:color="auto"/>
                    <w:bottom w:val="none" w:sz="0" w:space="0" w:color="auto"/>
                    <w:right w:val="none" w:sz="0" w:space="0" w:color="auto"/>
                  </w:divBdr>
                </w:div>
              </w:divsChild>
            </w:div>
            <w:div w:id="360788558">
              <w:marLeft w:val="0"/>
              <w:marRight w:val="0"/>
              <w:marTop w:val="0"/>
              <w:marBottom w:val="0"/>
              <w:divBdr>
                <w:top w:val="none" w:sz="0" w:space="0" w:color="auto"/>
                <w:left w:val="none" w:sz="0" w:space="0" w:color="auto"/>
                <w:bottom w:val="none" w:sz="0" w:space="0" w:color="auto"/>
                <w:right w:val="none" w:sz="0" w:space="0" w:color="auto"/>
              </w:divBdr>
              <w:divsChild>
                <w:div w:id="1935698728">
                  <w:marLeft w:val="0"/>
                  <w:marRight w:val="0"/>
                  <w:marTop w:val="0"/>
                  <w:marBottom w:val="0"/>
                  <w:divBdr>
                    <w:top w:val="none" w:sz="0" w:space="0" w:color="auto"/>
                    <w:left w:val="none" w:sz="0" w:space="0" w:color="auto"/>
                    <w:bottom w:val="none" w:sz="0" w:space="0" w:color="auto"/>
                    <w:right w:val="none" w:sz="0" w:space="0" w:color="auto"/>
                  </w:divBdr>
                </w:div>
              </w:divsChild>
            </w:div>
            <w:div w:id="751203205">
              <w:marLeft w:val="0"/>
              <w:marRight w:val="0"/>
              <w:marTop w:val="0"/>
              <w:marBottom w:val="0"/>
              <w:divBdr>
                <w:top w:val="none" w:sz="0" w:space="0" w:color="auto"/>
                <w:left w:val="none" w:sz="0" w:space="0" w:color="auto"/>
                <w:bottom w:val="none" w:sz="0" w:space="0" w:color="auto"/>
                <w:right w:val="none" w:sz="0" w:space="0" w:color="auto"/>
              </w:divBdr>
              <w:divsChild>
                <w:div w:id="1867406063">
                  <w:marLeft w:val="0"/>
                  <w:marRight w:val="0"/>
                  <w:marTop w:val="0"/>
                  <w:marBottom w:val="0"/>
                  <w:divBdr>
                    <w:top w:val="none" w:sz="0" w:space="0" w:color="auto"/>
                    <w:left w:val="none" w:sz="0" w:space="0" w:color="auto"/>
                    <w:bottom w:val="none" w:sz="0" w:space="0" w:color="auto"/>
                    <w:right w:val="none" w:sz="0" w:space="0" w:color="auto"/>
                  </w:divBdr>
                </w:div>
              </w:divsChild>
            </w:div>
            <w:div w:id="324556126">
              <w:marLeft w:val="0"/>
              <w:marRight w:val="0"/>
              <w:marTop w:val="0"/>
              <w:marBottom w:val="0"/>
              <w:divBdr>
                <w:top w:val="none" w:sz="0" w:space="0" w:color="auto"/>
                <w:left w:val="none" w:sz="0" w:space="0" w:color="auto"/>
                <w:bottom w:val="none" w:sz="0" w:space="0" w:color="auto"/>
                <w:right w:val="none" w:sz="0" w:space="0" w:color="auto"/>
              </w:divBdr>
              <w:divsChild>
                <w:div w:id="1498155046">
                  <w:marLeft w:val="0"/>
                  <w:marRight w:val="0"/>
                  <w:marTop w:val="0"/>
                  <w:marBottom w:val="0"/>
                  <w:divBdr>
                    <w:top w:val="none" w:sz="0" w:space="0" w:color="auto"/>
                    <w:left w:val="none" w:sz="0" w:space="0" w:color="auto"/>
                    <w:bottom w:val="none" w:sz="0" w:space="0" w:color="auto"/>
                    <w:right w:val="none" w:sz="0" w:space="0" w:color="auto"/>
                  </w:divBdr>
                </w:div>
              </w:divsChild>
            </w:div>
            <w:div w:id="318850255">
              <w:marLeft w:val="0"/>
              <w:marRight w:val="0"/>
              <w:marTop w:val="0"/>
              <w:marBottom w:val="0"/>
              <w:divBdr>
                <w:top w:val="none" w:sz="0" w:space="0" w:color="auto"/>
                <w:left w:val="none" w:sz="0" w:space="0" w:color="auto"/>
                <w:bottom w:val="none" w:sz="0" w:space="0" w:color="auto"/>
                <w:right w:val="none" w:sz="0" w:space="0" w:color="auto"/>
              </w:divBdr>
              <w:divsChild>
                <w:div w:id="280459770">
                  <w:marLeft w:val="0"/>
                  <w:marRight w:val="0"/>
                  <w:marTop w:val="0"/>
                  <w:marBottom w:val="0"/>
                  <w:divBdr>
                    <w:top w:val="none" w:sz="0" w:space="0" w:color="auto"/>
                    <w:left w:val="none" w:sz="0" w:space="0" w:color="auto"/>
                    <w:bottom w:val="none" w:sz="0" w:space="0" w:color="auto"/>
                    <w:right w:val="none" w:sz="0" w:space="0" w:color="auto"/>
                  </w:divBdr>
                </w:div>
              </w:divsChild>
            </w:div>
            <w:div w:id="251857068">
              <w:marLeft w:val="0"/>
              <w:marRight w:val="0"/>
              <w:marTop w:val="0"/>
              <w:marBottom w:val="0"/>
              <w:divBdr>
                <w:top w:val="none" w:sz="0" w:space="0" w:color="auto"/>
                <w:left w:val="none" w:sz="0" w:space="0" w:color="auto"/>
                <w:bottom w:val="none" w:sz="0" w:space="0" w:color="auto"/>
                <w:right w:val="none" w:sz="0" w:space="0" w:color="auto"/>
              </w:divBdr>
              <w:divsChild>
                <w:div w:id="1747727080">
                  <w:marLeft w:val="0"/>
                  <w:marRight w:val="0"/>
                  <w:marTop w:val="0"/>
                  <w:marBottom w:val="0"/>
                  <w:divBdr>
                    <w:top w:val="none" w:sz="0" w:space="0" w:color="auto"/>
                    <w:left w:val="none" w:sz="0" w:space="0" w:color="auto"/>
                    <w:bottom w:val="none" w:sz="0" w:space="0" w:color="auto"/>
                    <w:right w:val="none" w:sz="0" w:space="0" w:color="auto"/>
                  </w:divBdr>
                </w:div>
              </w:divsChild>
            </w:div>
            <w:div w:id="485706678">
              <w:marLeft w:val="0"/>
              <w:marRight w:val="0"/>
              <w:marTop w:val="0"/>
              <w:marBottom w:val="0"/>
              <w:divBdr>
                <w:top w:val="none" w:sz="0" w:space="0" w:color="auto"/>
                <w:left w:val="none" w:sz="0" w:space="0" w:color="auto"/>
                <w:bottom w:val="none" w:sz="0" w:space="0" w:color="auto"/>
                <w:right w:val="none" w:sz="0" w:space="0" w:color="auto"/>
              </w:divBdr>
              <w:divsChild>
                <w:div w:id="1267038824">
                  <w:marLeft w:val="0"/>
                  <w:marRight w:val="0"/>
                  <w:marTop w:val="0"/>
                  <w:marBottom w:val="0"/>
                  <w:divBdr>
                    <w:top w:val="none" w:sz="0" w:space="0" w:color="auto"/>
                    <w:left w:val="none" w:sz="0" w:space="0" w:color="auto"/>
                    <w:bottom w:val="none" w:sz="0" w:space="0" w:color="auto"/>
                    <w:right w:val="none" w:sz="0" w:space="0" w:color="auto"/>
                  </w:divBdr>
                </w:div>
              </w:divsChild>
            </w:div>
            <w:div w:id="414280153">
              <w:marLeft w:val="0"/>
              <w:marRight w:val="0"/>
              <w:marTop w:val="0"/>
              <w:marBottom w:val="0"/>
              <w:divBdr>
                <w:top w:val="none" w:sz="0" w:space="0" w:color="auto"/>
                <w:left w:val="none" w:sz="0" w:space="0" w:color="auto"/>
                <w:bottom w:val="none" w:sz="0" w:space="0" w:color="auto"/>
                <w:right w:val="none" w:sz="0" w:space="0" w:color="auto"/>
              </w:divBdr>
              <w:divsChild>
                <w:div w:id="730272019">
                  <w:marLeft w:val="0"/>
                  <w:marRight w:val="0"/>
                  <w:marTop w:val="0"/>
                  <w:marBottom w:val="0"/>
                  <w:divBdr>
                    <w:top w:val="none" w:sz="0" w:space="0" w:color="auto"/>
                    <w:left w:val="none" w:sz="0" w:space="0" w:color="auto"/>
                    <w:bottom w:val="none" w:sz="0" w:space="0" w:color="auto"/>
                    <w:right w:val="none" w:sz="0" w:space="0" w:color="auto"/>
                  </w:divBdr>
                </w:div>
              </w:divsChild>
            </w:div>
            <w:div w:id="438064724">
              <w:marLeft w:val="0"/>
              <w:marRight w:val="0"/>
              <w:marTop w:val="0"/>
              <w:marBottom w:val="0"/>
              <w:divBdr>
                <w:top w:val="none" w:sz="0" w:space="0" w:color="auto"/>
                <w:left w:val="none" w:sz="0" w:space="0" w:color="auto"/>
                <w:bottom w:val="none" w:sz="0" w:space="0" w:color="auto"/>
                <w:right w:val="none" w:sz="0" w:space="0" w:color="auto"/>
              </w:divBdr>
              <w:divsChild>
                <w:div w:id="1622684563">
                  <w:marLeft w:val="0"/>
                  <w:marRight w:val="0"/>
                  <w:marTop w:val="0"/>
                  <w:marBottom w:val="0"/>
                  <w:divBdr>
                    <w:top w:val="none" w:sz="0" w:space="0" w:color="auto"/>
                    <w:left w:val="none" w:sz="0" w:space="0" w:color="auto"/>
                    <w:bottom w:val="none" w:sz="0" w:space="0" w:color="auto"/>
                    <w:right w:val="none" w:sz="0" w:space="0" w:color="auto"/>
                  </w:divBdr>
                </w:div>
              </w:divsChild>
            </w:div>
            <w:div w:id="619267093">
              <w:marLeft w:val="0"/>
              <w:marRight w:val="0"/>
              <w:marTop w:val="0"/>
              <w:marBottom w:val="0"/>
              <w:divBdr>
                <w:top w:val="none" w:sz="0" w:space="0" w:color="auto"/>
                <w:left w:val="none" w:sz="0" w:space="0" w:color="auto"/>
                <w:bottom w:val="none" w:sz="0" w:space="0" w:color="auto"/>
                <w:right w:val="none" w:sz="0" w:space="0" w:color="auto"/>
              </w:divBdr>
              <w:divsChild>
                <w:div w:id="1973360939">
                  <w:marLeft w:val="0"/>
                  <w:marRight w:val="0"/>
                  <w:marTop w:val="0"/>
                  <w:marBottom w:val="0"/>
                  <w:divBdr>
                    <w:top w:val="none" w:sz="0" w:space="0" w:color="auto"/>
                    <w:left w:val="none" w:sz="0" w:space="0" w:color="auto"/>
                    <w:bottom w:val="none" w:sz="0" w:space="0" w:color="auto"/>
                    <w:right w:val="none" w:sz="0" w:space="0" w:color="auto"/>
                  </w:divBdr>
                </w:div>
              </w:divsChild>
            </w:div>
            <w:div w:id="1180849841">
              <w:marLeft w:val="0"/>
              <w:marRight w:val="0"/>
              <w:marTop w:val="0"/>
              <w:marBottom w:val="0"/>
              <w:divBdr>
                <w:top w:val="none" w:sz="0" w:space="0" w:color="auto"/>
                <w:left w:val="none" w:sz="0" w:space="0" w:color="auto"/>
                <w:bottom w:val="none" w:sz="0" w:space="0" w:color="auto"/>
                <w:right w:val="none" w:sz="0" w:space="0" w:color="auto"/>
              </w:divBdr>
              <w:divsChild>
                <w:div w:id="2025550768">
                  <w:marLeft w:val="0"/>
                  <w:marRight w:val="0"/>
                  <w:marTop w:val="0"/>
                  <w:marBottom w:val="0"/>
                  <w:divBdr>
                    <w:top w:val="none" w:sz="0" w:space="0" w:color="auto"/>
                    <w:left w:val="none" w:sz="0" w:space="0" w:color="auto"/>
                    <w:bottom w:val="none" w:sz="0" w:space="0" w:color="auto"/>
                    <w:right w:val="none" w:sz="0" w:space="0" w:color="auto"/>
                  </w:divBdr>
                </w:div>
              </w:divsChild>
            </w:div>
            <w:div w:id="1986348740">
              <w:marLeft w:val="0"/>
              <w:marRight w:val="0"/>
              <w:marTop w:val="0"/>
              <w:marBottom w:val="0"/>
              <w:divBdr>
                <w:top w:val="none" w:sz="0" w:space="0" w:color="auto"/>
                <w:left w:val="none" w:sz="0" w:space="0" w:color="auto"/>
                <w:bottom w:val="none" w:sz="0" w:space="0" w:color="auto"/>
                <w:right w:val="none" w:sz="0" w:space="0" w:color="auto"/>
              </w:divBdr>
              <w:divsChild>
                <w:div w:id="1610552608">
                  <w:marLeft w:val="0"/>
                  <w:marRight w:val="0"/>
                  <w:marTop w:val="0"/>
                  <w:marBottom w:val="0"/>
                  <w:divBdr>
                    <w:top w:val="none" w:sz="0" w:space="0" w:color="auto"/>
                    <w:left w:val="none" w:sz="0" w:space="0" w:color="auto"/>
                    <w:bottom w:val="none" w:sz="0" w:space="0" w:color="auto"/>
                    <w:right w:val="none" w:sz="0" w:space="0" w:color="auto"/>
                  </w:divBdr>
                </w:div>
              </w:divsChild>
            </w:div>
            <w:div w:id="1443265273">
              <w:marLeft w:val="0"/>
              <w:marRight w:val="0"/>
              <w:marTop w:val="0"/>
              <w:marBottom w:val="0"/>
              <w:divBdr>
                <w:top w:val="none" w:sz="0" w:space="0" w:color="auto"/>
                <w:left w:val="none" w:sz="0" w:space="0" w:color="auto"/>
                <w:bottom w:val="none" w:sz="0" w:space="0" w:color="auto"/>
                <w:right w:val="none" w:sz="0" w:space="0" w:color="auto"/>
              </w:divBdr>
              <w:divsChild>
                <w:div w:id="1656030404">
                  <w:marLeft w:val="0"/>
                  <w:marRight w:val="0"/>
                  <w:marTop w:val="0"/>
                  <w:marBottom w:val="0"/>
                  <w:divBdr>
                    <w:top w:val="none" w:sz="0" w:space="0" w:color="auto"/>
                    <w:left w:val="none" w:sz="0" w:space="0" w:color="auto"/>
                    <w:bottom w:val="none" w:sz="0" w:space="0" w:color="auto"/>
                    <w:right w:val="none" w:sz="0" w:space="0" w:color="auto"/>
                  </w:divBdr>
                </w:div>
              </w:divsChild>
            </w:div>
            <w:div w:id="1362710222">
              <w:marLeft w:val="0"/>
              <w:marRight w:val="0"/>
              <w:marTop w:val="0"/>
              <w:marBottom w:val="0"/>
              <w:divBdr>
                <w:top w:val="none" w:sz="0" w:space="0" w:color="auto"/>
                <w:left w:val="none" w:sz="0" w:space="0" w:color="auto"/>
                <w:bottom w:val="none" w:sz="0" w:space="0" w:color="auto"/>
                <w:right w:val="none" w:sz="0" w:space="0" w:color="auto"/>
              </w:divBdr>
              <w:divsChild>
                <w:div w:id="10473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0941">
          <w:marLeft w:val="0"/>
          <w:marRight w:val="0"/>
          <w:marTop w:val="0"/>
          <w:marBottom w:val="600"/>
          <w:divBdr>
            <w:top w:val="none" w:sz="0" w:space="0" w:color="auto"/>
            <w:left w:val="none" w:sz="0" w:space="0" w:color="auto"/>
            <w:bottom w:val="none" w:sz="0" w:space="0" w:color="auto"/>
            <w:right w:val="none" w:sz="0" w:space="0" w:color="auto"/>
          </w:divBdr>
        </w:div>
      </w:divsChild>
    </w:div>
    <w:div w:id="2113360807">
      <w:marLeft w:val="0"/>
      <w:marRight w:val="0"/>
      <w:marTop w:val="0"/>
      <w:marBottom w:val="0"/>
      <w:divBdr>
        <w:top w:val="none" w:sz="0" w:space="0" w:color="auto"/>
        <w:left w:val="none" w:sz="0" w:space="0" w:color="auto"/>
        <w:bottom w:val="none" w:sz="0" w:space="0" w:color="auto"/>
        <w:right w:val="none" w:sz="0" w:space="0" w:color="auto"/>
      </w:divBdr>
      <w:divsChild>
        <w:div w:id="1803112313">
          <w:marLeft w:val="0"/>
          <w:marRight w:val="0"/>
          <w:marTop w:val="547"/>
          <w:marBottom w:val="0"/>
          <w:divBdr>
            <w:top w:val="none" w:sz="0" w:space="0" w:color="auto"/>
            <w:left w:val="none" w:sz="0" w:space="0" w:color="auto"/>
            <w:bottom w:val="none" w:sz="0" w:space="0" w:color="auto"/>
            <w:right w:val="none" w:sz="0" w:space="0" w:color="auto"/>
          </w:divBdr>
        </w:div>
        <w:div w:id="2100758947">
          <w:marLeft w:val="0"/>
          <w:marRight w:val="0"/>
          <w:marTop w:val="0"/>
          <w:marBottom w:val="0"/>
          <w:divBdr>
            <w:top w:val="none" w:sz="0" w:space="0" w:color="auto"/>
            <w:left w:val="none" w:sz="0" w:space="0" w:color="auto"/>
            <w:bottom w:val="none" w:sz="0" w:space="0" w:color="auto"/>
            <w:right w:val="none" w:sz="0" w:space="0" w:color="auto"/>
          </w:divBdr>
          <w:divsChild>
            <w:div w:id="2097436005">
              <w:marLeft w:val="0"/>
              <w:marRight w:val="0"/>
              <w:marTop w:val="0"/>
              <w:marBottom w:val="0"/>
              <w:divBdr>
                <w:top w:val="none" w:sz="0" w:space="0" w:color="auto"/>
                <w:left w:val="none" w:sz="0" w:space="0" w:color="auto"/>
                <w:bottom w:val="none" w:sz="0" w:space="0" w:color="auto"/>
                <w:right w:val="none" w:sz="0" w:space="0" w:color="auto"/>
              </w:divBdr>
              <w:divsChild>
                <w:div w:id="38557548">
                  <w:marLeft w:val="0"/>
                  <w:marRight w:val="0"/>
                  <w:marTop w:val="0"/>
                  <w:marBottom w:val="0"/>
                  <w:divBdr>
                    <w:top w:val="none" w:sz="0" w:space="0" w:color="auto"/>
                    <w:left w:val="none" w:sz="0" w:space="0" w:color="auto"/>
                    <w:bottom w:val="none" w:sz="0" w:space="0" w:color="auto"/>
                    <w:right w:val="none" w:sz="0" w:space="0" w:color="auto"/>
                  </w:divBdr>
                </w:div>
              </w:divsChild>
            </w:div>
            <w:div w:id="1924602007">
              <w:marLeft w:val="0"/>
              <w:marRight w:val="0"/>
              <w:marTop w:val="0"/>
              <w:marBottom w:val="0"/>
              <w:divBdr>
                <w:top w:val="none" w:sz="0" w:space="0" w:color="auto"/>
                <w:left w:val="none" w:sz="0" w:space="0" w:color="auto"/>
                <w:bottom w:val="none" w:sz="0" w:space="0" w:color="auto"/>
                <w:right w:val="none" w:sz="0" w:space="0" w:color="auto"/>
              </w:divBdr>
              <w:divsChild>
                <w:div w:id="526482467">
                  <w:marLeft w:val="0"/>
                  <w:marRight w:val="0"/>
                  <w:marTop w:val="0"/>
                  <w:marBottom w:val="0"/>
                  <w:divBdr>
                    <w:top w:val="none" w:sz="0" w:space="0" w:color="auto"/>
                    <w:left w:val="none" w:sz="0" w:space="0" w:color="auto"/>
                    <w:bottom w:val="none" w:sz="0" w:space="0" w:color="auto"/>
                    <w:right w:val="none" w:sz="0" w:space="0" w:color="auto"/>
                  </w:divBdr>
                </w:div>
              </w:divsChild>
            </w:div>
            <w:div w:id="747657139">
              <w:marLeft w:val="0"/>
              <w:marRight w:val="0"/>
              <w:marTop w:val="0"/>
              <w:marBottom w:val="0"/>
              <w:divBdr>
                <w:top w:val="none" w:sz="0" w:space="0" w:color="auto"/>
                <w:left w:val="none" w:sz="0" w:space="0" w:color="auto"/>
                <w:bottom w:val="none" w:sz="0" w:space="0" w:color="auto"/>
                <w:right w:val="none" w:sz="0" w:space="0" w:color="auto"/>
              </w:divBdr>
              <w:divsChild>
                <w:div w:id="1900364395">
                  <w:marLeft w:val="0"/>
                  <w:marRight w:val="0"/>
                  <w:marTop w:val="0"/>
                  <w:marBottom w:val="0"/>
                  <w:divBdr>
                    <w:top w:val="none" w:sz="0" w:space="0" w:color="auto"/>
                    <w:left w:val="none" w:sz="0" w:space="0" w:color="auto"/>
                    <w:bottom w:val="none" w:sz="0" w:space="0" w:color="auto"/>
                    <w:right w:val="none" w:sz="0" w:space="0" w:color="auto"/>
                  </w:divBdr>
                </w:div>
              </w:divsChild>
            </w:div>
            <w:div w:id="1176264839">
              <w:marLeft w:val="0"/>
              <w:marRight w:val="0"/>
              <w:marTop w:val="0"/>
              <w:marBottom w:val="0"/>
              <w:divBdr>
                <w:top w:val="none" w:sz="0" w:space="0" w:color="auto"/>
                <w:left w:val="none" w:sz="0" w:space="0" w:color="auto"/>
                <w:bottom w:val="none" w:sz="0" w:space="0" w:color="auto"/>
                <w:right w:val="none" w:sz="0" w:space="0" w:color="auto"/>
              </w:divBdr>
              <w:divsChild>
                <w:div w:id="208763597">
                  <w:marLeft w:val="0"/>
                  <w:marRight w:val="0"/>
                  <w:marTop w:val="0"/>
                  <w:marBottom w:val="0"/>
                  <w:divBdr>
                    <w:top w:val="none" w:sz="0" w:space="0" w:color="auto"/>
                    <w:left w:val="none" w:sz="0" w:space="0" w:color="auto"/>
                    <w:bottom w:val="none" w:sz="0" w:space="0" w:color="auto"/>
                    <w:right w:val="none" w:sz="0" w:space="0" w:color="auto"/>
                  </w:divBdr>
                </w:div>
              </w:divsChild>
            </w:div>
            <w:div w:id="2037072580">
              <w:marLeft w:val="0"/>
              <w:marRight w:val="0"/>
              <w:marTop w:val="0"/>
              <w:marBottom w:val="0"/>
              <w:divBdr>
                <w:top w:val="none" w:sz="0" w:space="0" w:color="auto"/>
                <w:left w:val="none" w:sz="0" w:space="0" w:color="auto"/>
                <w:bottom w:val="none" w:sz="0" w:space="0" w:color="auto"/>
                <w:right w:val="none" w:sz="0" w:space="0" w:color="auto"/>
              </w:divBdr>
              <w:divsChild>
                <w:div w:id="1346319887">
                  <w:marLeft w:val="0"/>
                  <w:marRight w:val="0"/>
                  <w:marTop w:val="0"/>
                  <w:marBottom w:val="0"/>
                  <w:divBdr>
                    <w:top w:val="none" w:sz="0" w:space="0" w:color="auto"/>
                    <w:left w:val="none" w:sz="0" w:space="0" w:color="auto"/>
                    <w:bottom w:val="none" w:sz="0" w:space="0" w:color="auto"/>
                    <w:right w:val="none" w:sz="0" w:space="0" w:color="auto"/>
                  </w:divBdr>
                </w:div>
              </w:divsChild>
            </w:div>
            <w:div w:id="1561867217">
              <w:marLeft w:val="0"/>
              <w:marRight w:val="0"/>
              <w:marTop w:val="0"/>
              <w:marBottom w:val="0"/>
              <w:divBdr>
                <w:top w:val="none" w:sz="0" w:space="0" w:color="auto"/>
                <w:left w:val="none" w:sz="0" w:space="0" w:color="auto"/>
                <w:bottom w:val="none" w:sz="0" w:space="0" w:color="auto"/>
                <w:right w:val="none" w:sz="0" w:space="0" w:color="auto"/>
              </w:divBdr>
              <w:divsChild>
                <w:div w:id="1948005542">
                  <w:marLeft w:val="0"/>
                  <w:marRight w:val="0"/>
                  <w:marTop w:val="0"/>
                  <w:marBottom w:val="0"/>
                  <w:divBdr>
                    <w:top w:val="none" w:sz="0" w:space="0" w:color="auto"/>
                    <w:left w:val="none" w:sz="0" w:space="0" w:color="auto"/>
                    <w:bottom w:val="none" w:sz="0" w:space="0" w:color="auto"/>
                    <w:right w:val="none" w:sz="0" w:space="0" w:color="auto"/>
                  </w:divBdr>
                </w:div>
              </w:divsChild>
            </w:div>
            <w:div w:id="442380294">
              <w:marLeft w:val="0"/>
              <w:marRight w:val="0"/>
              <w:marTop w:val="0"/>
              <w:marBottom w:val="0"/>
              <w:divBdr>
                <w:top w:val="none" w:sz="0" w:space="0" w:color="auto"/>
                <w:left w:val="none" w:sz="0" w:space="0" w:color="auto"/>
                <w:bottom w:val="none" w:sz="0" w:space="0" w:color="auto"/>
                <w:right w:val="none" w:sz="0" w:space="0" w:color="auto"/>
              </w:divBdr>
              <w:divsChild>
                <w:div w:id="1615942666">
                  <w:marLeft w:val="0"/>
                  <w:marRight w:val="0"/>
                  <w:marTop w:val="0"/>
                  <w:marBottom w:val="0"/>
                  <w:divBdr>
                    <w:top w:val="none" w:sz="0" w:space="0" w:color="auto"/>
                    <w:left w:val="none" w:sz="0" w:space="0" w:color="auto"/>
                    <w:bottom w:val="none" w:sz="0" w:space="0" w:color="auto"/>
                    <w:right w:val="none" w:sz="0" w:space="0" w:color="auto"/>
                  </w:divBdr>
                </w:div>
              </w:divsChild>
            </w:div>
            <w:div w:id="1580796757">
              <w:marLeft w:val="0"/>
              <w:marRight w:val="0"/>
              <w:marTop w:val="0"/>
              <w:marBottom w:val="0"/>
              <w:divBdr>
                <w:top w:val="none" w:sz="0" w:space="0" w:color="auto"/>
                <w:left w:val="none" w:sz="0" w:space="0" w:color="auto"/>
                <w:bottom w:val="none" w:sz="0" w:space="0" w:color="auto"/>
                <w:right w:val="none" w:sz="0" w:space="0" w:color="auto"/>
              </w:divBdr>
              <w:divsChild>
                <w:div w:id="1745645808">
                  <w:marLeft w:val="0"/>
                  <w:marRight w:val="0"/>
                  <w:marTop w:val="0"/>
                  <w:marBottom w:val="0"/>
                  <w:divBdr>
                    <w:top w:val="none" w:sz="0" w:space="0" w:color="auto"/>
                    <w:left w:val="none" w:sz="0" w:space="0" w:color="auto"/>
                    <w:bottom w:val="none" w:sz="0" w:space="0" w:color="auto"/>
                    <w:right w:val="none" w:sz="0" w:space="0" w:color="auto"/>
                  </w:divBdr>
                </w:div>
              </w:divsChild>
            </w:div>
            <w:div w:id="789788743">
              <w:marLeft w:val="0"/>
              <w:marRight w:val="0"/>
              <w:marTop w:val="0"/>
              <w:marBottom w:val="0"/>
              <w:divBdr>
                <w:top w:val="none" w:sz="0" w:space="0" w:color="auto"/>
                <w:left w:val="none" w:sz="0" w:space="0" w:color="auto"/>
                <w:bottom w:val="none" w:sz="0" w:space="0" w:color="auto"/>
                <w:right w:val="none" w:sz="0" w:space="0" w:color="auto"/>
              </w:divBdr>
              <w:divsChild>
                <w:div w:id="1279797315">
                  <w:marLeft w:val="0"/>
                  <w:marRight w:val="0"/>
                  <w:marTop w:val="0"/>
                  <w:marBottom w:val="0"/>
                  <w:divBdr>
                    <w:top w:val="none" w:sz="0" w:space="0" w:color="auto"/>
                    <w:left w:val="none" w:sz="0" w:space="0" w:color="auto"/>
                    <w:bottom w:val="none" w:sz="0" w:space="0" w:color="auto"/>
                    <w:right w:val="none" w:sz="0" w:space="0" w:color="auto"/>
                  </w:divBdr>
                </w:div>
              </w:divsChild>
            </w:div>
            <w:div w:id="433130633">
              <w:marLeft w:val="0"/>
              <w:marRight w:val="0"/>
              <w:marTop w:val="0"/>
              <w:marBottom w:val="0"/>
              <w:divBdr>
                <w:top w:val="none" w:sz="0" w:space="0" w:color="auto"/>
                <w:left w:val="none" w:sz="0" w:space="0" w:color="auto"/>
                <w:bottom w:val="none" w:sz="0" w:space="0" w:color="auto"/>
                <w:right w:val="none" w:sz="0" w:space="0" w:color="auto"/>
              </w:divBdr>
              <w:divsChild>
                <w:div w:id="617953965">
                  <w:marLeft w:val="0"/>
                  <w:marRight w:val="0"/>
                  <w:marTop w:val="0"/>
                  <w:marBottom w:val="0"/>
                  <w:divBdr>
                    <w:top w:val="none" w:sz="0" w:space="0" w:color="auto"/>
                    <w:left w:val="none" w:sz="0" w:space="0" w:color="auto"/>
                    <w:bottom w:val="none" w:sz="0" w:space="0" w:color="auto"/>
                    <w:right w:val="none" w:sz="0" w:space="0" w:color="auto"/>
                  </w:divBdr>
                </w:div>
              </w:divsChild>
            </w:div>
            <w:div w:id="1679425727">
              <w:marLeft w:val="0"/>
              <w:marRight w:val="0"/>
              <w:marTop w:val="0"/>
              <w:marBottom w:val="0"/>
              <w:divBdr>
                <w:top w:val="none" w:sz="0" w:space="0" w:color="auto"/>
                <w:left w:val="none" w:sz="0" w:space="0" w:color="auto"/>
                <w:bottom w:val="none" w:sz="0" w:space="0" w:color="auto"/>
                <w:right w:val="none" w:sz="0" w:space="0" w:color="auto"/>
              </w:divBdr>
              <w:divsChild>
                <w:div w:id="1972395267">
                  <w:marLeft w:val="0"/>
                  <w:marRight w:val="0"/>
                  <w:marTop w:val="0"/>
                  <w:marBottom w:val="0"/>
                  <w:divBdr>
                    <w:top w:val="none" w:sz="0" w:space="0" w:color="auto"/>
                    <w:left w:val="none" w:sz="0" w:space="0" w:color="auto"/>
                    <w:bottom w:val="none" w:sz="0" w:space="0" w:color="auto"/>
                    <w:right w:val="none" w:sz="0" w:space="0" w:color="auto"/>
                  </w:divBdr>
                </w:div>
              </w:divsChild>
            </w:div>
            <w:div w:id="1150368863">
              <w:marLeft w:val="0"/>
              <w:marRight w:val="0"/>
              <w:marTop w:val="0"/>
              <w:marBottom w:val="0"/>
              <w:divBdr>
                <w:top w:val="none" w:sz="0" w:space="0" w:color="auto"/>
                <w:left w:val="none" w:sz="0" w:space="0" w:color="auto"/>
                <w:bottom w:val="none" w:sz="0" w:space="0" w:color="auto"/>
                <w:right w:val="none" w:sz="0" w:space="0" w:color="auto"/>
              </w:divBdr>
              <w:divsChild>
                <w:div w:id="671222846">
                  <w:marLeft w:val="0"/>
                  <w:marRight w:val="0"/>
                  <w:marTop w:val="0"/>
                  <w:marBottom w:val="0"/>
                  <w:divBdr>
                    <w:top w:val="none" w:sz="0" w:space="0" w:color="auto"/>
                    <w:left w:val="none" w:sz="0" w:space="0" w:color="auto"/>
                    <w:bottom w:val="none" w:sz="0" w:space="0" w:color="auto"/>
                    <w:right w:val="none" w:sz="0" w:space="0" w:color="auto"/>
                  </w:divBdr>
                </w:div>
              </w:divsChild>
            </w:div>
            <w:div w:id="2127918554">
              <w:marLeft w:val="0"/>
              <w:marRight w:val="0"/>
              <w:marTop w:val="0"/>
              <w:marBottom w:val="0"/>
              <w:divBdr>
                <w:top w:val="none" w:sz="0" w:space="0" w:color="auto"/>
                <w:left w:val="none" w:sz="0" w:space="0" w:color="auto"/>
                <w:bottom w:val="none" w:sz="0" w:space="0" w:color="auto"/>
                <w:right w:val="none" w:sz="0" w:space="0" w:color="auto"/>
              </w:divBdr>
              <w:divsChild>
                <w:div w:id="457913951">
                  <w:marLeft w:val="0"/>
                  <w:marRight w:val="0"/>
                  <w:marTop w:val="0"/>
                  <w:marBottom w:val="0"/>
                  <w:divBdr>
                    <w:top w:val="none" w:sz="0" w:space="0" w:color="auto"/>
                    <w:left w:val="none" w:sz="0" w:space="0" w:color="auto"/>
                    <w:bottom w:val="none" w:sz="0" w:space="0" w:color="auto"/>
                    <w:right w:val="none" w:sz="0" w:space="0" w:color="auto"/>
                  </w:divBdr>
                </w:div>
              </w:divsChild>
            </w:div>
            <w:div w:id="553397085">
              <w:marLeft w:val="0"/>
              <w:marRight w:val="0"/>
              <w:marTop w:val="0"/>
              <w:marBottom w:val="0"/>
              <w:divBdr>
                <w:top w:val="none" w:sz="0" w:space="0" w:color="auto"/>
                <w:left w:val="none" w:sz="0" w:space="0" w:color="auto"/>
                <w:bottom w:val="none" w:sz="0" w:space="0" w:color="auto"/>
                <w:right w:val="none" w:sz="0" w:space="0" w:color="auto"/>
              </w:divBdr>
              <w:divsChild>
                <w:div w:id="1251505288">
                  <w:marLeft w:val="0"/>
                  <w:marRight w:val="0"/>
                  <w:marTop w:val="0"/>
                  <w:marBottom w:val="0"/>
                  <w:divBdr>
                    <w:top w:val="none" w:sz="0" w:space="0" w:color="auto"/>
                    <w:left w:val="none" w:sz="0" w:space="0" w:color="auto"/>
                    <w:bottom w:val="none" w:sz="0" w:space="0" w:color="auto"/>
                    <w:right w:val="none" w:sz="0" w:space="0" w:color="auto"/>
                  </w:divBdr>
                </w:div>
              </w:divsChild>
            </w:div>
            <w:div w:id="803742518">
              <w:marLeft w:val="0"/>
              <w:marRight w:val="0"/>
              <w:marTop w:val="0"/>
              <w:marBottom w:val="0"/>
              <w:divBdr>
                <w:top w:val="none" w:sz="0" w:space="0" w:color="auto"/>
                <w:left w:val="none" w:sz="0" w:space="0" w:color="auto"/>
                <w:bottom w:val="none" w:sz="0" w:space="0" w:color="auto"/>
                <w:right w:val="none" w:sz="0" w:space="0" w:color="auto"/>
              </w:divBdr>
              <w:divsChild>
                <w:div w:id="357241215">
                  <w:marLeft w:val="0"/>
                  <w:marRight w:val="0"/>
                  <w:marTop w:val="0"/>
                  <w:marBottom w:val="0"/>
                  <w:divBdr>
                    <w:top w:val="none" w:sz="0" w:space="0" w:color="auto"/>
                    <w:left w:val="none" w:sz="0" w:space="0" w:color="auto"/>
                    <w:bottom w:val="none" w:sz="0" w:space="0" w:color="auto"/>
                    <w:right w:val="none" w:sz="0" w:space="0" w:color="auto"/>
                  </w:divBdr>
                </w:div>
              </w:divsChild>
            </w:div>
            <w:div w:id="996344980">
              <w:marLeft w:val="0"/>
              <w:marRight w:val="0"/>
              <w:marTop w:val="0"/>
              <w:marBottom w:val="0"/>
              <w:divBdr>
                <w:top w:val="none" w:sz="0" w:space="0" w:color="auto"/>
                <w:left w:val="none" w:sz="0" w:space="0" w:color="auto"/>
                <w:bottom w:val="none" w:sz="0" w:space="0" w:color="auto"/>
                <w:right w:val="none" w:sz="0" w:space="0" w:color="auto"/>
              </w:divBdr>
              <w:divsChild>
                <w:div w:id="1395734123">
                  <w:marLeft w:val="0"/>
                  <w:marRight w:val="0"/>
                  <w:marTop w:val="0"/>
                  <w:marBottom w:val="0"/>
                  <w:divBdr>
                    <w:top w:val="none" w:sz="0" w:space="0" w:color="auto"/>
                    <w:left w:val="none" w:sz="0" w:space="0" w:color="auto"/>
                    <w:bottom w:val="none" w:sz="0" w:space="0" w:color="auto"/>
                    <w:right w:val="none" w:sz="0" w:space="0" w:color="auto"/>
                  </w:divBdr>
                </w:div>
              </w:divsChild>
            </w:div>
            <w:div w:id="631982766">
              <w:marLeft w:val="0"/>
              <w:marRight w:val="0"/>
              <w:marTop w:val="0"/>
              <w:marBottom w:val="0"/>
              <w:divBdr>
                <w:top w:val="none" w:sz="0" w:space="0" w:color="auto"/>
                <w:left w:val="none" w:sz="0" w:space="0" w:color="auto"/>
                <w:bottom w:val="none" w:sz="0" w:space="0" w:color="auto"/>
                <w:right w:val="none" w:sz="0" w:space="0" w:color="auto"/>
              </w:divBdr>
              <w:divsChild>
                <w:div w:id="655426341">
                  <w:marLeft w:val="0"/>
                  <w:marRight w:val="0"/>
                  <w:marTop w:val="0"/>
                  <w:marBottom w:val="0"/>
                  <w:divBdr>
                    <w:top w:val="none" w:sz="0" w:space="0" w:color="auto"/>
                    <w:left w:val="none" w:sz="0" w:space="0" w:color="auto"/>
                    <w:bottom w:val="none" w:sz="0" w:space="0" w:color="auto"/>
                    <w:right w:val="none" w:sz="0" w:space="0" w:color="auto"/>
                  </w:divBdr>
                </w:div>
              </w:divsChild>
            </w:div>
            <w:div w:id="1752774321">
              <w:marLeft w:val="0"/>
              <w:marRight w:val="0"/>
              <w:marTop w:val="0"/>
              <w:marBottom w:val="0"/>
              <w:divBdr>
                <w:top w:val="none" w:sz="0" w:space="0" w:color="auto"/>
                <w:left w:val="none" w:sz="0" w:space="0" w:color="auto"/>
                <w:bottom w:val="none" w:sz="0" w:space="0" w:color="auto"/>
                <w:right w:val="none" w:sz="0" w:space="0" w:color="auto"/>
              </w:divBdr>
              <w:divsChild>
                <w:div w:id="569341853">
                  <w:marLeft w:val="0"/>
                  <w:marRight w:val="0"/>
                  <w:marTop w:val="0"/>
                  <w:marBottom w:val="0"/>
                  <w:divBdr>
                    <w:top w:val="none" w:sz="0" w:space="0" w:color="auto"/>
                    <w:left w:val="none" w:sz="0" w:space="0" w:color="auto"/>
                    <w:bottom w:val="none" w:sz="0" w:space="0" w:color="auto"/>
                    <w:right w:val="none" w:sz="0" w:space="0" w:color="auto"/>
                  </w:divBdr>
                </w:div>
              </w:divsChild>
            </w:div>
            <w:div w:id="1936789853">
              <w:marLeft w:val="0"/>
              <w:marRight w:val="0"/>
              <w:marTop w:val="0"/>
              <w:marBottom w:val="0"/>
              <w:divBdr>
                <w:top w:val="none" w:sz="0" w:space="0" w:color="auto"/>
                <w:left w:val="none" w:sz="0" w:space="0" w:color="auto"/>
                <w:bottom w:val="none" w:sz="0" w:space="0" w:color="auto"/>
                <w:right w:val="none" w:sz="0" w:space="0" w:color="auto"/>
              </w:divBdr>
              <w:divsChild>
                <w:div w:id="806364486">
                  <w:marLeft w:val="0"/>
                  <w:marRight w:val="0"/>
                  <w:marTop w:val="0"/>
                  <w:marBottom w:val="0"/>
                  <w:divBdr>
                    <w:top w:val="none" w:sz="0" w:space="0" w:color="auto"/>
                    <w:left w:val="none" w:sz="0" w:space="0" w:color="auto"/>
                    <w:bottom w:val="none" w:sz="0" w:space="0" w:color="auto"/>
                    <w:right w:val="none" w:sz="0" w:space="0" w:color="auto"/>
                  </w:divBdr>
                </w:div>
              </w:divsChild>
            </w:div>
            <w:div w:id="1121925181">
              <w:marLeft w:val="0"/>
              <w:marRight w:val="0"/>
              <w:marTop w:val="0"/>
              <w:marBottom w:val="0"/>
              <w:divBdr>
                <w:top w:val="none" w:sz="0" w:space="0" w:color="auto"/>
                <w:left w:val="none" w:sz="0" w:space="0" w:color="auto"/>
                <w:bottom w:val="none" w:sz="0" w:space="0" w:color="auto"/>
                <w:right w:val="none" w:sz="0" w:space="0" w:color="auto"/>
              </w:divBdr>
              <w:divsChild>
                <w:div w:id="397703038">
                  <w:marLeft w:val="0"/>
                  <w:marRight w:val="0"/>
                  <w:marTop w:val="0"/>
                  <w:marBottom w:val="0"/>
                  <w:divBdr>
                    <w:top w:val="none" w:sz="0" w:space="0" w:color="auto"/>
                    <w:left w:val="none" w:sz="0" w:space="0" w:color="auto"/>
                    <w:bottom w:val="none" w:sz="0" w:space="0" w:color="auto"/>
                    <w:right w:val="none" w:sz="0" w:space="0" w:color="auto"/>
                  </w:divBdr>
                </w:div>
              </w:divsChild>
            </w:div>
            <w:div w:id="1603413147">
              <w:marLeft w:val="0"/>
              <w:marRight w:val="0"/>
              <w:marTop w:val="0"/>
              <w:marBottom w:val="0"/>
              <w:divBdr>
                <w:top w:val="none" w:sz="0" w:space="0" w:color="auto"/>
                <w:left w:val="none" w:sz="0" w:space="0" w:color="auto"/>
                <w:bottom w:val="none" w:sz="0" w:space="0" w:color="auto"/>
                <w:right w:val="none" w:sz="0" w:space="0" w:color="auto"/>
              </w:divBdr>
              <w:divsChild>
                <w:div w:id="209850672">
                  <w:marLeft w:val="0"/>
                  <w:marRight w:val="0"/>
                  <w:marTop w:val="0"/>
                  <w:marBottom w:val="0"/>
                  <w:divBdr>
                    <w:top w:val="none" w:sz="0" w:space="0" w:color="auto"/>
                    <w:left w:val="none" w:sz="0" w:space="0" w:color="auto"/>
                    <w:bottom w:val="none" w:sz="0" w:space="0" w:color="auto"/>
                    <w:right w:val="none" w:sz="0" w:space="0" w:color="auto"/>
                  </w:divBdr>
                </w:div>
              </w:divsChild>
            </w:div>
            <w:div w:id="1725985566">
              <w:marLeft w:val="0"/>
              <w:marRight w:val="0"/>
              <w:marTop w:val="0"/>
              <w:marBottom w:val="0"/>
              <w:divBdr>
                <w:top w:val="none" w:sz="0" w:space="0" w:color="auto"/>
                <w:left w:val="none" w:sz="0" w:space="0" w:color="auto"/>
                <w:bottom w:val="none" w:sz="0" w:space="0" w:color="auto"/>
                <w:right w:val="none" w:sz="0" w:space="0" w:color="auto"/>
              </w:divBdr>
              <w:divsChild>
                <w:div w:id="1464494190">
                  <w:marLeft w:val="0"/>
                  <w:marRight w:val="0"/>
                  <w:marTop w:val="0"/>
                  <w:marBottom w:val="0"/>
                  <w:divBdr>
                    <w:top w:val="none" w:sz="0" w:space="0" w:color="auto"/>
                    <w:left w:val="none" w:sz="0" w:space="0" w:color="auto"/>
                    <w:bottom w:val="none" w:sz="0" w:space="0" w:color="auto"/>
                    <w:right w:val="none" w:sz="0" w:space="0" w:color="auto"/>
                  </w:divBdr>
                </w:div>
              </w:divsChild>
            </w:div>
            <w:div w:id="201748548">
              <w:marLeft w:val="0"/>
              <w:marRight w:val="0"/>
              <w:marTop w:val="0"/>
              <w:marBottom w:val="0"/>
              <w:divBdr>
                <w:top w:val="none" w:sz="0" w:space="0" w:color="auto"/>
                <w:left w:val="none" w:sz="0" w:space="0" w:color="auto"/>
                <w:bottom w:val="none" w:sz="0" w:space="0" w:color="auto"/>
                <w:right w:val="none" w:sz="0" w:space="0" w:color="auto"/>
              </w:divBdr>
              <w:divsChild>
                <w:div w:id="2114738896">
                  <w:marLeft w:val="0"/>
                  <w:marRight w:val="0"/>
                  <w:marTop w:val="0"/>
                  <w:marBottom w:val="0"/>
                  <w:divBdr>
                    <w:top w:val="none" w:sz="0" w:space="0" w:color="auto"/>
                    <w:left w:val="none" w:sz="0" w:space="0" w:color="auto"/>
                    <w:bottom w:val="none" w:sz="0" w:space="0" w:color="auto"/>
                    <w:right w:val="none" w:sz="0" w:space="0" w:color="auto"/>
                  </w:divBdr>
                </w:div>
              </w:divsChild>
            </w:div>
            <w:div w:id="2054382837">
              <w:marLeft w:val="0"/>
              <w:marRight w:val="0"/>
              <w:marTop w:val="0"/>
              <w:marBottom w:val="0"/>
              <w:divBdr>
                <w:top w:val="none" w:sz="0" w:space="0" w:color="auto"/>
                <w:left w:val="none" w:sz="0" w:space="0" w:color="auto"/>
                <w:bottom w:val="none" w:sz="0" w:space="0" w:color="auto"/>
                <w:right w:val="none" w:sz="0" w:space="0" w:color="auto"/>
              </w:divBdr>
              <w:divsChild>
                <w:div w:id="434401831">
                  <w:marLeft w:val="0"/>
                  <w:marRight w:val="0"/>
                  <w:marTop w:val="0"/>
                  <w:marBottom w:val="0"/>
                  <w:divBdr>
                    <w:top w:val="none" w:sz="0" w:space="0" w:color="auto"/>
                    <w:left w:val="none" w:sz="0" w:space="0" w:color="auto"/>
                    <w:bottom w:val="none" w:sz="0" w:space="0" w:color="auto"/>
                    <w:right w:val="none" w:sz="0" w:space="0" w:color="auto"/>
                  </w:divBdr>
                </w:div>
              </w:divsChild>
            </w:div>
            <w:div w:id="2043091152">
              <w:marLeft w:val="0"/>
              <w:marRight w:val="0"/>
              <w:marTop w:val="0"/>
              <w:marBottom w:val="0"/>
              <w:divBdr>
                <w:top w:val="none" w:sz="0" w:space="0" w:color="auto"/>
                <w:left w:val="none" w:sz="0" w:space="0" w:color="auto"/>
                <w:bottom w:val="none" w:sz="0" w:space="0" w:color="auto"/>
                <w:right w:val="none" w:sz="0" w:space="0" w:color="auto"/>
              </w:divBdr>
              <w:divsChild>
                <w:div w:id="1062944018">
                  <w:marLeft w:val="0"/>
                  <w:marRight w:val="0"/>
                  <w:marTop w:val="0"/>
                  <w:marBottom w:val="0"/>
                  <w:divBdr>
                    <w:top w:val="none" w:sz="0" w:space="0" w:color="auto"/>
                    <w:left w:val="none" w:sz="0" w:space="0" w:color="auto"/>
                    <w:bottom w:val="none" w:sz="0" w:space="0" w:color="auto"/>
                    <w:right w:val="none" w:sz="0" w:space="0" w:color="auto"/>
                  </w:divBdr>
                </w:div>
              </w:divsChild>
            </w:div>
            <w:div w:id="819809749">
              <w:marLeft w:val="0"/>
              <w:marRight w:val="0"/>
              <w:marTop w:val="0"/>
              <w:marBottom w:val="0"/>
              <w:divBdr>
                <w:top w:val="none" w:sz="0" w:space="0" w:color="auto"/>
                <w:left w:val="none" w:sz="0" w:space="0" w:color="auto"/>
                <w:bottom w:val="none" w:sz="0" w:space="0" w:color="auto"/>
                <w:right w:val="none" w:sz="0" w:space="0" w:color="auto"/>
              </w:divBdr>
              <w:divsChild>
                <w:div w:id="696348024">
                  <w:marLeft w:val="0"/>
                  <w:marRight w:val="0"/>
                  <w:marTop w:val="0"/>
                  <w:marBottom w:val="0"/>
                  <w:divBdr>
                    <w:top w:val="none" w:sz="0" w:space="0" w:color="auto"/>
                    <w:left w:val="none" w:sz="0" w:space="0" w:color="auto"/>
                    <w:bottom w:val="none" w:sz="0" w:space="0" w:color="auto"/>
                    <w:right w:val="none" w:sz="0" w:space="0" w:color="auto"/>
                  </w:divBdr>
                </w:div>
              </w:divsChild>
            </w:div>
            <w:div w:id="383453590">
              <w:marLeft w:val="0"/>
              <w:marRight w:val="0"/>
              <w:marTop w:val="0"/>
              <w:marBottom w:val="0"/>
              <w:divBdr>
                <w:top w:val="none" w:sz="0" w:space="0" w:color="auto"/>
                <w:left w:val="none" w:sz="0" w:space="0" w:color="auto"/>
                <w:bottom w:val="none" w:sz="0" w:space="0" w:color="auto"/>
                <w:right w:val="none" w:sz="0" w:space="0" w:color="auto"/>
              </w:divBdr>
              <w:divsChild>
                <w:div w:id="45691968">
                  <w:marLeft w:val="0"/>
                  <w:marRight w:val="0"/>
                  <w:marTop w:val="0"/>
                  <w:marBottom w:val="0"/>
                  <w:divBdr>
                    <w:top w:val="none" w:sz="0" w:space="0" w:color="auto"/>
                    <w:left w:val="none" w:sz="0" w:space="0" w:color="auto"/>
                    <w:bottom w:val="none" w:sz="0" w:space="0" w:color="auto"/>
                    <w:right w:val="none" w:sz="0" w:space="0" w:color="auto"/>
                  </w:divBdr>
                </w:div>
              </w:divsChild>
            </w:div>
            <w:div w:id="810825209">
              <w:marLeft w:val="0"/>
              <w:marRight w:val="0"/>
              <w:marTop w:val="0"/>
              <w:marBottom w:val="0"/>
              <w:divBdr>
                <w:top w:val="none" w:sz="0" w:space="0" w:color="auto"/>
                <w:left w:val="none" w:sz="0" w:space="0" w:color="auto"/>
                <w:bottom w:val="none" w:sz="0" w:space="0" w:color="auto"/>
                <w:right w:val="none" w:sz="0" w:space="0" w:color="auto"/>
              </w:divBdr>
              <w:divsChild>
                <w:div w:id="935209067">
                  <w:marLeft w:val="0"/>
                  <w:marRight w:val="0"/>
                  <w:marTop w:val="0"/>
                  <w:marBottom w:val="0"/>
                  <w:divBdr>
                    <w:top w:val="none" w:sz="0" w:space="0" w:color="auto"/>
                    <w:left w:val="none" w:sz="0" w:space="0" w:color="auto"/>
                    <w:bottom w:val="none" w:sz="0" w:space="0" w:color="auto"/>
                    <w:right w:val="none" w:sz="0" w:space="0" w:color="auto"/>
                  </w:divBdr>
                </w:div>
              </w:divsChild>
            </w:div>
            <w:div w:id="1159036444">
              <w:marLeft w:val="0"/>
              <w:marRight w:val="0"/>
              <w:marTop w:val="0"/>
              <w:marBottom w:val="0"/>
              <w:divBdr>
                <w:top w:val="none" w:sz="0" w:space="0" w:color="auto"/>
                <w:left w:val="none" w:sz="0" w:space="0" w:color="auto"/>
                <w:bottom w:val="none" w:sz="0" w:space="0" w:color="auto"/>
                <w:right w:val="none" w:sz="0" w:space="0" w:color="auto"/>
              </w:divBdr>
              <w:divsChild>
                <w:div w:id="921792578">
                  <w:marLeft w:val="0"/>
                  <w:marRight w:val="0"/>
                  <w:marTop w:val="0"/>
                  <w:marBottom w:val="0"/>
                  <w:divBdr>
                    <w:top w:val="none" w:sz="0" w:space="0" w:color="auto"/>
                    <w:left w:val="none" w:sz="0" w:space="0" w:color="auto"/>
                    <w:bottom w:val="none" w:sz="0" w:space="0" w:color="auto"/>
                    <w:right w:val="none" w:sz="0" w:space="0" w:color="auto"/>
                  </w:divBdr>
                </w:div>
              </w:divsChild>
            </w:div>
            <w:div w:id="931165198">
              <w:marLeft w:val="0"/>
              <w:marRight w:val="0"/>
              <w:marTop w:val="0"/>
              <w:marBottom w:val="0"/>
              <w:divBdr>
                <w:top w:val="none" w:sz="0" w:space="0" w:color="auto"/>
                <w:left w:val="none" w:sz="0" w:space="0" w:color="auto"/>
                <w:bottom w:val="none" w:sz="0" w:space="0" w:color="auto"/>
                <w:right w:val="none" w:sz="0" w:space="0" w:color="auto"/>
              </w:divBdr>
              <w:divsChild>
                <w:div w:id="737360037">
                  <w:marLeft w:val="0"/>
                  <w:marRight w:val="0"/>
                  <w:marTop w:val="0"/>
                  <w:marBottom w:val="0"/>
                  <w:divBdr>
                    <w:top w:val="none" w:sz="0" w:space="0" w:color="auto"/>
                    <w:left w:val="none" w:sz="0" w:space="0" w:color="auto"/>
                    <w:bottom w:val="none" w:sz="0" w:space="0" w:color="auto"/>
                    <w:right w:val="none" w:sz="0" w:space="0" w:color="auto"/>
                  </w:divBdr>
                </w:div>
              </w:divsChild>
            </w:div>
            <w:div w:id="453331291">
              <w:marLeft w:val="0"/>
              <w:marRight w:val="0"/>
              <w:marTop w:val="0"/>
              <w:marBottom w:val="0"/>
              <w:divBdr>
                <w:top w:val="none" w:sz="0" w:space="0" w:color="auto"/>
                <w:left w:val="none" w:sz="0" w:space="0" w:color="auto"/>
                <w:bottom w:val="none" w:sz="0" w:space="0" w:color="auto"/>
                <w:right w:val="none" w:sz="0" w:space="0" w:color="auto"/>
              </w:divBdr>
              <w:divsChild>
                <w:div w:id="1590117048">
                  <w:marLeft w:val="0"/>
                  <w:marRight w:val="0"/>
                  <w:marTop w:val="0"/>
                  <w:marBottom w:val="0"/>
                  <w:divBdr>
                    <w:top w:val="none" w:sz="0" w:space="0" w:color="auto"/>
                    <w:left w:val="none" w:sz="0" w:space="0" w:color="auto"/>
                    <w:bottom w:val="none" w:sz="0" w:space="0" w:color="auto"/>
                    <w:right w:val="none" w:sz="0" w:space="0" w:color="auto"/>
                  </w:divBdr>
                </w:div>
              </w:divsChild>
            </w:div>
            <w:div w:id="2086829064">
              <w:marLeft w:val="0"/>
              <w:marRight w:val="0"/>
              <w:marTop w:val="0"/>
              <w:marBottom w:val="0"/>
              <w:divBdr>
                <w:top w:val="none" w:sz="0" w:space="0" w:color="auto"/>
                <w:left w:val="none" w:sz="0" w:space="0" w:color="auto"/>
                <w:bottom w:val="none" w:sz="0" w:space="0" w:color="auto"/>
                <w:right w:val="none" w:sz="0" w:space="0" w:color="auto"/>
              </w:divBdr>
              <w:divsChild>
                <w:div w:id="1255672859">
                  <w:marLeft w:val="0"/>
                  <w:marRight w:val="0"/>
                  <w:marTop w:val="0"/>
                  <w:marBottom w:val="0"/>
                  <w:divBdr>
                    <w:top w:val="none" w:sz="0" w:space="0" w:color="auto"/>
                    <w:left w:val="none" w:sz="0" w:space="0" w:color="auto"/>
                    <w:bottom w:val="none" w:sz="0" w:space="0" w:color="auto"/>
                    <w:right w:val="none" w:sz="0" w:space="0" w:color="auto"/>
                  </w:divBdr>
                </w:div>
              </w:divsChild>
            </w:div>
            <w:div w:id="2026667890">
              <w:marLeft w:val="0"/>
              <w:marRight w:val="0"/>
              <w:marTop w:val="0"/>
              <w:marBottom w:val="0"/>
              <w:divBdr>
                <w:top w:val="none" w:sz="0" w:space="0" w:color="auto"/>
                <w:left w:val="none" w:sz="0" w:space="0" w:color="auto"/>
                <w:bottom w:val="none" w:sz="0" w:space="0" w:color="auto"/>
                <w:right w:val="none" w:sz="0" w:space="0" w:color="auto"/>
              </w:divBdr>
              <w:divsChild>
                <w:div w:id="1674213598">
                  <w:marLeft w:val="0"/>
                  <w:marRight w:val="0"/>
                  <w:marTop w:val="0"/>
                  <w:marBottom w:val="0"/>
                  <w:divBdr>
                    <w:top w:val="none" w:sz="0" w:space="0" w:color="auto"/>
                    <w:left w:val="none" w:sz="0" w:space="0" w:color="auto"/>
                    <w:bottom w:val="none" w:sz="0" w:space="0" w:color="auto"/>
                    <w:right w:val="none" w:sz="0" w:space="0" w:color="auto"/>
                  </w:divBdr>
                </w:div>
              </w:divsChild>
            </w:div>
            <w:div w:id="1653177746">
              <w:marLeft w:val="0"/>
              <w:marRight w:val="0"/>
              <w:marTop w:val="0"/>
              <w:marBottom w:val="0"/>
              <w:divBdr>
                <w:top w:val="none" w:sz="0" w:space="0" w:color="auto"/>
                <w:left w:val="none" w:sz="0" w:space="0" w:color="auto"/>
                <w:bottom w:val="none" w:sz="0" w:space="0" w:color="auto"/>
                <w:right w:val="none" w:sz="0" w:space="0" w:color="auto"/>
              </w:divBdr>
              <w:divsChild>
                <w:div w:id="1632512886">
                  <w:marLeft w:val="0"/>
                  <w:marRight w:val="0"/>
                  <w:marTop w:val="0"/>
                  <w:marBottom w:val="0"/>
                  <w:divBdr>
                    <w:top w:val="none" w:sz="0" w:space="0" w:color="auto"/>
                    <w:left w:val="none" w:sz="0" w:space="0" w:color="auto"/>
                    <w:bottom w:val="none" w:sz="0" w:space="0" w:color="auto"/>
                    <w:right w:val="none" w:sz="0" w:space="0" w:color="auto"/>
                  </w:divBdr>
                </w:div>
              </w:divsChild>
            </w:div>
            <w:div w:id="398290542">
              <w:marLeft w:val="0"/>
              <w:marRight w:val="0"/>
              <w:marTop w:val="0"/>
              <w:marBottom w:val="0"/>
              <w:divBdr>
                <w:top w:val="none" w:sz="0" w:space="0" w:color="auto"/>
                <w:left w:val="none" w:sz="0" w:space="0" w:color="auto"/>
                <w:bottom w:val="none" w:sz="0" w:space="0" w:color="auto"/>
                <w:right w:val="none" w:sz="0" w:space="0" w:color="auto"/>
              </w:divBdr>
              <w:divsChild>
                <w:div w:id="1760984427">
                  <w:marLeft w:val="0"/>
                  <w:marRight w:val="0"/>
                  <w:marTop w:val="0"/>
                  <w:marBottom w:val="0"/>
                  <w:divBdr>
                    <w:top w:val="none" w:sz="0" w:space="0" w:color="auto"/>
                    <w:left w:val="none" w:sz="0" w:space="0" w:color="auto"/>
                    <w:bottom w:val="none" w:sz="0" w:space="0" w:color="auto"/>
                    <w:right w:val="none" w:sz="0" w:space="0" w:color="auto"/>
                  </w:divBdr>
                </w:div>
              </w:divsChild>
            </w:div>
            <w:div w:id="521476299">
              <w:marLeft w:val="0"/>
              <w:marRight w:val="0"/>
              <w:marTop w:val="0"/>
              <w:marBottom w:val="0"/>
              <w:divBdr>
                <w:top w:val="none" w:sz="0" w:space="0" w:color="auto"/>
                <w:left w:val="none" w:sz="0" w:space="0" w:color="auto"/>
                <w:bottom w:val="none" w:sz="0" w:space="0" w:color="auto"/>
                <w:right w:val="none" w:sz="0" w:space="0" w:color="auto"/>
              </w:divBdr>
              <w:divsChild>
                <w:div w:id="385877867">
                  <w:marLeft w:val="0"/>
                  <w:marRight w:val="0"/>
                  <w:marTop w:val="0"/>
                  <w:marBottom w:val="0"/>
                  <w:divBdr>
                    <w:top w:val="none" w:sz="0" w:space="0" w:color="auto"/>
                    <w:left w:val="none" w:sz="0" w:space="0" w:color="auto"/>
                    <w:bottom w:val="none" w:sz="0" w:space="0" w:color="auto"/>
                    <w:right w:val="none" w:sz="0" w:space="0" w:color="auto"/>
                  </w:divBdr>
                </w:div>
              </w:divsChild>
            </w:div>
            <w:div w:id="630942940">
              <w:marLeft w:val="0"/>
              <w:marRight w:val="0"/>
              <w:marTop w:val="0"/>
              <w:marBottom w:val="0"/>
              <w:divBdr>
                <w:top w:val="none" w:sz="0" w:space="0" w:color="auto"/>
                <w:left w:val="none" w:sz="0" w:space="0" w:color="auto"/>
                <w:bottom w:val="none" w:sz="0" w:space="0" w:color="auto"/>
                <w:right w:val="none" w:sz="0" w:space="0" w:color="auto"/>
              </w:divBdr>
              <w:divsChild>
                <w:div w:id="538053120">
                  <w:marLeft w:val="0"/>
                  <w:marRight w:val="0"/>
                  <w:marTop w:val="0"/>
                  <w:marBottom w:val="0"/>
                  <w:divBdr>
                    <w:top w:val="none" w:sz="0" w:space="0" w:color="auto"/>
                    <w:left w:val="none" w:sz="0" w:space="0" w:color="auto"/>
                    <w:bottom w:val="none" w:sz="0" w:space="0" w:color="auto"/>
                    <w:right w:val="none" w:sz="0" w:space="0" w:color="auto"/>
                  </w:divBdr>
                </w:div>
              </w:divsChild>
            </w:div>
            <w:div w:id="242838140">
              <w:marLeft w:val="0"/>
              <w:marRight w:val="0"/>
              <w:marTop w:val="0"/>
              <w:marBottom w:val="0"/>
              <w:divBdr>
                <w:top w:val="none" w:sz="0" w:space="0" w:color="auto"/>
                <w:left w:val="none" w:sz="0" w:space="0" w:color="auto"/>
                <w:bottom w:val="none" w:sz="0" w:space="0" w:color="auto"/>
                <w:right w:val="none" w:sz="0" w:space="0" w:color="auto"/>
              </w:divBdr>
              <w:divsChild>
                <w:div w:id="1601336609">
                  <w:marLeft w:val="0"/>
                  <w:marRight w:val="0"/>
                  <w:marTop w:val="0"/>
                  <w:marBottom w:val="0"/>
                  <w:divBdr>
                    <w:top w:val="none" w:sz="0" w:space="0" w:color="auto"/>
                    <w:left w:val="none" w:sz="0" w:space="0" w:color="auto"/>
                    <w:bottom w:val="none" w:sz="0" w:space="0" w:color="auto"/>
                    <w:right w:val="none" w:sz="0" w:space="0" w:color="auto"/>
                  </w:divBdr>
                </w:div>
              </w:divsChild>
            </w:div>
            <w:div w:id="1991472958">
              <w:marLeft w:val="0"/>
              <w:marRight w:val="0"/>
              <w:marTop w:val="0"/>
              <w:marBottom w:val="0"/>
              <w:divBdr>
                <w:top w:val="none" w:sz="0" w:space="0" w:color="auto"/>
                <w:left w:val="none" w:sz="0" w:space="0" w:color="auto"/>
                <w:bottom w:val="none" w:sz="0" w:space="0" w:color="auto"/>
                <w:right w:val="none" w:sz="0" w:space="0" w:color="auto"/>
              </w:divBdr>
              <w:divsChild>
                <w:div w:id="1224484673">
                  <w:marLeft w:val="0"/>
                  <w:marRight w:val="0"/>
                  <w:marTop w:val="0"/>
                  <w:marBottom w:val="0"/>
                  <w:divBdr>
                    <w:top w:val="none" w:sz="0" w:space="0" w:color="auto"/>
                    <w:left w:val="none" w:sz="0" w:space="0" w:color="auto"/>
                    <w:bottom w:val="none" w:sz="0" w:space="0" w:color="auto"/>
                    <w:right w:val="none" w:sz="0" w:space="0" w:color="auto"/>
                  </w:divBdr>
                </w:div>
              </w:divsChild>
            </w:div>
            <w:div w:id="1726832686">
              <w:marLeft w:val="0"/>
              <w:marRight w:val="0"/>
              <w:marTop w:val="0"/>
              <w:marBottom w:val="0"/>
              <w:divBdr>
                <w:top w:val="none" w:sz="0" w:space="0" w:color="auto"/>
                <w:left w:val="none" w:sz="0" w:space="0" w:color="auto"/>
                <w:bottom w:val="none" w:sz="0" w:space="0" w:color="auto"/>
                <w:right w:val="none" w:sz="0" w:space="0" w:color="auto"/>
              </w:divBdr>
              <w:divsChild>
                <w:div w:id="626475465">
                  <w:marLeft w:val="0"/>
                  <w:marRight w:val="0"/>
                  <w:marTop w:val="0"/>
                  <w:marBottom w:val="0"/>
                  <w:divBdr>
                    <w:top w:val="none" w:sz="0" w:space="0" w:color="auto"/>
                    <w:left w:val="none" w:sz="0" w:space="0" w:color="auto"/>
                    <w:bottom w:val="none" w:sz="0" w:space="0" w:color="auto"/>
                    <w:right w:val="none" w:sz="0" w:space="0" w:color="auto"/>
                  </w:divBdr>
                </w:div>
              </w:divsChild>
            </w:div>
            <w:div w:id="1112938628">
              <w:marLeft w:val="0"/>
              <w:marRight w:val="0"/>
              <w:marTop w:val="0"/>
              <w:marBottom w:val="0"/>
              <w:divBdr>
                <w:top w:val="none" w:sz="0" w:space="0" w:color="auto"/>
                <w:left w:val="none" w:sz="0" w:space="0" w:color="auto"/>
                <w:bottom w:val="none" w:sz="0" w:space="0" w:color="auto"/>
                <w:right w:val="none" w:sz="0" w:space="0" w:color="auto"/>
              </w:divBdr>
              <w:divsChild>
                <w:div w:id="1688218615">
                  <w:marLeft w:val="0"/>
                  <w:marRight w:val="0"/>
                  <w:marTop w:val="0"/>
                  <w:marBottom w:val="0"/>
                  <w:divBdr>
                    <w:top w:val="none" w:sz="0" w:space="0" w:color="auto"/>
                    <w:left w:val="none" w:sz="0" w:space="0" w:color="auto"/>
                    <w:bottom w:val="none" w:sz="0" w:space="0" w:color="auto"/>
                    <w:right w:val="none" w:sz="0" w:space="0" w:color="auto"/>
                  </w:divBdr>
                </w:div>
              </w:divsChild>
            </w:div>
            <w:div w:id="665790746">
              <w:marLeft w:val="0"/>
              <w:marRight w:val="0"/>
              <w:marTop w:val="0"/>
              <w:marBottom w:val="0"/>
              <w:divBdr>
                <w:top w:val="none" w:sz="0" w:space="0" w:color="auto"/>
                <w:left w:val="none" w:sz="0" w:space="0" w:color="auto"/>
                <w:bottom w:val="none" w:sz="0" w:space="0" w:color="auto"/>
                <w:right w:val="none" w:sz="0" w:space="0" w:color="auto"/>
              </w:divBdr>
              <w:divsChild>
                <w:div w:id="309942943">
                  <w:marLeft w:val="0"/>
                  <w:marRight w:val="0"/>
                  <w:marTop w:val="0"/>
                  <w:marBottom w:val="0"/>
                  <w:divBdr>
                    <w:top w:val="none" w:sz="0" w:space="0" w:color="auto"/>
                    <w:left w:val="none" w:sz="0" w:space="0" w:color="auto"/>
                    <w:bottom w:val="none" w:sz="0" w:space="0" w:color="auto"/>
                    <w:right w:val="none" w:sz="0" w:space="0" w:color="auto"/>
                  </w:divBdr>
                </w:div>
              </w:divsChild>
            </w:div>
            <w:div w:id="1586301178">
              <w:marLeft w:val="0"/>
              <w:marRight w:val="0"/>
              <w:marTop w:val="0"/>
              <w:marBottom w:val="0"/>
              <w:divBdr>
                <w:top w:val="none" w:sz="0" w:space="0" w:color="auto"/>
                <w:left w:val="none" w:sz="0" w:space="0" w:color="auto"/>
                <w:bottom w:val="none" w:sz="0" w:space="0" w:color="auto"/>
                <w:right w:val="none" w:sz="0" w:space="0" w:color="auto"/>
              </w:divBdr>
              <w:divsChild>
                <w:div w:id="1281954993">
                  <w:marLeft w:val="0"/>
                  <w:marRight w:val="0"/>
                  <w:marTop w:val="0"/>
                  <w:marBottom w:val="0"/>
                  <w:divBdr>
                    <w:top w:val="none" w:sz="0" w:space="0" w:color="auto"/>
                    <w:left w:val="none" w:sz="0" w:space="0" w:color="auto"/>
                    <w:bottom w:val="none" w:sz="0" w:space="0" w:color="auto"/>
                    <w:right w:val="none" w:sz="0" w:space="0" w:color="auto"/>
                  </w:divBdr>
                </w:div>
              </w:divsChild>
            </w:div>
            <w:div w:id="1599755789">
              <w:marLeft w:val="0"/>
              <w:marRight w:val="0"/>
              <w:marTop w:val="0"/>
              <w:marBottom w:val="0"/>
              <w:divBdr>
                <w:top w:val="none" w:sz="0" w:space="0" w:color="auto"/>
                <w:left w:val="none" w:sz="0" w:space="0" w:color="auto"/>
                <w:bottom w:val="none" w:sz="0" w:space="0" w:color="auto"/>
                <w:right w:val="none" w:sz="0" w:space="0" w:color="auto"/>
              </w:divBdr>
              <w:divsChild>
                <w:div w:id="2015262267">
                  <w:marLeft w:val="0"/>
                  <w:marRight w:val="0"/>
                  <w:marTop w:val="0"/>
                  <w:marBottom w:val="0"/>
                  <w:divBdr>
                    <w:top w:val="none" w:sz="0" w:space="0" w:color="auto"/>
                    <w:left w:val="none" w:sz="0" w:space="0" w:color="auto"/>
                    <w:bottom w:val="none" w:sz="0" w:space="0" w:color="auto"/>
                    <w:right w:val="none" w:sz="0" w:space="0" w:color="auto"/>
                  </w:divBdr>
                </w:div>
              </w:divsChild>
            </w:div>
            <w:div w:id="1301348564">
              <w:marLeft w:val="0"/>
              <w:marRight w:val="0"/>
              <w:marTop w:val="0"/>
              <w:marBottom w:val="0"/>
              <w:divBdr>
                <w:top w:val="none" w:sz="0" w:space="0" w:color="auto"/>
                <w:left w:val="none" w:sz="0" w:space="0" w:color="auto"/>
                <w:bottom w:val="none" w:sz="0" w:space="0" w:color="auto"/>
                <w:right w:val="none" w:sz="0" w:space="0" w:color="auto"/>
              </w:divBdr>
              <w:divsChild>
                <w:div w:id="1468664681">
                  <w:marLeft w:val="0"/>
                  <w:marRight w:val="0"/>
                  <w:marTop w:val="0"/>
                  <w:marBottom w:val="0"/>
                  <w:divBdr>
                    <w:top w:val="none" w:sz="0" w:space="0" w:color="auto"/>
                    <w:left w:val="none" w:sz="0" w:space="0" w:color="auto"/>
                    <w:bottom w:val="none" w:sz="0" w:space="0" w:color="auto"/>
                    <w:right w:val="none" w:sz="0" w:space="0" w:color="auto"/>
                  </w:divBdr>
                </w:div>
              </w:divsChild>
            </w:div>
            <w:div w:id="388264847">
              <w:marLeft w:val="0"/>
              <w:marRight w:val="0"/>
              <w:marTop w:val="0"/>
              <w:marBottom w:val="0"/>
              <w:divBdr>
                <w:top w:val="none" w:sz="0" w:space="0" w:color="auto"/>
                <w:left w:val="none" w:sz="0" w:space="0" w:color="auto"/>
                <w:bottom w:val="none" w:sz="0" w:space="0" w:color="auto"/>
                <w:right w:val="none" w:sz="0" w:space="0" w:color="auto"/>
              </w:divBdr>
              <w:divsChild>
                <w:div w:id="1262495817">
                  <w:marLeft w:val="0"/>
                  <w:marRight w:val="0"/>
                  <w:marTop w:val="0"/>
                  <w:marBottom w:val="0"/>
                  <w:divBdr>
                    <w:top w:val="none" w:sz="0" w:space="0" w:color="auto"/>
                    <w:left w:val="none" w:sz="0" w:space="0" w:color="auto"/>
                    <w:bottom w:val="none" w:sz="0" w:space="0" w:color="auto"/>
                    <w:right w:val="none" w:sz="0" w:space="0" w:color="auto"/>
                  </w:divBdr>
                </w:div>
              </w:divsChild>
            </w:div>
            <w:div w:id="633874245">
              <w:marLeft w:val="0"/>
              <w:marRight w:val="0"/>
              <w:marTop w:val="0"/>
              <w:marBottom w:val="0"/>
              <w:divBdr>
                <w:top w:val="none" w:sz="0" w:space="0" w:color="auto"/>
                <w:left w:val="none" w:sz="0" w:space="0" w:color="auto"/>
                <w:bottom w:val="none" w:sz="0" w:space="0" w:color="auto"/>
                <w:right w:val="none" w:sz="0" w:space="0" w:color="auto"/>
              </w:divBdr>
              <w:divsChild>
                <w:div w:id="1795174321">
                  <w:marLeft w:val="0"/>
                  <w:marRight w:val="0"/>
                  <w:marTop w:val="0"/>
                  <w:marBottom w:val="0"/>
                  <w:divBdr>
                    <w:top w:val="none" w:sz="0" w:space="0" w:color="auto"/>
                    <w:left w:val="none" w:sz="0" w:space="0" w:color="auto"/>
                    <w:bottom w:val="none" w:sz="0" w:space="0" w:color="auto"/>
                    <w:right w:val="none" w:sz="0" w:space="0" w:color="auto"/>
                  </w:divBdr>
                </w:div>
              </w:divsChild>
            </w:div>
            <w:div w:id="1795639007">
              <w:marLeft w:val="0"/>
              <w:marRight w:val="0"/>
              <w:marTop w:val="0"/>
              <w:marBottom w:val="0"/>
              <w:divBdr>
                <w:top w:val="none" w:sz="0" w:space="0" w:color="auto"/>
                <w:left w:val="none" w:sz="0" w:space="0" w:color="auto"/>
                <w:bottom w:val="none" w:sz="0" w:space="0" w:color="auto"/>
                <w:right w:val="none" w:sz="0" w:space="0" w:color="auto"/>
              </w:divBdr>
              <w:divsChild>
                <w:div w:id="179860654">
                  <w:marLeft w:val="0"/>
                  <w:marRight w:val="0"/>
                  <w:marTop w:val="0"/>
                  <w:marBottom w:val="0"/>
                  <w:divBdr>
                    <w:top w:val="none" w:sz="0" w:space="0" w:color="auto"/>
                    <w:left w:val="none" w:sz="0" w:space="0" w:color="auto"/>
                    <w:bottom w:val="none" w:sz="0" w:space="0" w:color="auto"/>
                    <w:right w:val="none" w:sz="0" w:space="0" w:color="auto"/>
                  </w:divBdr>
                </w:div>
              </w:divsChild>
            </w:div>
            <w:div w:id="1118840690">
              <w:marLeft w:val="0"/>
              <w:marRight w:val="0"/>
              <w:marTop w:val="0"/>
              <w:marBottom w:val="0"/>
              <w:divBdr>
                <w:top w:val="none" w:sz="0" w:space="0" w:color="auto"/>
                <w:left w:val="none" w:sz="0" w:space="0" w:color="auto"/>
                <w:bottom w:val="none" w:sz="0" w:space="0" w:color="auto"/>
                <w:right w:val="none" w:sz="0" w:space="0" w:color="auto"/>
              </w:divBdr>
              <w:divsChild>
                <w:div w:id="1889872867">
                  <w:marLeft w:val="0"/>
                  <w:marRight w:val="0"/>
                  <w:marTop w:val="0"/>
                  <w:marBottom w:val="0"/>
                  <w:divBdr>
                    <w:top w:val="none" w:sz="0" w:space="0" w:color="auto"/>
                    <w:left w:val="none" w:sz="0" w:space="0" w:color="auto"/>
                    <w:bottom w:val="none" w:sz="0" w:space="0" w:color="auto"/>
                    <w:right w:val="none" w:sz="0" w:space="0" w:color="auto"/>
                  </w:divBdr>
                </w:div>
              </w:divsChild>
            </w:div>
            <w:div w:id="810295912">
              <w:marLeft w:val="0"/>
              <w:marRight w:val="0"/>
              <w:marTop w:val="0"/>
              <w:marBottom w:val="0"/>
              <w:divBdr>
                <w:top w:val="none" w:sz="0" w:space="0" w:color="auto"/>
                <w:left w:val="none" w:sz="0" w:space="0" w:color="auto"/>
                <w:bottom w:val="none" w:sz="0" w:space="0" w:color="auto"/>
                <w:right w:val="none" w:sz="0" w:space="0" w:color="auto"/>
              </w:divBdr>
              <w:divsChild>
                <w:div w:id="11997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6719">
          <w:marLeft w:val="0"/>
          <w:marRight w:val="0"/>
          <w:marTop w:val="0"/>
          <w:marBottom w:val="600"/>
          <w:divBdr>
            <w:top w:val="none" w:sz="0" w:space="0" w:color="auto"/>
            <w:left w:val="none" w:sz="0" w:space="0" w:color="auto"/>
            <w:bottom w:val="none" w:sz="0" w:space="0" w:color="auto"/>
            <w:right w:val="none" w:sz="0" w:space="0" w:color="auto"/>
          </w:divBdr>
        </w:div>
      </w:divsChild>
    </w:div>
    <w:div w:id="2140564967">
      <w:marLeft w:val="0"/>
      <w:marRight w:val="0"/>
      <w:marTop w:val="0"/>
      <w:marBottom w:val="0"/>
      <w:divBdr>
        <w:top w:val="none" w:sz="0" w:space="0" w:color="auto"/>
        <w:left w:val="none" w:sz="0" w:space="0" w:color="auto"/>
        <w:bottom w:val="none" w:sz="0" w:space="0" w:color="auto"/>
        <w:right w:val="none" w:sz="0" w:space="0" w:color="auto"/>
      </w:divBdr>
      <w:divsChild>
        <w:div w:id="714112886">
          <w:marLeft w:val="0"/>
          <w:marRight w:val="0"/>
          <w:marTop w:val="547"/>
          <w:marBottom w:val="0"/>
          <w:divBdr>
            <w:top w:val="none" w:sz="0" w:space="0" w:color="auto"/>
            <w:left w:val="none" w:sz="0" w:space="0" w:color="auto"/>
            <w:bottom w:val="none" w:sz="0" w:space="0" w:color="auto"/>
            <w:right w:val="none" w:sz="0" w:space="0" w:color="auto"/>
          </w:divBdr>
        </w:div>
        <w:div w:id="275872903">
          <w:marLeft w:val="0"/>
          <w:marRight w:val="0"/>
          <w:marTop w:val="0"/>
          <w:marBottom w:val="0"/>
          <w:divBdr>
            <w:top w:val="none" w:sz="0" w:space="0" w:color="auto"/>
            <w:left w:val="none" w:sz="0" w:space="0" w:color="auto"/>
            <w:bottom w:val="none" w:sz="0" w:space="0" w:color="auto"/>
            <w:right w:val="none" w:sz="0" w:space="0" w:color="auto"/>
          </w:divBdr>
        </w:div>
        <w:div w:id="1959868970">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htm" TargetMode="External"/><Relationship Id="rId5" Type="http://schemas.openxmlformats.org/officeDocument/2006/relationships/hyperlink" Target="ex-31d2.htm" TargetMode="External"/><Relationship Id="rId4" Type="http://schemas.openxmlformats.org/officeDocument/2006/relationships/hyperlink" Target="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48303</Words>
  <Characters>275329</Characters>
  <Application>Microsoft Office Word</Application>
  <DocSecurity>0</DocSecurity>
  <Lines>2294</Lines>
  <Paragraphs>645</Paragraphs>
  <ScaleCrop>false</ScaleCrop>
  <Company/>
  <LinksUpToDate>false</LinksUpToDate>
  <CharactersWithSpaces>322987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